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O'Brien Stephanie Monaghan</w:t>
              </w:r>
            </w:hyperlink>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2"/>
          </w:tcPr>
          <w:p>
            <w:pPr>
              <w:spacing w:after="0"/>
              <w:rPr>
                <w:sz w:val="6"/>
                <w:szCs w:val="6"/>
                <w:color w:val="auto"/>
              </w:rPr>
            </w:pPr>
          </w:p>
        </w:tc>
        <w:tc>
          <w:tcPr>
            <w:tcW w:w="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6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3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100 FIFTH AVENUE, 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78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272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(Instr. 8)  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jc w:val="center"/>
              <w:ind w:left="52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4"/>
          </w:tcPr>
          <w:p>
            <w:pPr>
              <w:spacing w:after="0" w:line="10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gridSpan w:val="2"/>
          </w:tcPr>
          <w:p>
            <w:pPr>
              <w:ind w:left="1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05/14/2026</w:t>
            </w:r>
          </w:p>
        </w:tc>
        <w:tc>
          <w:tcPr>
            <w:tcW w:w="10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0000FF"/>
                <w:w w:val="98"/>
              </w:rPr>
              <w:t>25,666</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155"/>
              <w:spacing w:after="0"/>
              <w:rPr>
                <w:sz w:val="20"/>
                <w:szCs w:val="20"/>
                <w:color w:val="auto"/>
              </w:rPr>
            </w:pPr>
            <w:r>
              <w:rPr>
                <w:rFonts w:ascii="Times New Roman" w:cs="Times New Roman" w:eastAsia="Times New Roman" w:hAnsi="Times New Roman"/>
                <w:sz w:val="11"/>
                <w:szCs w:val="11"/>
                <w:color w:val="008000"/>
                <w:w w:val="98"/>
              </w:rPr>
              <w:t>(1)(2)(3)</w:t>
            </w:r>
          </w:p>
        </w:tc>
        <w:tc>
          <w:tcPr>
            <w:tcW w:w="7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780" w:type="dxa"/>
            <w:vAlign w:val="bottom"/>
            <w:gridSpan w:val="2"/>
            <w:vMerge w:val="restart"/>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05/14/2026</w:t>
            </w:r>
          </w:p>
        </w:tc>
        <w:tc>
          <w:tcPr>
            <w:tcW w:w="102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(1)(2)(3)</w:t>
            </w:r>
          </w:p>
        </w:tc>
        <w:tc>
          <w:tcPr>
            <w:tcW w:w="300" w:type="dxa"/>
            <w:vAlign w:val="bottom"/>
          </w:tcPr>
          <w:p>
            <w:pPr>
              <w:spacing w:after="0"/>
              <w:rPr>
                <w:sz w:val="21"/>
                <w:szCs w:val="21"/>
                <w:color w:val="auto"/>
              </w:rPr>
            </w:pPr>
          </w:p>
        </w:tc>
        <w:tc>
          <w:tcPr>
            <w:tcW w:w="600" w:type="dxa"/>
            <w:vAlign w:val="bottom"/>
            <w:gridSpan w:val="2"/>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w w:val="93"/>
              </w:rPr>
              <w:t>5,750</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jc w:val="center"/>
              <w:ind w:left="155"/>
              <w:spacing w:after="0"/>
              <w:rPr>
                <w:sz w:val="20"/>
                <w:szCs w:val="20"/>
                <w:color w:val="auto"/>
              </w:rPr>
            </w:pPr>
            <w:r>
              <w:rPr>
                <w:rFonts w:ascii="Times New Roman" w:cs="Times New Roman" w:eastAsia="Times New Roman" w:hAnsi="Times New Roman"/>
                <w:sz w:val="11"/>
                <w:szCs w:val="11"/>
                <w:color w:val="008000"/>
                <w:w w:val="98"/>
              </w:rPr>
              <w:t>(1)(2)(3)</w:t>
            </w:r>
          </w:p>
        </w:tc>
        <w:tc>
          <w:tcPr>
            <w:tcW w:w="720" w:type="dxa"/>
            <w:vAlign w:val="bottom"/>
            <w:gridSpan w:val="2"/>
            <w:vMerge w:val="restart"/>
          </w:tcPr>
          <w:p>
            <w:pPr>
              <w:jc w:val="center"/>
              <w:ind w:left="54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05/14/2026</w:t>
            </w:r>
          </w:p>
        </w:tc>
        <w:tc>
          <w:tcPr>
            <w:tcW w:w="10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0000FF"/>
                <w:w w:val="93"/>
              </w:rPr>
              <w:t>3,062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1"/>
                <w:szCs w:val="11"/>
                <w:color w:val="008000"/>
              </w:rPr>
              <w:t>(4)(5)</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left="3"/>
              <w:spacing w:after="0" w:line="306"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05/14/2026</w:t>
            </w:r>
          </w:p>
        </w:tc>
        <w:tc>
          <w:tcPr>
            <w:tcW w:w="10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0000FF"/>
                <w:w w:val="93"/>
              </w:rPr>
              <w:t>5,744</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1"/>
                <w:szCs w:val="11"/>
                <w:color w:val="008000"/>
              </w:rPr>
              <w:t>(4)(5)</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left="3"/>
              <w:spacing w:after="0" w:line="306"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05/14/2026</w:t>
            </w:r>
          </w:p>
        </w:tc>
        <w:tc>
          <w:tcPr>
            <w:tcW w:w="10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0000FF"/>
                <w:w w:val="93"/>
              </w:rPr>
              <w:t>7,961</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1"/>
                <w:szCs w:val="11"/>
                <w:color w:val="008000"/>
              </w:rPr>
              <w:t>(4)(5)</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left="3"/>
              <w:spacing w:after="0" w:line="306"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05/14/2026</w:t>
            </w:r>
          </w:p>
        </w:tc>
        <w:tc>
          <w:tcPr>
            <w:tcW w:w="10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0000FF"/>
                <w:w w:val="93"/>
              </w:rPr>
              <w:t>3,877</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1"/>
                <w:szCs w:val="11"/>
                <w:color w:val="008000"/>
              </w:rPr>
              <w:t>(4)(5)</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left="3"/>
              <w:spacing w:after="0" w:line="306"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05/14/2026</w:t>
            </w:r>
          </w:p>
        </w:tc>
        <w:tc>
          <w:tcPr>
            <w:tcW w:w="10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7"/>
                <w:szCs w:val="17"/>
                <w:color w:val="0000FF"/>
                <w:w w:val="93"/>
              </w:rPr>
              <w:t>3,544</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1"/>
                <w:szCs w:val="11"/>
                <w:color w:val="008000"/>
              </w:rPr>
              <w:t>(4)(5)</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left="3"/>
              <w:spacing w:after="0" w:line="306"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399"/>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3, 4 and 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4"/>
              </w:rPr>
              <w:t>17,580</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2"/>
                <w:szCs w:val="12"/>
                <w:color w:val="auto"/>
              </w:rPr>
            </w:pPr>
          </w:p>
        </w:tc>
        <w:tc>
          <w:tcPr>
            <w:tcW w:w="5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17,580</w:t>
            </w:r>
          </w:p>
        </w:tc>
        <w:tc>
          <w:tcPr>
            <w:tcW w:w="20" w:type="dxa"/>
            <w:vAlign w:val="bottom"/>
          </w:tcPr>
          <w:p>
            <w:pPr>
              <w:spacing w:after="0"/>
              <w:rPr>
                <w:sz w:val="12"/>
                <w:szCs w:val="12"/>
                <w:color w:val="auto"/>
              </w:rPr>
            </w:pPr>
          </w:p>
        </w:tc>
        <w:tc>
          <w:tcPr>
            <w:tcW w:w="72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center"/>
              <w:ind w:right="13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w w:val="99"/>
              </w:rPr>
              <w:t>121,894</w:t>
            </w:r>
          </w:p>
        </w:tc>
        <w:tc>
          <w:tcPr>
            <w:tcW w:w="6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7"/>
                <w:szCs w:val="17"/>
                <w:color w:val="auto"/>
              </w:rPr>
            </w:pPr>
          </w:p>
        </w:tc>
        <w:tc>
          <w:tcPr>
            <w:tcW w:w="500" w:type="dxa"/>
            <w:vAlign w:val="bottom"/>
          </w:tcPr>
          <w:p>
            <w:pPr>
              <w:jc w:val="center"/>
              <w:ind w:right="19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0000FF"/>
                <w:w w:val="97"/>
              </w:rPr>
              <w:t>121,894</w:t>
            </w:r>
          </w:p>
        </w:tc>
        <w:tc>
          <w:tcPr>
            <w:tcW w:w="20" w:type="dxa"/>
            <w:vAlign w:val="bottom"/>
          </w:tcPr>
          <w:p>
            <w:pPr>
              <w:spacing w:after="0"/>
              <w:rPr>
                <w:sz w:val="17"/>
                <w:szCs w:val="17"/>
                <w:color w:val="auto"/>
              </w:rPr>
            </w:pPr>
          </w:p>
        </w:tc>
        <w:tc>
          <w:tcPr>
            <w:tcW w:w="72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jc w:val="center"/>
              <w:ind w:right="13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25.12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4"/>
              </w:rPr>
              <w:t>14,684</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2"/>
                <w:szCs w:val="12"/>
                <w:color w:val="auto"/>
              </w:rPr>
            </w:pPr>
          </w:p>
        </w:tc>
        <w:tc>
          <w:tcPr>
            <w:tcW w:w="5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14,684</w:t>
            </w:r>
          </w:p>
        </w:tc>
        <w:tc>
          <w:tcPr>
            <w:tcW w:w="20" w:type="dxa"/>
            <w:vAlign w:val="bottom"/>
          </w:tcPr>
          <w:p>
            <w:pPr>
              <w:spacing w:after="0"/>
              <w:rPr>
                <w:sz w:val="12"/>
                <w:szCs w:val="12"/>
                <w:color w:val="auto"/>
              </w:rPr>
            </w:pPr>
          </w:p>
        </w:tc>
        <w:tc>
          <w:tcPr>
            <w:tcW w:w="72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center"/>
              <w:ind w:right="13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30.62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4"/>
              </w:rPr>
              <w:t>27,600</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2"/>
                <w:szCs w:val="12"/>
                <w:color w:val="auto"/>
              </w:rPr>
            </w:pPr>
          </w:p>
        </w:tc>
        <w:tc>
          <w:tcPr>
            <w:tcW w:w="5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27,600</w:t>
            </w:r>
          </w:p>
        </w:tc>
        <w:tc>
          <w:tcPr>
            <w:tcW w:w="20" w:type="dxa"/>
            <w:vAlign w:val="bottom"/>
          </w:tcPr>
          <w:p>
            <w:pPr>
              <w:spacing w:after="0"/>
              <w:rPr>
                <w:sz w:val="12"/>
                <w:szCs w:val="12"/>
                <w:color w:val="auto"/>
              </w:rPr>
            </w:pPr>
          </w:p>
        </w:tc>
        <w:tc>
          <w:tcPr>
            <w:tcW w:w="72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center"/>
              <w:ind w:right="13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31.91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4"/>
              </w:rPr>
              <w:t>11,199</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2"/>
                <w:szCs w:val="12"/>
                <w:color w:val="auto"/>
              </w:rPr>
            </w:pPr>
          </w:p>
        </w:tc>
        <w:tc>
          <w:tcPr>
            <w:tcW w:w="5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11,199</w:t>
            </w:r>
          </w:p>
        </w:tc>
        <w:tc>
          <w:tcPr>
            <w:tcW w:w="20" w:type="dxa"/>
            <w:vAlign w:val="bottom"/>
          </w:tcPr>
          <w:p>
            <w:pPr>
              <w:spacing w:after="0"/>
              <w:rPr>
                <w:sz w:val="12"/>
                <w:szCs w:val="12"/>
                <w:color w:val="auto"/>
              </w:rPr>
            </w:pPr>
          </w:p>
        </w:tc>
        <w:tc>
          <w:tcPr>
            <w:tcW w:w="72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center"/>
              <w:ind w:right="13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47.28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w w:val="95"/>
              </w:rPr>
              <w:t>8,554</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300" w:type="dxa"/>
            <w:vAlign w:val="bottom"/>
          </w:tcPr>
          <w:p>
            <w:pPr>
              <w:spacing w:after="0"/>
              <w:rPr>
                <w:sz w:val="12"/>
                <w:szCs w:val="12"/>
                <w:color w:val="auto"/>
              </w:rPr>
            </w:pPr>
          </w:p>
        </w:tc>
        <w:tc>
          <w:tcPr>
            <w:tcW w:w="5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9"/>
              </w:rPr>
              <w:t>8,554</w:t>
            </w:r>
          </w:p>
        </w:tc>
        <w:tc>
          <w:tcPr>
            <w:tcW w:w="20" w:type="dxa"/>
            <w:vAlign w:val="bottom"/>
          </w:tcPr>
          <w:p>
            <w:pPr>
              <w:spacing w:after="0"/>
              <w:rPr>
                <w:sz w:val="12"/>
                <w:szCs w:val="12"/>
                <w:color w:val="auto"/>
              </w:rPr>
            </w:pPr>
          </w:p>
        </w:tc>
        <w:tc>
          <w:tcPr>
            <w:tcW w:w="72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center"/>
              <w:ind w:right="13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51.71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w w:val="95"/>
              </w:rPr>
              <w:t>7,441</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300" w:type="dxa"/>
            <w:vAlign w:val="bottom"/>
          </w:tcPr>
          <w:p>
            <w:pPr>
              <w:spacing w:after="0"/>
              <w:rPr>
                <w:sz w:val="12"/>
                <w:szCs w:val="12"/>
                <w:color w:val="auto"/>
              </w:rPr>
            </w:pPr>
          </w:p>
        </w:tc>
        <w:tc>
          <w:tcPr>
            <w:tcW w:w="5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9"/>
              </w:rPr>
              <w:t>7,441</w:t>
            </w:r>
          </w:p>
        </w:tc>
        <w:tc>
          <w:tcPr>
            <w:tcW w:w="20" w:type="dxa"/>
            <w:vAlign w:val="bottom"/>
          </w:tcPr>
          <w:p>
            <w:pPr>
              <w:spacing w:after="0"/>
              <w:rPr>
                <w:sz w:val="12"/>
                <w:szCs w:val="12"/>
                <w:color w:val="auto"/>
              </w:rPr>
            </w:pPr>
          </w:p>
        </w:tc>
        <w:tc>
          <w:tcPr>
            <w:tcW w:w="72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268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268855"/>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57.2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27,600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27,600</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59.86</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5,748</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5,748</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20" w:right="120"/>
        <w:spacing w:after="0" w:line="235"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w:t>
      </w:r>
    </w:p>
    <w:p>
      <w:pPr>
        <w:spacing w:after="0" w:line="25" w:lineRule="exact"/>
        <w:rPr>
          <w:rFonts w:ascii="Times New Roman" w:cs="Times New Roman" w:eastAsia="Times New Roman" w:hAnsi="Times New Roman"/>
          <w:sz w:val="13"/>
          <w:szCs w:val="13"/>
          <w:color w:val="008000"/>
        </w:rPr>
      </w:pPr>
    </w:p>
    <w:p>
      <w:pPr>
        <w:ind w:left="20" w:right="220"/>
        <w:spacing w:after="0" w:line="233"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which entitles the holder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 In the Merger, each share of Common Stock issued and outstanding immediately prior to the Effective Time, subject to certain exceptions,</w:t>
      </w:r>
    </w:p>
    <w:p>
      <w:pPr>
        <w:spacing w:after="0" w:line="25"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was automatically converted into the right to receive the Offer Price from Purchaser, without interest and subject to reduction for any applicable withholding taxes.</w:t>
      </w:r>
    </w:p>
    <w:p>
      <w:pPr>
        <w:spacing w:after="0" w:line="41" w:lineRule="exact"/>
        <w:rPr>
          <w:rFonts w:ascii="Times New Roman" w:cs="Times New Roman" w:eastAsia="Times New Roman" w:hAnsi="Times New Roman"/>
          <w:sz w:val="13"/>
          <w:szCs w:val="13"/>
          <w:color w:val="008000"/>
        </w:rPr>
      </w:pPr>
    </w:p>
    <w:p>
      <w:pPr>
        <w:jc w:val="both"/>
        <w:ind w:left="20" w:right="180"/>
        <w:spacing w:after="0" w:line="235"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 (y) the Cash Amount and (ii) one CVR for each share of Common Stock underlying such Converted RSU Award.</w:t>
      </w:r>
    </w:p>
    <w:p>
      <w:pPr>
        <w:spacing w:after="0" w:line="25" w:lineRule="exact"/>
        <w:rPr>
          <w:rFonts w:ascii="Times New Roman" w:cs="Times New Roman" w:eastAsia="Times New Roman" w:hAnsi="Times New Roman"/>
          <w:sz w:val="13"/>
          <w:szCs w:val="13"/>
          <w:color w:val="008000"/>
        </w:rPr>
      </w:pPr>
    </w:p>
    <w:p>
      <w:pPr>
        <w:ind w:left="20" w:right="180"/>
        <w:spacing w:after="0" w:line="259"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5" w:lineRule="exact"/>
        <w:rPr>
          <w:rFonts w:ascii="Times New Roman" w:cs="Times New Roman" w:eastAsia="Times New Roman" w:hAnsi="Times New Roman"/>
          <w:sz w:val="12"/>
          <w:szCs w:val="12"/>
          <w:color w:val="008000"/>
        </w:rPr>
      </w:pPr>
    </w:p>
    <w:p>
      <w:pPr>
        <w:ind w:left="20" w:right="160"/>
        <w:spacing w:after="0" w:line="259"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pacing w:after="0" w:line="15" w:lineRule="exact"/>
        <w:rPr>
          <w:rFonts w:ascii="Times New Roman" w:cs="Times New Roman" w:eastAsia="Times New Roman" w:hAnsi="Times New Roman"/>
          <w:sz w:val="12"/>
          <w:szCs w:val="12"/>
          <w:color w:val="008000"/>
        </w:rPr>
      </w:pPr>
    </w:p>
    <w:p>
      <w:pPr>
        <w:ind w:left="20" w:right="32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vested or unvested option with an exercise price per share that was equal to or greater than $45.00 (the Aggregate Amount) was cancelled without consideration and will have no further force or effect.</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Watson,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1270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Stephanie Monaghan</w:t>
      </w:r>
      <w:r>
        <w:rPr>
          <w:sz w:val="20"/>
          <w:szCs w:val="20"/>
          <w:color w:val="auto"/>
        </w:rPr>
        <w:tab/>
      </w: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328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2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8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0907"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2026-05-14T18:24:06Z</dcterms:created>
  <dcterms:modified xsi:type="dcterms:W3CDTF">2026-05-14T18:24:06Z</dcterms:modified>
</cp:coreProperties>
</file>