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Walbert Keli</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20" w:type="dxa"/>
            <w:vAlign w:val="bottom"/>
            <w:tcBorders>
              <w:top w:val="single" w:sz="8" w:color="0000EE"/>
              <w:bottom w:val="single" w:sz="8" w:color="9A9A9A"/>
            </w:tcBorders>
          </w:tcPr>
          <w:p>
            <w:pPr>
              <w:spacing w:after="0"/>
              <w:rPr>
                <w:sz w:val="17"/>
                <w:szCs w:val="17"/>
                <w:color w:val="auto"/>
              </w:rPr>
            </w:pPr>
          </w:p>
        </w:tc>
        <w:tc>
          <w:tcPr>
            <w:tcW w:w="18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01/08/2025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Apellis Pharmaceuticals,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APLS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APELLIS</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PHARMACEUTICALS, INC.</w:t>
      </w:r>
    </w:p>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100 FIFTH AVENUE, 3RD FLOOR</w:t>
      </w:r>
    </w:p>
    <w:p>
      <w:pPr>
        <w:spacing w:after="0" w:line="34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17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WALTHAM MA</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02451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/s/ David Watson,</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 Keli</w:t>
            </w:r>
          </w:p>
        </w:tc>
        <w:tc>
          <w:tcPr>
            <w:tcW w:w="9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0000FF"/>
                <w:w w:val="96"/>
              </w:rPr>
              <w:t>01/10/2025</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86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Walbert</w:t>
            </w:r>
          </w:p>
        </w:tc>
        <w:tc>
          <w:tcPr>
            <w:tcW w:w="3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LIMITED POWER OF ATTORNEY FOR SECTION 16 REPORTING OBLIGATIONS</w:t>
      </w:r>
    </w:p>
    <w:p>
      <w:pPr>
        <w:spacing w:after="0" w:line="35" w:lineRule="exact"/>
        <w:rPr>
          <w:sz w:val="20"/>
          <w:szCs w:val="20"/>
          <w:color w:val="auto"/>
        </w:rPr>
      </w:pPr>
    </w:p>
    <w:p>
      <w:pPr>
        <w:ind w:right="739"/>
        <w:spacing w:after="0" w:line="264" w:lineRule="auto"/>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ofDavid Watson and Timothy Sullivan, signing singly and each acting individually, as the undersigned?s true and lawful attorney-in-fact with full power and authority as hereinafter described to:(1) execute for and on behalf of the undersigned, in the undersigned?s capacity as an officer and/or director of Apellis Pharmaceuticals, Inc. (the ?Company?), Forms 3, 4, and 5 (including any amendments thereto) in accordance with Section 16(a) of the Securities Exchange Act of 1934 and the rules thereunder (the ?Exchange Act?);</w:t>
      </w:r>
    </w:p>
    <w:p>
      <w:pPr>
        <w:spacing w:after="0" w:line="6" w:lineRule="exact"/>
        <w:rPr>
          <w:sz w:val="20"/>
          <w:szCs w:val="20"/>
          <w:color w:val="auto"/>
        </w:rPr>
      </w:pPr>
    </w:p>
    <w:p>
      <w:pPr>
        <w:ind w:right="739"/>
        <w:spacing w:after="0" w:line="264" w:lineRule="auto"/>
        <w:tabs>
          <w:tab w:leader="none" w:pos="46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and any stock exchange or similar authority;</w:t>
      </w:r>
    </w:p>
    <w:p>
      <w:pPr>
        <w:spacing w:after="0" w:line="4" w:lineRule="exact"/>
        <w:rPr>
          <w:rFonts w:ascii="Courier New" w:cs="Courier New" w:eastAsia="Courier New" w:hAnsi="Courier New"/>
          <w:sz w:val="18"/>
          <w:szCs w:val="18"/>
          <w:color w:val="auto"/>
        </w:rPr>
      </w:pPr>
    </w:p>
    <w:p>
      <w:pPr>
        <w:ind w:right="1079"/>
        <w:spacing w:after="0" w:line="238" w:lineRule="auto"/>
        <w:tabs>
          <w:tab w:leader="none" w:pos="468"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2" w:lineRule="exact"/>
        <w:rPr>
          <w:rFonts w:ascii="Courier New" w:cs="Courier New" w:eastAsia="Courier New" w:hAnsi="Courier New"/>
          <w:sz w:val="20"/>
          <w:szCs w:val="20"/>
          <w:color w:val="auto"/>
        </w:rPr>
      </w:pPr>
    </w:p>
    <w:p>
      <w:pPr>
        <w:ind w:left="460" w:hanging="460"/>
        <w:spacing w:after="0" w:line="238" w:lineRule="auto"/>
        <w:tabs>
          <w:tab w:leader="none" w:pos="460"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w:t>
      </w:r>
    </w:p>
    <w:p>
      <w:pPr>
        <w:ind w:right="739"/>
        <w:spacing w:after="0" w:line="265"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0" w:lineRule="exact"/>
        <w:rPr>
          <w:rFonts w:ascii="Courier New" w:cs="Courier New" w:eastAsia="Courier New" w:hAnsi="Courier New"/>
          <w:sz w:val="20"/>
          <w:szCs w:val="20"/>
          <w:color w:val="auto"/>
        </w:rPr>
      </w:pPr>
    </w:p>
    <w:p>
      <w:pPr>
        <w:spacing w:after="0" w:line="248" w:lineRule="exact"/>
        <w:rPr>
          <w:rFonts w:ascii="Courier New" w:cs="Courier New" w:eastAsia="Courier New" w:hAnsi="Courier New"/>
          <w:sz w:val="20"/>
          <w:szCs w:val="20"/>
          <w:color w:val="auto"/>
        </w:rPr>
      </w:pPr>
    </w:p>
    <w:p>
      <w:pPr>
        <w:ind w:right="1199"/>
        <w:spacing w:after="0" w:line="310"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6th day of January, 2025</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51489" TargetMode="External"/><Relationship Id="rId11" Type="http://schemas.openxmlformats.org/officeDocument/2006/relationships/hyperlink" Target="http://www.sec.gov/cgi-bin/browse-edgar?action=getcompany&amp;CIK=00014924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2025-01-10T16:42:54Z</dcterms:created>
  <dcterms:modified xsi:type="dcterms:W3CDTF">2025-01-10T16:42:54Z</dcterms:modified>
</cp:coreProperties>
</file>