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73660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3"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87630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520" w:right="260" w:hanging="512"/>
        <w:spacing w:after="0" w:line="245" w:lineRule="auto"/>
        <w:tabs>
          <w:tab w:leader="none" w:pos="443"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2025</w:t>
      </w:r>
    </w:p>
    <w:p>
      <w:pPr>
        <w:spacing w:after="0" w:line="7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520" w:right="280" w:hanging="512"/>
        <w:spacing w:after="0" w:line="262" w:lineRule="auto"/>
        <w:tabs>
          <w:tab w:leader="none" w:pos="443"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40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3663315</wp:posOffset>
            </wp:positionH>
            <wp:positionV relativeFrom="paragraph">
              <wp:posOffset>-5080</wp:posOffset>
            </wp:positionV>
            <wp:extent cx="571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5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001-38276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88265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APELLIS PHARMACEUTICALS,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8" w:lineRule="exact"/>
        <w:rPr>
          <w:sz w:val="24"/>
          <w:szCs w:val="24"/>
          <w:color w:val="auto"/>
        </w:rPr>
      </w:pPr>
    </w:p>
    <w:tbl>
      <w:tblPr>
        <w:tblLayout w:type="fixed"/>
        <w:tblInd w:w="1620" w:type="dxa"/>
        <w:tblCellMar>
          <w:top w:w="0" w:type="dxa"/>
          <w:left w:w="0" w:type="dxa"/>
          <w:bottom w:w="0" w:type="dxa"/>
          <w:right w:w="0" w:type="dxa"/>
        </w:tblCellMar>
      </w:tblP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27-1537290</w:t>
            </w:r>
          </w:p>
        </w:tc>
      </w:tr>
      <w:tr>
        <w:trPr>
          <w:trHeight w:val="149"/>
        </w:trPr>
        <w:tc>
          <w:tcPr>
            <w:tcW w:w="4320" w:type="dxa"/>
            <w:vAlign w:val="bottom"/>
          </w:tcPr>
          <w:p>
            <w:pPr>
              <w:jc w:val="center"/>
              <w:ind w:right="18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060" w:type="dxa"/>
            <w:vAlign w:val="bottom"/>
          </w:tcPr>
          <w:p>
            <w:pPr>
              <w:jc w:val="center"/>
              <w:ind w:left="18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5"/>
        </w:trPr>
        <w:tc>
          <w:tcPr>
            <w:tcW w:w="43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100 Fifth Avenue,</w:t>
            </w:r>
          </w:p>
        </w:tc>
        <w:tc>
          <w:tcPr>
            <w:tcW w:w="3060" w:type="dxa"/>
            <w:vAlign w:val="bottom"/>
          </w:tcPr>
          <w:p>
            <w:pPr>
              <w:spacing w:after="0"/>
              <w:rPr>
                <w:sz w:val="24"/>
                <w:szCs w:val="24"/>
                <w:color w:val="auto"/>
              </w:rPr>
            </w:pPr>
          </w:p>
        </w:tc>
      </w:tr>
      <w:tr>
        <w:trPr>
          <w:trHeight w:val="214"/>
        </w:trPr>
        <w:tc>
          <w:tcPr>
            <w:tcW w:w="4320" w:type="dxa"/>
            <w:vAlign w:val="bottom"/>
          </w:tcPr>
          <w:p>
            <w:pPr>
              <w:jc w:val="center"/>
              <w:ind w:right="1839"/>
              <w:spacing w:after="0"/>
              <w:rPr>
                <w:sz w:val="20"/>
                <w:szCs w:val="20"/>
                <w:color w:val="auto"/>
              </w:rPr>
            </w:pPr>
            <w:r>
              <w:rPr>
                <w:rFonts w:ascii="Times New Roman" w:cs="Times New Roman" w:eastAsia="Times New Roman" w:hAnsi="Times New Roman"/>
                <w:sz w:val="18"/>
                <w:szCs w:val="18"/>
                <w:b w:val="1"/>
                <w:bCs w:val="1"/>
                <w:color w:val="auto"/>
              </w:rPr>
              <w:t>Waltham, MA</w:t>
            </w:r>
          </w:p>
        </w:tc>
        <w:tc>
          <w:tcPr>
            <w:tcW w:w="30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4320" w:type="dxa"/>
            <w:vAlign w:val="bottom"/>
          </w:tcPr>
          <w:p>
            <w:pPr>
              <w:jc w:val="center"/>
              <w:ind w:right="18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060" w:type="dxa"/>
            <w:vAlign w:val="bottom"/>
          </w:tcPr>
          <w:p>
            <w:pPr>
              <w:jc w:val="center"/>
              <w:ind w:left="18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2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977-5700</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52" w:lineRule="exact"/>
        <w:rPr>
          <w:sz w:val="24"/>
          <w:szCs w:val="24"/>
          <w:color w:val="auto"/>
        </w:rPr>
      </w:pPr>
    </w:p>
    <w:tbl>
      <w:tblPr>
        <w:tblLayout w:type="fixed"/>
        <w:tblInd w:w="10" w:type="dxa"/>
        <w:tblCellMar>
          <w:top w:w="0" w:type="dxa"/>
          <w:left w:w="0" w:type="dxa"/>
          <w:bottom w:w="0" w:type="dxa"/>
          <w:right w:w="0" w:type="dxa"/>
        </w:tblCellMar>
      </w:tblPr>
      <w:tr>
        <w:trPr>
          <w:trHeight w:val="287"/>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30"/>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$0.0001 par value per share</w:t>
            </w:r>
          </w:p>
        </w:tc>
        <w:tc>
          <w:tcPr>
            <w:tcW w:w="2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APLS</w:t>
            </w:r>
          </w:p>
        </w:tc>
        <w:tc>
          <w:tcPr>
            <w:tcW w:w="4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6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40" w:firstLine="50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9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00" w:type="dxa"/>
            <w:vAlign w:val="bottom"/>
          </w:tcPr>
          <w:p>
            <w:pPr>
              <w:ind w:left="48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Small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120" w:type="dxa"/>
            <w:vAlign w:val="bottom"/>
          </w:tcPr>
          <w:p>
            <w:pPr>
              <w:ind w:left="25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ind w:right="300" w:firstLine="50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520"/>
        <w:spacing w:after="0" w:line="207" w:lineRule="exact"/>
        <w:tabs>
          <w:tab w:leader="none" w:pos="8860" w:val="left"/>
          <w:tab w:leader="none" w:pos="956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824230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As of October 23, 2025, the registrant had 126,525,218 shares of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8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SEPTEMBER 30, 2025</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PART I.</w:t>
            </w:r>
          </w:p>
        </w:tc>
        <w:tc>
          <w:tcPr>
            <w:tcW w:w="340" w:type="dxa"/>
            <w:vAlign w:val="bottom"/>
            <w:gridSpan w:val="2"/>
            <w:vMerge w:val="restart"/>
          </w:tcPr>
          <w:p>
            <w:pPr>
              <w:spacing w:after="0"/>
              <w:rPr>
                <w:sz w:val="13"/>
                <w:szCs w:val="13"/>
                <w:color w:val="auto"/>
              </w:rPr>
            </w:pPr>
          </w:p>
        </w:tc>
        <w:tc>
          <w:tcPr>
            <w:tcW w:w="242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7000" w:type="dxa"/>
            <w:vAlign w:val="bottom"/>
            <w:gridSpan w:val="8"/>
            <w:vMerge w:val="restart"/>
          </w:tcPr>
          <w:p>
            <w:pPr>
              <w:spacing w:after="0"/>
              <w:rPr>
                <w:sz w:val="13"/>
                <w:szCs w:val="13"/>
                <w:color w:val="auto"/>
              </w:rPr>
            </w:pPr>
          </w:p>
        </w:tc>
        <w:tc>
          <w:tcPr>
            <w:tcW w:w="82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660" w:type="dxa"/>
            <w:vAlign w:val="bottom"/>
            <w:tcBorders>
              <w:bottom w:val="single" w:sz="8" w:color="auto"/>
            </w:tcBorders>
            <w:gridSpan w:val="3"/>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2420" w:type="dxa"/>
            <w:vAlign w:val="bottom"/>
            <w:tcBorders>
              <w:bottom w:val="single" w:sz="8" w:color="0000FF"/>
            </w:tcBorders>
            <w:gridSpan w:val="9"/>
            <w:vMerge w:val="continue"/>
          </w:tcPr>
          <w:p>
            <w:pPr>
              <w:spacing w:after="0"/>
              <w:rPr>
                <w:sz w:val="16"/>
                <w:szCs w:val="16"/>
                <w:color w:val="auto"/>
              </w:rPr>
            </w:pPr>
          </w:p>
        </w:tc>
        <w:tc>
          <w:tcPr>
            <w:tcW w:w="7000" w:type="dxa"/>
            <w:vAlign w:val="bottom"/>
            <w:gridSpan w:val="8"/>
            <w:vMerge w:val="continue"/>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1.</w:t>
            </w:r>
          </w:p>
        </w:tc>
        <w:tc>
          <w:tcPr>
            <w:tcW w:w="480" w:type="dxa"/>
            <w:vAlign w:val="bottom"/>
            <w:gridSpan w:val="4"/>
          </w:tcPr>
          <w:p>
            <w:pPr>
              <w:spacing w:after="0"/>
              <w:rPr>
                <w:sz w:val="17"/>
                <w:szCs w:val="17"/>
                <w:color w:val="auto"/>
              </w:rPr>
            </w:pPr>
          </w:p>
        </w:tc>
        <w:tc>
          <w:tcPr>
            <w:tcW w:w="94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 as of September 30, 2025 and December 31, 2024</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18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92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and Comprehensive Income/(Loss) for the three and nine months ended</w:t>
            </w: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September 30, 2025 and 2024</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nine months ended September 30, 2025</w:t>
            </w: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9"/>
              </w:rPr>
              <w:t>and 2024</w:t>
            </w:r>
          </w:p>
        </w:tc>
        <w:tc>
          <w:tcPr>
            <w:tcW w:w="20" w:type="dxa"/>
            <w:vAlign w:val="bottom"/>
            <w:tcBorders>
              <w:bottom w:val="single" w:sz="8" w:color="0000EE"/>
            </w:tcBorders>
          </w:tcPr>
          <w:p>
            <w:pPr>
              <w:spacing w:after="0"/>
              <w:rPr>
                <w:sz w:val="17"/>
                <w:szCs w:val="17"/>
                <w:color w:val="auto"/>
              </w:rPr>
            </w:pPr>
          </w:p>
        </w:tc>
        <w:tc>
          <w:tcPr>
            <w:tcW w:w="8720" w:type="dxa"/>
            <w:vAlign w:val="bottom"/>
            <w:gridSpan w:val="1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September 30, 2025 and 2024</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0" w:type="dxa"/>
            <w:vAlign w:val="bottom"/>
            <w:tcBorders>
              <w:top w:val="single" w:sz="8" w:color="0000FF"/>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17"/>
                <w:szCs w:val="17"/>
                <w:color w:val="auto"/>
              </w:rPr>
            </w:pPr>
          </w:p>
        </w:tc>
        <w:tc>
          <w:tcPr>
            <w:tcW w:w="3020" w:type="dxa"/>
            <w:vAlign w:val="bottom"/>
            <w:tcBorders>
              <w:top w:val="single" w:sz="8" w:color="0000FF"/>
            </w:tcBorders>
            <w:gridSpan w:val="3"/>
          </w:tcPr>
          <w:p>
            <w:pPr>
              <w:spacing w:after="0"/>
              <w:rPr>
                <w:sz w:val="17"/>
                <w:szCs w:val="17"/>
                <w:color w:val="auto"/>
              </w:rPr>
            </w:pPr>
          </w:p>
        </w:tc>
        <w:tc>
          <w:tcPr>
            <w:tcW w:w="1580" w:type="dxa"/>
            <w:vAlign w:val="bottom"/>
            <w:gridSpan w:val="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Item 2.</w:t>
            </w:r>
          </w:p>
        </w:tc>
        <w:tc>
          <w:tcPr>
            <w:tcW w:w="480" w:type="dxa"/>
            <w:vAlign w:val="bottom"/>
            <w:gridSpan w:val="4"/>
          </w:tcPr>
          <w:p>
            <w:pPr>
              <w:spacing w:after="0"/>
              <w:rPr>
                <w:sz w:val="17"/>
                <w:szCs w:val="17"/>
                <w:color w:val="auto"/>
              </w:rPr>
            </w:pPr>
          </w:p>
        </w:tc>
        <w:tc>
          <w:tcPr>
            <w:tcW w:w="648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4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3.</w:t>
            </w:r>
          </w:p>
        </w:tc>
        <w:tc>
          <w:tcPr>
            <w:tcW w:w="480" w:type="dxa"/>
            <w:vAlign w:val="bottom"/>
            <w:gridSpan w:val="4"/>
          </w:tcPr>
          <w:p>
            <w:pPr>
              <w:spacing w:after="0"/>
              <w:rPr>
                <w:sz w:val="17"/>
                <w:szCs w:val="17"/>
                <w:color w:val="auto"/>
              </w:rPr>
            </w:pPr>
          </w:p>
        </w:tc>
        <w:tc>
          <w:tcPr>
            <w:tcW w:w="94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196"/>
        </w:trPr>
        <w:tc>
          <w:tcPr>
            <w:tcW w:w="5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Item 4.</w:t>
            </w:r>
          </w:p>
        </w:tc>
        <w:tc>
          <w:tcPr>
            <w:tcW w:w="480" w:type="dxa"/>
            <w:vAlign w:val="bottom"/>
            <w:gridSpan w:val="4"/>
          </w:tcPr>
          <w:p>
            <w:pPr>
              <w:spacing w:after="0"/>
              <w:rPr>
                <w:sz w:val="17"/>
                <w:szCs w:val="17"/>
                <w:color w:val="auto"/>
              </w:rPr>
            </w:pPr>
          </w:p>
        </w:tc>
        <w:tc>
          <w:tcPr>
            <w:tcW w:w="178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580" w:type="dxa"/>
            <w:vAlign w:val="bottom"/>
            <w:tcBorders>
              <w:top w:val="single" w:sz="8" w:color="0000FF"/>
            </w:tcBorders>
            <w:gridSpan w:val="4"/>
          </w:tcPr>
          <w:p>
            <w:pPr>
              <w:spacing w:after="0"/>
              <w:rPr>
                <w:sz w:val="17"/>
                <w:szCs w:val="17"/>
                <w:color w:val="auto"/>
              </w:rPr>
            </w:pPr>
          </w:p>
        </w:tc>
        <w:tc>
          <w:tcPr>
            <w:tcW w:w="5060" w:type="dxa"/>
            <w:vAlign w:val="bottom"/>
            <w:gridSpan w:val="7"/>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8"/>
        </w:trPr>
        <w:tc>
          <w:tcPr>
            <w:tcW w:w="10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42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000" w:type="dxa"/>
            <w:vAlign w:val="bottom"/>
            <w:gridSpan w:val="5"/>
            <w:vMerge w:val="continue"/>
          </w:tcPr>
          <w:p>
            <w:pPr>
              <w:spacing w:after="0"/>
              <w:rPr>
                <w:sz w:val="16"/>
                <w:szCs w:val="16"/>
                <w:color w:val="auto"/>
              </w:rPr>
            </w:pPr>
          </w:p>
        </w:tc>
        <w:tc>
          <w:tcPr>
            <w:tcW w:w="9420" w:type="dxa"/>
            <w:vAlign w:val="bottom"/>
            <w:gridSpan w:val="17"/>
            <w:vMerge w:val="continue"/>
          </w:tcPr>
          <w:p>
            <w:pPr>
              <w:spacing w:after="0"/>
              <w:rPr>
                <w:sz w:val="16"/>
                <w:szCs w:val="16"/>
                <w:color w:val="auto"/>
              </w:rPr>
            </w:pPr>
          </w:p>
        </w:tc>
        <w:tc>
          <w:tcPr>
            <w:tcW w:w="8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5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Item 1.</w:t>
            </w:r>
          </w:p>
        </w:tc>
        <w:tc>
          <w:tcPr>
            <w:tcW w:w="260" w:type="dxa"/>
            <w:vAlign w:val="bottom"/>
            <w:tcBorders>
              <w:top w:val="single" w:sz="8" w:color="auto"/>
            </w:tcBorders>
            <w:gridSpan w:val="3"/>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7380" w:type="dxa"/>
            <w:vAlign w:val="bottom"/>
            <w:gridSpan w:val="10"/>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4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80" w:type="dxa"/>
            <w:vAlign w:val="bottom"/>
            <w:gridSpan w:val="1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7"/>
              </w:rPr>
              <w:t>Item 5.</w:t>
            </w:r>
          </w:p>
        </w:tc>
        <w:tc>
          <w:tcPr>
            <w:tcW w:w="120" w:type="dxa"/>
            <w:vAlign w:val="bottom"/>
          </w:tcPr>
          <w:p>
            <w:pPr>
              <w:spacing w:after="0"/>
              <w:rPr>
                <w:sz w:val="17"/>
                <w:szCs w:val="17"/>
                <w:color w:val="auto"/>
              </w:rPr>
            </w:pPr>
          </w:p>
        </w:tc>
        <w:tc>
          <w:tcPr>
            <w:tcW w:w="360" w:type="dxa"/>
            <w:vAlign w:val="bottom"/>
            <w:gridSpan w:val="3"/>
          </w:tcPr>
          <w:p>
            <w:pPr>
              <w:spacing w:after="0"/>
              <w:rPr>
                <w:sz w:val="17"/>
                <w:szCs w:val="17"/>
                <w:color w:val="auto"/>
              </w:rPr>
            </w:pPr>
          </w:p>
        </w:tc>
        <w:tc>
          <w:tcPr>
            <w:tcW w:w="942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520" w:type="dxa"/>
            <w:vAlign w:val="bottom"/>
            <w:tcBorders>
              <w:top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7"/>
              </w:rPr>
              <w:t>Item 6.</w:t>
            </w:r>
          </w:p>
        </w:tc>
        <w:tc>
          <w:tcPr>
            <w:tcW w:w="480" w:type="dxa"/>
            <w:vAlign w:val="bottom"/>
            <w:gridSpan w:val="4"/>
          </w:tcPr>
          <w:p>
            <w:pPr>
              <w:spacing w:after="0"/>
              <w:rPr>
                <w:sz w:val="17"/>
                <w:szCs w:val="17"/>
                <w:color w:val="auto"/>
              </w:rPr>
            </w:pPr>
          </w:p>
        </w:tc>
        <w:tc>
          <w:tcPr>
            <w:tcW w:w="1340" w:type="dxa"/>
            <w:vAlign w:val="bottom"/>
            <w:tcBorders>
              <w:top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8080" w:type="dxa"/>
            <w:vAlign w:val="bottom"/>
            <w:gridSpan w:val="12"/>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 and Industry Data</w:t>
      </w:r>
    </w:p>
    <w:p>
      <w:pPr>
        <w:spacing w:after="0" w:line="243"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forward-looking statements include, among other things, statements about:</w:t>
      </w:r>
    </w:p>
    <w:p>
      <w:pPr>
        <w:spacing w:after="0" w:line="198"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commercialization of EMPAVELI and SYFOVRE;</w:t>
      </w:r>
    </w:p>
    <w:p>
      <w:pPr>
        <w:spacing w:after="0" w:line="117"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with respect to our ongoing and planned clinical trials for our product candidates, whether conducted by us or Swedish Orphan Biovitrum AB (Publ), or Sobi, or by any future collaborators, including the timing of initiation, dosing of patients, enrollment and completion of these trials and expectations regarding the anticipated results from these trials;</w:t>
      </w:r>
    </w:p>
    <w:p>
      <w:pPr>
        <w:spacing w:after="0" w:line="6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marketing and distribution capabilities and strategies, including for the commercialization and manufacturing of EMPAVELI, SYFOVRE and any future products for which we receive marketing approval;</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EMPAVELI, SYFOVRE and any future products for which we receive marketing approval;</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and develop current and future products or product candidates with significant clinical benefits and commercial potential;</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our ability to obtain and maintain regulatory approvals for our product candidates for current and future treatment indications in the U.S. and other jurisdictions;</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any future collaborations for the development and commercialization of our current and future product candidates; including our collaborations with Sobi and Beam Therapeutics, Inc.;</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 and strategy;</w:t>
      </w:r>
    </w:p>
    <w:p>
      <w:pPr>
        <w:spacing w:after="0" w:line="11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cash and cash equivalents and our expected revenues from sales of EMPAVELI and SYFOVRE to fund our projected operating expenses and capital expenditures to profitability;</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regarding expenses, future revenue, capital requirements and needs for additional financing;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government laws and regulations (including tax).</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Quarterly Report on Form 10-Q and in our Annual Report on Form 10-K for the fiscal year ended December 31, 2024,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or incorporated by reference as exhibits to this Quarterly Report on Form 10-Q completely and with the understanding that our actual future results may be materially different from what we expect. We do not assume any obligation to update any forward-looking statements, whether as a result of new information, future events or otherwise, except as required by applicable law.</w:t>
      </w:r>
    </w:p>
    <w:p>
      <w:pPr>
        <w:spacing w:after="0" w:line="13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includes statistical and other industry and market data that we obtained from industry publications and research, surveys and studies conducted by third parties. All of the market data used in this Quarterly Report on Form 10-Q involves a number of assumptions and limitations, and you are cautioned not to give undue weight to such data. We believe that the information from these industry publications, surveys and studies is reliable. The industry in which we operate is subject to a high degree of uncertainty and risk due to a variety of important factors, including those described in the section titled “Risk Factors” in our Annual Report on Form 10-K for the year ended December 31, 2024. These and other factors could cause results to differ materially from those expressed in the estimates made by the independent parties and by us. The Apellis, EMPAVELI, SYFOVRE and Apellis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Assist names and logos are our trademarks, trade names and service marks. The other trademarks, trade names and service marks appearing in this Quarterly Report on Form 10-Q are the property of their respective owners.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certain references in this Quarterly Report on Form 10-Q</w:t>
      </w:r>
    </w:p>
    <w:p>
      <w:pPr>
        <w:spacing w:after="0" w:line="18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Unless otherwise stated or the context indicates otherwise, all references herein to “Apellis,” “Apellis Pharmaceuticals, Inc.,” “we,” “us,” “our,” “our company,” “the Company” and similar references refer to Apellis Pharmaceuticals, Inc. and its wholly owned subsidiaries.</w:t>
      </w:r>
    </w:p>
    <w:p>
      <w:pPr>
        <w:spacing w:after="0" w:line="13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unless otherwise stated or the context indicates otherwise, all references in this Quarterly Report on Form 10-Q to “EMPAVELI (pegcetacoplan)” and “EMPAVELI” refer to systemic pegcetacoplan in the context of the commercially available product in the United States for the treatment of adults with paroxysmal nocturnal hemoglobinuria, or PNH, and C3 glomerulopathy (C3G) and primary immune complex membranoproliferative glomerulonephritis (IC-MPGN) in patients 12 years of age and older. References to Aspaveli refer to pegcetacoplan in the context of the commercially available product outside the United States for the treatment of adults with PNH who are anemic after treatment with a C5 inhibitor for at least three months, in each case, as more fully described herein. Unless otherwise stated or the context indicates otherwise, all references in this Quarterly Report on Form 10-Q to “SYFOVRE (pegcetacoplan injection)” and “SYFOVRE” refer to intravitreal pegcetacoplan in the context of the commercially available product for which we received approval from the United States Food and Drug Administration in February 2023 for the treatment of geographic atrophy secondary to age-related macular degeneration. Unless otherwise stated or the context indicates otherwise, all references herein to “pegcetacoplan” refer to pegcetacoplan in the context of the product candidate for which we are exploring further applications and indications, as more fully described herein. The other trademarks, trade names and service marks appearing in this Quarterly Report on Form 10-Q are the property of their respective owners.</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479,171</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411,290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345,538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264,926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assets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31,560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990,676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788,954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Right-of-use assets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Long-term inventory</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1,058,723</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38,602</w:t>
            </w:r>
          </w:p>
        </w:tc>
        <w:tc>
          <w:tcPr>
            <w:tcW w:w="18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38,572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93,581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279,527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185,509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Long-term credit facility</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361,091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359,489</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senior notes</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13,680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657,555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656,512</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11)</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 shares authorized, and no</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at September 30, 2025 and December 31, 2024</w:t>
            </w:r>
          </w:p>
        </w:tc>
        <w:tc>
          <w:tcPr>
            <w:tcW w:w="120" w:type="dxa"/>
            <w:vAlign w:val="bottom"/>
          </w:tcPr>
          <w:p>
            <w:pPr>
              <w:spacing w:after="0"/>
              <w:rPr>
                <w:sz w:val="20"/>
                <w:szCs w:val="20"/>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3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$0.0001 par value; 200,000 shares authorized</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at September 30, 2025 and December 31, 2024; 126,500 shares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issued and outstanding at September 30, 2025, and 124,495 shares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3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issued and outstanding at December 31, 2024</w:t>
            </w:r>
          </w:p>
        </w:tc>
        <w:tc>
          <w:tcPr>
            <w:tcW w:w="12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3,357,583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3,267,201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(3,308)</w:t>
            </w:r>
          </w:p>
        </w:tc>
        <w:tc>
          <w:tcPr>
            <w:tcW w:w="0" w:type="dxa"/>
            <w:vAlign w:val="bottom"/>
          </w:tcPr>
          <w:p>
            <w:pPr>
              <w:spacing w:after="0"/>
              <w:rPr>
                <w:sz w:val="1"/>
                <w:szCs w:val="1"/>
                <w:color w:val="auto"/>
              </w:rPr>
            </w:pPr>
          </w:p>
        </w:tc>
      </w:tr>
      <w:tr>
        <w:trPr>
          <w:trHeight w:val="216"/>
        </w:trPr>
        <w:tc>
          <w:tcPr>
            <w:tcW w:w="8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(2,954,027)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(3,035,366)</w:t>
            </w:r>
          </w:p>
        </w:tc>
        <w:tc>
          <w:tcPr>
            <w:tcW w:w="0" w:type="dxa"/>
            <w:vAlign w:val="bottom"/>
          </w:tcPr>
          <w:p>
            <w:pPr>
              <w:spacing w:after="0"/>
              <w:rPr>
                <w:sz w:val="1"/>
                <w:szCs w:val="1"/>
                <w:color w:val="auto"/>
              </w:rPr>
            </w:pPr>
          </w:p>
        </w:tc>
      </w:tr>
      <w:tr>
        <w:trPr>
          <w:trHeight w:val="210"/>
        </w:trPr>
        <w:tc>
          <w:tcPr>
            <w:tcW w:w="83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401,168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228,539</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1,058,723</w:t>
            </w:r>
          </w:p>
        </w:tc>
        <w:tc>
          <w:tcPr>
            <w:tcW w:w="18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-4619625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-4619625</wp:posOffset>
            </wp:positionV>
            <wp:extent cx="77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-3788410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-3788410</wp:posOffset>
            </wp:positionV>
            <wp:extent cx="77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-1833880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900" w:type="dxa"/>
            <w:vAlign w:val="bottom"/>
            <w:gridSpan w:val="7"/>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00" w:type="dxa"/>
            <w:vAlign w:val="bottom"/>
          </w:tcPr>
          <w:p>
            <w:pPr>
              <w:spacing w:after="0"/>
              <w:rPr>
                <w:sz w:val="13"/>
                <w:szCs w:val="13"/>
                <w:color w:val="auto"/>
              </w:rPr>
            </w:pPr>
          </w:p>
        </w:tc>
        <w:tc>
          <w:tcPr>
            <w:tcW w:w="2720" w:type="dxa"/>
            <w:vAlign w:val="bottom"/>
            <w:gridSpan w:val="7"/>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0" w:type="dxa"/>
            <w:vAlign w:val="bottom"/>
          </w:tcPr>
          <w:p>
            <w:pPr>
              <w:spacing w:after="0"/>
              <w:rPr>
                <w:sz w:val="1"/>
                <w:szCs w:val="1"/>
                <w:color w:val="auto"/>
              </w:rPr>
            </w:pPr>
          </w:p>
        </w:tc>
      </w:tr>
      <w:tr>
        <w:trPr>
          <w:trHeight w:val="173"/>
        </w:trPr>
        <w:tc>
          <w:tcPr>
            <w:tcW w:w="4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00" w:type="dxa"/>
            <w:vAlign w:val="bottom"/>
            <w:gridSpan w:val="7"/>
            <w:vMerge w:val="continue"/>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30,</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Product revenue, net</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177,755</w:t>
            </w:r>
          </w:p>
        </w:tc>
        <w:tc>
          <w:tcPr>
            <w:tcW w:w="1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176,571</w:t>
            </w:r>
          </w:p>
        </w:tc>
        <w:tc>
          <w:tcPr>
            <w:tcW w:w="160" w:type="dxa"/>
            <w:vAlign w:val="bottom"/>
          </w:tcPr>
          <w:p>
            <w:pPr>
              <w:spacing w:after="0"/>
              <w:rPr>
                <w:sz w:val="18"/>
                <w:szCs w:val="18"/>
                <w:color w:val="auto"/>
              </w:rPr>
            </w:pP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499,042</w:t>
            </w:r>
          </w:p>
        </w:tc>
        <w:tc>
          <w:tcPr>
            <w:tcW w:w="2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280,823</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304,827</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50,057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803,869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sales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72,517</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221,621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142,678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403,162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379,571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235,395</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244,110</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697,300</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707,654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income/(loss)</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(47,280)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(138,815)</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(1,949)</w:t>
            </w: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(11,279)</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(12,532)</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(33,480)</w:t>
            </w: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(28,857)</w:t>
            </w: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income/(expense), net</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(405)</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before taxes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(56,853)</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(160,649)</w:t>
            </w:r>
          </w:p>
        </w:tc>
        <w:tc>
          <w:tcPr>
            <w:tcW w:w="0" w:type="dxa"/>
            <w:vAlign w:val="bottom"/>
          </w:tcPr>
          <w:p>
            <w:pPr>
              <w:spacing w:after="0"/>
              <w:rPr>
                <w:sz w:val="1"/>
                <w:szCs w:val="1"/>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2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215,715</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(57,445)</w:t>
            </w: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(161,525)</w:t>
            </w:r>
          </w:p>
        </w:tc>
        <w:tc>
          <w:tcPr>
            <w:tcW w:w="0" w:type="dxa"/>
            <w:vAlign w:val="bottom"/>
          </w:tcPr>
          <w:p>
            <w:pPr>
              <w:spacing w:after="0"/>
              <w:rPr>
                <w:sz w:val="1"/>
                <w:szCs w:val="1"/>
                <w:color w:val="auto"/>
              </w:rPr>
            </w:pPr>
          </w:p>
        </w:tc>
      </w:tr>
      <w:tr>
        <w:trPr>
          <w:trHeight w:val="210"/>
        </w:trPr>
        <w:tc>
          <w:tcPr>
            <w:tcW w:w="45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income/(loss):</w:t>
            </w:r>
          </w:p>
        </w:tc>
        <w:tc>
          <w:tcPr>
            <w:tcW w:w="96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Unrealized gain on pension benefits</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income</w:t>
            </w:r>
          </w:p>
        </w:tc>
        <w:tc>
          <w:tcPr>
            <w:tcW w:w="9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income/(loss), net of tax</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215,884</w:t>
            </w:r>
          </w:p>
        </w:tc>
        <w:tc>
          <w:tcPr>
            <w:tcW w:w="1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(57,223)</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82,247</w:t>
            </w:r>
          </w:p>
        </w:tc>
        <w:tc>
          <w:tcPr>
            <w:tcW w:w="2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(161,123)</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per share</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2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36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40" w:type="dxa"/>
            <w:vAlign w:val="bottom"/>
          </w:tcPr>
          <w:p>
            <w:pPr>
              <w:spacing w:after="0"/>
              <w:rPr>
                <w:sz w:val="18"/>
                <w:szCs w:val="18"/>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240" w:type="dxa"/>
            <w:vAlign w:val="bottom"/>
            <w:gridSpan w:val="2"/>
            <w:shd w:val="clear" w:color="auto" w:fill="CFF0FC"/>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(0.46)</w:t>
            </w:r>
          </w:p>
        </w:tc>
        <w:tc>
          <w:tcPr>
            <w:tcW w:w="36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2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shares used in calculating:</w:t>
            </w: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 earnings per share</w:t>
            </w:r>
          </w:p>
        </w:tc>
        <w:tc>
          <w:tcPr>
            <w:tcW w:w="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124,234</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125,971</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130,067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124,234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129,653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-3671570</wp:posOffset>
            </wp:positionV>
            <wp:extent cx="768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-3671570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-3671570</wp:posOffset>
            </wp:positionV>
            <wp:extent cx="685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-3671570</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-2831465</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-2831465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-2831465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-2831465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-1708150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-1142365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-1142365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-1142365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-1142365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172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1"/>
                <w:szCs w:val="11"/>
                <w:color w:val="auto"/>
              </w:rPr>
            </w:pPr>
          </w:p>
        </w:tc>
        <w:tc>
          <w:tcPr>
            <w:tcW w:w="12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124,495</w:t>
            </w:r>
          </w:p>
        </w:tc>
        <w:tc>
          <w:tcPr>
            <w:tcW w:w="800" w:type="dxa"/>
            <w:vAlign w:val="bottom"/>
            <w:gridSpan w:val="3"/>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3,267,201</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(3,035,366)</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228,539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(92,225)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(92,225)</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March 31,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125,661</w:t>
            </w:r>
          </w:p>
        </w:tc>
        <w:tc>
          <w:tcPr>
            <w:tcW w:w="800" w:type="dxa"/>
            <w:vAlign w:val="bottom"/>
            <w:gridSpan w:val="3"/>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3,294,849</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(3,054)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(3,127,591)</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164,216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(42,151)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(42,151)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June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126,187</w:t>
            </w:r>
          </w:p>
        </w:tc>
        <w:tc>
          <w:tcPr>
            <w:tcW w:w="800" w:type="dxa"/>
            <w:vAlign w:val="bottom"/>
            <w:gridSpan w:val="3"/>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3,328,604</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(3,169,742)</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28,186</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Unrealized gain on pension benefits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2025</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126,500</w:t>
            </w:r>
          </w:p>
        </w:tc>
        <w:tc>
          <w:tcPr>
            <w:tcW w:w="240" w:type="dxa"/>
            <w:vAlign w:val="bottom"/>
            <w:gridSpan w:val="2"/>
            <w:shd w:val="clear" w:color="auto" w:fill="CFF0FC"/>
          </w:tcPr>
          <w:p>
            <w:pPr>
              <w:spacing w:after="0"/>
              <w:rPr>
                <w:sz w:val="19"/>
                <w:szCs w:val="19"/>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3,357,583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(2,954,027)</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401,168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-1413510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-1413510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-1413510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-1413510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-1413510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(Continued from previous page)</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60"/>
        </w:trPr>
        <w:tc>
          <w:tcPr>
            <w:tcW w:w="4160" w:type="dxa"/>
            <w:vAlign w:val="bottom"/>
          </w:tcPr>
          <w:p>
            <w:pPr>
              <w:spacing w:after="0"/>
              <w:rPr>
                <w:sz w:val="13"/>
                <w:szCs w:val="13"/>
                <w:color w:val="auto"/>
              </w:rPr>
            </w:pPr>
          </w:p>
        </w:tc>
        <w:tc>
          <w:tcPr>
            <w:tcW w:w="1720" w:type="dxa"/>
            <w:vAlign w:val="bottom"/>
            <w:gridSpan w:val="4"/>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160" w:type="dxa"/>
            <w:vAlign w:val="bottom"/>
          </w:tcPr>
          <w:p>
            <w:pPr>
              <w:spacing w:after="0"/>
              <w:rPr>
                <w:sz w:val="13"/>
                <w:szCs w:val="13"/>
                <w:color w:val="auto"/>
              </w:rPr>
            </w:pPr>
          </w:p>
        </w:tc>
        <w:tc>
          <w:tcPr>
            <w:tcW w:w="172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2"/>
          </w:tcPr>
          <w:p>
            <w:pPr>
              <w:jc w:val="right"/>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31"/>
        </w:trPr>
        <w:tc>
          <w:tcPr>
            <w:tcW w:w="4160" w:type="dxa"/>
            <w:vAlign w:val="bottom"/>
          </w:tcPr>
          <w:p>
            <w:pPr>
              <w:spacing w:after="0"/>
              <w:rPr>
                <w:sz w:val="11"/>
                <w:szCs w:val="11"/>
                <w:color w:val="auto"/>
              </w:rPr>
            </w:pPr>
          </w:p>
        </w:tc>
        <w:tc>
          <w:tcPr>
            <w:tcW w:w="920" w:type="dxa"/>
            <w:vAlign w:val="bottom"/>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right"/>
              <w:ind w:right="420"/>
              <w:spacing w:after="0" w:line="131" w:lineRule="exact"/>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1"/>
                <w:szCs w:val="11"/>
                <w:color w:val="auto"/>
              </w:rPr>
            </w:pPr>
          </w:p>
        </w:tc>
        <w:tc>
          <w:tcPr>
            <w:tcW w:w="126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1"/>
                <w:szCs w:val="11"/>
                <w:color w:val="auto"/>
              </w:rPr>
            </w:pPr>
          </w:p>
        </w:tc>
        <w:tc>
          <w:tcPr>
            <w:tcW w:w="1080" w:type="dxa"/>
            <w:vAlign w:val="bottom"/>
            <w:gridSpan w:val="2"/>
          </w:tcPr>
          <w:p>
            <w:pPr>
              <w:jc w:val="right"/>
              <w:ind w:right="2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60" w:type="dxa"/>
            <w:vAlign w:val="bottom"/>
          </w:tcPr>
          <w:p>
            <w:pPr>
              <w:spacing w:after="0"/>
              <w:rPr>
                <w:sz w:val="15"/>
                <w:szCs w:val="15"/>
                <w:color w:val="auto"/>
              </w:rPr>
            </w:pP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119,556</w:t>
            </w:r>
          </w:p>
        </w:tc>
        <w:tc>
          <w:tcPr>
            <w:tcW w:w="800" w:type="dxa"/>
            <w:vAlign w:val="bottom"/>
            <w:gridSpan w:val="3"/>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3,035,539</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(3,542)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(2,837,488)</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(66,423)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(66,423)</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Balance at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121,267</w:t>
            </w:r>
          </w:p>
        </w:tc>
        <w:tc>
          <w:tcPr>
            <w:tcW w:w="800" w:type="dxa"/>
            <w:vAlign w:val="bottom"/>
            <w:gridSpan w:val="3"/>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3,174,100</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(2,903,911)</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options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Vesting of restricted stock units, net of shares withheld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29,990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Issuance of common stock under employee stock</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purchase plan</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(37,657)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(37,657)</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June 30,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121,687</w:t>
            </w:r>
          </w:p>
        </w:tc>
        <w:tc>
          <w:tcPr>
            <w:tcW w:w="800" w:type="dxa"/>
            <w:vAlign w:val="bottom"/>
            <w:gridSpan w:val="3"/>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3,209,245</w:t>
            </w:r>
          </w:p>
        </w:tc>
        <w:tc>
          <w:tcPr>
            <w:tcW w:w="140" w:type="dxa"/>
            <w:vAlign w:val="bottom"/>
            <w:shd w:val="clear" w:color="auto" w:fill="CFF0FC"/>
          </w:tcPr>
          <w:p>
            <w:pPr>
              <w:spacing w:after="0"/>
              <w:rPr>
                <w:sz w:val="18"/>
                <w:szCs w:val="18"/>
                <w:color w:val="auto"/>
              </w:rPr>
            </w:pP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(2,941,568)</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Issuance of common stock upon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4160" w:type="dxa"/>
            <w:vAlign w:val="bottom"/>
            <w:shd w:val="clear" w:color="auto" w:fill="CFF0FC"/>
          </w:tcPr>
          <w:p>
            <w:pPr>
              <w:ind w:left="40"/>
              <w:spacing w:after="0" w:line="181" w:lineRule="exact"/>
              <w:rPr>
                <w:sz w:val="20"/>
                <w:szCs w:val="20"/>
                <w:color w:val="auto"/>
              </w:rPr>
            </w:pPr>
            <w:r>
              <w:rPr>
                <w:rFonts w:ascii="Times New Roman" w:cs="Times New Roman" w:eastAsia="Times New Roman" w:hAnsi="Times New Roman"/>
                <w:sz w:val="17"/>
                <w:szCs w:val="17"/>
                <w:color w:val="auto"/>
              </w:rPr>
              <w:t>Vesting of restricted stock units, net of shares withheld</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5"/>
                <w:szCs w:val="15"/>
                <w:color w:val="auto"/>
              </w:rPr>
            </w:pP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4"/>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for taxes</w:t>
            </w:r>
          </w:p>
        </w:tc>
        <w:tc>
          <w:tcPr>
            <w:tcW w:w="920" w:type="dxa"/>
            <w:vAlign w:val="bottom"/>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60" w:type="dxa"/>
            <w:vAlign w:val="bottom"/>
            <w:gridSpan w:val="2"/>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vMerge w:val="continue"/>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Share-based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7"/>
                <w:szCs w:val="17"/>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(57,445)</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(57,445)</w:t>
            </w:r>
          </w:p>
        </w:tc>
        <w:tc>
          <w:tcPr>
            <w:tcW w:w="0" w:type="dxa"/>
            <w:vAlign w:val="bottom"/>
          </w:tcPr>
          <w:p>
            <w:pPr>
              <w:spacing w:after="0"/>
              <w:rPr>
                <w:sz w:val="1"/>
                <w:szCs w:val="1"/>
                <w:color w:val="auto"/>
              </w:rPr>
            </w:pPr>
          </w:p>
        </w:tc>
      </w:tr>
      <w:tr>
        <w:trPr>
          <w:trHeight w:val="216"/>
        </w:trPr>
        <w:tc>
          <w:tcPr>
            <w:tcW w:w="4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Balance at September 30, 2024</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122,069</w:t>
            </w:r>
          </w:p>
        </w:tc>
        <w:tc>
          <w:tcPr>
            <w:tcW w:w="240" w:type="dxa"/>
            <w:vAlign w:val="bottom"/>
            <w:gridSpan w:val="2"/>
            <w:shd w:val="clear" w:color="auto" w:fill="CFF0FC"/>
          </w:tcPr>
          <w:p>
            <w:pPr>
              <w:spacing w:after="0"/>
              <w:rPr>
                <w:sz w:val="19"/>
                <w:szCs w:val="19"/>
                <w:color w:val="auto"/>
              </w:rPr>
            </w:pPr>
          </w:p>
        </w:tc>
        <w:tc>
          <w:tcPr>
            <w:tcW w:w="560" w:type="dxa"/>
            <w:vAlign w:val="bottom"/>
            <w:shd w:val="clear" w:color="auto" w:fill="CFF0FC"/>
          </w:tcPr>
          <w:p>
            <w:pPr>
              <w:jc w:val="right"/>
              <w:ind w:right="379"/>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3,239,262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(3,140)</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(2,999,013)</w:t>
            </w:r>
          </w:p>
        </w:tc>
        <w:tc>
          <w:tcPr>
            <w:tcW w:w="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-2502535</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-2502535</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-2502535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-2502535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-2502535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-24765</wp:posOffset>
            </wp:positionV>
            <wp:extent cx="768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-7620</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774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7747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-24765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(Amounts in thousands)</w:t>
      </w:r>
    </w:p>
    <w:tbl>
      <w:tblPr>
        <w:tblLayout w:type="fixed"/>
        <w:tblInd w:w="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3760" w:type="dxa"/>
            <w:vAlign w:val="bottom"/>
            <w:gridSpan w:val="7"/>
          </w:tcPr>
          <w:p>
            <w:pPr>
              <w:jc w:val="right"/>
              <w:ind w:right="620"/>
              <w:spacing w:after="0" w:line="157" w:lineRule="exact"/>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748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63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income/(loss)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1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(161,525)</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income/(loss) to net cash used in 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87,814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expense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discounts for credit facility</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discounts for convertible notes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Accretion of discount to development liability</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(80,605)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(72,569)</w:t>
            </w: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Inventory</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(6,609)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(20,776)</w:t>
            </w: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Prepaid assets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(13,157)</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current assets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(4,181)</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Right-of-use assets and lease liabilities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Accrued expenses</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12,072</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liabilities</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w:t>
            </w:r>
          </w:p>
        </w:tc>
        <w:tc>
          <w:tcPr>
            <w:tcW w:w="100" w:type="dxa"/>
            <w:vAlign w:val="bottom"/>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59,503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(107,226)</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r>
      <w:tr>
        <w:trPr>
          <w:trHeight w:val="20"/>
        </w:trPr>
        <w:tc>
          <w:tcPr>
            <w:tcW w:w="748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w:t>
            </w: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0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365,454</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issuance cost for credit facility</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(1,589)</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Repayment of development liability</w:t>
            </w:r>
          </w:p>
        </w:tc>
        <w:tc>
          <w:tcPr>
            <w:tcW w:w="10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(326,533)</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settlement of capped call</w:t>
            </w:r>
          </w:p>
        </w:tc>
        <w:tc>
          <w:tcPr>
            <w:tcW w:w="104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13,995</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Proceeds from issuance of common stock under employee stock purchase plan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of employee tax withholding related to equity-based compensation</w:t>
            </w:r>
          </w:p>
        </w:tc>
        <w:tc>
          <w:tcPr>
            <w:tcW w:w="10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0"/>
        </w:trPr>
        <w:tc>
          <w:tcPr>
            <w:tcW w:w="7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153,241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67,989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45,938</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412,612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352,299</w:t>
            </w:r>
          </w:p>
        </w:tc>
        <w:tc>
          <w:tcPr>
            <w:tcW w:w="100" w:type="dxa"/>
            <w:vAlign w:val="bottom"/>
          </w:tcPr>
          <w:p>
            <w:pPr>
              <w:spacing w:after="0"/>
              <w:rPr>
                <w:sz w:val="18"/>
                <w:szCs w:val="18"/>
                <w:color w:val="auto"/>
              </w:rPr>
            </w:pPr>
          </w:p>
        </w:tc>
      </w:tr>
      <w:tr>
        <w:trPr>
          <w:trHeight w:val="250"/>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480,601</w:t>
            </w:r>
          </w:p>
        </w:tc>
        <w:tc>
          <w:tcPr>
            <w:tcW w:w="180" w:type="dxa"/>
            <w:vAlign w:val="bottom"/>
            <w:shd w:val="clear" w:color="auto" w:fill="CFF0FC"/>
          </w:tcPr>
          <w:p>
            <w:pPr>
              <w:spacing w:after="0"/>
              <w:rPr>
                <w:sz w:val="21"/>
                <w:szCs w:val="21"/>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398,237</w:t>
            </w:r>
          </w:p>
        </w:tc>
        <w:tc>
          <w:tcPr>
            <w:tcW w:w="100" w:type="dxa"/>
            <w:vAlign w:val="bottom"/>
            <w:shd w:val="clear" w:color="auto" w:fill="CFF0FC"/>
          </w:tcPr>
          <w:p>
            <w:pPr>
              <w:spacing w:after="0"/>
              <w:rPr>
                <w:sz w:val="21"/>
                <w:szCs w:val="21"/>
                <w:color w:val="auto"/>
              </w:rPr>
            </w:pPr>
          </w:p>
        </w:tc>
      </w:tr>
      <w:tr>
        <w:trPr>
          <w:trHeight w:val="174"/>
        </w:trPr>
        <w:tc>
          <w:tcPr>
            <w:tcW w:w="7480" w:type="dxa"/>
            <w:vAlign w:val="bottom"/>
            <w:tcBorders>
              <w:top w:val="single" w:sz="8" w:color="CFF0FC"/>
            </w:tcBorders>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cash, cash equivalents and restricted cash to the</w:t>
            </w: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8"/>
        </w:trPr>
        <w:tc>
          <w:tcPr>
            <w:tcW w:w="74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10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479,171</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396,864</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10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8"/>
                <w:szCs w:val="18"/>
                <w:color w:val="auto"/>
              </w:rPr>
            </w:pPr>
          </w:p>
        </w:tc>
      </w:tr>
      <w:tr>
        <w:trPr>
          <w:trHeight w:val="209"/>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480,601</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398,237</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0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paid for interest</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31,888</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19,446</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Lease assets obtained in exchange for operating lease liabilities</w:t>
            </w:r>
          </w:p>
        </w:tc>
        <w:tc>
          <w:tcPr>
            <w:tcW w:w="1040" w:type="dxa"/>
            <w:vAlign w:val="bottom"/>
            <w:shd w:val="clear" w:color="auto" w:fill="CFF0FC"/>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6,457</w:t>
            </w:r>
          </w:p>
        </w:tc>
        <w:tc>
          <w:tcPr>
            <w:tcW w:w="1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costs for credit facility incurred but not yet paid</w:t>
            </w:r>
          </w:p>
        </w:tc>
        <w:tc>
          <w:tcPr>
            <w:tcW w:w="104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-3371215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-3371215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-1982470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-1982470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-1416685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-1399540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-1416685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-1399540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accompanying notes to unaudited condensed consolidated financial statements.</w:t>
      </w:r>
    </w:p>
    <w:p>
      <w:pPr>
        <w:sectPr>
          <w:pgSz w:w="11900" w:h="16838" w:orient="portrait"/>
          <w:cols w:equalWidth="0" w:num="1">
            <w:col w:w="11240"/>
          </w:cols>
          <w:pgMar w:left="320" w:top="766"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APELLIS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Organization and Operations</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Apellis Pharmaceuticals, Inc. (the “Company”) is a commercial-stage biopharmaceutical company focused on the discovery, development and commercialization of novel therapeutic compounds to treat diseases with high unmet needs through the inhibition of the complement system, which is an integral component of the immune system, at the level of C3, the central protein in the complement cascade.</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was incorporated in September 2009 under the laws of the State of Delaware. The Company’s principal executive offices are located in Waltham, Massachusetts.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Company’s operations since inception have included organizing and staffing the Company, acquiring rights to product candidates, business planning, raising capital, developing its product candidates, commercializing EMPAVELI (pegcetacoplan) for the treatment of paroxysmal nocturnal hemoglobinuria (“PNH”), C3 glomerulopathy (“C3G”) and primary immune complex membranoproliferative glomerulonephritis (“IC-MPGN”), and commercializing SYFOVRE (pegcetacoplan injection) for the treatment of geographic atrophy secondary to age-related macular degeneration (“GA”).</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in the biotechnology industry including, but not limited to, raising additional capital, development by its competitors of new technological innovations, its ability to successfully complete preclinical and clinical development of product candidates and receive timely regulatory approval of products, market acceptance of the Company’s products, protection of proprietary technology, healthcare cost containment initiatives, and compliance with governmental regulations, including those of the U.S. Food and Drug Administration (“FDA”).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on the basis of the realization of assets and the satisfaction of liabilities and commitments in the normal course of business. From inception to September 30, 2025, the Company has incurred cash outflows from operations, losses from operations and had an accumulated deficit of $3.0 billion, primarily as a result of expenses incurred through a combination of research and development activities related to the Company’s various product candidates and expenses supporting those activities and expenses incurred in connection with product launches and commercialization costs.</w:t>
      </w:r>
    </w:p>
    <w:p>
      <w:pPr>
        <w:spacing w:after="0" w:line="183"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As of October 30, 2025, the date of issuance of these unaudited condensed consolidated financial statements, the Company believes that its cash and cash equivalents of $479.2 million as of September 30, 2025, combined with cash anticipated to be generated from sales of EMPAVELI and from SYFOVRE, will be sufficient to fund its operations and capital expenditure requirements for at least twelve months from the date of issuance of these condensed consolidated financial statements.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 owned subsidiaries. All intercompany balances and transactions have been eliminated in consolidation. The accompanying unaudited condensed consolidated financial statements have been prepared in accordance with U.S. generally accepted accounting principles (“U.S. GAAP”) and following the requirements of the Securities and Exchange Commission (the “SEC”) for interim reporting. As permitted under those rules, certain footnotes or other financial information that are normally required by U.S. GAAP have been condensed or omitted and, accordingly, the condensed consolidated balance sheet as of December 31, 2024 has been derived from audited consolidated financial statements at that date but does not include all of the information required by U.S. GAAP for complete financial statements. These financial statements have been prepared on the same basis as the Company’s annual financial statements and, in the opinion of management, reflect all adjustments (consisting only of normal recurring adjustments) that are necessary for a fair presentation of the Company’s financial information. The results of operations for the three and nine months ended September 30, 2025 are not necessarily indicative of the results to be expected for the year ending December 31, 2025 or for any other interim period or for any other future year.</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financial information should be read in conjunction with the audited consolidated financial statements and the related notes thereto for the year ended December 31, 2024 included in the Company’s Annual Report on Form 10-K filed with the SEC on February 28, 2025 (the “2024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may differ from those estimates. Management considers many factors in selecting appropriate financial accounting policies and controls, and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Estimates are used in the following areas, among others: accrued research and development expenses, reserves for variable consideration, share-based compensation expense and reserves for excess or obsolete inventories.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27" w:lineRule="exact"/>
        <w:rPr>
          <w:sz w:val="20"/>
          <w:szCs w:val="20"/>
          <w:color w:val="auto"/>
        </w:rPr>
      </w:pPr>
    </w:p>
    <w:p>
      <w:pPr>
        <w:ind w:right="540"/>
        <w:spacing w:after="0" w:line="284" w:lineRule="auto"/>
        <w:rPr>
          <w:sz w:val="20"/>
          <w:szCs w:val="20"/>
          <w:color w:val="auto"/>
        </w:rPr>
      </w:pPr>
      <w:r>
        <w:rPr>
          <w:rFonts w:ascii="Times New Roman" w:cs="Times New Roman" w:eastAsia="Times New Roman" w:hAnsi="Times New Roman"/>
          <w:sz w:val="18"/>
          <w:szCs w:val="18"/>
          <w:color w:val="auto"/>
        </w:rPr>
        <w:t xml:space="preserve">Reference is made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our 2024 Form 10-K for a detailed description of significant accounting policies. There have been no significant changes to our accounting policies as disclosed in our 2024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issued not yet adopted</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(“FASB”) issued Accounting Standards Update (“ASU”) 2025-06, </w:t>
      </w:r>
      <w:r>
        <w:rPr>
          <w:rFonts w:ascii="Times New Roman" w:cs="Times New Roman" w:eastAsia="Times New Roman" w:hAnsi="Times New Roman"/>
          <w:sz w:val="18"/>
          <w:szCs w:val="18"/>
          <w:i w:val="1"/>
          <w:iCs w:val="1"/>
          <w:color w:val="auto"/>
        </w:rPr>
        <w:t>Intangibles — Goodwill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Other — Internal-Use Software (Subtopic 350-40): Improvements to Capitalization of Software Development Costs</w:t>
      </w:r>
      <w:r>
        <w:rPr>
          <w:rFonts w:ascii="Times New Roman" w:cs="Times New Roman" w:eastAsia="Times New Roman" w:hAnsi="Times New Roman"/>
          <w:sz w:val="18"/>
          <w:szCs w:val="18"/>
          <w:color w:val="auto"/>
        </w:rPr>
        <w:t>, which updates the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for internal-use software costs and removes references to prescriptive project stages. The ASU is effective for annual periods beginning after December 15, 2027, and interim periods within those annual reporting periods. Early adoption is permitted. The Company is currently evaluating the timing of adoption and the impact of the new guidance on the condensed consolidated financial statements and related disclosures.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Measurement of Credit Losses for Accounts Receivable and Contract Assets</w:t>
      </w:r>
      <w:r>
        <w:rPr>
          <w:rFonts w:ascii="Times New Roman" w:cs="Times New Roman" w:eastAsia="Times New Roman" w:hAnsi="Times New Roman"/>
          <w:sz w:val="18"/>
          <w:szCs w:val="18"/>
          <w:color w:val="auto"/>
        </w:rPr>
        <w:t>, which provides a practical expedient to measure credit losses on accounts receivable and contract assets. The ASU is effective for annual periods beginning after December 15, 2025, and interim periods within those annual reporting periods. Early adoption is permitted. The Company is currently evaluating the timing of the adoption and the impact of the new guidance on the condensed consolidated financial statements and related disclosures.</w:t>
      </w:r>
    </w:p>
    <w:p>
      <w:pPr>
        <w:spacing w:after="0" w:line="7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and subsequent amendments with ASU 2025-01, which requires additional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nature of expenses included in the income statement. The standard requires disclosures about specific types of expenses included in the expense captions presented in the income statement. This ASU is effective for fiscal years beginning after December 15, 2026, and interim periods beginning after December 15, 2027, with early adoption permitted. The requirements should be applied on a prospective basis while retrospective application </w:t>
      </w:r>
      <w:r>
        <w:rPr>
          <w:rFonts w:ascii="Times New Roman" w:cs="Times New Roman" w:eastAsia="Times New Roman" w:hAnsi="Times New Roman"/>
          <w:sz w:val="17"/>
          <w:szCs w:val="17"/>
          <w:color w:val="auto"/>
        </w:rPr>
        <w:t>is 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The Company is currently evaluating the impact that the adoption of this guidance will have on its disclosures.</w:t>
      </w:r>
    </w:p>
    <w:p>
      <w:pPr>
        <w:spacing w:after="0" w:line="149"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This standard is an amendment to the accounting guidance on income taxes which requires entities to provide additional information in the rate reconciliation and additional disaggregated disclosures about income taxes paid. This guidance requires public entities to disclose in their rate reconciliation table additional categories of information about federal, state, and foreign income taxes and to provide more details about the reconciling items in some categories if the items meet a quantitative threshold. The guidance is effective for annual periods beginning after December 15, 2024. The Company is currently evaluating the impact the adoption of this guidance will have on its disclosures.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Product Revenues, Accounts Receivable, and Reserves for Product Sales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reflects product revenue by major source for the following periods (in thousands):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209"/>
        </w:trPr>
        <w:tc>
          <w:tcPr>
            <w:tcW w:w="3380" w:type="dxa"/>
            <w:vAlign w:val="bottom"/>
          </w:tcPr>
          <w:p>
            <w:pPr>
              <w:spacing w:after="0"/>
              <w:rPr>
                <w:sz w:val="18"/>
                <w:szCs w:val="18"/>
                <w:color w:val="auto"/>
              </w:rPr>
            </w:pPr>
          </w:p>
        </w:tc>
        <w:tc>
          <w:tcPr>
            <w:tcW w:w="136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Therapeutic Area</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Key Indications</w:t>
            </w:r>
          </w:p>
        </w:tc>
        <w:tc>
          <w:tcPr>
            <w:tcW w:w="240" w:type="dxa"/>
            <w:vAlign w:val="bottom"/>
          </w:tcPr>
          <w:p>
            <w:pPr>
              <w:spacing w:after="0"/>
              <w:rPr>
                <w:sz w:val="18"/>
                <w:szCs w:val="18"/>
                <w:color w:val="auto"/>
              </w:rPr>
            </w:pPr>
          </w:p>
        </w:tc>
        <w:tc>
          <w:tcPr>
            <w:tcW w:w="82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23"/>
        </w:trPr>
        <w:tc>
          <w:tcPr>
            <w:tcW w:w="3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Products:</w:t>
            </w:r>
          </w:p>
        </w:tc>
        <w:tc>
          <w:tcPr>
            <w:tcW w:w="136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8"/>
        </w:trPr>
        <w:tc>
          <w:tcPr>
            <w:tcW w:w="33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80" w:type="dxa"/>
            <w:vAlign w:val="bottom"/>
            <w:gridSpan w:val="2"/>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PNH, C3G (1),</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3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EMPAVELI</w:t>
            </w:r>
          </w:p>
        </w:tc>
        <w:tc>
          <w:tcPr>
            <w:tcW w:w="1360" w:type="dxa"/>
            <w:vAlign w:val="bottom"/>
          </w:tcPr>
          <w:p>
            <w:pPr>
              <w:jc w:val="center"/>
              <w:ind w:right="16"/>
              <w:spacing w:after="0"/>
              <w:rPr>
                <w:sz w:val="20"/>
                <w:szCs w:val="20"/>
                <w:color w:val="auto"/>
              </w:rPr>
            </w:pPr>
            <w:r>
              <w:rPr>
                <w:rFonts w:ascii="Times New Roman" w:cs="Times New Roman" w:eastAsia="Times New Roman" w:hAnsi="Times New Roman"/>
                <w:sz w:val="18"/>
                <w:szCs w:val="18"/>
                <w:color w:val="auto"/>
                <w:w w:val="99"/>
              </w:rPr>
              <w:t>Rare Disease</w:t>
            </w: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IC-MPGN (1)</w:t>
            </w: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26,827</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46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67,315</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74,733</w:t>
            </w:r>
          </w:p>
        </w:tc>
        <w:tc>
          <w:tcPr>
            <w:tcW w:w="100" w:type="dxa"/>
            <w:vAlign w:val="bottom"/>
          </w:tcPr>
          <w:p>
            <w:pPr>
              <w:spacing w:after="0"/>
              <w:rPr>
                <w:sz w:val="20"/>
                <w:szCs w:val="20"/>
                <w:color w:val="auto"/>
              </w:rPr>
            </w:pPr>
          </w:p>
        </w:tc>
      </w:tr>
      <w:tr>
        <w:trPr>
          <w:trHeight w:val="216"/>
        </w:trPr>
        <w:tc>
          <w:tcPr>
            <w:tcW w:w="338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SYFOVRE</w:t>
            </w:r>
          </w:p>
        </w:tc>
        <w:tc>
          <w:tcPr>
            <w:tcW w:w="1360" w:type="dxa"/>
            <w:vAlign w:val="bottom"/>
            <w:tcBorders>
              <w:bottom w:val="single" w:sz="8" w:color="CCEEFF"/>
            </w:tcBorders>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rPr>
              <w:t>Ophthalmology</w:t>
            </w:r>
          </w:p>
        </w:tc>
        <w:tc>
          <w:tcPr>
            <w:tcW w:w="158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GA</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151,960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431,727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444,049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3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Product revenue, net</w:t>
            </w: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177,755</w:t>
            </w:r>
          </w:p>
        </w:tc>
        <w:tc>
          <w:tcPr>
            <w:tcW w:w="5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499,042</w:t>
            </w:r>
          </w:p>
        </w:tc>
        <w:tc>
          <w:tcPr>
            <w:tcW w:w="5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518,782</w:t>
            </w:r>
          </w:p>
        </w:tc>
        <w:tc>
          <w:tcPr>
            <w:tcW w:w="100" w:type="dxa"/>
            <w:vAlign w:val="bottom"/>
          </w:tcPr>
          <w:p>
            <w:pPr>
              <w:spacing w:after="0"/>
              <w:rPr>
                <w:sz w:val="18"/>
                <w:szCs w:val="18"/>
                <w:color w:val="auto"/>
              </w:rPr>
            </w:pPr>
          </w:p>
        </w:tc>
      </w:tr>
      <w:tr>
        <w:trPr>
          <w:trHeight w:val="20"/>
        </w:trPr>
        <w:tc>
          <w:tcPr>
            <w:tcW w:w="33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-170815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-170815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-170815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The FDA approved EMPAVELI for the treatment of C3G and IC-MPGN on July 28, 2025.</w:t>
      </w:r>
    </w:p>
    <w:p>
      <w:pPr>
        <w:spacing w:after="0" w:line="225"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The Company’s accounts receivable balance of $345.5 million as of September 30, 2025 and $264.9 million as of December 31, 2024, consisted of EMPAVELI and SYFOVRE product sales receivable. The Company does not have a reserve related to expected credit losses against its accounts receivable balance and expects to collect its accounts receivable in the ordinary course of business.</w:t>
      </w:r>
    </w:p>
    <w:p>
      <w:pPr>
        <w:spacing w:after="0" w:line="10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Company’s product sales reserves totaled $47.4 million and $45.1 million as of September 30, 2025 and December 31, 2024, respectively. These amounts are included in accrued expenses on the Company’s unaudited condensed consolidated balance sheets.</w:t>
      </w:r>
    </w:p>
    <w:p>
      <w:pPr>
        <w:spacing w:after="0" w:line="16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and nine months ended September 30, 2025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Fees and patient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2024</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11,589</w:t>
            </w:r>
          </w:p>
        </w:tc>
        <w:tc>
          <w:tcPr>
            <w:tcW w:w="12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31,533</w:t>
            </w:r>
          </w:p>
        </w:tc>
        <w:tc>
          <w:tcPr>
            <w:tcW w:w="10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2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(13,084)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(28,467)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(41,677)</w:t>
            </w:r>
          </w:p>
        </w:tc>
        <w:tc>
          <w:tcPr>
            <w:tcW w:w="0" w:type="dxa"/>
            <w:vAlign w:val="bottom"/>
          </w:tcPr>
          <w:p>
            <w:pPr>
              <w:spacing w:after="0"/>
              <w:rPr>
                <w:sz w:val="1"/>
                <w:szCs w:val="1"/>
                <w:color w:val="auto"/>
              </w:rPr>
            </w:pPr>
          </w:p>
        </w:tc>
      </w:tr>
      <w:tr>
        <w:trPr>
          <w:trHeight w:val="237"/>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2025</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9,221</w:t>
            </w:r>
          </w:p>
        </w:tc>
        <w:tc>
          <w:tcPr>
            <w:tcW w:w="12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10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10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38,904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6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200" w:type="dxa"/>
            <w:vAlign w:val="bottom"/>
            <w:shd w:val="clear" w:color="auto" w:fill="CCEEFF"/>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(10,833)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(27,623)</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(39,397)</w:t>
            </w:r>
          </w:p>
        </w:tc>
        <w:tc>
          <w:tcPr>
            <w:tcW w:w="0" w:type="dxa"/>
            <w:vAlign w:val="bottom"/>
          </w:tcPr>
          <w:p>
            <w:pPr>
              <w:spacing w:after="0"/>
              <w:rPr>
                <w:sz w:val="1"/>
                <w:szCs w:val="1"/>
                <w:color w:val="auto"/>
              </w:rPr>
            </w:pPr>
          </w:p>
        </w:tc>
      </w:tr>
      <w:tr>
        <w:trPr>
          <w:trHeight w:val="236"/>
        </w:trPr>
        <w:tc>
          <w:tcPr>
            <w:tcW w:w="43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June 30, 2025</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10,460</w:t>
            </w:r>
          </w:p>
        </w:tc>
        <w:tc>
          <w:tcPr>
            <w:tcW w:w="12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30,577</w:t>
            </w:r>
          </w:p>
        </w:tc>
        <w:tc>
          <w:tcPr>
            <w:tcW w:w="10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3,485</w:t>
            </w:r>
          </w:p>
        </w:tc>
        <w:tc>
          <w:tcPr>
            <w:tcW w:w="10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1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52,273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6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shd w:val="clear" w:color="auto" w:fill="CCEE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(34,730)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(49,490)</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September 30, 2025</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34,261</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activity in each of the product revenue allowance and reserve categories for the three and nine months ended September 30, 2024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Fees and patient</w:t>
            </w:r>
          </w:p>
        </w:tc>
        <w:tc>
          <w:tcPr>
            <w:tcW w:w="200" w:type="dxa"/>
            <w:vAlign w:val="bottom"/>
          </w:tcPr>
          <w:p>
            <w:pPr>
              <w:spacing w:after="0"/>
              <w:rPr>
                <w:sz w:val="13"/>
                <w:szCs w:val="13"/>
                <w:color w:val="auto"/>
              </w:rPr>
            </w:pPr>
          </w:p>
        </w:tc>
        <w:tc>
          <w:tcPr>
            <w:tcW w:w="182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Government and other</w:t>
            </w:r>
          </w:p>
        </w:tc>
        <w:tc>
          <w:tcPr>
            <w:tcW w:w="260" w:type="dxa"/>
            <w:vAlign w:val="bottom"/>
          </w:tcPr>
          <w:p>
            <w:pPr>
              <w:spacing w:after="0"/>
              <w:rPr>
                <w:sz w:val="13"/>
                <w:szCs w:val="13"/>
                <w:color w:val="auto"/>
              </w:rPr>
            </w:pPr>
          </w:p>
        </w:tc>
        <w:tc>
          <w:tcPr>
            <w:tcW w:w="122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Returns</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assistance</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rebates</w:t>
            </w:r>
          </w:p>
        </w:tc>
        <w:tc>
          <w:tcPr>
            <w:tcW w:w="260" w:type="dxa"/>
            <w:vAlign w:val="bottom"/>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December 31, 2023</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12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8,898</w:t>
            </w:r>
          </w:p>
        </w:tc>
        <w:tc>
          <w:tcPr>
            <w:tcW w:w="12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2,053</w:t>
            </w:r>
          </w:p>
        </w:tc>
        <w:tc>
          <w:tcPr>
            <w:tcW w:w="12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(9,724)</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(9,906)</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(1,859)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(21,489)</w:t>
            </w:r>
          </w:p>
        </w:tc>
        <w:tc>
          <w:tcPr>
            <w:tcW w:w="0" w:type="dxa"/>
            <w:vAlign w:val="bottom"/>
          </w:tcPr>
          <w:p>
            <w:pPr>
              <w:spacing w:after="0"/>
              <w:rPr>
                <w:sz w:val="1"/>
                <w:szCs w:val="1"/>
                <w:color w:val="auto"/>
              </w:rPr>
            </w:pPr>
          </w:p>
        </w:tc>
      </w:tr>
      <w:tr>
        <w:trPr>
          <w:trHeight w:val="237"/>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March 31, 2024</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2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12,098</w:t>
            </w:r>
          </w:p>
        </w:tc>
        <w:tc>
          <w:tcPr>
            <w:tcW w:w="12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w:t>
            </w:r>
          </w:p>
        </w:tc>
        <w:tc>
          <w:tcPr>
            <w:tcW w:w="12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shd w:val="clear" w:color="auto" w:fill="CCEEFF"/>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20" w:type="dxa"/>
            <w:vAlign w:val="bottom"/>
            <w:shd w:val="clear" w:color="auto" w:fill="CFF0FC"/>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(983)</w:t>
            </w:r>
          </w:p>
        </w:tc>
        <w:tc>
          <w:tcPr>
            <w:tcW w:w="180" w:type="dxa"/>
            <w:vAlign w:val="bottom"/>
            <w:shd w:val="clear" w:color="auto" w:fill="CCEE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0"/>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(9,635)</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(14,640)</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(24,601)</w:t>
            </w:r>
          </w:p>
        </w:tc>
        <w:tc>
          <w:tcPr>
            <w:tcW w:w="0" w:type="dxa"/>
            <w:vAlign w:val="bottom"/>
          </w:tcPr>
          <w:p>
            <w:pPr>
              <w:spacing w:after="0"/>
              <w:rPr>
                <w:sz w:val="1"/>
                <w:szCs w:val="1"/>
                <w:color w:val="auto"/>
              </w:rPr>
            </w:pPr>
          </w:p>
        </w:tc>
      </w:tr>
      <w:tr>
        <w:trPr>
          <w:trHeight w:val="236"/>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June 30, 2024</w:t>
            </w: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20" w:type="dxa"/>
            <w:vAlign w:val="bottom"/>
            <w:shd w:val="clear" w:color="auto" w:fill="CFF0FC"/>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20" w:type="dxa"/>
            <w:vAlign w:val="bottom"/>
            <w:tcBorders>
              <w:top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12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120" w:type="dxa"/>
            <w:vAlign w:val="bottom"/>
            <w:shd w:val="clear" w:color="auto" w:fill="CFF0FC"/>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22,702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related to sales in the current period</w:t>
            </w:r>
          </w:p>
        </w:tc>
        <w:tc>
          <w:tcPr>
            <w:tcW w:w="1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38,199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Adjustments related to prior period sales</w:t>
            </w:r>
          </w:p>
        </w:tc>
        <w:tc>
          <w:tcPr>
            <w:tcW w:w="18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shd w:val="clear" w:color="auto" w:fill="CFF0FC"/>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FF0FC"/>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Credits and payments made</w:t>
            </w:r>
          </w:p>
        </w:tc>
        <w:tc>
          <w:tcPr>
            <w:tcW w:w="18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(12,078)</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(17,695)</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(979)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(30,752)</w:t>
            </w:r>
          </w:p>
        </w:tc>
        <w:tc>
          <w:tcPr>
            <w:tcW w:w="0" w:type="dxa"/>
            <w:vAlign w:val="bottom"/>
          </w:tcPr>
          <w:p>
            <w:pPr>
              <w:spacing w:after="0"/>
              <w:rPr>
                <w:sz w:val="1"/>
                <w:szCs w:val="1"/>
                <w:color w:val="auto"/>
              </w:rPr>
            </w:pPr>
          </w:p>
        </w:tc>
      </w:tr>
      <w:tr>
        <w:trPr>
          <w:trHeight w:val="249"/>
        </w:trPr>
        <w:tc>
          <w:tcPr>
            <w:tcW w:w="44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Ending balance at September 30, 2024</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w:t>
            </w:r>
          </w:p>
        </w:tc>
        <w:tc>
          <w:tcPr>
            <w:tcW w:w="12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jc w:val="right"/>
              <w:ind w:right="158"/>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23,678</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-25400</wp:posOffset>
            </wp:positionV>
            <wp:extent cx="774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-25400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-25400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-7620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Significant customers - Gross product revenues and product sales receivable from the Company's customers who individually accounted for 10% or more of total gross product revenues and/or 10% or more of total product sales receivable consisted of the following:</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480" w:type="dxa"/>
            <w:vAlign w:val="bottom"/>
            <w:tcBorders>
              <w:bottom w:val="single" w:sz="8" w:color="auto"/>
            </w:tcBorders>
            <w:gridSpan w:val="7"/>
          </w:tcPr>
          <w:p>
            <w:pPr>
              <w:ind w:left="260"/>
              <w:spacing w:after="0"/>
              <w:rPr>
                <w:sz w:val="20"/>
                <w:szCs w:val="20"/>
                <w:color w:val="auto"/>
              </w:rPr>
            </w:pPr>
            <w:r>
              <w:rPr>
                <w:rFonts w:ascii="Times New Roman" w:cs="Times New Roman" w:eastAsia="Times New Roman" w:hAnsi="Times New Roman"/>
                <w:sz w:val="14"/>
                <w:szCs w:val="14"/>
                <w:b w:val="1"/>
                <w:bCs w:val="1"/>
                <w:color w:val="auto"/>
              </w:rPr>
              <w:t>Percent of Total Gross Product Revenues</w:t>
            </w:r>
          </w:p>
        </w:tc>
        <w:tc>
          <w:tcPr>
            <w:tcW w:w="7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209"/>
        </w:trPr>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316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09"/>
        </w:trPr>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gridSpan w:val="2"/>
          </w:tcPr>
          <w:p>
            <w:pPr>
              <w:spacing w:after="0"/>
              <w:rPr>
                <w:sz w:val="18"/>
                <w:szCs w:val="18"/>
                <w:color w:val="auto"/>
              </w:rPr>
            </w:pPr>
          </w:p>
        </w:tc>
        <w:tc>
          <w:tcPr>
            <w:tcW w:w="13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8"/>
                <w:szCs w:val="18"/>
                <w:color w:val="auto"/>
              </w:rPr>
            </w:pPr>
          </w:p>
        </w:tc>
        <w:tc>
          <w:tcPr>
            <w:tcW w:w="14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23"/>
        </w:trPr>
        <w:tc>
          <w:tcPr>
            <w:tcW w:w="4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A</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500" w:type="dxa"/>
            <w:vAlign w:val="bottom"/>
            <w:gridSpan w:val="3"/>
            <w:shd w:val="clear" w:color="auto" w:fill="CFF0FC"/>
          </w:tcPr>
          <w:p>
            <w:pPr>
              <w:jc w:val="center"/>
              <w:ind w:left="430"/>
              <w:spacing w:after="0"/>
              <w:rPr>
                <w:sz w:val="20"/>
                <w:szCs w:val="20"/>
                <w:color w:val="auto"/>
              </w:rPr>
            </w:pPr>
            <w:r>
              <w:rPr>
                <w:rFonts w:ascii="Times New Roman" w:cs="Times New Roman" w:eastAsia="Times New Roman" w:hAnsi="Times New Roman"/>
                <w:sz w:val="18"/>
                <w:szCs w:val="18"/>
                <w:color w:val="auto"/>
              </w:rPr>
              <w:t>12%</w:t>
            </w:r>
          </w:p>
        </w:tc>
        <w:tc>
          <w:tcPr>
            <w:tcW w:w="2000" w:type="dxa"/>
            <w:vAlign w:val="bottom"/>
            <w:gridSpan w:val="5"/>
            <w:shd w:val="clear" w:color="auto" w:fill="CFF0FC"/>
          </w:tcPr>
          <w:p>
            <w:pPr>
              <w:jc w:val="center"/>
              <w:ind w:left="413"/>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6"/>
              </w:rPr>
              <w:t>13%</w:t>
            </w:r>
          </w:p>
        </w:tc>
      </w:tr>
      <w:tr>
        <w:trPr>
          <w:trHeight w:val="229"/>
        </w:trPr>
        <w:tc>
          <w:tcPr>
            <w:tcW w:w="44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Customer C</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500" w:type="dxa"/>
            <w:vAlign w:val="bottom"/>
            <w:gridSpan w:val="3"/>
          </w:tcPr>
          <w:p>
            <w:pPr>
              <w:jc w:val="center"/>
              <w:ind w:left="430"/>
              <w:spacing w:after="0"/>
              <w:rPr>
                <w:sz w:val="20"/>
                <w:szCs w:val="20"/>
                <w:color w:val="auto"/>
              </w:rPr>
            </w:pPr>
            <w:r>
              <w:rPr>
                <w:rFonts w:ascii="Times New Roman" w:cs="Times New Roman" w:eastAsia="Times New Roman" w:hAnsi="Times New Roman"/>
                <w:sz w:val="18"/>
                <w:szCs w:val="18"/>
                <w:color w:val="auto"/>
              </w:rPr>
              <w:t>17%</w:t>
            </w:r>
          </w:p>
        </w:tc>
        <w:tc>
          <w:tcPr>
            <w:tcW w:w="2000" w:type="dxa"/>
            <w:vAlign w:val="bottom"/>
            <w:gridSpan w:val="5"/>
          </w:tcPr>
          <w:p>
            <w:pPr>
              <w:jc w:val="center"/>
              <w:ind w:left="413"/>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9"/>
                <w:szCs w:val="19"/>
                <w:color w:val="auto"/>
              </w:rPr>
            </w:pPr>
          </w:p>
        </w:tc>
        <w:tc>
          <w:tcPr>
            <w:tcW w:w="1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6"/>
              </w:rPr>
              <w:t>18%</w:t>
            </w:r>
          </w:p>
        </w:tc>
      </w:tr>
      <w:tr>
        <w:trPr>
          <w:trHeight w:val="230"/>
        </w:trPr>
        <w:tc>
          <w:tcPr>
            <w:tcW w:w="444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Customer D</w:t>
            </w:r>
          </w:p>
        </w:tc>
        <w:tc>
          <w:tcPr>
            <w:tcW w:w="16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58%</w:t>
            </w:r>
          </w:p>
        </w:tc>
        <w:tc>
          <w:tcPr>
            <w:tcW w:w="1500" w:type="dxa"/>
            <w:vAlign w:val="bottom"/>
            <w:gridSpan w:val="3"/>
            <w:shd w:val="clear" w:color="auto" w:fill="CFF0FC"/>
          </w:tcPr>
          <w:p>
            <w:pPr>
              <w:jc w:val="center"/>
              <w:ind w:left="430"/>
              <w:spacing w:after="0"/>
              <w:rPr>
                <w:sz w:val="20"/>
                <w:szCs w:val="20"/>
                <w:color w:val="auto"/>
              </w:rPr>
            </w:pPr>
            <w:r>
              <w:rPr>
                <w:rFonts w:ascii="Times New Roman" w:cs="Times New Roman" w:eastAsia="Times New Roman" w:hAnsi="Times New Roman"/>
                <w:sz w:val="18"/>
                <w:szCs w:val="18"/>
                <w:color w:val="auto"/>
              </w:rPr>
              <w:t>61%</w:t>
            </w:r>
          </w:p>
        </w:tc>
        <w:tc>
          <w:tcPr>
            <w:tcW w:w="2000" w:type="dxa"/>
            <w:vAlign w:val="bottom"/>
            <w:gridSpan w:val="5"/>
            <w:shd w:val="clear" w:color="auto" w:fill="CFF0FC"/>
          </w:tcPr>
          <w:p>
            <w:pPr>
              <w:jc w:val="center"/>
              <w:ind w:left="413"/>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w w:val="96"/>
              </w:rPr>
              <w:t>59%</w:t>
            </w:r>
          </w:p>
        </w:tc>
      </w:tr>
      <w:tr>
        <w:trPr>
          <w:trHeight w:val="419"/>
        </w:trPr>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7"/>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Percent of Product Sales Receivable</w:t>
            </w:r>
          </w:p>
        </w:tc>
        <w:tc>
          <w:tcPr>
            <w:tcW w:w="780" w:type="dxa"/>
            <w:vAlign w:val="bottom"/>
            <w:tcBorders>
              <w:bottom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209"/>
        </w:trPr>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6"/>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As of September 30,</w:t>
            </w:r>
          </w:p>
        </w:tc>
        <w:tc>
          <w:tcPr>
            <w:tcW w:w="7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r>
      <w:tr>
        <w:trPr>
          <w:trHeight w:val="210"/>
        </w:trPr>
        <w:tc>
          <w:tcPr>
            <w:tcW w:w="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auto"/>
            </w:tcBorders>
            <w:gridSpan w:val="2"/>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gridSpan w:val="3"/>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Borders>
              <w:bottom w:val="single" w:sz="8" w:color="auto"/>
            </w:tcBorders>
            <w:gridSpan w:val="2"/>
          </w:tcPr>
          <w:p>
            <w:pPr>
              <w:jc w:val="center"/>
              <w:ind w:left="70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tcBorders>
              <w:bottom w:val="single" w:sz="8" w:color="auto"/>
            </w:tcBorders>
          </w:tcPr>
          <w:p>
            <w:pPr>
              <w:spacing w:after="0"/>
              <w:rPr>
                <w:sz w:val="18"/>
                <w:szCs w:val="18"/>
                <w:color w:val="auto"/>
              </w:rPr>
            </w:pPr>
          </w:p>
        </w:tc>
        <w:tc>
          <w:tcPr>
            <w:tcW w:w="680" w:type="dxa"/>
            <w:vAlign w:val="bottom"/>
          </w:tcPr>
          <w:p>
            <w:pPr>
              <w:spacing w:after="0"/>
              <w:rPr>
                <w:sz w:val="18"/>
                <w:szCs w:val="18"/>
                <w:color w:val="auto"/>
              </w:rPr>
            </w:pPr>
          </w:p>
        </w:tc>
      </w:tr>
      <w:tr>
        <w:trPr>
          <w:trHeight w:val="223"/>
        </w:trPr>
        <w:tc>
          <w:tcPr>
            <w:tcW w:w="680" w:type="dxa"/>
            <w:vAlign w:val="bottom"/>
          </w:tcPr>
          <w:p>
            <w:pPr>
              <w:spacing w:after="0"/>
              <w:rPr>
                <w:sz w:val="19"/>
                <w:szCs w:val="19"/>
                <w:color w:val="auto"/>
              </w:rPr>
            </w:pPr>
          </w:p>
        </w:tc>
        <w:tc>
          <w:tcPr>
            <w:tcW w:w="3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Customer A</w:t>
            </w:r>
          </w:p>
        </w:tc>
        <w:tc>
          <w:tcPr>
            <w:tcW w:w="16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left="730"/>
              <w:spacing w:after="0"/>
              <w:rPr>
                <w:sz w:val="20"/>
                <w:szCs w:val="20"/>
                <w:color w:val="auto"/>
              </w:rPr>
            </w:pPr>
            <w:r>
              <w:rPr>
                <w:rFonts w:ascii="Times New Roman" w:cs="Times New Roman" w:eastAsia="Times New Roman" w:hAnsi="Times New Roman"/>
                <w:sz w:val="18"/>
                <w:szCs w:val="18"/>
                <w:color w:val="auto"/>
                <w:w w:val="99"/>
              </w:rPr>
              <w:t>4%</w:t>
            </w:r>
          </w:p>
        </w:tc>
        <w:tc>
          <w:tcPr>
            <w:tcW w:w="2180" w:type="dxa"/>
            <w:vAlign w:val="bottom"/>
            <w:gridSpan w:val="6"/>
            <w:shd w:val="clear" w:color="auto" w:fill="CFF0FC"/>
          </w:tcPr>
          <w:p>
            <w:pPr>
              <w:jc w:val="center"/>
              <w:ind w:left="1613"/>
              <w:spacing w:after="0"/>
              <w:rPr>
                <w:sz w:val="20"/>
                <w:szCs w:val="20"/>
                <w:color w:val="auto"/>
              </w:rPr>
            </w:pPr>
            <w:r>
              <w:rPr>
                <w:rFonts w:ascii="Times New Roman" w:cs="Times New Roman" w:eastAsia="Times New Roman" w:hAnsi="Times New Roman"/>
                <w:sz w:val="18"/>
                <w:szCs w:val="18"/>
                <w:color w:val="auto"/>
                <w:w w:val="99"/>
              </w:rPr>
              <w:t>3%</w:t>
            </w:r>
          </w:p>
        </w:tc>
        <w:tc>
          <w:tcPr>
            <w:tcW w:w="780" w:type="dxa"/>
            <w:vAlign w:val="bottom"/>
            <w:shd w:val="clear" w:color="auto" w:fill="CFF0FC"/>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3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C</w:t>
            </w:r>
          </w:p>
        </w:tc>
        <w:tc>
          <w:tcPr>
            <w:tcW w:w="1660" w:type="dxa"/>
            <w:vAlign w:val="bottom"/>
          </w:tcPr>
          <w:p>
            <w:pPr>
              <w:spacing w:after="0"/>
              <w:rPr>
                <w:sz w:val="19"/>
                <w:szCs w:val="19"/>
                <w:color w:val="auto"/>
              </w:rPr>
            </w:pPr>
          </w:p>
        </w:tc>
        <w:tc>
          <w:tcPr>
            <w:tcW w:w="150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21%</w:t>
            </w:r>
          </w:p>
        </w:tc>
        <w:tc>
          <w:tcPr>
            <w:tcW w:w="2180" w:type="dxa"/>
            <w:vAlign w:val="bottom"/>
            <w:gridSpan w:val="6"/>
          </w:tcPr>
          <w:p>
            <w:pPr>
              <w:jc w:val="center"/>
              <w:ind w:left="1633"/>
              <w:spacing w:after="0"/>
              <w:rPr>
                <w:sz w:val="20"/>
                <w:szCs w:val="20"/>
                <w:color w:val="auto"/>
              </w:rPr>
            </w:pPr>
            <w:r>
              <w:rPr>
                <w:rFonts w:ascii="Times New Roman" w:cs="Times New Roman" w:eastAsia="Times New Roman" w:hAnsi="Times New Roman"/>
                <w:sz w:val="18"/>
                <w:szCs w:val="18"/>
                <w:color w:val="auto"/>
              </w:rPr>
              <w:t>24%</w:t>
            </w:r>
          </w:p>
        </w:tc>
        <w:tc>
          <w:tcPr>
            <w:tcW w:w="78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37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Customer D</w:t>
            </w:r>
          </w:p>
        </w:tc>
        <w:tc>
          <w:tcPr>
            <w:tcW w:w="16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center"/>
              <w:ind w:left="710"/>
              <w:spacing w:after="0"/>
              <w:rPr>
                <w:sz w:val="20"/>
                <w:szCs w:val="20"/>
                <w:color w:val="auto"/>
              </w:rPr>
            </w:pPr>
            <w:r>
              <w:rPr>
                <w:rFonts w:ascii="Times New Roman" w:cs="Times New Roman" w:eastAsia="Times New Roman" w:hAnsi="Times New Roman"/>
                <w:sz w:val="18"/>
                <w:szCs w:val="18"/>
                <w:color w:val="auto"/>
              </w:rPr>
              <w:t>67%</w:t>
            </w:r>
          </w:p>
        </w:tc>
        <w:tc>
          <w:tcPr>
            <w:tcW w:w="2180" w:type="dxa"/>
            <w:vAlign w:val="bottom"/>
            <w:gridSpan w:val="6"/>
            <w:shd w:val="clear" w:color="auto" w:fill="CFF0FC"/>
          </w:tcPr>
          <w:p>
            <w:pPr>
              <w:jc w:val="center"/>
              <w:ind w:left="1633"/>
              <w:spacing w:after="0"/>
              <w:rPr>
                <w:sz w:val="20"/>
                <w:szCs w:val="20"/>
                <w:color w:val="auto"/>
              </w:rPr>
            </w:pPr>
            <w:r>
              <w:rPr>
                <w:rFonts w:ascii="Times New Roman" w:cs="Times New Roman" w:eastAsia="Times New Roman" w:hAnsi="Times New Roman"/>
                <w:sz w:val="18"/>
                <w:szCs w:val="18"/>
                <w:color w:val="auto"/>
              </w:rPr>
              <w:t>61%</w:t>
            </w:r>
          </w:p>
        </w:tc>
        <w:tc>
          <w:tcPr>
            <w:tcW w:w="780" w:type="dxa"/>
            <w:vAlign w:val="bottom"/>
            <w:shd w:val="clear" w:color="auto" w:fill="CFF0FC"/>
          </w:tcPr>
          <w:p>
            <w:pPr>
              <w:spacing w:after="0"/>
              <w:rPr>
                <w:sz w:val="19"/>
                <w:szCs w:val="19"/>
                <w:color w:val="auto"/>
              </w:rPr>
            </w:pPr>
          </w:p>
        </w:tc>
        <w:tc>
          <w:tcPr>
            <w:tcW w:w="680" w:type="dxa"/>
            <w:vAlign w:val="bottom"/>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Factoring of accounts receivable and associated fees for the three and nine months ended September 30, 2025 and 2024 were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740" w:type="dxa"/>
            <w:vAlign w:val="bottom"/>
            <w:tcBorders>
              <w:bottom w:val="single" w:sz="8" w:color="auto"/>
            </w:tcBorders>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210"/>
        </w:trPr>
        <w:tc>
          <w:tcPr>
            <w:tcW w:w="3100" w:type="dxa"/>
            <w:vAlign w:val="bottom"/>
          </w:tcPr>
          <w:p>
            <w:pPr>
              <w:spacing w:after="0"/>
              <w:rPr>
                <w:sz w:val="18"/>
                <w:szCs w:val="18"/>
                <w:color w:val="auto"/>
              </w:rPr>
            </w:pPr>
          </w:p>
        </w:tc>
        <w:tc>
          <w:tcPr>
            <w:tcW w:w="2360" w:type="dxa"/>
            <w:vAlign w:val="bottom"/>
            <w:gridSpan w:val="2"/>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18"/>
                <w:szCs w:val="18"/>
                <w:color w:val="auto"/>
              </w:rPr>
            </w:pPr>
          </w:p>
        </w:tc>
        <w:tc>
          <w:tcPr>
            <w:tcW w:w="14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8"/>
                <w:szCs w:val="18"/>
                <w:color w:val="auto"/>
              </w:rPr>
            </w:pPr>
          </w:p>
        </w:tc>
      </w:tr>
      <w:tr>
        <w:trPr>
          <w:trHeight w:val="223"/>
        </w:trPr>
        <w:tc>
          <w:tcPr>
            <w:tcW w:w="31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Accounts receivable sold</w:t>
            </w:r>
          </w:p>
        </w:tc>
        <w:tc>
          <w:tcPr>
            <w:tcW w:w="1240" w:type="dxa"/>
            <w:vAlign w:val="bottom"/>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shd w:val="clear" w:color="auto" w:fill="CFF0FC"/>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199,448</w:t>
            </w:r>
          </w:p>
        </w:tc>
        <w:tc>
          <w:tcPr>
            <w:tcW w:w="300" w:type="dxa"/>
            <w:vAlign w:val="bottom"/>
            <w:shd w:val="clear" w:color="auto" w:fill="CFF0FC"/>
          </w:tcPr>
          <w:p>
            <w:pPr>
              <w:spacing w:after="0"/>
              <w:rPr>
                <w:sz w:val="19"/>
                <w:szCs w:val="19"/>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56,590</w:t>
            </w:r>
          </w:p>
        </w:tc>
        <w:tc>
          <w:tcPr>
            <w:tcW w:w="100" w:type="dxa"/>
            <w:vAlign w:val="bottom"/>
            <w:shd w:val="clear" w:color="auto" w:fill="CCEEFF"/>
          </w:tcPr>
          <w:p>
            <w:pPr>
              <w:spacing w:after="0"/>
              <w:rPr>
                <w:sz w:val="19"/>
                <w:szCs w:val="19"/>
                <w:color w:val="auto"/>
              </w:rPr>
            </w:pPr>
          </w:p>
        </w:tc>
      </w:tr>
      <w:tr>
        <w:trPr>
          <w:trHeight w:val="216"/>
        </w:trPr>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factoring fees</w:t>
            </w:r>
          </w:p>
        </w:tc>
        <w:tc>
          <w:tcPr>
            <w:tcW w:w="1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(2,433)</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r>
      <w:tr>
        <w:trPr>
          <w:trHeight w:val="249"/>
        </w:trPr>
        <w:tc>
          <w:tcPr>
            <w:tcW w:w="31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cash proceeds</w:t>
            </w:r>
          </w:p>
        </w:tc>
        <w:tc>
          <w:tcPr>
            <w:tcW w:w="12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top w:val="single" w:sz="8" w:color="auto"/>
              <w:bottom w:val="single" w:sz="8" w:color="auto"/>
            </w:tcBorders>
            <w:shd w:val="clear" w:color="auto" w:fill="CFF0FC"/>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197,015</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55,918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-24765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-7620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sold that remained outstanding as of September 30, 2025 and December 31, 2024 totaled zero and $86.1 million,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inventory consisted of the following as of September 30, 2025 and December 31, 2024 (in thousands):</w:t>
      </w:r>
    </w:p>
    <w:p>
      <w:pPr>
        <w:spacing w:after="0" w:line="219"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8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9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7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5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52,183</w:t>
            </w:r>
          </w:p>
        </w:tc>
        <w:tc>
          <w:tcPr>
            <w:tcW w:w="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54,385</w:t>
            </w:r>
          </w:p>
        </w:tc>
        <w:tc>
          <w:tcPr>
            <w:tcW w:w="100" w:type="dxa"/>
            <w:vAlign w:val="bottom"/>
            <w:shd w:val="clear" w:color="auto" w:fill="CFF0FC"/>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Semi-finished goods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107,463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92,872</w:t>
            </w:r>
          </w:p>
        </w:tc>
        <w:tc>
          <w:tcPr>
            <w:tcW w:w="100" w:type="dxa"/>
            <w:vAlign w:val="bottom"/>
          </w:tcPr>
          <w:p>
            <w:pPr>
              <w:spacing w:after="0"/>
              <w:rPr>
                <w:sz w:val="18"/>
                <w:szCs w:val="18"/>
                <w:color w:val="auto"/>
              </w:rPr>
            </w:pPr>
          </w:p>
        </w:tc>
      </w:tr>
      <w:tr>
        <w:trPr>
          <w:trHeight w:val="216"/>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2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163,728</w:t>
            </w: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157,117</w:t>
            </w:r>
          </w:p>
        </w:tc>
        <w:tc>
          <w:tcPr>
            <w:tcW w:w="100" w:type="dxa"/>
            <w:vAlign w:val="bottom"/>
          </w:tcPr>
          <w:p>
            <w:pPr>
              <w:spacing w:after="0"/>
              <w:rPr>
                <w:sz w:val="18"/>
                <w:szCs w:val="18"/>
                <w:color w:val="auto"/>
              </w:rPr>
            </w:pPr>
          </w:p>
        </w:tc>
      </w:tr>
      <w:tr>
        <w:trPr>
          <w:trHeight w:val="20"/>
        </w:trPr>
        <w:tc>
          <w:tcPr>
            <w:tcW w:w="59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5320030</wp:posOffset>
            </wp:positionH>
            <wp:positionV relativeFrom="paragraph">
              <wp:posOffset>-170815</wp:posOffset>
            </wp:positionV>
            <wp:extent cx="596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6674485</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760"/>
        <w:spacing w:after="0" w:line="282" w:lineRule="auto"/>
        <w:rPr>
          <w:sz w:val="20"/>
          <w:szCs w:val="20"/>
          <w:color w:val="auto"/>
        </w:rPr>
      </w:pPr>
      <w:r>
        <w:rPr>
          <w:rFonts w:ascii="Times New Roman" w:cs="Times New Roman" w:eastAsia="Times New Roman" w:hAnsi="Times New Roman"/>
          <w:sz w:val="18"/>
          <w:szCs w:val="18"/>
          <w:color w:val="auto"/>
        </w:rPr>
        <w:t>The Company's long-term inventory balance consists of raw materials as of September 30, 2025, and raw materials and semi-finished goods as of December 31, 2024, that are not expected to be sold within the Company's normal operating cycle.</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Inventory amounts written down as a result of excess, obsolescence, unmarketability or other reasons are charged to cost of sales. The Company's reserve for excess and obsolete inventory was $19.6 million and $19.0 million as of September 30, 2025 and December 31, 2024,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Prepaid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as of September 30, 2025 and December 31, 2024 (in thousands):</w:t>
      </w:r>
    </w:p>
    <w:p>
      <w:pPr>
        <w:spacing w:after="0" w:line="273" w:lineRule="exact"/>
        <w:rPr>
          <w:sz w:val="20"/>
          <w:szCs w:val="20"/>
          <w:color w:val="auto"/>
        </w:rPr>
      </w:pPr>
    </w:p>
    <w:tbl>
      <w:tblPr>
        <w:tblLayout w:type="fixed"/>
        <w:tblInd w:w="620" w:type="dxa"/>
        <w:tblCellMar>
          <w:top w:w="0" w:type="dxa"/>
          <w:left w:w="0" w:type="dxa"/>
          <w:bottom w:w="0" w:type="dxa"/>
          <w:right w:w="0" w:type="dxa"/>
        </w:tblCellMar>
      </w:tblPr>
      <w:tr>
        <w:trPr>
          <w:trHeight w:val="173"/>
        </w:trPr>
        <w:tc>
          <w:tcPr>
            <w:tcW w:w="6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tcPr>
          <w:p>
            <w:pPr>
              <w:jc w:val="right"/>
              <w:ind w:right="6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09"/>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payments for inventory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Prepaid research and development</w:t>
            </w: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7,780</w:t>
            </w:r>
          </w:p>
        </w:tc>
        <w:tc>
          <w:tcPr>
            <w:tcW w:w="100" w:type="dxa"/>
            <w:vAlign w:val="bottom"/>
          </w:tcPr>
          <w:p>
            <w:pPr>
              <w:spacing w:after="0"/>
              <w:rPr>
                <w:sz w:val="18"/>
                <w:szCs w:val="18"/>
                <w:color w:val="auto"/>
              </w:rPr>
            </w:pPr>
          </w:p>
        </w:tc>
      </w:tr>
      <w:tr>
        <w:trPr>
          <w:trHeight w:val="216"/>
        </w:trPr>
        <w:tc>
          <w:tcPr>
            <w:tcW w:w="6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prepaid expenses</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10,434</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prepaid assets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31,560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18,368</w:t>
            </w:r>
          </w:p>
        </w:tc>
        <w:tc>
          <w:tcPr>
            <w:tcW w:w="10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p>
      <w:pPr>
        <w:spacing w:after="0" w:line="245"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7620</wp:posOffset>
            </wp:positionV>
            <wp:extent cx="10629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62990" cy="8255"/>
                    </a:xfrm>
                    <a:prstGeom prst="rect">
                      <a:avLst/>
                    </a:prstGeom>
                    <a:noFill/>
                  </pic:spPr>
                </pic:pic>
              </a:graphicData>
            </a:graphic>
          </wp:anchor>
        </w:drawing>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-238125</wp:posOffset>
            </wp:positionH>
            <wp:positionV relativeFrom="paragraph">
              <wp:posOffset>7620</wp:posOffset>
            </wp:positionV>
            <wp:extent cx="1028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2024</w:t>
      </w:r>
    </w:p>
    <w:p>
      <w:pPr>
        <w:spacing w:after="0" w:line="1" w:lineRule="exact"/>
        <w:rPr>
          <w:sz w:val="20"/>
          <w:szCs w:val="20"/>
          <w:color w:val="auto"/>
        </w:rPr>
      </w:pPr>
    </w:p>
    <w:p>
      <w:pPr>
        <w:sectPr>
          <w:pgSz w:w="11900" w:h="16838" w:orient="portrait"/>
          <w:cols w:equalWidth="0" w:num="2">
            <w:col w:w="8560" w:space="720"/>
            <w:col w:w="1960"/>
          </w:cols>
          <w:pgMar w:left="320" w:top="766" w:right="339" w:bottom="1440" w:gutter="0" w:footer="0" w:header="0"/>
          <w:type w:val="continuous"/>
        </w:sectPr>
      </w:pPr>
    </w:p>
    <w:tbl>
      <w:tblPr>
        <w:tblLayout w:type="fixed"/>
        <w:tblInd w:w="620" w:type="dxa"/>
        <w:tblCellMar>
          <w:top w:w="0" w:type="dxa"/>
          <w:left w:w="0" w:type="dxa"/>
          <w:bottom w:w="0" w:type="dxa"/>
          <w:right w:w="0" w:type="dxa"/>
        </w:tblCellMar>
      </w:tblPr>
      <w:tr>
        <w:trPr>
          <w:trHeight w:val="209"/>
        </w:trPr>
        <w:tc>
          <w:tcPr>
            <w:tcW w:w="6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Royalties receivable</w:t>
            </w:r>
          </w:p>
        </w:tc>
        <w:tc>
          <w:tcPr>
            <w:tcW w:w="620" w:type="dxa"/>
            <w:vAlign w:val="bottom"/>
            <w:tcBorders>
              <w:top w:val="single" w:sz="8" w:color="auto"/>
            </w:tcBorders>
            <w:shd w:val="clear" w:color="auto" w:fill="CFF0FC"/>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6,534</w:t>
            </w:r>
          </w:p>
        </w:tc>
        <w:tc>
          <w:tcPr>
            <w:tcW w:w="34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4,525</w:t>
            </w:r>
          </w:p>
        </w:tc>
        <w:tc>
          <w:tcPr>
            <w:tcW w:w="100" w:type="dxa"/>
            <w:vAlign w:val="bottom"/>
            <w:shd w:val="clear" w:color="auto" w:fill="CFF0FC"/>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collaboration agreement</w:t>
            </w:r>
          </w:p>
        </w:tc>
        <w:tc>
          <w:tcPr>
            <w:tcW w:w="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18"/>
                <w:szCs w:val="18"/>
                <w:color w:val="auto"/>
              </w:rPr>
            </w:pPr>
          </w:p>
        </w:tc>
      </w:tr>
      <w:tr>
        <w:trPr>
          <w:trHeight w:val="216"/>
        </w:trPr>
        <w:tc>
          <w:tcPr>
            <w:tcW w:w="6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Deposits and other current assets</w:t>
            </w:r>
          </w:p>
        </w:tc>
        <w:tc>
          <w:tcPr>
            <w:tcW w:w="6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w:t>
            </w:r>
          </w:p>
        </w:tc>
        <w:tc>
          <w:tcPr>
            <w:tcW w:w="3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other current assets</w:t>
            </w:r>
          </w:p>
        </w:tc>
        <w:tc>
          <w:tcPr>
            <w:tcW w:w="620" w:type="dxa"/>
            <w:vAlign w:val="bottom"/>
          </w:tcPr>
          <w:p>
            <w:pPr>
              <w:jc w:val="right"/>
              <w:ind w:right="45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10,158</w:t>
            </w:r>
          </w:p>
        </w:tc>
        <w:tc>
          <w:tcPr>
            <w:tcW w:w="940" w:type="dxa"/>
            <w:vAlign w:val="bottom"/>
            <w:gridSpan w:val="2"/>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11,644</w:t>
            </w:r>
          </w:p>
        </w:tc>
        <w:tc>
          <w:tcPr>
            <w:tcW w:w="100" w:type="dxa"/>
            <w:vAlign w:val="bottom"/>
          </w:tcPr>
          <w:p>
            <w:pPr>
              <w:spacing w:after="0"/>
              <w:rPr>
                <w:sz w:val="18"/>
                <w:szCs w:val="18"/>
                <w:color w:val="auto"/>
              </w:rPr>
            </w:pPr>
          </w:p>
        </w:tc>
      </w:tr>
      <w:tr>
        <w:trPr>
          <w:trHeight w:val="20"/>
        </w:trPr>
        <w:tc>
          <w:tcPr>
            <w:tcW w:w="6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5431155</wp:posOffset>
            </wp:positionH>
            <wp:positionV relativeFrom="paragraph">
              <wp:posOffset>-170815</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6682740</wp:posOffset>
            </wp:positionH>
            <wp:positionV relativeFrom="paragraph">
              <wp:posOffset>-170815</wp:posOffset>
            </wp:positionV>
            <wp:extent cx="603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as of September 30, 2025 and December 31, 2024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2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17,525</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Accrued royalties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payroll liabilities</w:t>
            </w: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Accrued goods received not invoiced</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Product revenue reserves</w:t>
            </w:r>
          </w:p>
        </w:tc>
        <w:tc>
          <w:tcPr>
            <w:tcW w:w="2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47,448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45,145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Commercial costs</w:t>
            </w: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20,610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accrued expenses</w:t>
            </w:r>
          </w:p>
        </w:tc>
        <w:tc>
          <w:tcPr>
            <w:tcW w:w="2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140,322</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140,184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20" w:type="dxa"/>
            <w:vAlign w:val="bottom"/>
            <w:vMerge w:val="restart"/>
          </w:tcPr>
          <w:p>
            <w:pPr>
              <w:jc w:val="right"/>
              <w:ind w:right="127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-1079500</wp:posOffset>
            </wp:positionV>
            <wp:extent cx="431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-1079500</wp:posOffset>
            </wp:positionV>
            <wp:extent cx="431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September 16, 2019, the Company completed a private offering of convertible notes (the “2019 Convertible Notes”) with an aggregate principal amount of $220.0 million issued pursuant to an indenture (the “Indenture”) with U.S. Bank National Association, as trustee.</w:t>
      </w:r>
    </w:p>
    <w:p>
      <w:pPr>
        <w:spacing w:after="0" w:line="16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paid by the Company. The Company used $28.4 million of the net proceeds from the sale of the 2019 Convertible Notes to pay the cost of the capped call transactions in September 2019, described below.</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12, 2020, the Company issued convertible notes (the “2020 Convertible Notes”) with an aggregate principal amount of $300.0 million. The net proceeds from the sale of the 2020 Convertible Notes were approximately $322.9 million after deducting the purchasers’ discounts and commission of $5.7 million and offering expenses of $0.3 million. The Company used $43.1 million of the net proceeds from the sale of the 2020 Convertible Notes to pay the cost of the additional capped call transactions in May 2020, described below.</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senior unsecured obligations of the Company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into shares of the Company’s common stock at an initial conversion rate of 25.3405 shares per $1,000 principal amount of Convertible Notes (equivalent to an initial conversion price of approximately $39.4625 per share of common stock). The conversion rate is subject to customary anti-dilution adjustments. In addition, following certain events that occur prior to the maturity date or if the Company delivers a notice of redemption, the Company will increase the conversion rate for a holder who elects to convert its Convertible Notes in connection with such corporate event or a notice of redemption, as the case may be, in certain circumstances as provided in the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117" w:lineRule="exact"/>
        <w:rPr>
          <w:sz w:val="20"/>
          <w:szCs w:val="20"/>
          <w:color w:val="auto"/>
        </w:rPr>
      </w:pPr>
    </w:p>
    <w:p>
      <w:pPr>
        <w:ind w:left="1020" w:right="46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7" w:lineRule="exact"/>
        <w:rPr>
          <w:rFonts w:ascii="Times New Roman" w:cs="Times New Roman" w:eastAsia="Times New Roman" w:hAnsi="Times New Roman"/>
          <w:sz w:val="18"/>
          <w:szCs w:val="18"/>
          <w:color w:val="auto"/>
        </w:rPr>
      </w:pPr>
    </w:p>
    <w:p>
      <w:pPr>
        <w:jc w:val="both"/>
        <w:ind w:left="1020" w:right="2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the Company’s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corporate events specified in the Indenture.</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Upon conversion of the Convertible Notes, the Company will pay or deliver, as the case may be, cash, shares of the Company’s common stock or a combination of cash and shares of common stock, at the Company’s election.</w:t>
      </w:r>
    </w:p>
    <w:p>
      <w:pPr>
        <w:spacing w:after="0" w:line="17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After September 20, 2023, the Company may redeem for cash all or a portion of the Convertible Notes, at its option, if the last reported sale price of the Company’s common stock has been at least 130% of the conversion price then in effect for at least 20 trading days (whether or not consecutive), including the trading day immediately preceding the date on which the Company provides a notice of redemption, during any 30 consecutive trading day period ending on, and including, the trading day immediately preceding the date on which the Company provides notice of redemption. The redemption price will be equal to 100% of the principal amount of the Convertible Notes to be redeemed, plus accrued and unpaid interest to, but excluding, the redemption date. If the Company calls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The Company has not called for redemption or redeemed any of the Convertible Notes as of September 30, 2025.</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314"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If the Company undergoes a “fundamental change,” as defined in the Indenture, prior to maturity, subject to certain conditions, holders may require the Company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the Company. The Company accounted for the conversion of the debt as an inducement by expensing the fair value of the shares that were issued in excess of the original terms of the 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September 30, 2025 and as of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held in treasury Convertible Notes in principal amount of $425.4 million which have not been cancelled.</w:t>
      </w:r>
    </w:p>
    <w:p>
      <w:pPr>
        <w:spacing w:after="0" w:line="225"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As the Convertible Notes mature on September 15, 2026, the Company classified these as current as of September 30, 2025 and non-current as of December 31, 2024 on the Company’s unaudited condensed consolidated balance sheets.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outstanding balance of the Convertible Notes as of September 30, 2025 and December 31, 2024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5"/>
                <w:szCs w:val="15"/>
                <w:color w:val="auto"/>
              </w:rPr>
            </w:pPr>
          </w:p>
        </w:tc>
      </w:tr>
      <w:tr>
        <w:trPr>
          <w:trHeight w:val="196"/>
        </w:trPr>
        <w:tc>
          <w:tcPr>
            <w:tcW w:w="506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38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3360" w:type="dxa"/>
            <w:vAlign w:val="bottom"/>
            <w:gridSpan w:val="2"/>
            <w:shd w:val="clear" w:color="auto" w:fill="CCEEFF"/>
          </w:tcPr>
          <w:p>
            <w:pPr>
              <w:jc w:val="right"/>
              <w:ind w:right="120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93,897</w:t>
            </w:r>
          </w:p>
        </w:tc>
        <w:tc>
          <w:tcPr>
            <w:tcW w:w="1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93,897</w:t>
            </w:r>
          </w:p>
        </w:tc>
        <w:tc>
          <w:tcPr>
            <w:tcW w:w="100" w:type="dxa"/>
            <w:vAlign w:val="bottom"/>
            <w:shd w:val="clear" w:color="auto" w:fill="CCEEFF"/>
          </w:tcPr>
          <w:p>
            <w:pPr>
              <w:spacing w:after="0"/>
              <w:rPr>
                <w:sz w:val="18"/>
                <w:szCs w:val="18"/>
                <w:color w:val="auto"/>
              </w:rPr>
            </w:pP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debt discount and issuance costs, net</w:t>
            </w:r>
          </w:p>
        </w:tc>
        <w:tc>
          <w:tcPr>
            <w:tcW w:w="19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(556)</w:t>
            </w:r>
          </w:p>
        </w:tc>
      </w:tr>
      <w:tr>
        <w:trPr>
          <w:trHeight w:val="20"/>
        </w:trPr>
        <w:tc>
          <w:tcPr>
            <w:tcW w:w="50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0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carrying amount</w:t>
            </w:r>
          </w:p>
        </w:tc>
        <w:tc>
          <w:tcPr>
            <w:tcW w:w="198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20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93,581</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93,341</w:t>
            </w:r>
          </w:p>
        </w:tc>
        <w:tc>
          <w:tcPr>
            <w:tcW w:w="100" w:type="dxa"/>
            <w:vAlign w:val="bottom"/>
            <w:shd w:val="clear" w:color="auto" w:fill="CCEEFF"/>
          </w:tcPr>
          <w:p>
            <w:pPr>
              <w:spacing w:after="0"/>
              <w:rPr>
                <w:sz w:val="19"/>
                <w:szCs w:val="19"/>
                <w:color w:val="auto"/>
              </w:rPr>
            </w:pPr>
          </w:p>
        </w:tc>
      </w:tr>
      <w:tr>
        <w:trPr>
          <w:trHeight w:val="20"/>
        </w:trPr>
        <w:tc>
          <w:tcPr>
            <w:tcW w:w="506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Convertible Notes during the three and nine months ended September 30, 2025 and 2024 (in thousands):</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880" w:type="dxa"/>
            <w:vAlign w:val="bottom"/>
            <w:tcBorders>
              <w:bottom w:val="single" w:sz="8" w:color="auto"/>
            </w:tcBorders>
            <w:gridSpan w:val="5"/>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83"/>
        </w:trPr>
        <w:tc>
          <w:tcPr>
            <w:tcW w:w="3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180" w:type="dxa"/>
            <w:vAlign w:val="bottom"/>
            <w:gridSpan w:val="2"/>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30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1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2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00" w:type="dxa"/>
            <w:vAlign w:val="bottom"/>
          </w:tcPr>
          <w:p>
            <w:pPr>
              <w:spacing w:after="0"/>
              <w:rPr>
                <w:sz w:val="18"/>
                <w:szCs w:val="18"/>
                <w:color w:val="auto"/>
              </w:rPr>
            </w:pPr>
          </w:p>
        </w:tc>
      </w:tr>
      <w:tr>
        <w:trPr>
          <w:trHeight w:val="230"/>
        </w:trPr>
        <w:tc>
          <w:tcPr>
            <w:tcW w:w="3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interest expense</w:t>
            </w:r>
          </w:p>
        </w:tc>
        <w:tc>
          <w:tcPr>
            <w:tcW w:w="1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100" w:type="dxa"/>
            <w:vAlign w:val="bottom"/>
            <w:gridSpan w:val="2"/>
            <w:shd w:val="clear" w:color="auto" w:fill="CCEEFF"/>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shd w:val="clear" w:color="auto" w:fill="CCEEFF"/>
          </w:tcPr>
          <w:p>
            <w:pPr>
              <w:spacing w:after="0"/>
              <w:rPr>
                <w:sz w:val="19"/>
                <w:szCs w:val="19"/>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-24765</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7683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 Transactions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On September 11, 2019 and May 6, 2020, concurrently with the pricing of the 2019 Convertible Notes and the 2020 Convertible Notes, respectively, the Company entered into capped call transactions with two counterparties. The capped call transactions are expected generally to reduce the potential dilution to the Company’s common stock upon any conversion of Convertible Notes and/or offset any cash payments the Company is required to make in excess of the principal amount of converted Convertible Notes, as the case may be, in the event that the market price per share of the Company’s common stock, as measured under the terms of the capped call transactions, is greater than the strike price of the capped call transactions, which is initially $39.4625 (the conversion price of the Convertible Notes) and is subject to anti-dilution adjustments substantially similar to those applicable to the conversion rate of such Convertible Notes. If, however, the market price per share of the Company’s common stock, as measured under the terms of the capped call transactions, exceeds the cap price of the capped call transactions, which is initially $63.14 per share, there would nevertheless be dilution and/or there would not be an offset of such potential cash payments, in each case, to the extent that such market price exceeds the cap price of the capped call transactions.</w:t>
      </w:r>
    </w:p>
    <w:p>
      <w:pPr>
        <w:spacing w:after="0" w:line="18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February 27, 2024, the Company unwound a portion of the capped call transactions with the capped call counterparties, which resulted in cash proceeds to the Company of $98.8 million. The unwind transactions were settled at a volume-weighted average price per share of $64.11 on March 8,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As of September 30, 2025, the Company holds remaining capped call transactions in a notional amount corresponding to $93.9 million principal amount of Convertible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May 13, 2024, the Company and certain of its subsidiaries entered into a financing agreement (the “Sixth Street Financing Agreement”) with the lenders party thereto (the “Lenders”), and Sixth Street Lending Partners (“Sixth Street”), as the administrative agent and collateral agent for the Lenders.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(the “Credit Facility”), consisting of an initial draw of $375.0 million at closing and a potential additional $100.0 million draw at the Company’s option upon satisfaction of a $50.0 million minimum cash requirement and a requirement that the Company’s trailing three-month sales of SYFOVRE is at least $180.0 million prior to the $100.0 million draw by September 30, 2025. The Company did not draw down the additional $100.0 million and the option expired September 30, 2025.</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an annual rate equal to 3-month Secured Overnight Financing Rate ("SOFR") (subject to 1.00% floor), plus 5.75%. Certain additional commitment and undrawn amount fees are also payable in connection with the Credit Facility.</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The Company used $326.5 million of the proceeds from the initial draw of the Credit Facility to buy out its remaining obligations to SFJ Pharmaceuticals Group ("SFJ").</w:t>
      </w:r>
    </w:p>
    <w:p>
      <w:pPr>
        <w:spacing w:after="0" w:line="16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The Company has the right to prepay loans under the Credit Facility at any time. The Company is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(one year from May 13, 2024) and are subject to a prepayment premium up to 3% depending on timing.</w:t>
      </w:r>
    </w:p>
    <w:p>
      <w:pPr>
        <w:spacing w:after="0" w:line="183"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July 1, 2025, the Lenders and Sixth Street consented to the Royalty Agreement as further described in Note 10 (the “Consent”). In connection with the Consent, the Company agreed to extend by one year from the effective date of the Consent the periods in which certain prepayment premiums would be owed under the Sixth Street Financing Agreement. This effectively extended the period the prepayment premium would be owed from one year after the date of the initial draw, or May 13, 2024, to one year after the effective date of the Consent, or July 1, 2025.</w:t>
      </w:r>
    </w:p>
    <w:p>
      <w:pPr>
        <w:spacing w:after="0" w:line="18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assets of the Company and certain subsidiaries of the Company, including its intellectual property, and are guaranteed by certain subsidiaries of the Company, including foreign subsidiaries,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w:t>
      </w:r>
    </w:p>
    <w:p>
      <w:pPr>
        <w:spacing w:after="0" w:line="27"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$50.0 million if the Company’s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the Company is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the Company’s market capitalization, but not to exceed $600.0 million. The Company is subject to restrictions on sales and licensing transactions with respect to its core intellectual property, defined to include SYFOVRE, EMPAVELI, and other pegcetacoplan product assets, subject to certain exceptions, including certain transactions related to areas outside the United States and Europe.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The outstanding balance of the Credit Facility as of September 30, 2025 and December 31, 2024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920" w:type="dxa"/>
            <w:vAlign w:val="bottom"/>
            <w:gridSpan w:val="2"/>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16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414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580" w:type="dxa"/>
            <w:vAlign w:val="bottom"/>
            <w:tcBorders>
              <w:top w:val="single" w:sz="8" w:color="auto"/>
              <w:bottom w:val="single" w:sz="8" w:color="auto"/>
            </w:tcBorders>
          </w:tcPr>
          <w:p>
            <w:pPr>
              <w:jc w:val="right"/>
              <w:ind w:right="7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20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2680" w:type="dxa"/>
            <w:vAlign w:val="bottom"/>
            <w:shd w:val="clear" w:color="auto" w:fill="CCEEFF"/>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100" w:type="dxa"/>
            <w:vAlign w:val="bottom"/>
            <w:shd w:val="clear" w:color="auto" w:fill="CFF0F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Less: debt discount and issuance costs</w:t>
            </w:r>
          </w:p>
        </w:tc>
        <w:tc>
          <w:tcPr>
            <w:tcW w:w="2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(13,909)</w:t>
            </w:r>
          </w:p>
        </w:tc>
        <w:tc>
          <w:tcPr>
            <w:tcW w:w="300" w:type="dxa"/>
            <w:vAlign w:val="bottom"/>
          </w:tcPr>
          <w:p>
            <w:pPr>
              <w:spacing w:after="0"/>
              <w:rPr>
                <w:sz w:val="18"/>
                <w:szCs w:val="18"/>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(15,511)</w:t>
            </w:r>
          </w:p>
        </w:tc>
      </w:tr>
      <w:tr>
        <w:trPr>
          <w:trHeight w:val="250"/>
        </w:trPr>
        <w:tc>
          <w:tcPr>
            <w:tcW w:w="414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carrying amount</w:t>
            </w:r>
          </w:p>
        </w:tc>
        <w:tc>
          <w:tcPr>
            <w:tcW w:w="26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361,091</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359,489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4140" w:type="dxa"/>
            <w:vAlign w:val="bottom"/>
          </w:tcPr>
          <w:p>
            <w:pPr>
              <w:spacing w:after="0"/>
              <w:rPr>
                <w:sz w:val="24"/>
                <w:szCs w:val="24"/>
                <w:color w:val="auto"/>
              </w:rPr>
            </w:pPr>
          </w:p>
        </w:tc>
        <w:tc>
          <w:tcPr>
            <w:tcW w:w="268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-933450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-916305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212529"/>
        </w:rPr>
        <w:t>The following table sets forth total interest expense recognized related to the Credit Facility during the three and nine months ended September 30, 2025 and 2024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960" w:type="dxa"/>
            <w:vAlign w:val="bottom"/>
            <w:tcBorders>
              <w:bottom w:val="single" w:sz="8" w:color="auto"/>
            </w:tcBorders>
            <w:gridSpan w:val="5"/>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83"/>
        </w:trPr>
        <w:tc>
          <w:tcPr>
            <w:tcW w:w="38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60" w:type="dxa"/>
            <w:vAlign w:val="bottom"/>
            <w:gridSpan w:val="2"/>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58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2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9,627</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10,854</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28,602</w:t>
            </w: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16,160</w:t>
            </w:r>
          </w:p>
        </w:tc>
        <w:tc>
          <w:tcPr>
            <w:tcW w:w="100" w:type="dxa"/>
            <w:vAlign w:val="bottom"/>
          </w:tcPr>
          <w:p>
            <w:pPr>
              <w:spacing w:after="0"/>
              <w:rPr>
                <w:sz w:val="18"/>
                <w:szCs w:val="18"/>
                <w:color w:val="auto"/>
              </w:rPr>
            </w:pPr>
          </w:p>
        </w:tc>
      </w:tr>
      <w:tr>
        <w:trPr>
          <w:trHeight w:val="229"/>
        </w:trPr>
        <w:tc>
          <w:tcPr>
            <w:tcW w:w="38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interest expense</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10,183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11,435</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30,204</w:t>
            </w: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16,902</w:t>
            </w:r>
          </w:p>
        </w:tc>
        <w:tc>
          <w:tcPr>
            <w:tcW w:w="100" w:type="dxa"/>
            <w:vAlign w:val="bottom"/>
            <w:shd w:val="clear" w:color="auto" w:fill="CCEEFF"/>
          </w:tcPr>
          <w:p>
            <w:pPr>
              <w:spacing w:after="0"/>
              <w:rPr>
                <w:sz w:val="19"/>
                <w:szCs w:val="19"/>
                <w:color w:val="auto"/>
              </w:rPr>
            </w:pPr>
          </w:p>
        </w:tc>
      </w:tr>
      <w:tr>
        <w:trPr>
          <w:trHeight w:val="20"/>
        </w:trPr>
        <w:tc>
          <w:tcPr>
            <w:tcW w:w="38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-25400</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-8255</wp:posOffset>
            </wp:positionV>
            <wp:extent cx="768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-25400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-8255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recorded originally at amortized cost or fair value and are not remeasured on a recurring basis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3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420" w:type="dxa"/>
            <w:vAlign w:val="bottom"/>
            <w:shd w:val="clear" w:color="auto" w:fill="CFF0FC"/>
          </w:tcPr>
          <w:p>
            <w:pPr>
              <w:ind w:left="440"/>
              <w:spacing w:after="0"/>
              <w:rPr>
                <w:sz w:val="20"/>
                <w:szCs w:val="20"/>
                <w:color w:val="auto"/>
              </w:rPr>
            </w:pPr>
            <w:r>
              <w:rPr>
                <w:rFonts w:ascii="Times New Roman" w:cs="Times New Roman" w:eastAsia="Times New Roman" w:hAnsi="Times New Roman"/>
                <w:sz w:val="16"/>
                <w:szCs w:val="16"/>
                <w:color w:val="auto"/>
              </w:rPr>
              <w:t>Type of Instrument</w:t>
            </w:r>
          </w:p>
        </w:tc>
        <w:tc>
          <w:tcPr>
            <w:tcW w:w="4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4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215,630</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215,630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shd w:val="clear" w:color="auto" w:fill="CFF0FC"/>
          </w:tcPr>
          <w:p>
            <w:pPr>
              <w:spacing w:after="0" w:line="20" w:lineRule="exact"/>
              <w:rPr>
                <w:sz w:val="1"/>
                <w:szCs w:val="1"/>
                <w:color w:val="auto"/>
              </w:rPr>
            </w:pPr>
          </w:p>
        </w:tc>
        <w:tc>
          <w:tcPr>
            <w:tcW w:w="242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215,630</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4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Balance Sheet Classification</w:t>
            </w:r>
          </w:p>
        </w:tc>
        <w:tc>
          <w:tcPr>
            <w:tcW w:w="2420" w:type="dxa"/>
            <w:vAlign w:val="bottom"/>
            <w:vMerge w:val="restart"/>
          </w:tcPr>
          <w:p>
            <w:pPr>
              <w:ind w:left="440"/>
              <w:spacing w:after="0"/>
              <w:rPr>
                <w:sz w:val="20"/>
                <w:szCs w:val="20"/>
                <w:color w:val="auto"/>
              </w:rPr>
            </w:pPr>
            <w:r>
              <w:rPr>
                <w:rFonts w:ascii="Times New Roman" w:cs="Times New Roman" w:eastAsia="Times New Roman" w:hAnsi="Times New Roman"/>
                <w:sz w:val="16"/>
                <w:szCs w:val="16"/>
                <w:color w:val="auto"/>
              </w:rPr>
              <w:t>Type of Instrument</w:t>
            </w:r>
          </w:p>
        </w:tc>
        <w:tc>
          <w:tcPr>
            <w:tcW w:w="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42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4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Financial Assets:</w:t>
            </w:r>
          </w:p>
        </w:tc>
        <w:tc>
          <w:tcPr>
            <w:tcW w:w="242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Money market funds</w:t>
            </w:r>
          </w:p>
        </w:tc>
        <w:tc>
          <w:tcPr>
            <w:tcW w:w="4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276,868</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420" w:type="dxa"/>
            <w:vAlign w:val="bottom"/>
            <w:shd w:val="clear" w:color="auto" w:fill="CFF1FC"/>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2420" w:type="dxa"/>
            <w:vAlign w:val="bottom"/>
            <w:shd w:val="clear" w:color="auto" w:fill="CFF1FC"/>
          </w:tcPr>
          <w:p>
            <w:pPr>
              <w:spacing w:after="0"/>
              <w:rPr>
                <w:sz w:val="19"/>
                <w:szCs w:val="19"/>
                <w:color w:val="auto"/>
              </w:rPr>
            </w:pPr>
          </w:p>
        </w:tc>
        <w:tc>
          <w:tcPr>
            <w:tcW w:w="440" w:type="dxa"/>
            <w:vAlign w:val="bottom"/>
            <w:shd w:val="clear" w:color="auto" w:fill="CFF1FC"/>
          </w:tcPr>
          <w:p>
            <w:pPr>
              <w:spacing w:after="0"/>
              <w:rPr>
                <w:sz w:val="19"/>
                <w:szCs w:val="19"/>
                <w:color w:val="auto"/>
              </w:rPr>
            </w:pPr>
          </w:p>
        </w:tc>
        <w:tc>
          <w:tcPr>
            <w:tcW w:w="260" w:type="dxa"/>
            <w:vAlign w:val="bottom"/>
            <w:shd w:val="clear" w:color="auto" w:fill="CFF1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1FC"/>
          </w:tcPr>
          <w:p>
            <w:pPr>
              <w:jc w:val="right"/>
              <w:spacing w:after="0"/>
              <w:rPr>
                <w:sz w:val="20"/>
                <w:szCs w:val="20"/>
                <w:color w:val="auto"/>
              </w:rPr>
            </w:pPr>
            <w:r>
              <w:rPr>
                <w:rFonts w:ascii="Times New Roman" w:cs="Times New Roman" w:eastAsia="Times New Roman" w:hAnsi="Times New Roman"/>
                <w:sz w:val="18"/>
                <w:szCs w:val="18"/>
                <w:color w:val="auto"/>
              </w:rPr>
              <w:t>276,868</w:t>
            </w:r>
          </w:p>
        </w:tc>
        <w:tc>
          <w:tcPr>
            <w:tcW w:w="500" w:type="dxa"/>
            <w:vAlign w:val="bottom"/>
            <w:gridSpan w:val="2"/>
            <w:shd w:val="clear" w:color="auto" w:fill="CFF1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1FC"/>
          </w:tcPr>
          <w:p>
            <w:pPr>
              <w:ind w:left="84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3"/>
            <w:shd w:val="clear" w:color="auto" w:fill="CFF1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1FC"/>
          </w:tcPr>
          <w:p>
            <w:pPr>
              <w:ind w:left="120"/>
              <w:spacing w:after="0"/>
              <w:rPr>
                <w:sz w:val="20"/>
                <w:szCs w:val="20"/>
                <w:color w:val="auto"/>
              </w:rPr>
            </w:pPr>
            <w:r>
              <w:rPr>
                <w:rFonts w:ascii="Times New Roman" w:cs="Times New Roman" w:eastAsia="Times New Roman" w:hAnsi="Times New Roman"/>
                <w:sz w:val="18"/>
                <w:szCs w:val="18"/>
                <w:color w:val="auto"/>
                <w:w w:val="99"/>
              </w:rPr>
              <w:t>—</w:t>
            </w:r>
          </w:p>
        </w:tc>
        <w:tc>
          <w:tcPr>
            <w:tcW w:w="520" w:type="dxa"/>
            <w:vAlign w:val="bottom"/>
            <w:gridSpan w:val="2"/>
            <w:shd w:val="clear" w:color="auto" w:fill="CFF1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1FC"/>
          </w:tcPr>
          <w:p>
            <w:pPr>
              <w:jc w:val="right"/>
              <w:spacing w:after="0"/>
              <w:rPr>
                <w:sz w:val="20"/>
                <w:szCs w:val="20"/>
                <w:color w:val="auto"/>
              </w:rPr>
            </w:pPr>
            <w:r>
              <w:rPr>
                <w:rFonts w:ascii="Times New Roman" w:cs="Times New Roman" w:eastAsia="Times New Roman" w:hAnsi="Times New Roman"/>
                <w:sz w:val="18"/>
                <w:szCs w:val="18"/>
                <w:color w:val="auto"/>
              </w:rPr>
              <w:t>276,868</w:t>
            </w:r>
          </w:p>
        </w:tc>
        <w:tc>
          <w:tcPr>
            <w:tcW w:w="120" w:type="dxa"/>
            <w:vAlign w:val="bottom"/>
            <w:shd w:val="clear" w:color="auto" w:fill="CFF1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20" w:type="dxa"/>
            <w:vAlign w:val="bottom"/>
            <w:tcBorders>
              <w:top w:val="single" w:sz="8" w:color="CFF1FC"/>
            </w:tcBorders>
            <w:shd w:val="clear" w:color="auto" w:fill="CFF1FC"/>
          </w:tcPr>
          <w:p>
            <w:pPr>
              <w:spacing w:after="0" w:line="20" w:lineRule="exact"/>
              <w:rPr>
                <w:sz w:val="1"/>
                <w:szCs w:val="1"/>
                <w:color w:val="auto"/>
              </w:rPr>
            </w:pPr>
          </w:p>
        </w:tc>
        <w:tc>
          <w:tcPr>
            <w:tcW w:w="2420" w:type="dxa"/>
            <w:vAlign w:val="bottom"/>
            <w:tcBorders>
              <w:top w:val="single" w:sz="8" w:color="CFF1FC"/>
            </w:tcBorders>
            <w:shd w:val="clear" w:color="auto" w:fill="CFF1FC"/>
          </w:tcPr>
          <w:p>
            <w:pPr>
              <w:spacing w:after="0" w:line="20" w:lineRule="exact"/>
              <w:rPr>
                <w:sz w:val="1"/>
                <w:szCs w:val="1"/>
                <w:color w:val="auto"/>
              </w:rPr>
            </w:pPr>
          </w:p>
        </w:tc>
        <w:tc>
          <w:tcPr>
            <w:tcW w:w="440" w:type="dxa"/>
            <w:vAlign w:val="bottom"/>
            <w:tcBorders>
              <w:top w:val="single" w:sz="8" w:color="CFF1FC"/>
            </w:tcBorders>
            <w:shd w:val="clear" w:color="auto" w:fill="CFF1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1FC"/>
            </w:tcBorders>
            <w:shd w:val="clear" w:color="auto" w:fill="CFF1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1FC"/>
            </w:tcBorders>
            <w:shd w:val="clear" w:color="auto" w:fill="CFF1FC"/>
          </w:tcPr>
          <w:p>
            <w:pPr>
              <w:spacing w:after="0" w:line="20" w:lineRule="exact"/>
              <w:rPr>
                <w:sz w:val="1"/>
                <w:szCs w:val="1"/>
                <w:color w:val="auto"/>
              </w:rPr>
            </w:pPr>
          </w:p>
        </w:tc>
        <w:tc>
          <w:tcPr>
            <w:tcW w:w="140" w:type="dxa"/>
            <w:vAlign w:val="bottom"/>
            <w:tcBorders>
              <w:top w:val="single" w:sz="8" w:color="CFF1FC"/>
            </w:tcBorders>
            <w:shd w:val="clear" w:color="auto" w:fill="CFF1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1FC"/>
            </w:tcBorders>
            <w:shd w:val="clear" w:color="auto" w:fill="CFF1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1FC"/>
            </w:tcBorders>
            <w:shd w:val="clear" w:color="auto" w:fill="CFF1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-1268095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-1268095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-1268095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-1268095</wp:posOffset>
            </wp:positionV>
            <wp:extent cx="77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-984885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-984885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-984885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-984885</wp:posOffset>
            </wp:positionV>
            <wp:extent cx="7747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-24765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-24765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Company’s Convertible Notes are financial instruments that are reported in the condensed consolidated financial statements at historical cost. The Convertible Notes are Level 1 within the fair value level hierarchy as of September 30, 2025 and December 31, 2024. The fair value of the Convertible Notes was $94.0 million as of September 30, 2025 and $102.3 million as of December 31, 2024. The Convertible Notes accrue a semi-annual coupon at an annual rate of 3.5%, which was included in accrued expenses in the consolidated balance sheets as of September 30, 2025 and December 31, 2024.</w:t>
      </w:r>
    </w:p>
    <w:p>
      <w:pPr>
        <w:spacing w:after="0" w:line="180"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 believes that the carrying amounts of remaining financial assets and liabilities, which include other current assets, accounts payable, and accrued expenses, approximates their fair values due to their short-term nature.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income tax provision during interim periods is computed by applying an estimated annual effective tax rate to year-to-date pre-tax income, plus adjustments for significant unusual or infrequently occurring items, in accordance with FASB ASC Topic 740-270, Income Taxes – Interim Reporting. The income tax provision differs from the U.S. federal statutory rate of 21% primarily due to the effect of valuation allowance against the Company’s net deferred tax assets, which reduces the Company’s net tax benefit.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Deferred tax assets and deferred tax liabilities are determined based on temporary differences between the financial reporting and tax bases of assets and liabilities and are measured using the enacted tax rates and laws that will be in effect when the differences are expected to reverse. A valuation allowance is recorded against deferred tax assets if it is more likely than not that some portion or all of the deferred tax assets will not be realized. The Company has recorded a full valuation allowance against its net deferred tax assets as of September 30, 2025 and December 31, 2024.</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does not recognize a tax benefit for uncertain tax positions unless it is more likely than not that the position will be sustained upon examination by tax authorities, including resolution of any related appeals or litigation processes, based on the technical merits of the position. The tax benefit that is recorded for these positions is measured at the largest amount of cumulative benefit that has greater than a 50 percent likelihood of being realized upon ultimate settlement. Deferred tax assets that do not meet these recognition criteria are not recorded and the Company recognizes a liability for uncertain tax positions that may result in tax payments. The Company has not recorded any amounts for unrecognized tax positions for the period ended September 30, 2025. The Company's policy is to review and update unrecognized tax positions as facts and circumstances change.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U.S. The OBBBA includes significant tax provisions, such as permanent extension of certain expiring provisions of the Tax Cuts and Jobs Act and the restoration of favorable tax treatment for certain business provisions. The legislation has multiple effective dates, with certain provisions effective in 2025 and others implemented through 2027. The new legislation did not have a material impact on the Company's tax provision during the quarter.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recorded $0.6 million and $1.4 million of income tax expense for the three and nine months ended September 30, 2025, respectively, and</w:t>
      </w:r>
    </w:p>
    <w:p>
      <w:pPr>
        <w:spacing w:after="0" w:line="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$0.6 million and $0.9 million of income tax expense for the three and nine months ended September 30, 2024, respectively. The provision for income taxes consists of current tax expense, which relates primarily to the Company’s state and foreign tax jurisdictions where net operating loss carryforwards were either limited or not available.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License and Collaboration Agreements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Sobi License and Collaboration Agreement</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October 2020, the Company and its subsidiaries, Apellis International GmbH (f/k/a Apellis Switzerland GmbH) and APL DEL Holdings, LLC, entered into a Collaboration and License Agreement (the “Sobi collaboration agreement”) with Sobi, concerning the development and commercialization of pegcetacoplan and specified other structurally and functionally similar compstatin analogues or derivatives for use systemically or for local non-ophthalmological administration (collectively referred to as the “Licensed Products”).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Sobi collaboration agreement, the Company granted Sobi an exclusive (subject to certain retained rights of the Company), sublicensable license of certain patent rights and know-how to develop and commercialize Licensed Products in all countries outside of the United States.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 retains the right to commercialize Licensed Products in the United States, and, subject to specified limitations, to develop Licensed Products worldwide for commercialization in the United States.</w:t>
      </w:r>
    </w:p>
    <w:p>
      <w:pPr>
        <w:spacing w:after="0" w:line="16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Under the Sobi collaboration agreement, the Company and Sobi agreed to collaborate to develop Licensed Products for certain indications, including PNH, C3G, IC-MPGN and HSCT-TMA (collectively the “Initial Indications”), and any other indications subsequently agreed upon by the parties, for commercialization by or on behalf of the Company in the United States and by or on behalf of Sobi outside of the United States. If the parties do not agree to jointly pursue any development activities for the Licensed Products (whether for an Initial Indication or otherwise), the party proposing to pursue such activities may conduct such activities at its sole expense (with the non-proposing party having the right to obtain rights to the data generated by such development activities by paying a specified percentage of that expense), subject to agreed-upon exceptions that limit each party’s unilateral development rights. In July 2025, the Company and Sobi decided to discontinue development of systemic pegcetacoplan for Transplant-associated Thrombotic Microangiopathy (TA-TMA) (inclusive of HSCT-TMA), following completion of the Phase 2 study and a strategic assessment of the TA-TMA market landscape.</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development plan sets forth the initial development activities to be conducted by each of the Company and Sobi, with the Company bearing all costs incurred in conducting the activities set forth in such initial development plan, as well as certain specified additional costs that are not included in the initial development plan that may be incurred by the parties in developing Licensed Products for PNH in the European Union and the United Kingdom. The Company and Sobi formed several governance committees to oversee the development and manufacture, and to review and discuss the commercialization, of Licensed Products.</w:t>
      </w:r>
    </w:p>
    <w:p>
      <w:pPr>
        <w:spacing w:after="0" w:line="183"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Company shall supply Licensed Products to Sobi for development and for commercialization outside of the United States in accordance with a supply agreement between the parties. The Sobi collaboration agreement grants Sobi the right to perform or have performed drug product manufacturing of Licensed Products for development and for commercialization outside the United States and to manufacture or have manufactured drug substance under certain circumstances. For the three and nine months ended September 30, 2025 the Company recognized revenues of $5.2 million and $17.2 million, respectively, for the supply of Licensed Products to Sobi, which is included in Licensing and other revenue on the condensed consolidated statements of operations and comprehensive income/(loss). For the three and nine months ended September 30, 2024 the Company recognized revenues of $15.3 million and $36.2 million, respectively, for the supply of Licensed Products to Sobi, which is included in Licensing and other revenue on the condensed consolidated statements of operations and comprehensive income/(loss).</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Sobi paid the Company an upfront payment of $250.0 million in November 2020 and has agreed to pay up to an aggregate of $915.0 million upon the achievement of specified one-time regulatory and commercial milestone events, of which the Company received $50.0 million in April 2022 for the achievement of a regulatory development milestone in Europe. Sobi also agreed to reimburse the Company for up to $80.0 million in development costs, of which the Company received $65.0 million and waived payment of $15.0 million. The Company will also be entitled to receive tiered, double-digit royalties (ranging from high teens to high twenties) on sales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Under the Sobi collaboration agreement, the Company remains responsible for its license fee obligations (including royalty obligations) to the Trustees of the University of Pennsylvania (“Penn”), as a licensor of the Company.</w:t>
      </w:r>
    </w:p>
    <w:p>
      <w:pPr>
        <w:spacing w:after="0" w:line="75"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July 1, 2025 (the “Closing Date”), Apellis Pharmaceuticals, Inc. and its subsidiaries Apellis International GmbH and APL DEL Holdings, LLC (collectively, the “Company”) entered into a Royalty Buy-Down Agreement (the “Royalty Agreement”) with Sobi.</w:t>
      </w:r>
    </w:p>
    <w:p>
      <w:pPr>
        <w:spacing w:after="0" w:line="162"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Under the Royalty Agreement, Sobi paid the Company an upfront payment of $275.0 million and agreed to pay up to an aggregate of $25.0 million upon the European Medicines Agency ("EMA") approval of Aspaveli for C3G and IC-MPGN (collectively, the "purchase price"), and the Company agreed to reduce Sobi’s royalty payment obligations under the Sobi collaboration agreement by 90%, effective July 1, 2025. The royalty reduction is subject to defined caps tied to Aspaveli’s performance, including an initial cap of 1.45x of the purchase price.</w:t>
      </w:r>
    </w:p>
    <w:p>
      <w:pPr>
        <w:spacing w:after="0" w:line="180"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18"/>
          <w:szCs w:val="18"/>
          <w:color w:val="auto"/>
        </w:rPr>
        <w:t>The royalty reduction subject to the cap is calculated as an amount equal to (A) the royalty payments that would have been payable by Sobi under the Sobi collaboration agreement with respect to aggregate net sales of Aspaveli in the Sobi Territory during the period beginning on July 1, 2025 and ending on the hard cap achievement date if the 90% reduction not been applied, minus (B) the royalty payments that are payable to the Company with the 90% reduction in effect. At any time on or after October 1, 2030, the Company may elect to pay Sobi a one-time payment amount, which shall be counted in determining if a cap is met. If a cap is met, Sobi’s royalty payment obligations under the Sobi collaboration agreement will revert to 100%.</w:t>
      </w:r>
    </w:p>
    <w:p>
      <w:pPr>
        <w:spacing w:after="0" w:line="1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The Company has evaluated the terms of the Royalty Agreement and concluded, in accordance with </w:t>
      </w:r>
      <w:r>
        <w:rPr>
          <w:rFonts w:ascii="Times New Roman" w:cs="Times New Roman" w:eastAsia="Times New Roman" w:hAnsi="Times New Roman"/>
          <w:sz w:val="18"/>
          <w:szCs w:val="18"/>
          <w:i w:val="1"/>
          <w:iCs w:val="1"/>
          <w:color w:val="auto"/>
        </w:rPr>
        <w:t>ASC 606 Revenue from Contracts with Customers</w:t>
      </w:r>
      <w:r>
        <w:rPr>
          <w:rFonts w:ascii="Times New Roman" w:cs="Times New Roman" w:eastAsia="Times New Roman" w:hAnsi="Times New Roman"/>
          <w:sz w:val="18"/>
          <w:szCs w:val="18"/>
          <w:color w:val="auto"/>
        </w:rPr>
        <w:t>, the Royalty Agreement is a modification to, and should be accounted for as if it were part of, the existing Sobi collaboration agreement. Therefore, the effect of the modification on the transaction price, being the addition of the $275.0 million upfront payment, was recognized as an adjustment to revenue on the date of the modification. This amount is reflected in licensing and other revenue on the condensed consolidated statement of operations and comprehensive income/(loss) for the three and nine months ended September 30, 2025. The royalty revenues from the sales of Aspaveli will continue to be recorded as licensing and other revenue on the condensed consolidated statement of operations and comprehensive income/(loss) as the sales are made by Sobi outside of the United States.</w:t>
      </w:r>
    </w:p>
    <w:p>
      <w:pPr>
        <w:spacing w:after="0" w:line="18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Under the Sobi collaboration agreement, for the three and nine months ended September 30, 2025, the Company recognized $0.6 million and $12.6 million, respectively, of royalty revenue from sales of Aspaveli, which was sold by Sobi outside of the United States. For the three and nine months ended September 30, 2024, the Company recognized $5.0 million and $13.9 million, respectively, of royalty revenue from sales of Aspaveli, which was sold by Sobi outside of the United States.</w:t>
      </w:r>
    </w:p>
    <w:p>
      <w:pPr>
        <w:spacing w:after="0" w:line="180"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contra-research and development expense for the three and nine months ended September 30, 2025 and 2024. The Company doesn't expect to recognize the additional contra-research and development expense under this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University of Pennsylvania License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License Agreement with Penn (Non-ophthalmic Fields of Use)</w:t>
      </w:r>
    </w:p>
    <w:p>
      <w:pPr>
        <w:spacing w:after="0" w:line="227"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is party to a license agreement with Penn for an exclusive, worldwide license to specified patent rights for the development and commercialization of products in fields of use, as defined therein. The Company is required to make milestone payments aggregating up to $1.7 million, based upon the achievement of development and regulatory approval milestones, and up to $2.5 million, based upon the achievement of annual sales milestones with respect to each of the first two licensed products. The license agreement also requires the Company to pay low single digit royalties based on net sales of each licensed product, subject to minimum quarterly royalty thresholds. In addition, the Company is obligated to pay a specified portion of income it receives from sublicensees.</w:t>
      </w:r>
    </w:p>
    <w:p>
      <w:pPr>
        <w:spacing w:after="0" w:line="18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January 2021, the Company paid $25.0 million for a sublicense fee owed to Penn related to the Sobi collaboration agreement and another licensing transaction. In August 2021, the Company paid $1.0 million to Penn upon the achievement of a development milestone, net of a credit for the annual license maintenance payment. In June 2022, the Company paid an additional $5.0 million to Penn for a sublicense fee related to the Sobi collaboration agreement. In January 2023, the Company paid $1.0 million to Penn upon the achievement of a sales milestone for EMPAVELI in 2022. In January 2024, the Company paid $0.5 million for a sublicense fee owed to Penn related to Sobi obtaining regulatory approval in Japan. Additionally, in January 2024, the Company paid $1.5 million as a result of the achievement of a sales milestone for EMPAVELI and Aspaveli.</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the Company incurred royalty expense of $2.0 million and $5.3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respectively, on sales of EMPAVELI and Aspaveli which is included in cost of sales on the condensed consolidated statements of operations and comprehensive income/(loss).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incurred royalty expense of $1.8 million and $5.0 million, respectively, on sales of EMPAVELI and Aspaveli which is included in cost of sales on the condensed consolidated statements of operations and comprehensive income/(loss).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Amended and Restated Patent License Agreement with Penn (Ophthalmic Field of Use)</w:t>
      </w:r>
    </w:p>
    <w:p>
      <w:pPr>
        <w:spacing w:after="0" w:line="227"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The Company is also party to a license agreement with Penn for an exclusive, worldwide license to specified patent rights. The Company is required to make milestone payments aggregating up to $3.2 million based upon the achievement of specified development and regulatory milestones and up to $5.0 million based upon the achievement of specified annual sales milestones with respect to each licensed product, and to pay low single-digit royalties based on net sales of each licensed product and with minimum quarterly royalty thresholds. In addition, the Company is obligated to pay a specified portion of income it receives from sublicensees.</w:t>
      </w:r>
    </w:p>
    <w:p>
      <w:pPr>
        <w:spacing w:after="0" w:line="3" w:lineRule="exact"/>
        <w:rPr>
          <w:sz w:val="20"/>
          <w:szCs w:val="20"/>
          <w:color w:val="auto"/>
        </w:rPr>
      </w:pPr>
    </w:p>
    <w:p>
      <w:pPr>
        <w:ind w:right="360"/>
        <w:spacing w:after="0" w:line="255" w:lineRule="auto"/>
        <w:rPr>
          <w:sz w:val="20"/>
          <w:szCs w:val="20"/>
          <w:color w:val="auto"/>
        </w:rPr>
      </w:pPr>
      <w:r>
        <w:rPr>
          <w:rFonts w:ascii="Times New Roman" w:cs="Times New Roman" w:eastAsia="Times New Roman" w:hAnsi="Times New Roman"/>
          <w:sz w:val="18"/>
          <w:szCs w:val="18"/>
          <w:color w:val="auto"/>
        </w:rPr>
        <w:t>In April 2023, the Company paid $2.3 million for the achievement of a regulatory milestone as a result of the FDA approval of SYFOVRE in February 2023. In 2023, the Company incurred $5.0 million as a result of the achievement of sales milestones for SYFOVRE of which the Company paid $2.0 million in October 2023 and the remaining $3.0 million in January 2024.</w:t>
      </w:r>
    </w:p>
    <w:p>
      <w:pPr>
        <w:spacing w:after="0" w:line="18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incurred royalty expense of $4.9 million and $14.1 million, respectively, on sales of SYFOVRE, which is included in cost of sales on the condensed consolidated statements of operations and comprehensive income/(loss).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2024, the Company incurred royalty expense of $4.9 million and $14.4 million, respectively, on sales of SYFOVRE, which is included in cost of sales on the condensed consolidated statements of operations and comprehensive income/(loss).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Beam Research Collaboration</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June 2021, the Company entered into an exclusive five-year research collaboration (the “Beam collaboration agreement”) with Beam Therapeutics, Inc. (“Beam”) focused on the use of Beam’s proprietary base editing technology to discover new treatments for complement-driven diseases. The Company and Beam agreed to collaborate on up to six research programs focused on C3 and other complement targets in the eye, liver and brain. Under the terms of the Beam collaboration agreement, the Company is responsible for selecting specific genes within the complement system in various organs including the eye, liver and brain (the “Target List”) and providing analytical support while Beam will apply its base editing technology and conduct preclinical research on up to six base editing programs for the Target List. During the first five years of the Beam collaboration agreement, Beam is prohibited from developing on its own or with a third party any base editing therapies associated with the items on the Target List but does not prevent Beam from licensing its intellectual property to a third-party for another purpose outside of the Target List. The Company will have exclusive rights to license each of the six programs and will assume responsibility for subsequent development and commercialization. Beam may elect to enter a 50-50 co-development and U.S. co-commercialization agreement with the Company with respect to any one program licensed under the Beam collaboration agreement and upon such election any license agreement in place at that time, would be terminated.</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As part of the Beam collaboration agreement, the Company agreed to pay a $50.0 million up-front, non-refundable payment to Beam, which the Company paid in July 2021. The Company paid an additional $25.0 million on the first anniversary of the Beam collaboration agreement in June 2022. The Company and Beam are each responsible for their own costs during the research collaboration. If and after the opt-in license rights are exercised for each of the six programs, Beam will be eligible to receive development, regulatory and sales milestones from the Company, as well as royalty payments on sales. The Beam collaboration agreement has an initial term of five years and may be extended up to two years on a per year program-by-program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Further, in August 2025, the Company opted in and entered into a license agreement with Beam to collaborate on the neonatal Fc receptor ("FcRn")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liver, which triggered an upfront milestone payment of $3.8 million, paid in September 2025. Under this agreement, the Company may pay Beam up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$168.8 million in regulatory and development milestones, up to $215.0 million in sales-based milestones, and may owe low single-digit royalties on annual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within the licensed territory.</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 and Contingencies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certain non-cancelable purchase obligations related to the manufacturing of drug substance. The Company has agreed to purchase from Bachem Americas, Inc. a significant portion of its requirements for the pegcetacoplan drug substance. Under a commercial supply agreement with NOF Corporation ("NOF"), the Company has agreed to purchase activated polyethylene glycol derivative, or PEG, which is a component of pegcetacoplan. In September 2024, the Company terminated the minimum purchase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6" w:lineRule="exact"/>
        <w:rPr>
          <w:sz w:val="20"/>
          <w:szCs w:val="20"/>
          <w:color w:val="auto"/>
        </w:rPr>
      </w:pPr>
    </w:p>
    <w:p>
      <w:pPr>
        <w:jc w:val="both"/>
        <w:ind w:right="220"/>
        <w:spacing w:after="0" w:line="258" w:lineRule="auto"/>
        <w:rPr>
          <w:sz w:val="20"/>
          <w:szCs w:val="20"/>
          <w:color w:val="auto"/>
        </w:rPr>
      </w:pPr>
      <w:r>
        <w:rPr>
          <w:rFonts w:ascii="Times New Roman" w:cs="Times New Roman" w:eastAsia="Times New Roman" w:hAnsi="Times New Roman"/>
          <w:sz w:val="18"/>
          <w:szCs w:val="18"/>
          <w:color w:val="auto"/>
        </w:rPr>
        <w:t>obligation with NOF for 2025. Under these agreements, as of September 30, 2025, the Company is obligated to pay up to $94.7 million to these vendors over the next two years. As a result of the termination of the minimum purchase obligation with NOF, the Company incurred an expense of $6.4 million, which was included in cost of sales on the consolidated statements of operations and comprehensive loss for the year ended December 31, 2024. As this amount is due in January 2026, it is included in accounts payable on the condensed consolidated balance sheet as of September 30, 2025 and included in other liabilities on the condensed consolidated balance sheet as December 31, 2024.</w:t>
      </w:r>
    </w:p>
    <w:p>
      <w:pPr>
        <w:spacing w:after="0" w:line="1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has other non-cancelable purchase agreements as of September 30, 2025, under which it is obligated to pay up to $11.5 million to vendors over the next five years.</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 is a party to a master lease agreement under which the Company leases vehicles with initial terms of 36 months from the date of delivery. If the Company were unable to take delivery of a previously ordered vehicle, the Company may incur nominal fees</w:t>
      </w:r>
      <w:r>
        <w:rPr>
          <w:rFonts w:ascii="Times New Roman" w:cs="Times New Roman" w:eastAsia="Times New Roman" w:hAnsi="Times New Roman"/>
          <w:sz w:val="16"/>
          <w:szCs w:val="16"/>
          <w:color w:val="auto"/>
        </w:rPr>
        <w:t>.</w:t>
      </w:r>
    </w:p>
    <w:p>
      <w:pPr>
        <w:spacing w:after="0" w:line="16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Indemnifications</w:t>
      </w:r>
      <w:r>
        <w:rPr>
          <w:rFonts w:ascii="Times New Roman" w:cs="Times New Roman" w:eastAsia="Times New Roman" w:hAnsi="Times New Roman"/>
          <w:sz w:val="18"/>
          <w:szCs w:val="18"/>
          <w:color w:val="auto"/>
        </w:rPr>
        <w:t>—In the ordinary course of business, the Company enters into agreements that may include indemnification provisions. Pursuant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the Company may indemnify, hold harmless and defend indemnified parties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not incurred any cost to defend lawsuits or settle claims related to these indemnification provisions.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r>
        <w:rPr>
          <w:rFonts w:ascii="Times New Roman" w:cs="Times New Roman" w:eastAsia="Times New Roman" w:hAnsi="Times New Roman"/>
          <w:sz w:val="18"/>
          <w:szCs w:val="18"/>
          <w:color w:val="auto"/>
        </w:rPr>
        <w:t>—During the normal course of business, the Company may be a party to legal claims that may not be covered by insurance.</w:t>
      </w:r>
    </w:p>
    <w:p>
      <w:pPr>
        <w:spacing w:after="0" w:line="2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March 2025, the United States District Court for the District Court of Massachusetts dismissed, without prejudice and without leave to amend, a putative class action complaint that was filed in August 2023 against the Company and certain current and former executive officers of the Company, which alleged, among other things, that the defendants violated Sections 10(b) and/or 20(a) of the Exchange Act and Rule 10b-5 promulgated thereunder by misrepresenting and/or omitting certain material facts related to the design of SYFOVRE’s clinical trials and the risks associated with SYFOVRE’s commercial adoption, and sought, among other relief, compensatory damages and equitable relief in favor of the alleged class against all defendants, including interest, and reasonable costs and expenses incurred by plaintiffs, including attorneys’ and expert fees. In April 2025, the plaintiffs filed an appeal to the United States Court of Appeals for the First Circuit, where the case currently awaits further decision.</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In December 2024, purported stockholders filed putative stockholder derivative lawsuits in the United States District Court for the District of Massachusetts on behalf of the Company against the Company’s directors for breach of fiduciary duty, unjust enrichment, waste, and alleged violation of Section 14(a) of the Exchange Act related to the design of SYFOVRE’s clinical trials and the risks associated with SYFOVRE’s commercial adoption, and sought monetary and punitive damages, and costs, including attorneys’ fees. These cases were consolidated under the caption </w:t>
      </w:r>
      <w:r>
        <w:rPr>
          <w:rFonts w:ascii="Times New Roman" w:cs="Times New Roman" w:eastAsia="Times New Roman" w:hAnsi="Times New Roman"/>
          <w:sz w:val="18"/>
          <w:szCs w:val="18"/>
          <w:i w:val="1"/>
          <w:iCs w:val="1"/>
          <w:color w:val="auto"/>
        </w:rPr>
        <w:t>In re Apellis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Pharmaceuticals, Inc. Derivative Litigation</w:t>
      </w:r>
      <w:r>
        <w:rPr>
          <w:rFonts w:ascii="Times New Roman" w:cs="Times New Roman" w:eastAsia="Times New Roman" w:hAnsi="Times New Roman"/>
          <w:sz w:val="18"/>
          <w:szCs w:val="18"/>
          <w:color w:val="auto"/>
        </w:rPr>
        <w:t>, No. 1:24-cv-13128-JEK in January 2025 and are stayed pending the outcome of the appeal in the United States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Court of Appeals for the First Circuit of the dismissal of the securities class action.</w:t>
      </w:r>
    </w:p>
    <w:p>
      <w:pPr>
        <w:spacing w:after="0" w:line="18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Company’s businesses may also be subject at any time to commercial disputes, product liability claims, personal injury claims, third-party subpoenas or various other lawsuits arising in the ordinary course of business, including intellectual property infringement, employment or investor matters, and the Company expects that this will continue to be the case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Net Income/(Loss) per Common Share</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Basic net income/(loss) per share is calculated by dividing the net income or loss by the weighted-average number of shares of common stock outstanding during the period, without consideration for potentially dilutive securities. Diluted net income/(loss) per share is computed by dividing the net income or loss by the weighted-average number of shares of common stock, plus potentially dilutive securities outstanding for the period, as determined in accordance with the treasury stock, if-converted, or contingently issuable accounting methods, depending on the nature of the security. For purposes of the diluted net income/(loss) per share calculation, stock options, restricted stock units (“RSUs”), shares potentially issuable in connection with the Company’s employee stock purchase plan ("ESPP") and convertible notes are considered potentially dilutive securities and included to the extent that their addition is not antidilutive.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income/(loss) per common share (amounts in thousands, except per share amounts):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72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96"/>
        </w:trPr>
        <w:tc>
          <w:tcPr>
            <w:tcW w:w="51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5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net income/(loss) per share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income/(loss)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215,715</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(57,445)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(161,525)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Borders>
              <w:right w:val="single" w:sz="8" w:color="CFF0FC"/>
            </w:tcBorders>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200" w:type="dxa"/>
            <w:vAlign w:val="bottom"/>
            <w:shd w:val="clear" w:color="auto" w:fill="CFF0FC"/>
          </w:tcPr>
          <w:p>
            <w:pPr>
              <w:spacing w:after="0"/>
              <w:rPr>
                <w:sz w:val="17"/>
                <w:szCs w:val="17"/>
                <w:color w:val="auto"/>
              </w:rPr>
            </w:pPr>
          </w:p>
        </w:tc>
        <w:tc>
          <w:tcPr>
            <w:tcW w:w="1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126,424</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124,234</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125,971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123,698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60" w:type="dxa"/>
            <w:vAlign w:val="bottom"/>
            <w:tcBorders>
              <w:bottom w:val="single" w:sz="8" w:color="CFF0FC"/>
              <w:right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income/(loss) per common share - basic</w:t>
            </w:r>
          </w:p>
        </w:tc>
        <w:tc>
          <w:tcPr>
            <w:tcW w:w="20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vMerge w:val="continue"/>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vMerge w:val="continue"/>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income/(loss) per common share - basic</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net income/(loss) per share</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income/(loss)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215,715</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(57,445)</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(161,525)</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Adjustment - Interest expense on Convertible Notes</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3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Adjusted net income/(loss)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216,618</w:t>
            </w: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(57,445)</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84,043</w:t>
            </w:r>
          </w:p>
        </w:tc>
        <w:tc>
          <w:tcPr>
            <w:tcW w:w="6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(161,525)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Borders>
              <w:right w:val="single" w:sz="8" w:color="CCEEFF"/>
            </w:tcBorders>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w:t>
            </w: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16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net income/(loss) per common share - basic</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126,424</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124,234</w:t>
            </w: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125,971</w:t>
            </w:r>
          </w:p>
        </w:tc>
        <w:tc>
          <w:tcPr>
            <w:tcW w:w="3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123,698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Convertible notes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6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Shares expected to be purchased under employee stock purchase plan</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51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Weighted-average number of common shares used in net</w:t>
            </w:r>
          </w:p>
        </w:tc>
        <w:tc>
          <w:tcPr>
            <w:tcW w:w="20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130,067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124,234</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129,653</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123,698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income/(loss) per common share - diluted</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60" w:type="dxa"/>
            <w:vAlign w:val="bottom"/>
            <w:tcBorders>
              <w:right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income/(loss) per common share - diluted</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5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6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-2399665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-2399665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-2399665</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-25400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-25400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securities excluded from the calculation of diluted net income/(loss) per share due to their anti-dilutive effect (in thousands):</w:t>
      </w:r>
    </w:p>
    <w:p>
      <w:pPr>
        <w:spacing w:after="0" w:line="206"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700" w:type="dxa"/>
            <w:vAlign w:val="bottom"/>
          </w:tcPr>
          <w:p>
            <w:pPr>
              <w:spacing w:after="0"/>
              <w:rPr>
                <w:sz w:val="13"/>
                <w:szCs w:val="13"/>
                <w:color w:val="auto"/>
              </w:rPr>
            </w:pPr>
          </w:p>
        </w:tc>
        <w:tc>
          <w:tcPr>
            <w:tcW w:w="20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w:t>
            </w:r>
          </w:p>
        </w:tc>
        <w:tc>
          <w:tcPr>
            <w:tcW w:w="140" w:type="dxa"/>
            <w:vAlign w:val="bottom"/>
          </w:tcPr>
          <w:p>
            <w:pPr>
              <w:spacing w:after="0"/>
              <w:rPr>
                <w:sz w:val="13"/>
                <w:szCs w:val="13"/>
                <w:color w:val="auto"/>
              </w:rPr>
            </w:pPr>
          </w:p>
        </w:tc>
        <w:tc>
          <w:tcPr>
            <w:tcW w:w="21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 September</w:t>
            </w:r>
          </w:p>
        </w:tc>
        <w:tc>
          <w:tcPr>
            <w:tcW w:w="80" w:type="dxa"/>
            <w:vAlign w:val="bottom"/>
          </w:tcPr>
          <w:p>
            <w:pPr>
              <w:spacing w:after="0"/>
              <w:rPr>
                <w:sz w:val="13"/>
                <w:szCs w:val="13"/>
                <w:color w:val="auto"/>
              </w:rPr>
            </w:pPr>
          </w:p>
        </w:tc>
      </w:tr>
      <w:tr>
        <w:trPr>
          <w:trHeight w:val="173"/>
        </w:trPr>
        <w:tc>
          <w:tcPr>
            <w:tcW w:w="370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w:t>
            </w:r>
          </w:p>
        </w:tc>
        <w:tc>
          <w:tcPr>
            <w:tcW w:w="8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jc w:val="right"/>
              <w:ind w:right="890"/>
              <w:spacing w:after="0"/>
              <w:rPr>
                <w:sz w:val="20"/>
                <w:szCs w:val="20"/>
                <w:color w:val="auto"/>
              </w:rPr>
            </w:pPr>
            <w:r>
              <w:rPr>
                <w:rFonts w:ascii="Times New Roman" w:cs="Times New Roman" w:eastAsia="Times New Roman" w:hAnsi="Times New Roman"/>
                <w:sz w:val="14"/>
                <w:szCs w:val="14"/>
                <w:b w:val="1"/>
                <w:bCs w:val="1"/>
                <w:color w:val="auto"/>
                <w:w w:val="91"/>
              </w:rPr>
              <w:t>30,</w:t>
            </w:r>
          </w:p>
        </w:tc>
        <w:tc>
          <w:tcPr>
            <w:tcW w:w="80" w:type="dxa"/>
            <w:vAlign w:val="bottom"/>
          </w:tcPr>
          <w:p>
            <w:pPr>
              <w:spacing w:after="0"/>
              <w:rPr>
                <w:sz w:val="15"/>
                <w:szCs w:val="15"/>
                <w:color w:val="auto"/>
              </w:rPr>
            </w:pPr>
          </w:p>
        </w:tc>
      </w:tr>
      <w:tr>
        <w:trPr>
          <w:trHeight w:val="142"/>
        </w:trPr>
        <w:tc>
          <w:tcPr>
            <w:tcW w:w="3700" w:type="dxa"/>
            <w:vAlign w:val="bottom"/>
          </w:tcPr>
          <w:p>
            <w:pPr>
              <w:spacing w:after="0"/>
              <w:rPr>
                <w:sz w:val="12"/>
                <w:szCs w:val="12"/>
                <w:color w:val="auto"/>
              </w:rPr>
            </w:pPr>
          </w:p>
        </w:tc>
        <w:tc>
          <w:tcPr>
            <w:tcW w:w="1040" w:type="dxa"/>
            <w:vAlign w:val="bottom"/>
          </w:tcPr>
          <w:p>
            <w:pPr>
              <w:jc w:val="right"/>
              <w:ind w:right="29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40" w:type="dxa"/>
            <w:vAlign w:val="bottom"/>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160" w:type="dxa"/>
            <w:vAlign w:val="bottom"/>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10"/>
        </w:trPr>
        <w:tc>
          <w:tcPr>
            <w:tcW w:w="3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140" w:type="dxa"/>
            <w:vAlign w:val="bottom"/>
            <w:tcBorders>
              <w:right w:val="single" w:sz="8" w:color="CCEEFF"/>
            </w:tcBorders>
            <w:shd w:val="clear" w:color="auto" w:fill="CFF0FC"/>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80" w:type="dxa"/>
            <w:vAlign w:val="bottom"/>
            <w:shd w:val="clear" w:color="auto" w:fill="CFF0FC"/>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8,063</w:t>
            </w:r>
          </w:p>
        </w:tc>
        <w:tc>
          <w:tcPr>
            <w:tcW w:w="80" w:type="dxa"/>
            <w:vAlign w:val="bottom"/>
          </w:tcPr>
          <w:p>
            <w:pPr>
              <w:spacing w:after="0"/>
              <w:rPr>
                <w:sz w:val="18"/>
                <w:szCs w:val="18"/>
                <w:color w:val="auto"/>
              </w:rPr>
            </w:pPr>
          </w:p>
        </w:tc>
      </w:tr>
      <w:tr>
        <w:trPr>
          <w:trHeight w:val="216"/>
        </w:trPr>
        <w:tc>
          <w:tcPr>
            <w:tcW w:w="3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3,942</w:t>
            </w: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140" w:type="dxa"/>
            <w:vAlign w:val="bottom"/>
            <w:tcBorders>
              <w:bottom w:val="single" w:sz="8" w:color="CFF0FC"/>
              <w:right w:val="single" w:sz="8" w:color="CCEEFF"/>
            </w:tcBorders>
            <w:shd w:val="clear" w:color="auto" w:fill="CFF0FC"/>
          </w:tcPr>
          <w:p>
            <w:pPr>
              <w:spacing w:after="0"/>
              <w:rPr>
                <w:sz w:val="18"/>
                <w:szCs w:val="18"/>
                <w:color w:val="auto"/>
              </w:rPr>
            </w:pPr>
          </w:p>
        </w:tc>
        <w:tc>
          <w:tcPr>
            <w:tcW w:w="9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4,017</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1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10,612</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14,459</w:t>
            </w:r>
          </w:p>
        </w:tc>
        <w:tc>
          <w:tcPr>
            <w:tcW w:w="80" w:type="dxa"/>
            <w:vAlign w:val="bottom"/>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-170815</wp:posOffset>
            </wp:positionV>
            <wp:extent cx="431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-170815</wp:posOffset>
            </wp:positionV>
            <wp:extent cx="431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431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514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Information</w:t>
      </w:r>
    </w:p>
    <w:p>
      <w:pPr>
        <w:spacing w:after="0" w:line="27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Company operates as a single operating segment, which is the discovery, development and commercialization of novel therapeutic compounds to treat diseases with high unmet needs through the inhibition of the complement system, which is an integral component of the immune system. The Company defines its segment on the basis in which internally reported financial information is regularly reviewed by the chief operating decision maker ("CODM") to analyze financial performance, make decisions, and allocate resources. The CODM is the chief executive officer (“CEO”). The Company’s CODM reviews consolidated net income/(loss) for purposes of assessing performance, making operating decisions, allocating resources, and planning and forecasting for future periods.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reported segment revenue, segment income/(loss), and significant segment expenses as provided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CODM with respect to the Company’s single operating segment for the three and nine months ended September 30, 2025 and 2024:</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420" w:type="dxa"/>
            <w:vAlign w:val="bottom"/>
            <w:gridSpan w:val="6"/>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r>
      <w:tr>
        <w:trPr>
          <w:trHeight w:val="142"/>
        </w:trPr>
        <w:tc>
          <w:tcPr>
            <w:tcW w:w="422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09"/>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Revenue</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458,578</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196,830</w:t>
            </w:r>
          </w:p>
        </w:tc>
        <w:tc>
          <w:tcPr>
            <w:tcW w:w="120" w:type="dxa"/>
            <w:vAlign w:val="bottom"/>
            <w:shd w:val="clear" w:color="auto" w:fill="CFF0FC"/>
          </w:tcPr>
          <w:p>
            <w:pPr>
              <w:spacing w:after="0"/>
              <w:rPr>
                <w:sz w:val="18"/>
                <w:szCs w:val="18"/>
                <w:color w:val="auto"/>
              </w:rPr>
            </w:pP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803,869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568,839</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9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Internal research and development costs</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19,225</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20,217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63,867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61,084</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Internal selling, general and administrative costs</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44,938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132,942</w:t>
            </w: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commercial costs</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55,392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176,764</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173,271</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External research and development costs</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122,573</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150,653</w:t>
            </w: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External general and administrative costs</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21,842</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43,689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25,022</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segment items (1)</w:t>
            </w:r>
          </w:p>
        </w:tc>
        <w:tc>
          <w:tcPr>
            <w:tcW w:w="9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24,495</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72,499</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79,222</w:t>
            </w:r>
          </w:p>
        </w:tc>
        <w:tc>
          <w:tcPr>
            <w:tcW w:w="120" w:type="dxa"/>
            <w:vAlign w:val="bottom"/>
          </w:tcPr>
          <w:p>
            <w:pPr>
              <w:spacing w:after="0"/>
              <w:rPr>
                <w:sz w:val="18"/>
                <w:szCs w:val="18"/>
                <w:color w:val="auto"/>
              </w:rPr>
            </w:pP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28,186</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27,475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82,757</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87,814</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9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(4,376)</w:t>
            </w:r>
          </w:p>
        </w:tc>
        <w:tc>
          <w:tcPr>
            <w:tcW w:w="36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(2,889)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(9,641)</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(9,377)</w:t>
            </w: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11,279</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12,532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33,480</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28,857</w:t>
            </w:r>
          </w:p>
        </w:tc>
        <w:tc>
          <w:tcPr>
            <w:tcW w:w="120" w:type="dxa"/>
            <w:vAlign w:val="bottom"/>
            <w:shd w:val="clear" w:color="auto" w:fill="CFF0F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20" w:type="dxa"/>
            <w:vAlign w:val="bottom"/>
          </w:tcPr>
          <w:p>
            <w:pPr>
              <w:spacing w:after="0"/>
              <w:rPr>
                <w:sz w:val="18"/>
                <w:szCs w:val="18"/>
                <w:color w:val="auto"/>
              </w:rPr>
            </w:pPr>
          </w:p>
        </w:tc>
      </w:tr>
      <w:tr>
        <w:trPr>
          <w:trHeight w:val="229"/>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215,715</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(57,445)</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(161,525)</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-25400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segment items include cost of sales and other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financial statements and related notes appearing elsewhere in this Quarterly Report on Form 10-Q and our audited financial statements and related notes for the year ended December 31, 2024 included in our Annual Report on Form 10-K filed with the Securities and Exchange Commission on February 28, 2025, which we refer to as the 2024 Annual Report on Form 10-K.</w:t>
      </w:r>
    </w:p>
    <w:p>
      <w:pPr>
        <w:spacing w:after="0" w:line="18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that involve substantial risks and uncertainties. All statements, other than statements of historical facts, contained in this Quarterly Report on Form 10-Q,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“plan,” “potential,” “predict,” “project,” “should,” “target,” “would” and similar expressions are intended to identify forward-looking statements, although not all forward-looking statements contain these identifying words.</w:t>
      </w:r>
    </w:p>
    <w:p>
      <w:pPr>
        <w:spacing w:after="0" w:line="18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Please also refer to those factors described in “Part I, Item 1A. Risk Factors” of our 2024 Annual Report on Form 10-K for important factors that we believe could cause actual results to differ materially from those in our forward-looking statements.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are a commercial-stage biopharmaceutical company focused on the discovery, development and commercialization of novel therapeutic compounds to treat diseases with high unmet needs through the inhibition of the complement system, which is an integral component of the immune system. We believe this approach has the potential to effectively control diseases with high unmet need that are driven by excessive complement activation. We currently have two marketed drugs that target C3, the central protein in the complement cascade: SYFOVRE (pegcetacoplan injection), approved by the U.S. Food and Drug Administration, or FDA, in February 2023 for the treatment of geographic atrophy secondary to age-related macular degeneration, or GA; and EMPAVELI (pegcetacoplan), approved by the FDA in May 2021 for the treatment of paroxysmal nocturnal hemoglobinuria, or PNH and in July 2025 for the treatment of C3 glomerulopathy, or C3G, and primary immune complex membranoproliferative glomerulonephritis, or IC-MPGN.</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believe SYFOVRE has the potential to be the standard of care for patients with GA, a disease that affects an estimated 1.5 million people in the United States. While we have exclusive, worldwide commercialization rights for intravitreal pegcetacoplan, we intend to focus our commercialization efforts in the U.S. and explore international expansion in select markets, including Australia, where we received marketing approval in January 2025. We launched SYFOVRE in the United States in March 2023. For the three months ended September 30, 2025 and 2024, we generated $150.9 million and $152.0 million, respectively, in U.S. net product revenue from sales of SYFOVRE. For the nine months ended September 30, 2025 and 2024, we generated $431.7 million and $444.0 million, respectively, in U.S. net product revenue from sales of SYFOVRE. We are also developing a next-generation therapy by combining SYFOVRE treatment with APL-3007, which is a small interfering RNA, or siRNA, aimed at comprehensively blocking complement activity in the retina and the choroid. We initiated a Phase 2 multi-dose trial with this therapy in patients with GA in June 2025.</w:t>
      </w:r>
    </w:p>
    <w:p>
      <w:pPr>
        <w:spacing w:after="0" w:line="19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believe that EMPAVELI has the potential to be a best-in-class treatment for a range of indications with high unmet needs. We have exclusive U.S. commercialization rights for EMPAVELI. For the three months ended September 30, 2025 and 2024, we generated $26.8 million and $24.6 million, respectively, in U.S. net product revenue from sales of EMPAVELI. For the nine months ended September 30, 2025 and 2024, we generated $67.3 million and $74.7 million, respectively, in U.S. net product revenue from sales of EMPAVELI. In July 2025, the FDA approved EMPAVELI for the treatment of C3G and IC-MPGN, two nephrological conditions, which together affect an estimated 5,000 people in the United States. This approval was based on data from the VALIANT study, which demonstrated positive effects on the three key markers of disease at six months, including a 68% reduction in proteinuria in C3G and IC-MPGN patients compared to placebo (p &lt; 0.0001), the primary endpoint; stabilization of kidney function (nominal p=0.03), as measured by estimated glomerular filtration rate, and a reduction in C3c staining intensity (nominal p&lt;0.0001) in a substantial proportion of patients. Data also demonstrated favorable safety and tolerability results, consistent with pegcetacoplan’s established profile. Results were consistent across all subgroups, including disease type, age, and transplant status.</w:t>
      </w:r>
    </w:p>
    <w:p>
      <w:pPr>
        <w:spacing w:after="0" w:line="194"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Our collaboration partner, Swedish Orphan Biovitrum AB (Publ), or Sobi, has exclusive ex-U.S. commercialization rights for systemic pegcetacoplan outside of the United States. For the three months ended September 30, 2025 and 2024, we received $5.2 million and $5.0 million, respectively, in royalties from our collaboration partner, Sobi, which has exclusive ex-U.S. commercialization rights for systemic pegcetacoplan outside of the United States. For the nine months ended September 30, 2025 and 2024, we received $12.6 million and $13.9 million, respectively, in royalties from Sobi. On July 1, 2025, we entered into a Royalty Buy-Down Agreement (the "Royalty Agreement") with Sobi under which Sobi paid us an upfront payment of $275.0 million, 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agreed to pay up to an aggregate of $25.0 million upon the European Medicines Agency ("EMA") approval of Aspaveli for C3G and IC-MPGN (collectively, the "purchase price"), and we agreed to reduce Sobi’s royalty payment obligations under the Collaboration Agreement by 90%, subject to defined caps tied to Aspaveli’s performance, including an initial cap of 1.45x of the purchase price. If a cap is met, Sobi’s royalty payment obligations under the Collaboration Agreement will revert to 100%.</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 expect to initiate two pivotal clinical trials with EMPAVELI by year-end 2025, one for the treatment of primary focal segmental glomerulosclerosis, or FSGS, and one for delayed graft function, or DGF. FSGS and DGF are both rare, severe nephrology conditions with no approved therapies in which complement overactivation plays a significant role.</w:t>
      </w:r>
    </w:p>
    <w:p>
      <w:pPr>
        <w:spacing w:after="0" w:line="176"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Finally, we are developing new product candidates to further advance our pipeline. Through our collaboration with Beam Therapeutics, Inc., or Beam, we have commenced preclinical studies for a treatment targeting the neonatal Fc receptor, or FcRn, which has the potential to be a first-in-class gene editing treatment for future target indications with one-time dosing. We are also developing other programs outside of gene editing leveraging our proprietary in-house capabilities.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date, we have financed our operations primarily through $2.6 billion in net proceeds from public offerings of our common</w:t>
      </w:r>
    </w:p>
    <w:p>
      <w:pPr>
        <w:spacing w:after="0" w:line="27"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18"/>
          <w:szCs w:val="18"/>
          <w:color w:val="auto"/>
        </w:rPr>
        <w:t>stock and pre-funded warrants to purchase common stock, $414.1 million in payments and royalties from Sobi pursuant to our collaboration agreement, $275.0 million from the royalty monetization, $532.5 million under various credit arrangements, including with Sixth Street Lending Partners, or Sixth Street, and SFJ Pharmaceuticals Group, or SFJ, and $98.8 million relating to the unwinding of certain capped call transactions in March 2024, as well as from the proceeds of our operations. To date, we have exchanged $425.4 million and converted $0.7 million of aggregate principal amount of our Convertible Notes (further discussed below) for shares of our common stock.</w:t>
      </w:r>
    </w:p>
    <w:p>
      <w:pPr>
        <w:spacing w:after="0" w:line="14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Excluding the net income generated from the Sobi Royalty Agreement for the three and nine months ended September 30, 2025, we have incurred significant net operating losses since inception, and expect to incur net operating losses in the current year. Our net income was $215.7 million and $81.3 million for the three and nine months ended September 30, 2025, compared to net losses of $57.4 million and $161.5 million for the three and nine months ended September 30, 2024. As of September 30, 2025, we had an accumulated deficit of $3.0 billion.</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Our operating results may fluctuate significantly from quarter to quarter and year to year. We anticipate that we will continue to incur significant commercialization expenses related to sales, marketing, medical affairs, manufacturing, distribution and other commercial infrastructure associated with the commercialization of EMPAVELI for the treatment of PNH and other indications and the commercialization of SYFOVRE for the treatment of GA. In addition, we expect to continue to incur these expenses if and as we continue to develop and conduct our ongoing and planned clinical trials of pegcetacoplan and our other product candidates; initiate and continue research and preclinical and clinical development efforts for any future product candidates; seek to identify and develop additional product candidates for complement-dependent diseases; seek regulatory and marketing approvals for our product candidates that successfully complete clinical trials, if any; establish sales, marketing, distribution and other commercial infrastructure to commercialize any additional products for which we may obtain marketing approval; require the manufacture of larger quantities of product candidates for clinical development and, potentially, commercialization; maintain, expand and protect our intellectual property portfolio; hire and retain additional personnel, such as clinical, quality control, regulatory and scientific personnel; add operational, financial and management information systems and personnel, including personnel to support our product development and add equipment and physical infrastructure to support our research and development programs and commercialization.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Agreement and Credit Facility</w:t>
      </w:r>
    </w:p>
    <w:p>
      <w:pPr>
        <w:spacing w:after="0" w:line="229" w:lineRule="exact"/>
        <w:rPr>
          <w:sz w:val="20"/>
          <w:szCs w:val="20"/>
          <w:color w:val="auto"/>
        </w:rPr>
      </w:pPr>
    </w:p>
    <w:p>
      <w:pPr>
        <w:jc w:val="both"/>
        <w:ind w:right="160"/>
        <w:spacing w:after="0" w:line="282" w:lineRule="auto"/>
        <w:rPr>
          <w:sz w:val="20"/>
          <w:szCs w:val="20"/>
          <w:color w:val="auto"/>
        </w:rPr>
      </w:pPr>
      <w:r>
        <w:rPr>
          <w:rFonts w:ascii="Times New Roman" w:cs="Times New Roman" w:eastAsia="Times New Roman" w:hAnsi="Times New Roman"/>
          <w:sz w:val="18"/>
          <w:szCs w:val="18"/>
          <w:color w:val="auto"/>
        </w:rPr>
        <w:t>On May 13, 2024, we entered into a financing agreement, or the Sixth Street Financing Agreement, with certain of our material subsidiaries as guarantors party thereto, the lenders party thereto, or the Lenders, and Sixth Street Lending Partners, as the administrative agent and collateral agent for the Lenders.</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Sixth Street Financing Agreement provides for a senior secured term loan facility of up to $475.0 million, 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The Company did not draw down the additional $100.0 million and the option expired September 30, 2025.</w:t>
      </w:r>
    </w:p>
    <w:p>
      <w:pPr>
        <w:spacing w:after="0" w:line="18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Credit Facility matures on May 13, 2030 (the “Maturity Date”) and bears interest at an annual rate equal to 3-month Term SOFR (subject to 1.00% floor), plus 5.75%. Certain additional commitment and undrawn amount fees are also payable in connection with the Credit Facility.</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net proceeds from the initial draw of the Credit Facility were approximately $358.2 million, net of $16.8 million of issuance costs. We used the majority of the proceeds of the draw at closing to buy out our remaining obligations to SFJ, in the amount of approximately $326.5 million.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Credit Facility does not provide for scheduled amortization payments during the term. All principal will be due on the Maturity Date. We have the right to prepay loans under the Credit Facility at any time. We are required to repay loans under the Credit Facility with proceeds from certain asset sales, condemnation events and extraordinary receipts, subject, in some cases, to reinvestment rights. Repayments are subject to a prepayment premium. Repayments may be made after the first year of the loan and are subject to a prepayment premium up to 3% depending on timing.</w:t>
      </w:r>
    </w:p>
    <w:p>
      <w:pPr>
        <w:spacing w:after="0" w:line="180"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July 1, 2025, the lenders and Sixth Street Financing consented to the Royalty Agreement with Sobi (the "Consent"), and, in connection with that consent, we agreed to extend by one year from the effective date of the Consent the periods in which certain prepayment premiums would be owed under the Sixth Street Financing Agreement. This effectively extended the period the prepayment premium would be owed from one year after the date of the initial draw, or May 13, 2024, to one year after the effective date of the Consent, or July 1, 2025.</w:t>
      </w:r>
    </w:p>
    <w:p>
      <w:pPr>
        <w:spacing w:after="0" w:line="18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All obligations under the Sixth Street Financing Agreement are secured on a first-priority basis, subject to certain exceptions, by security interests in substantially all of our assets and assets of our material subsidiaries, including our intellectual property, and are guaranteed by our material subsidiaries, including foreign subsidiaries, subject to certain exceptions.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Sixth Street Financing Agreement contains customary covenants, including, without limitation, a financial covenant to maintain liquidity of at least $50.0 million if our market capitalization is below $3.0 billion, and negative covenants that, subject to certain exceptions, restrict indebtedness, liens, investments (including acquisitions), fundamental changes, asset sales and licensing transactions, dividends, modifications to material agreements, payment of subordinated indebtedness, and other matters customarily restricted in such agreements. Among other permissions, we are permitted, on terms and conditions set forth on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 We are subject to restrictions on sales and licensing transactions with respect to our core intellectual property, defined to include SYFOVRE, EMPAVELI, and other pegcetacoplan product assets, subject to certain exceptions, including certain transactions related to areas outside the United States and Europe.</w:t>
      </w:r>
    </w:p>
    <w:p>
      <w:pPr>
        <w:spacing w:after="0" w:line="18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Sixth Street Financing Agreement also contains certain events of default after which loans under the Credit Facility may be due and payable immediately, including payment defaults, material inaccuracy of representations and warranties, covenant defaults, bankruptcy and insolvency proceedings, cross-defaults to certain other agreements, judgments against us and our subsidiaries, and change of control.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September 16, 2019, we completed a private offering of convertible notes, or the 2019 Convertible Notes, with an aggregate principal amount of $220.0 million issued pursuant to an indenture, or the Indenture, with U.S. Bank National Association, as trustee.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net proceeds from the sale of the 2019 Convertible Notes were approximately $212.9 million after deducting the initial purchasers’ discounts and commissions of $6.6 million and offering expenses of $0.5 million. We used $28.4 million of the net proceeds from the sale of the 2019 Convertible Notes to pay the cost of the capped call transactions in September 2019 described below.</w:t>
      </w:r>
    </w:p>
    <w:p>
      <w:pPr>
        <w:spacing w:after="0" w:line="17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May 12, 2020, we issued convertible notes, or the 2020 Convertible Notes, with an aggregate principal amount of $300.0 million. The net proceeds from the sale of the 2020 Convertible Notes were approximately $322.9 million after deducting the purchasers’ discounts and commission of $5.7 million and offering expenses of $0.3 million. We used $43.1 million of the net proceeds from the sale to pay the cost of the additional capped call transactions in May 2020 described below.</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2019 Convertible Notes and the 2020 Convertible Notes are referred to together as the Convertible Notes. The Convertible Notes are our senior unsecured obligations and bear interest at a rate of 3.5% per year payable semiannually in arrears on March 15 and September 15 of each year, beginning on March 15, 2020. The Convertible Notes will mature on September 15, 2026, unless converted earlier, redeemed or repurchased in accordance with their terms.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Convertible Notes are convertible into shares of our common stock at an initial conversion rate of 25.3405 shares per $1,000 principal amount of notes (equivalent to an initial conversion price of approximately $39.4625 per share of common stock). The conversion rate is subject to customary anti-dilution adjustments. In addition, following certain events that occur prior to the maturity date or if we deliver a notice of redemption, we will increase the conversion rate for a holder who elects to convert its Convertible Notes in connection with such corporate event or a notice of redemption, as the case may be, in certain circumstances as provided in the Indenture.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March 15, 2026, the Convertible Notes are convertible only under the following circumstances:</w:t>
      </w:r>
    </w:p>
    <w:p>
      <w:pPr>
        <w:spacing w:after="0" w:line="333" w:lineRule="exact"/>
        <w:rPr>
          <w:sz w:val="20"/>
          <w:szCs w:val="20"/>
          <w:color w:val="auto"/>
        </w:rPr>
      </w:pPr>
    </w:p>
    <w:p>
      <w:pPr>
        <w:ind w:left="1020" w:right="4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if the last reported sale price of our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67"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five consecutive trading day period in which the trading price per $1,000 principal amount of the Convertible Notes for each such trading day was less than 98% of the product of the last reported sale price of our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call any or all of the Convertible Notes for redemption, at any time prior to the close of business on the second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corporate events specified in the Indenture.</w:t>
      </w:r>
    </w:p>
    <w:p>
      <w:pPr>
        <w:spacing w:after="0" w:line="22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On, or after, March 15, 2026 until the close of business on the second scheduled trading day immediately preceding the maturity date of the Convertible Notes, holders may convert the Convertible Notes at any time regardless of the foregoing circumstances. Upon conversion of the Convertible Notes, we will pay or deliver, as the case may be, cash, shares of our common stock or a combination of cash and shares of common stock, at our election.</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of September 20, 2023, we may redeem for cash all or a portion of the Convertible Notes, at our option, if the last reported sale price of our common stock has been at least 130% of the conversion price then in effect for at least 20 trading days (whether or not consecutive), including the trading day immediately preceding the date on which we provide a notice of redemption, during any 30 consecutive trading day period ending on, and including, the trading day immediately preceding the date on which we provide notice of redemption. The redemption price will be equal to 100% of the principal amount of the Convertible Notes to be redeemed, plus accrued and unpaid interest to, but excluding, the redemption date. If we call any Convertible Notes for redemption, it will constitute a “make-whole fundamental change” with respect to such Convertible Notes, in which case the conversion rate applicable to the conversion of such Notes, if converted in connection with the redemption, will be increased in certain circumstances. We have not called for redemption any of the Convertible Notes as of September 30, 2025.</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If we undergo a “fundamental change,” as defined in the Indenture, prior to maturity, subject to certain conditions, holders may require us to repurchase for cash all or any portion of their Convertible Notes at a fundamental change repurchase price equal to 100% of the principal amount of the notes to be repurchased, plus any accrued and unpaid interest to, but excluding, the fundamental change repurchase date.</w:t>
      </w:r>
    </w:p>
    <w:p>
      <w:pPr>
        <w:spacing w:after="0" w:line="13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January 2021, July 2021 and July 2022, the Company entered into separate, privately negotiated exchange agreements to modify the conversion terms with certain holders of its 2019 Convertible Notes and 2020 Convertible Notes. Under the terms of these exchange agreements, in January 2021, July 2021 and July 2022, the holders exchanged approximately $126.1 million of 2019 Convertible Notes, $201.1 million of 2019 Convertible Notes and 2020 Convertible Notes, and $98.1 million of 2020 Convertible Notes, respectively, in aggregate principal amount held by them for an aggregate of 3,906,869 shares, 5,992,217 shares and 3,027,018 shares, respectively, of common stock issued by the Company. The Company accounted for the conversion of the debt as an inducement by expensing the fair value of the shares that were issued in excess of the original terms of the 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conditional conversion feature of the Convertible Notes was not triggered as of September 30, 2025 and as of December 31,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we held in treasury Convertible Notes in principal amount of $425.4 million which have not been cancelled.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 Agreement with Sobi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October 27, 2020, we entered into the Sobi collaboration agreement, concerning the development and commercialization of pegcetacoplan and specified other structurally and functionally similar compstatin analogues or derivatives for use systemically or for local non-ophthalmological administration, collectively referred to as the licensed products. We granted Sobi an exclusive (subject to certain rights retained by us), sublicensable license of certain patent rights and know-how to develop and commercialize licensed products in all countries outside of the United States. Under the Sobi collaboration agreement, Sobi made an upfront payment of $250.0 million in November 2020, and agreed to pay up to an aggregate of $915.0 million upon the achievement of specified one-time regulatory and commercial milestone events, including a $50.0 million milestone payable following the first regulatory and reimbursement approval of systemic pegcetacoplan in any major European country, and to reimburse us for up to $80.0 million in development costs. Since contract inception, we have recognized $65.0 million in contra-research and development expenses and waived the remaining $15.0 million in connection with the decision to discontinue the CAD program.</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European Commission approved systemic Aspaveli (pegcetacoplan) for the treatment of adults with PNH in December 2021. In March 2022, we earned a $50.0 million payment from Sobi related to the first regulatory and reimbursement milestone in Europe, which we received in April 2022. Up until June 30, 2025, we were also entitled to receive tiered, double-digit royalties (ranging from high teens to high twenties) on sales of licensed products outside of the United States, subject to customary deductions and third-party payment obligations, until the latest to occur of: (i) expiration of the last-to-expire of specified licensed patent rights; (ii) expiration of regulatory exclusivity; and (iii) ten (10) years after the first commercial sale of the applicable licensed product, in each case on a licensed product-by-licensed product and country-by-country basis. On July 1, 2025, we and certain of our subsidiaries entered into the Royalty Agreement, in which we agreed to reduce Sobi’s royalty payment obligations under the Collaboration Agreement by 90%, effective as of July 1, 2025, subject to defined caps tied to Aspaveli’s performance, including an initial cap of 1.45x the amounts paid by Sobi to us under the Royalty Agreement. If a cap is met, Sobi’s royalty payment obligations under the Collaboration Agreement will revert to 100%. We remain responsible for our license fee obligations (including royalty obligations) to the University of Pennsylvania.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consist of product sales of EMPAVELI and SYFOVRE, and revenues derived from our collaboration agreement with Sobi.</w:t>
      </w:r>
    </w:p>
    <w:p>
      <w:pPr>
        <w:spacing w:after="0" w:line="22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Revenue is recognized when, or as, we satisfy a performance obligation by transferring a promised good or service to a customer. An asset is transferred when, or as, the customer obtains control of that asset. For performance obligations that are satisfied over time, we recognize revenue using an input or output measure of progress that best depicts the satisfaction of the relevant performance obligation.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Revenues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revenue is derived from our sales of our commercial products, EMPAVELI and SYFOVRE, in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Licensing and Other Revenue</w:t>
      </w:r>
    </w:p>
    <w:p>
      <w:pPr>
        <w:spacing w:after="0" w:line="22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Licensing and other revenue is derived from our collaboration agreement with Sobi concerning the development and commercialization of pegcetacoplan and specified other compstatin analogues or derivatives for use systemically or for local non-ophthalmic administration.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Sales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Cost of sales consists primarily of costs associated with the manufacturing of EMPAVELI and SYFOVRE, product supplied to Sobi, and royalties owed to our licensor for such sales and certain period costs.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8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product candidates, which include:</w:t>
      </w:r>
    </w:p>
    <w:p>
      <w:pPr>
        <w:spacing w:after="0" w:line="54" w:lineRule="exact"/>
        <w:rPr>
          <w:sz w:val="20"/>
          <w:szCs w:val="20"/>
          <w:color w:val="auto"/>
        </w:rPr>
      </w:pPr>
    </w:p>
    <w:p>
      <w:pPr>
        <w:ind w:left="1020" w:right="3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bonuses, benefits and share-based compensation expense related to individuals performing research and development activities;</w:t>
      </w:r>
    </w:p>
    <w:p>
      <w:pPr>
        <w:spacing w:after="0" w:line="53" w:lineRule="exact"/>
        <w:rPr>
          <w:rFonts w:ascii="Times New Roman" w:cs="Times New Roman" w:eastAsia="Times New Roman" w:hAnsi="Times New Roman"/>
          <w:sz w:val="18"/>
          <w:szCs w:val="18"/>
          <w:color w:val="auto"/>
        </w:rPr>
      </w:pPr>
    </w:p>
    <w:p>
      <w:pPr>
        <w:ind w:left="1020" w:right="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including contract research organizations, or CROs, that conduct clinical trials and research and development activities on our behalf, and contract manufacturing organizations that manufacture quantities of drug supplies for both our preclinical studies and clinical trials;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 including share-based compensation expense;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expenses incident to the management of our preclinical studies and clinical trials.</w:t>
      </w:r>
    </w:p>
    <w:p>
      <w:pPr>
        <w:spacing w:after="0" w:line="11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Research and development costs are expensed as incurred. Nonrefundable advance payments for goods or services to be received in the future for use in research and development activities are deferred and capitalized. The capitalized amounts are expensed as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related goods are delivered or the services are performed. We have not provided program costs since inception because historically we have not tracked or recorded our research and development expenses on a program-by-program basis from inception.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successful development of our product candidates in clinical development is highly uncertain. Accordingly, at this time, we cannot reasonably estimate the nature, timing and costs of the efforts that will be necessary to complete the remainder of the clinical development of these product candidates. We are also unable to predict when, if ever, material net cash inflows will commence from pegcetacoplan in other jurisdictions and indications or any other potential product candidates. This is due to the numerous risks and uncertainties associated with developing therapeutics, including the uncertainties of:</w:t>
      </w:r>
    </w:p>
    <w:p>
      <w:pPr>
        <w:spacing w:after="0" w:line="72"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 appropriate safety profile in preclinical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capabilities or making arrangements with third-party manufacturers;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the products, if and when approved, whether alone or in collaboration with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acceptable safety profile of the products following approval.</w:t>
      </w:r>
    </w:p>
    <w:p>
      <w:pPr>
        <w:spacing w:after="0" w:line="33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would significantly change the costs and timing associated with the development of that product candidate.</w:t>
      </w:r>
    </w:p>
    <w:p>
      <w:pPr>
        <w:spacing w:after="0" w:line="1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research and development costs to increase for the foreseeable future as our product candidate development programs progress. However, we do not believe that it is possible at this time to accurately project total program-specific expenses through commercialization. There are numerous factors associated with the successful commercialization of any of our product candidates, including future trial design and various regulatory requirements, many of which cannot be determined with accuracy at this time based on our stage of development. Additionally, future commercial and regulatory factors beyond our control will impact our clinical development programs and plans.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costs associated with the commercialization of approved products and general and administrative costs to support operations, including salaries, bonuses, benefits and share-based compensation. Selling expenses include product marketing, sales operations costs, and other costs incurred to support our sales efforts. General and administrative expenses include corporate support functions such as executive management, finance and accounting, business development, legal, human resources, information technology, and associated external costs to support those functions. Other significant costs include costs associated with medical affairs, drug safety and pharmacovigilance, quality and regulatory, costs not otherwise included in research and development expenses, legal fees relating to patent and corporate matters, and fees for accounting and consulting services. Marketing and advertising costs include marketing literature, promotional activities, conferences and seminars, branding and sponsorships.</w:t>
      </w:r>
    </w:p>
    <w:p>
      <w:pPr>
        <w:spacing w:after="0" w:line="19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anticipate that our selling, general and administrative expenses will increase in the future to support continued commercial activities for our approved products, potential commercialization of our product candidates and costs of operating as a public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amounts of expenses during the reported periods. On an ongoing basis, we evaluate our estimates and judgments, including those related to product revenue, inventory and accrued research and development expenses, which we described in our 2024 Annual Report on Form 10-K.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Note 2 of Part I, Item 1 of this Quarterly Report on Form 10-Q and in Part I, Item 7, “Critical Accounting Estimates” in our 2024 Annual Report on Form 10-K. There have been no changes to our critical accounting policies and estimates since our 2024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2025 and 2024 (in thousands, except percentages)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6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12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 revenue, net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177,755</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176,571</w:t>
            </w:r>
          </w:p>
        </w:tc>
        <w:tc>
          <w:tcPr>
            <w:tcW w:w="14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280,823</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260,564</w:t>
            </w: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1286%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458,578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196,830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261,748</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(9,026)</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(20,383)</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142,678</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121,984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20,694</w:t>
            </w:r>
          </w:p>
        </w:tc>
        <w:tc>
          <w:tcPr>
            <w:tcW w:w="20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235,395</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244,110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(8,715)</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income/(loss)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223,183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(47,280)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270,463</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2,889</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(11,279)</w:t>
            </w:r>
          </w:p>
        </w:tc>
        <w:tc>
          <w:tcPr>
            <w:tcW w:w="3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(12,532)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income, net</w:t>
            </w: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1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Net income/(loss) before taxes</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216,317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(56,853)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273,170</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FF0FC"/>
            </w:tcBorders>
            <w:shd w:val="clear" w:color="auto" w:fill="CFF0FC"/>
          </w:tcPr>
          <w:p>
            <w:pPr>
              <w:spacing w:after="0"/>
              <w:rPr>
                <w:sz w:val="18"/>
                <w:szCs w:val="18"/>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215,715</w:t>
            </w:r>
          </w:p>
        </w:tc>
        <w:tc>
          <w:tcPr>
            <w:tcW w:w="2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(57,445)</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273,160</w:t>
            </w:r>
          </w:p>
        </w:tc>
        <w:tc>
          <w:tcPr>
            <w:tcW w:w="20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-1851025</wp:posOffset>
            </wp:positionV>
            <wp:extent cx="6032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-1851025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-1851025</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-1010920</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-1010920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-1010920</wp:posOffset>
            </wp:positionV>
            <wp:extent cx="603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-453390</wp:posOffset>
            </wp:positionV>
            <wp:extent cx="6032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-453390</wp:posOffset>
            </wp:positionV>
            <wp:extent cx="603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-453390</wp:posOffset>
            </wp:positionV>
            <wp:extent cx="6032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-170815</wp:posOffset>
            </wp:positionV>
            <wp:extent cx="6032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032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6032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product revenue, net is derived from EMPAVELI and SYFOVRE sales in the United States. We recognized $177.8 million and $176.6 million of net product revenue for the three months ended September 30, 2025 and 2024, respectively. The net product revenue of $177.8 million for the three months ended September 30, 2025 consists of $26.8 million in net product revenue from sales of EMPAVELI and $150.9 million in net product revenue from sales of SYFOVRE. The net product revenue of $176.6 million for the three months ended September 30, 2024 consists of $24.6 million in net product revenue from sales of EMPAVELI and $152.0 million in net product revenue from sales of SYFOVRE. The decrease in net product revenue for SYFOVRE was primarily driven by increased rebates, partially offset by an increase in volume. The increase in net product revenue for EMPAVELI was primarily driven by an increase in volume.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1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Licensing and other revenue of $280.8 million for the three months ended September 30, 2025 consisted of $5.2 million in revenue from product supplied to Sobi, $0.6 million in royalty revenue from Sobi and $275.0 million from the Sobi Royalty Agreement. Licensing and other revenue of $20.3 million for the three months ended September 30, 2024 consisted of $15.3 million in revenue from product supplied to Sobi and $5.0 million in royalty revenue from Sobi. The increase in licensing and other revenue was primarily driven by a $275.0 million increase due to the upfront payment from Sobi under the Royalty Agreement, which was partially offset by a $10.1 million decrease in product supplied to Sobi and a decrease in royalty revenue of $4.3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Cost of sales was $24.5 million for the three months ended September 30, 2025 and $33.6 million for the three months ended September 30, 2024. The decrease in cost of sales was primarily driven by a $5.9 million decrease due to lower volumes of product supplied to Sobi, a $0.8 million decrease in expenses incurred related to excess, obsolete or scrapped inventory, and a $6.1 million decrease due to costs incurred in connection with cancellable purchase commitments. The decreases were partially offset by a $3.5 million increase due to higher volume from commercial sales and product provided under our patient assistance programs.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manufacturing of EMPAVELI and SYFOVRE inventory were expensed as incurred as research and development expense. This resulted in inventory being sold during the three months ended September 30, 2025 and 2024 for which a portion of the costs had previously been expensed prior to FDA approval. This did not materially impact cost of sales for the three months ended September 30, 2025 and 2024. We</w:t>
      </w:r>
    </w:p>
    <w:p>
      <w:pPr>
        <w:sectPr>
          <w:pgSz w:w="11900" w:h="16838" w:orient="portrait"/>
          <w:cols w:equalWidth="0" w:num="1">
            <w:col w:w="11220"/>
          </w:cols>
          <w:pgMar w:left="320" w:top="766" w:right="359" w:bottom="1440" w:gutter="0" w:footer="0" w:header="0"/>
        </w:sectPr>
      </w:pP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expect this may continue to impact the cost of sales and research and development expense as we continue to sell to customers or use the remaining pre-FDA approved inventory in preclinical or clinical studies. As of September 30, 2025 and December 31, 2024, the remaining pre-FDA approved inventory was $18.1 million and $19.5 million, respectively, which primarily consisted of raw materials and semi-finished goods.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three months ended September 30, 2025 and 2024 (in thousands, except percentages):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600" w:type="dxa"/>
            <w:vAlign w:val="bottom"/>
            <w:gridSpan w:val="6"/>
          </w:tcPr>
          <w:p>
            <w:pPr>
              <w:ind w:left="10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6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PNH</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C3G &amp; IC-MPGN</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(4,244)</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HSCT-TMA</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GA</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14,610</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development and discovery programs (1)</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13,114</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(5,612)</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45,624</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(9,203)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(10,313)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0"/>
        </w:trPr>
        <w:tc>
          <w:tcPr>
            <w:tcW w:w="4660" w:type="dxa"/>
            <w:vAlign w:val="bottom"/>
            <w:shd w:val="clear" w:color="auto" w:fill="CFF0FC"/>
          </w:tcPr>
          <w:p>
            <w:pPr>
              <w:spacing w:after="0" w:line="20" w:lineRule="exact"/>
              <w:rPr>
                <w:sz w:val="1"/>
                <w:szCs w:val="1"/>
                <w:color w:val="auto"/>
              </w:rPr>
            </w:pPr>
          </w:p>
        </w:tc>
        <w:tc>
          <w:tcPr>
            <w:tcW w:w="10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(10,313)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(1,083)</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6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expenses</w:t>
            </w:r>
          </w:p>
        </w:tc>
        <w:tc>
          <w:tcPr>
            <w:tcW w:w="10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1,184</w:t>
            </w:r>
          </w:p>
        </w:tc>
        <w:tc>
          <w:tcPr>
            <w:tcW w:w="2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32,070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(867)</w:t>
            </w: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0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68,186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88,569</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(20,383)</w:t>
            </w:r>
          </w:p>
        </w:tc>
        <w:tc>
          <w:tcPr>
            <w:tcW w:w="14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46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-873760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-873760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-873760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-316865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-316865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-316865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240" w:firstLine="53"/>
        <w:spacing w:after="0" w:line="282" w:lineRule="auto"/>
        <w:tabs>
          <w:tab w:leader="none" w:pos="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discontinued clinical activities related to the ALS and CAD programs, amounting to $1.9 million for the three months ended September 30, 2024.</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$20.4 million to $68.2 million for the three months ended September 30, 2025 from $88.6 million for the three months ended September 30, 2024, a decrease of 23%. The decrease in research and development expenses was primarily attributable to a $9.2 million decrease in program specific external costs, a $10.3 million decrease in non-program specific external costs and a $1.1 million decrease in compensation and related personnel costs, which was partially offset by an increase of $0.2 million in other expenses.</w:t>
      </w:r>
    </w:p>
    <w:p>
      <w:pPr>
        <w:spacing w:after="0" w:line="180"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 decrease in our program-specific external costs of $9.2 million was driven by a $4.2 million decrease in C3G &amp; IC-MPGN costs due to lower costs related to the VALIANT study, and a $5.6 million decrease in other development and discovery costs primarily due to a decrease of $1.7 million in our previously announced discontinuation of the CAD program and a decrease of $3.7 million other development and discovery costs. These decreases were partially offset by an increase of $0.6 million in GA costs associated with the product lifecycle development and an increase of $0.5 million in PNH costs due to higher activity related to post trial access programs.</w:t>
      </w:r>
    </w:p>
    <w:p>
      <w:pPr>
        <w:spacing w:after="0" w:line="18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decrease in compensation and related personnel costs was driven by a decrease of $0.4 million in salaries and benefits and a decrease of $0.7 million in share-based compensation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$20.7 million to $142.7 million for the three months ended September 30, 2025, from $122.0 million for the three months ended September 30, 2024, an increase of 17%. The increase was primarily attributable to an increase of $2.9 million in general commercial activities, an increase of $2.2 million in personnel costs and a $16.3 million increase in general and administrative expenses, including office expenses, travel expenses, insurance expenses, professional and consulting fees, and other general and administrative expenses which was partially offset by a decrease of $0.7 million in factoring fees. The increase in personnel related costs of $2.2 million consisted of a $1.1 million increase in salaries and benefits and an increase of $1.1 million in share-based compensation expense.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Interest income was $4.4 million for the three months ended September 30, 2025, an increase of $1.5 million compared to $2.9 million for the three months ended September 30, 2024. The increase in interest income was primarily attributable to increased investments during the three months ended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Interest expense was $11.3 million for the three months ended September 30, 2025, a decrease of $1.3 million, compared to $12.5 million for the three months ended September 30, 2024. The decrease is primarily due to a decrease in interest incurred under the Credit Facility.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2025 and 2024 (in thousands, except percentages)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780" w:type="dxa"/>
            <w:vAlign w:val="bottom"/>
            <w:gridSpan w:val="6"/>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57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57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200" w:type="dxa"/>
            <w:vAlign w:val="bottom"/>
            <w:tcBorders>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r>
      <w:tr>
        <w:trPr>
          <w:trHeight w:val="209"/>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 net</w:t>
            </w:r>
          </w:p>
        </w:tc>
        <w:tc>
          <w:tcPr>
            <w:tcW w:w="260" w:type="dxa"/>
            <w:vAlign w:val="bottom"/>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499,042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518,782</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(19,740)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Licensing and other revenue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304,827</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50,057</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254,770</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509%</w:t>
            </w: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7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803,869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568,839</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235,030</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72,517</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76,867</w:t>
            </w:r>
          </w:p>
        </w:tc>
        <w:tc>
          <w:tcPr>
            <w:tcW w:w="2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221,621</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251,216</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(29,595)</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403,162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379,571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23,591</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57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697,300</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707,654</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(10,354)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57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income/(loss)</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(138,815)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245,384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development liability</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1,949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9,641</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9,377</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5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1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(33,480)</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(28,857)</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(4,623)</w:t>
            </w:r>
          </w:p>
        </w:tc>
        <w:tc>
          <w:tcPr>
            <w:tcW w:w="1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423</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 before taxes</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82,748</w:t>
            </w:r>
          </w:p>
        </w:tc>
        <w:tc>
          <w:tcPr>
            <w:tcW w:w="240" w:type="dxa"/>
            <w:vAlign w:val="bottom"/>
            <w:tcBorders>
              <w:right w:val="single" w:sz="8" w:color="CFF0FC"/>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(160,649)</w:t>
            </w:r>
          </w:p>
        </w:tc>
        <w:tc>
          <w:tcPr>
            <w:tcW w:w="2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243,397</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57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876</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533</w:t>
            </w:r>
          </w:p>
        </w:tc>
        <w:tc>
          <w:tcPr>
            <w:tcW w:w="14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0"/>
        </w:trPr>
        <w:tc>
          <w:tcPr>
            <w:tcW w:w="57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26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81,339</w:t>
            </w:r>
          </w:p>
        </w:tc>
        <w:tc>
          <w:tcPr>
            <w:tcW w:w="240" w:type="dxa"/>
            <w:vAlign w:val="bottom"/>
            <w:tcBorders>
              <w:right w:val="single" w:sz="8" w:color="CFF0FC"/>
            </w:tcBorders>
            <w:shd w:val="clear" w:color="auto" w:fill="CFF0FC"/>
          </w:tcPr>
          <w:p>
            <w:pPr>
              <w:spacing w:after="0"/>
              <w:rPr>
                <w:sz w:val="19"/>
                <w:szCs w:val="19"/>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(161,525)</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242,864</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-1988185</wp:posOffset>
            </wp:positionV>
            <wp:extent cx="685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-1988185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-1988185</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-1148080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-1148080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-1148080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-24765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Revenue, Net</w:t>
      </w:r>
    </w:p>
    <w:p>
      <w:pPr>
        <w:spacing w:after="0" w:line="11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Our product revenue, net is derived from EMPAVELI and SYFOVRE sales in the United States. We recognized $499.0 million and $518.8 million of net product revenue for the nine months ended September 30, 2025 and 2024, respectively. The net product revenue of $499.0 million for the nine months ended September 30, 2025, consisted of $67.3 million in net product revenue from sales of EMPAVELI and $431.7 million in net product revenue from sales of SYFOVRE. The net product revenue of $518.8 million for the nine months ended September 30, 2024, consisted of $74.7 million in net product revenue from sales of EMPAVELI and $444.0 million in net product revenue from sales of SYFOVRE. The decrease in net product revenue for SYFOVRE was primarily driven by increased rebates, partially offset by an increase in volume. The decrease in net product revenue for EMPAVELI was primarily driven by increased competitive pressure from the availability of oral products.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Licensing and Other Revenue</w:t>
      </w:r>
    </w:p>
    <w:p>
      <w:pPr>
        <w:spacing w:after="0" w:line="11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Licensing and other revenue of $304.8 million during the nine months ended September 30, 2025 consisted of $17.2 million in revenue for product supplied to Sobi and $12.6 million in royalty revenue from Sobi and $275.0 million from the Sobi Royalty Agreement. Licensing and other revenue of $50.1 million during the nine months ended September 30, 2024 consisted of $36.2 million in revenue for product supplied to Sobi and $13.9 million in royalty revenue from Sobi. The increase in licensing and other revenue was primarily driven by an increase of $275.0 million due to the upfront payment from Sobi under the Royalty Agreement, which was partially offset by a decrease in product supplied to Sobi of $19.0 million and a decrease in royalty revenue of $1.3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1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Cost of sales was $72.5 million for the nine months ended September 30, 2025 and $76.9 million for the nine months ended September 30, 2024. The decrease in cost of sales was primarily driven by an $8.1 million decrease due to lower volume of product supplied to Sobi and a decrease of $3.4 million due to costs incurred in connection with cancellable purchase commitments. The decreases were partially offset by an increase of $6.7 million due to higher volumes from commercial sales and product provided under our patient assistance programs and an increase of $0.3 million in expenses incurred related to excess, obsolete or scrapped inventory.</w:t>
      </w:r>
    </w:p>
    <w:p>
      <w:pPr>
        <w:sectPr>
          <w:pgSz w:w="11900" w:h="16838" w:orient="portrait"/>
          <w:cols w:equalWidth="0" w:num="1">
            <w:col w:w="11240"/>
          </w:cols>
          <w:pgMar w:left="320" w:top="766"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prior to receiving FDA approval for EMPAVELI and SYFOVRE, the costs associated with the manufacturing of EMPAVELI and SYFOVRE inventory were expensed as incurred as research and development expense. This resulted in inventory being sold during the nine months ended September 30, 2025 and 2024 for which a portion of the costs had previously been expensed prior to FDA approval. This did not materially impact cost of sales for the nine months ended September 30, 2025 and 2024. We expect this may continue to impact the cost of sales and research and development expense as we continue to sell to customers or use the remaining pre-FDA approved inventory in preclinical or clinical studies. As of September 30, 2025 and December 31, 2024, the remaining pre-FDA approved inventory was $18.1 million and $19.5 million, respectively, which primarily consisted of raw materials and semi-finished goods.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research and development expenses incurred during the nine months ended September 30, 2025 and 2024 (in thousands, except percentages):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73"/>
        </w:trPr>
        <w:tc>
          <w:tcPr>
            <w:tcW w:w="4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4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r>
      <w:tr>
        <w:trPr>
          <w:trHeight w:val="209"/>
        </w:trPr>
        <w:tc>
          <w:tcPr>
            <w:tcW w:w="46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b w:val="1"/>
                <w:bCs w:val="1"/>
                <w:color w:val="auto"/>
              </w:rPr>
              <w:t>Program-specific external costs:</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PNH</w:t>
            </w:r>
          </w:p>
        </w:tc>
        <w:tc>
          <w:tcPr>
            <w:tcW w:w="134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5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13,412</w:t>
            </w:r>
          </w:p>
        </w:tc>
        <w:tc>
          <w:tcPr>
            <w:tcW w:w="44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(6,284)</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6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C3G &amp; IC-MPGN</w:t>
            </w: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17,084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(9,347)</w:t>
            </w: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HSCT-TMA</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GA</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development and discovery programs (1)</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(11,799)</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6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46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Total program-specific costs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118,973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(18,715)</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46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external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Non-program specific external costs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shd w:val="clear" w:color="auto" w:fill="CCEEFF"/>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00" w:type="dxa"/>
            <w:vAlign w:val="bottom"/>
            <w:shd w:val="clear" w:color="auto" w:fill="CFF0FC"/>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(9,368)</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0"/>
        </w:trPr>
        <w:tc>
          <w:tcPr>
            <w:tcW w:w="466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20" w:type="dxa"/>
            <w:vAlign w:val="bottom"/>
            <w:gridSpan w:val="2"/>
            <w:shd w:val="clear" w:color="auto" w:fill="CCEEFF"/>
          </w:tcPr>
          <w:p>
            <w:pPr>
              <w:spacing w:after="0" w:line="20" w:lineRule="exact"/>
              <w:rPr>
                <w:sz w:val="1"/>
                <w:szCs w:val="1"/>
                <w:color w:val="auto"/>
              </w:rPr>
            </w:pPr>
          </w:p>
        </w:tc>
      </w:tr>
      <w:tr>
        <w:trPr>
          <w:trHeight w:val="209"/>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external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(9,368)</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46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Unallocated internal costs</w:t>
            </w: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and related personnel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(1,662)</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expenses</w:t>
            </w:r>
          </w:p>
        </w:tc>
        <w:tc>
          <w:tcPr>
            <w:tcW w:w="1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2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46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unallocated internal costs</w:t>
            </w: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100,561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50"/>
        </w:trPr>
        <w:tc>
          <w:tcPr>
            <w:tcW w:w="46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research and development costs</w:t>
            </w:r>
          </w:p>
        </w:tc>
        <w:tc>
          <w:tcPr>
            <w:tcW w:w="10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221,621</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251,216</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(29,595)</w:t>
            </w:r>
          </w:p>
        </w:tc>
        <w:tc>
          <w:tcPr>
            <w:tcW w:w="1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-873760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-873760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-873760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-316865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-316865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-316865</wp:posOffset>
            </wp:positionV>
            <wp:extent cx="6858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-24765</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60" w:firstLine="53"/>
        <w:spacing w:after="0" w:line="282" w:lineRule="auto"/>
        <w:tabs>
          <w:tab w:leader="none" w:pos="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discontinued clinical activities related to the ALS and CAD programs, amounting to $1.1 million and $20.2 million for the nine months ended September 30, 2025 and 2024, respectively.</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$29.6 million to $221.6 million for the nine months ended September 30, 2025 from $251.2 million for the nine months ended September 30, 2024, a decrease of 12%. The decrease in research and development expenses was primarily attributable to an $18.7 million decrease in program-specific external costs, a $9.3 million decrease in non-program specific external costs and a decrease of $1.6 million in compensation and related personnel costs.</w:t>
      </w:r>
    </w:p>
    <w:p>
      <w:pPr>
        <w:spacing w:after="0" w:line="180"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decrease in our program-specific external costs of $18.7 million was driven by a $6.2 million decrease in PNH costs due to lower costs incurred relating to clinical activities, a $9.3 million decrease in C3G &amp; IC-MPGN costs due to lower costs related to the VALIANT study, and a $11.8 million decrease in other development and discovery costs primarily due to a decrease of $19.1 million in previously announced discontinuation of the ALS and CAD programs, which were partially offset by an increase of $7.3 million in other development and discovery costs primarily attributable to our efforts on the Beam FcRn collaboration. These decreases were partially offset by an increase of $9.0 million in GA costs associated with the product lifecycle development.</w:t>
      </w:r>
    </w:p>
    <w:p>
      <w:pPr>
        <w:spacing w:after="0" w:line="187"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decrease in compensation and related personnel costs was driven by a decrease of $4.6 million in share-based compensation expense, which was partially offset by $3.0 million in salaries and benefits.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increased by $23.6 million to $403.2 million for the nine months ended September 30, 2025, from $379.6 million for the nine months ended September 30, 2024, an increase of 6%. The increase was primarily attributable to an increase of $5.7 million in professional and consulting fees, an increase of $0.6 million in personnel cost, an increase of $1.8 million in factoring fees and a $15.5 million increase in general and administrative expenses, including office expenses, travel expenses, insurance expenses, and other general and administrative expenses. The increase in personnel related costs of $0.6 million consisted of a $1.4 million increase in salaries and benefits, an increase of $0.7 million in recruitment expenses, and partially offset by a $1.5 million decrease in share-based compensation expense.</w:t>
      </w:r>
    </w:p>
    <w:p>
      <w:pPr>
        <w:sectPr>
          <w:pgSz w:w="11900" w:h="16838" w:orient="portrait"/>
          <w:cols w:equalWidth="0" w:num="1">
            <w:col w:w="11240"/>
          </w:cols>
          <w:pgMar w:left="320" w:top="766"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development liability</w:t>
      </w:r>
    </w:p>
    <w:p>
      <w:pPr>
        <w:spacing w:after="0" w:line="22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paid our remaining obligations under the SFJ agreement in May 2024. We concluded that the development liability was extinguished as of the payoff date. The difference of $1.9 million between the reacquisition price of $326.5 million and the net carrying value of the development liability of $324.6 million was recorded as a loss on the extinguishment of the development liability as of September 30, 2024.</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Interest income was $9.6 million for the nine months ended September 30, 2025, an increase of $0.3 million compared to $9.4 million for the nine months ended September 30, 2024. The increase in interest income was primarily attributable to increased investments during the nine months ended September 30,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1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Interest expense was $33.5 million for the nine months ended September 30, 2025, an increase of $4.6 million compared to $28.9 million for the nine months ended September 30, 2024. The increase is primarily due to the interest incurred under the Credit Facility given the Credit Facility commenced May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Income tax expense was $1.4 million for the nine months ended September 30, 2025, an increase of $0.5 million, compared to $0.9 million for the nine months ended September 30, 2024. The increase primarily pertained to an increase in state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date, we have financed our operations primarily through approximately $2.6 billion in net proceeds from public and private offerings of our common stock and convertible securities, $414.1 million in payments and royalties from Sobi pursuant to our collaboration agreement, $275.0 million from the royalty monetization, $532.5 million under various credit arrangements, including with Sixth Street and SFJ, and $98.8 million relating to the unwinding of the capped call transactions in March 2024, as well as from the proceeds of our operations.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May 2024, we entered into the Sixth Street Financing Agreement, which provides for the Credit Facility, consisting of an initial draw of $375.0 million at closing and a potential additional $100.0 million draw at our option upon satisfaction of a $50.0 million minimum cash requirement and a requirement that our trailing three-month sales of SYFOVRE is at least $180.0 million prior to the $100.0 million draw. The Credit Facility matures on May 13, 2030 and bears interest at an annual rate equal to the 3-month Secured Overnight Financing Rate (SOFR) + 5.75% (subject to 1.00% floor). Certain additional commitment and undrawn amount fees are also payable in connection with the Credit Facility. We used the majority of the proceeds of the $375.0 million draw at closing to buy out our remaining obligations owed to SFJ, in the amount of approximately $326.5 million.</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are permitted under the Sixth Street Financing Agreement to enter into a separate asset-based financing arrangement with a third party in an amount of up to $100.0 million, which amount is increased to $200.0 million upon certain sales or market capitalization thresholds, and to have outstanding convertible unsecured notes in an amount equal to the greater of $400.0 million and 10% of our market capitalization, but not to exceed $600.0 million.</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August 2024, the Company entered into an agreement (the "Factoring Agreement") to sell certain accounts receivable to a third-party financial institution at a discount to the face value of the accounts receivable. Under the Factoring Agreement, the maximum amount of outstanding accounts receivables sold at any time is $100.0 million. The accounts receivable sold that remained outstanding as of September 30, 2025 and December 31, 2024 was zero and $86.1 million, respectively.</w:t>
      </w:r>
    </w:p>
    <w:p>
      <w:pPr>
        <w:spacing w:after="0" w:line="11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November 2023, we entered into a sales agreement, or the sales agreement, with Cowen and Company, LLC, or Cowen, as agent, pursuant to which we may offer and sell shares of our common stock having an aggregate offering from of up to $300.0 million from time to time. Any sales made under the sales agreement will be made at market prices by any method that is deemed to be an “at the market offering” as defined in Rule 415(a)(4) promulgated under the Securities Act of 1933. Any sales under the sales agreement will be made pursuant to our registration statement on Form S-3, which became effective on February 22, 2023. We agreed to pay Cowen compensation of up to 3.0% of the gross proceeds of the sale of shares made under the sales agreement. We did not make any sales under the sales agreement during the nine months ended September 30, 2025.</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February 2023, we issued and sold 4,007,936 shares of our common stock and, in lieu of common stock to investors who so chose, pre-funded warrants to purchase 2,380,956 shares of our common stock in a follow-on offering, including 833,333 shares sold</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pursuant to the underwriters’ exercise in full of their option to purchase additional shares of common stock. The price to the public of the shares of common stock was $63.00 per share and the price to the public of the pre-funded warrants was $62.9999 per pre-funded warrant. The pre-funded warrants have an exercise price equal to $0.0001 per share and do not expire. The pre-funded warrants were accounted for as equity instruments. We received total net proceeds of $384.4 million, after deducting underwriting discounts and commissions of $18.8 million and offering cost of $0.3 million. As of September 30, 2025, pre-funded warrants to purchase 80,965 shares of our common stock were still outstanding.</w:t>
      </w:r>
    </w:p>
    <w:p>
      <w:pPr>
        <w:spacing w:after="0" w:line="18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February 2024, we entered into agreements with the capped call counterparties to unwind a portion of the capped call transactions. The unwind agreements applied to the portion of the capped call transactions in a notional amount corresponding to the $426.1 million principal amount of Convertible Notes that we held in treasury as of December 31, 2024 or have been previously converted. The unwind transactions were settled at volume-weighted average price per share of $64.11, which resulted in cash proceeds to us of $98.8 million. As of September 30, 2025, the remaining capped call transactions had a notional amount corresponding to $93.9 million principal amount of Convertible Notes.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nine months ended September 30, 2025 and 2024 (in thousands):</w:t>
      </w:r>
    </w:p>
    <w:p>
      <w:pPr>
        <w:spacing w:after="0" w:line="246" w:lineRule="exact"/>
        <w:rPr>
          <w:sz w:val="20"/>
          <w:szCs w:val="20"/>
          <w:color w:val="auto"/>
        </w:rPr>
      </w:pPr>
    </w:p>
    <w:p>
      <w:pPr>
        <w:jc w:val="center"/>
        <w:ind w:left="50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w:t>
      </w:r>
    </w:p>
    <w:p>
      <w:pPr>
        <w:spacing w:after="0" w:line="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4"/>
          <w:szCs w:val="14"/>
          <w:b w:val="1"/>
          <w:bCs w:val="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-3175</wp:posOffset>
            </wp:positionV>
            <wp:extent cx="1654175"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54175" cy="8890"/>
                    </a:xfrm>
                    <a:prstGeom prst="rect">
                      <a:avLst/>
                    </a:prstGeom>
                    <a:noFill/>
                  </pic:spPr>
                </pic:pic>
              </a:graphicData>
            </a:graphic>
          </wp:anchor>
        </w:drawing>
      </w:r>
    </w:p>
    <w:p>
      <w:pPr>
        <w:spacing w:after="0" w:line="17"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59,503</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(107,226)</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(205)</w:t>
            </w:r>
          </w:p>
        </w:tc>
        <w:tc>
          <w:tcPr>
            <w:tcW w:w="2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7,625</w:t>
            </w: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153,241</w:t>
            </w: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w:t>
            </w:r>
          </w:p>
        </w:tc>
        <w:tc>
          <w:tcPr>
            <w:tcW w:w="280" w:type="dxa"/>
            <w:vAlign w:val="bottom"/>
          </w:tcPr>
          <w:p>
            <w:pPr>
              <w:spacing w:after="0"/>
              <w:rPr>
                <w:sz w:val="17"/>
                <w:szCs w:val="17"/>
                <w:color w:val="auto"/>
              </w:rPr>
            </w:pP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1,066</w:t>
            </w:r>
          </w:p>
        </w:tc>
        <w:tc>
          <w:tcPr>
            <w:tcW w:w="280" w:type="dxa"/>
            <w:vAlign w:val="bottom"/>
          </w:tcPr>
          <w:p>
            <w:pPr>
              <w:spacing w:after="0"/>
              <w:rPr>
                <w:sz w:val="17"/>
                <w:szCs w:val="17"/>
                <w:color w:val="auto"/>
              </w:rPr>
            </w:pPr>
          </w:p>
        </w:tc>
        <w:tc>
          <w:tcPr>
            <w:tcW w:w="10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2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restricted cash</w:t>
            </w:r>
          </w:p>
        </w:tc>
        <w:tc>
          <w:tcPr>
            <w:tcW w:w="28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increase in cash, cash</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67,989</w:t>
            </w:r>
          </w:p>
        </w:tc>
        <w:tc>
          <w:tcPr>
            <w:tcW w:w="280" w:type="dxa"/>
            <w:vAlign w:val="bottom"/>
            <w:vMerge w:val="restart"/>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45,938</w:t>
            </w:r>
          </w:p>
        </w:tc>
        <w:tc>
          <w:tcPr>
            <w:tcW w:w="0" w:type="dxa"/>
            <w:vAlign w:val="bottom"/>
          </w:tcPr>
          <w:p>
            <w:pPr>
              <w:spacing w:after="0"/>
              <w:rPr>
                <w:sz w:val="1"/>
                <w:szCs w:val="1"/>
                <w:color w:val="auto"/>
              </w:rPr>
            </w:pPr>
          </w:p>
        </w:tc>
      </w:tr>
      <w:tr>
        <w:trPr>
          <w:trHeight w:val="214"/>
        </w:trPr>
        <w:tc>
          <w:tcPr>
            <w:tcW w:w="51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equivalents and restricted cash</w:t>
            </w:r>
          </w:p>
        </w:tc>
        <w:tc>
          <w:tcPr>
            <w:tcW w:w="280" w:type="dxa"/>
            <w:vAlign w:val="bottom"/>
            <w:vMerge w:val="continue"/>
            <w:shd w:val="clear" w:color="auto" w:fill="CFF0FC"/>
          </w:tcPr>
          <w:p>
            <w:pPr>
              <w:spacing w:after="0"/>
              <w:rPr>
                <w:sz w:val="18"/>
                <w:szCs w:val="18"/>
                <w:color w:val="auto"/>
              </w:rPr>
            </w:pPr>
          </w:p>
        </w:tc>
        <w:tc>
          <w:tcPr>
            <w:tcW w:w="1100" w:type="dxa"/>
            <w:vAlign w:val="bottom"/>
            <w:gridSpan w:val="2"/>
            <w:vMerge w:val="continue"/>
            <w:shd w:val="clear" w:color="auto" w:fill="CFF0FC"/>
          </w:tcPr>
          <w:p>
            <w:pPr>
              <w:spacing w:after="0"/>
              <w:rPr>
                <w:sz w:val="18"/>
                <w:szCs w:val="18"/>
                <w:color w:val="auto"/>
              </w:rPr>
            </w:pPr>
          </w:p>
        </w:tc>
        <w:tc>
          <w:tcPr>
            <w:tcW w:w="280" w:type="dxa"/>
            <w:vAlign w:val="bottom"/>
            <w:vMerge w:val="continue"/>
            <w:shd w:val="clear" w:color="auto" w:fill="CFF0FC"/>
          </w:tcPr>
          <w:p>
            <w:pPr>
              <w:spacing w:after="0"/>
              <w:rPr>
                <w:sz w:val="18"/>
                <w:szCs w:val="18"/>
                <w:color w:val="auto"/>
              </w:rPr>
            </w:pPr>
          </w:p>
        </w:tc>
        <w:tc>
          <w:tcPr>
            <w:tcW w:w="104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-25400</wp:posOffset>
            </wp:positionV>
            <wp:extent cx="431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-7620</wp:posOffset>
            </wp:positionV>
            <wp:extent cx="431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by/(Used in) Operating Activities</w:t>
      </w:r>
    </w:p>
    <w:p>
      <w:pPr>
        <w:spacing w:after="0" w:line="200"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$59.5 million for the nine months ended September 30, 2025 and consisted primarily of a net income of $81.3 million, adjusted for $85.8 million of non-cash items, including share-based compensation expense of $82.8 million, depreciation expense of $1.2 million and amortization of discounts for credit facility of $1.6 million. Further, it included a net increase in operating assets and liabilities of $107.7 million, which was driven by an increase in accounts receivable of $80.6 million, an increase in inventory of $6.6 million, an increase in prepaid assets of $13.2 million, a decrease in other current assets of $1.6 million, an increase in other assets of $4.2 million, a decrease in accrued expenses of $0.2 million, and a decrease of $4.7 million in other liabilities. The change in accounts receivable was primarily driven by a reduction in the derecognition of certain accounts receivable under our Factoring Agreement.</w:t>
      </w:r>
    </w:p>
    <w:p>
      <w:pPr>
        <w:spacing w:after="0" w:line="148"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Net cash used in operating activities was $107.2 million for nine months ended September 30, 2024 and consisted primarily of a net loss of $161.5 million, adjusted for $101.0 million of non-cash items, including share-based compensation expense of $87.8 million, depreciation expense of $1.4 million, a loss on the extinguishment of development liability of $1.9 million and accretion of discount to the development liability of $8.9 million. Further, it included a net increase in operating assets and liabilities of $46.7 million, which was driven by an increase in accounts receivable of $72.6 million, an increase in inventory of $20.8 million, a decrease in prepaid assets of $15.2 million, a decrease in other current assets of $10.7 million, a decrease in accounts payable of $0.4 million, an increase in accrued expenses of $12.1 million, an increase in other liabilities of $7.5 million, and an increase in deferred revenue of $1.9 million. The increase in accounts receivable was reduced by the transfer of $56.6 million of accounts receivable during the nine months ended September 30, 2024 to CITIBANK N.A. (“Citi”) under the factoring agreement entered into on August 5,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Financing Activities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$7.6 million during the nine months ended September 30, 2025 and consisted primarily of proceeds from the exercise of stock options and proceeds from the employee stock purchase plan.</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cash provided by financing activities was $153.2 million during the nine months ended September 30, 2024 and consisted primarily of net proceeds from the initial draw of the Credit Facility of $363.9 million, the settlement of capped call unwind transactions of $98.8 million, $14.0 million of proceeds from the exercise of stock options and $3.2 million proceeds from the issuance of our common stock under the employee stock purchase plan partially offset by repayment of $326.5 million for the development liability.</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6" w:right="3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expect to continue to incur expenses to support our ongoing commercial activities related to product manufacturing, marketing, sales and distribution of EMPAVELI for PNH, C3G and IC-MPGN and SYFOVRE for GA. In addition, we expect to continue to incur expenses as we prioritize the ongoing development of systemic pegcetacoplan and focus our research initiatives on high potential opportunities.</w:t>
      </w:r>
    </w:p>
    <w:p>
      <w:pPr>
        <w:spacing w:after="0" w:line="17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Together with the cash that we anticipate will be generated from sales of EMPAVELI and SYFOVRE, we expect that our current cash and cash equivalents will be sufficient to fund our projected operating expenses and capital expenditure requirements for at least the next 12 months, as well as our anticipated longer-term cash requirements and obligations. Our expectations regarding our short-term and long-term funding requirements are based on assumptions that may prove to be wrong, and we may need additional capital resources to fund our operating plans and capital expenditure requirements.</w:t>
      </w:r>
    </w:p>
    <w:p>
      <w:pPr>
        <w:spacing w:after="0" w:line="180"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are devoting substantial resources to the commercial infrastructure for SYFOVRE for GA. We are also devoting substantial resources to the development of our product candidates. Because of the numerous risks and uncertainties associated with the commercialization of EMPAVELI and SYFOVRE and development of other product candidates, and because the extent to which we may enter into collaborations with third parties for any of these activities is unknown, we are unable to estimate the amounts of increased capital outlays and operating expenses associated with the research, development and commercialization. Our future funding requirements and long-term capital requirements will depend on many factors, including</w:t>
      </w:r>
      <w:r>
        <w:rPr>
          <w:rFonts w:ascii="Times New Roman" w:cs="Times New Roman" w:eastAsia="Times New Roman" w:hAnsi="Times New Roman"/>
          <w:sz w:val="21"/>
          <w:szCs w:val="21"/>
          <w:color w:val="auto"/>
        </w:rPr>
        <w:t>:</w:t>
      </w:r>
    </w:p>
    <w:p>
      <w:pPr>
        <w:spacing w:after="0" w:line="65"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commercialize and sell EMPAVELI and SYFOVRE in the United States;</w:t>
      </w:r>
    </w:p>
    <w:p>
      <w:pPr>
        <w:spacing w:after="0" w:line="117" w:lineRule="exact"/>
        <w:rPr>
          <w:rFonts w:ascii="Times New Roman" w:cs="Times New Roman" w:eastAsia="Times New Roman" w:hAnsi="Times New Roman"/>
          <w:sz w:val="18"/>
          <w:szCs w:val="18"/>
          <w:color w:val="auto"/>
        </w:rPr>
      </w:pPr>
    </w:p>
    <w:p>
      <w:pPr>
        <w:ind w:left="1020" w:right="4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obtain regulatory approvals of SYFOVRE outside of the United States and continue to build a commercial infrastructure for SYFOVRE for GA in the United States and worldwide;</w:t>
      </w:r>
    </w:p>
    <w:p>
      <w:pPr>
        <w:spacing w:after="0" w:line="53" w:lineRule="exact"/>
        <w:rPr>
          <w:rFonts w:ascii="Times New Roman" w:cs="Times New Roman" w:eastAsia="Times New Roman" w:hAnsi="Times New Roman"/>
          <w:sz w:val="18"/>
          <w:szCs w:val="18"/>
          <w:color w:val="auto"/>
        </w:rPr>
      </w:pPr>
    </w:p>
    <w:p>
      <w:pPr>
        <w:ind w:left="1020" w:right="4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and our ability to effectively establish and maintain, the commercial infrastructure and manufacturing capabilities required to support the continued commercialization of EMPAVELI, systemic pegcetacoplan and SYFOVRE and any other products for which we receive marketing approval including product sales, medical affairs, marketing, manufacturing and distribution;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timing, costs and results of clinical trials of, and research and preclinical development efforts for systemic pegcetacoplan, SYFOVRE and our other product candidates;</w:t>
      </w:r>
    </w:p>
    <w:p>
      <w:pPr>
        <w:spacing w:after="0" w:line="53" w:lineRule="exact"/>
        <w:rPr>
          <w:rFonts w:ascii="Times New Roman" w:cs="Times New Roman" w:eastAsia="Times New Roman" w:hAnsi="Times New Roman"/>
          <w:sz w:val="18"/>
          <w:szCs w:val="18"/>
          <w:color w:val="auto"/>
        </w:rPr>
      </w:pPr>
    </w:p>
    <w:p>
      <w:pPr>
        <w:ind w:left="1020" w:right="4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productive collaborative relationship with Sobi with respect to systemic pegcetacoplan, including our ability to achieve milestone payments under our agreement with Sobi;</w:t>
      </w:r>
    </w:p>
    <w:p>
      <w:pPr>
        <w:spacing w:after="0" w:line="53"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additional collaborators for any of our product candidates and the terms and timing of any collaboration agreement that we may establish for the development and any commercialization of such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characteristics of future product candidates that we pursue and their development requirements;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costs of clinical trials and of seeking regulatory approvals of pegcetacoplan in other jurisdictions and indications and other product candidates we may pursue;</w:t>
      </w:r>
    </w:p>
    <w:p>
      <w:pPr>
        <w:spacing w:after="0" w:line="53"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commercialization activities for any of our product candidates that receive marketing approval to the extent such costs are not the responsibility of any collaborators, including the costs and timing of establishing product sales, marketing, distribution and manufacturing capabilities;</w:t>
      </w:r>
    </w:p>
    <w:p>
      <w:pPr>
        <w:spacing w:after="0" w:line="67" w:lineRule="exact"/>
        <w:rPr>
          <w:rFonts w:ascii="Times New Roman" w:cs="Times New Roman" w:eastAsia="Times New Roman" w:hAnsi="Times New Roman"/>
          <w:sz w:val="18"/>
          <w:szCs w:val="18"/>
          <w:color w:val="auto"/>
        </w:rPr>
      </w:pPr>
    </w:p>
    <w:p>
      <w:pPr>
        <w:ind w:left="1020" w:right="6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receipt of marketing approval, revenue, if any, received from commercial sales of pegcetacoplan in other jurisdictions and indications and our other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and establish a commercial infrastructure;</w:t>
      </w:r>
    </w:p>
    <w:p>
      <w:pPr>
        <w:spacing w:after="0" w:line="117" w:lineRule="exact"/>
        <w:rPr>
          <w:rFonts w:ascii="Times New Roman" w:cs="Times New Roman" w:eastAsia="Times New Roman" w:hAnsi="Times New Roman"/>
          <w:sz w:val="18"/>
          <w:szCs w:val="18"/>
          <w:color w:val="auto"/>
        </w:rPr>
      </w:pPr>
    </w:p>
    <w:p>
      <w:pPr>
        <w:ind w:left="1020" w:right="26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protecting our intellectual property rights and defending against intellectual property related claims;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public health crises, including pandemics and epidemics, on the healthcare system and the economy generally and on our clinical trials and other operations specifically;</w:t>
      </w:r>
    </w:p>
    <w:p>
      <w:pPr>
        <w:spacing w:after="0" w:line="53" w:lineRule="exact"/>
        <w:rPr>
          <w:rFonts w:ascii="Times New Roman" w:cs="Times New Roman" w:eastAsia="Times New Roman" w:hAnsi="Times New Roman"/>
          <w:sz w:val="18"/>
          <w:szCs w:val="18"/>
          <w:color w:val="auto"/>
        </w:rPr>
      </w:pPr>
    </w:p>
    <w:p>
      <w:pPr>
        <w:ind w:left="1020" w:right="2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adequate reimbursement for EMPAVELI and SYFOVRE in the United States or any other product we commercialize;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31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If our cash and cash equivalents, and cash generated from sales of EMPAVELI and SYFOVRE are not sufficient to fund our planned expenditures, we will need to finance our cash needs through external sources of funds, which may include equity offerings, debt financings, collaborations, strategic alliances or licensing arrangements. We currently do not have any committed external source of funds.</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If we are unable to generate sufficient funds from sales of EMPAVELI and SYFOVRE, or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is set forth under the heading “Management’s Discussion and Analysis of Financial Condition and Results of Operations—Contractual Obligations” in our 2024 Annual Report on Form 10-K. See Note 11. Commitments and Contingencies in the Notes to Unaudited Condensed Consolidated Financial Statements in Part I, Item I of this Form 10-Q for a discussion of obligations and commitments.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September 30, 2025, we had cash and cash equivalents of $479.2 million, inclusive of money market funds. Our primary exposure to market risk is interest rate sensitivity, which is affected by changes in the general level of U.S. interest rates. Due to the short-term duration of our investment portfolio and cash equivalents, and the low risk profile of our investments, an immediate 10% change in interest rates would not have a material effect on the fair market value of our investment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term “disclosure controls and procedures,” as defined in Rules 13a-15(f) and 15d-15(e) under the Exchange Act of 1934 as amended, or the Exchange Act, refers to controls and procedures that are designed to ensure that information required to be disclosed by a company in the reports that it files or submits under the Exchange Act is recorded, processed, summarized and reported, within the time periods specified in the SEC’s rules and forms. Our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its principal executive and principal financial officers, or persons performing similar functions, as appropriate to allow timely decisions regarding required disclosure.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Exchange Act). Based on that evaluation, our Chief Executive Officer and Chief Financial Officer concluded that our disclosure controls and procedures were effective at the reasonable assurance level as of September 30,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No change in our internal control over financial reporting (as defined in Rules 13a-15(f) and 15d-15(f) under the Exchange Act) occurred during the three months ended September 30, 2025 that has materially affected, or is reasonably likely to materially affect, our internal control over financial reporting.</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6"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11. Commitments and Contingencies in the Notes to Unaudited Condensed Consolidated Financial Statements in Part I, Item I of this Form 10-Q.</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you should carefully consider the factors discussed in Part I, “Item 1A. Risk Factors” in our Annual Report on Form 10–K for the year ended December 31, 2024, which could materially affect our business, financial condition or future results. The risk factors disclosure in our Annual Report on Form 10-K for the year ended December 31, 2024 is qualified by the information that is described in this Quarterly Report on Form 10-Q. The risks described in our Annual Report on Form 10–K for the year ended December 31, 2024 are not our only risks. Additional risks and uncertainties not currently known to us or that we currently deem to be immaterial also may materially adversely affect our business, financial condition or future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describes, for the quarterly period covered by this report, each trading arrangement for the sale or purchase of our securities adopted or terminated by our directors and officers that is either (1) a contract, instruction or written plan intended to satisfy the affirmative defense conditions of Rule 10b5-1(c), or a Rule 10b5-1 trading arrangement, or (2) a “non-Rule 10b5-1 trading arrangement” (as defined in Item 408(c) of Regulation S-K):</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Action Taken</w:t>
            </w: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Nature of</w:t>
            </w:r>
          </w:p>
        </w:tc>
        <w:tc>
          <w:tcPr>
            <w:tcW w:w="1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Aggregate Number</w:t>
            </w:r>
          </w:p>
        </w:tc>
      </w:tr>
      <w:tr>
        <w:trPr>
          <w:trHeight w:val="203"/>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 of</w:t>
            </w:r>
          </w:p>
        </w:tc>
        <w:tc>
          <w:tcPr>
            <w:tcW w:w="140" w:type="dxa"/>
            <w:vAlign w:val="bottom"/>
          </w:tcPr>
          <w:p>
            <w:pPr>
              <w:spacing w:after="0"/>
              <w:rPr>
                <w:sz w:val="17"/>
                <w:szCs w:val="17"/>
                <w:color w:val="auto"/>
              </w:rPr>
            </w:pPr>
          </w:p>
        </w:tc>
        <w:tc>
          <w:tcPr>
            <w:tcW w:w="190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Type of Trading</w:t>
            </w:r>
          </w:p>
        </w:tc>
        <w:tc>
          <w:tcPr>
            <w:tcW w:w="12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17"/>
                <w:szCs w:val="17"/>
                <w:color w:val="auto"/>
              </w:rPr>
            </w:pPr>
          </w:p>
        </w:tc>
        <w:tc>
          <w:tcPr>
            <w:tcW w:w="266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Duration of Trading</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of</w:t>
            </w:r>
          </w:p>
        </w:tc>
      </w:tr>
      <w:tr>
        <w:trPr>
          <w:trHeight w:val="215"/>
        </w:trPr>
        <w:tc>
          <w:tcPr>
            <w:tcW w:w="2340" w:type="dxa"/>
            <w:vAlign w:val="bottom"/>
          </w:tcPr>
          <w:p>
            <w:pPr>
              <w:ind w:left="740"/>
              <w:spacing w:after="0"/>
              <w:rPr>
                <w:sz w:val="20"/>
                <w:szCs w:val="20"/>
                <w:color w:val="auto"/>
              </w:rPr>
            </w:pPr>
            <w:r>
              <w:rPr>
                <w:rFonts w:ascii="Times New Roman" w:cs="Times New Roman" w:eastAsia="Times New Roman" w:hAnsi="Times New Roman"/>
                <w:sz w:val="16"/>
                <w:szCs w:val="16"/>
                <w:b w:val="1"/>
                <w:bCs w:val="1"/>
                <w:color w:val="auto"/>
              </w:rPr>
              <w:t>Name (Title)</w:t>
            </w:r>
          </w:p>
        </w:tc>
        <w:tc>
          <w:tcPr>
            <w:tcW w:w="16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Action)</w:t>
            </w:r>
          </w:p>
        </w:tc>
        <w:tc>
          <w:tcPr>
            <w:tcW w:w="140" w:type="dxa"/>
            <w:vAlign w:val="bottom"/>
          </w:tcPr>
          <w:p>
            <w:pPr>
              <w:spacing w:after="0"/>
              <w:rPr>
                <w:sz w:val="18"/>
                <w:szCs w:val="18"/>
                <w:color w:val="auto"/>
              </w:rPr>
            </w:pPr>
          </w:p>
        </w:tc>
        <w:tc>
          <w:tcPr>
            <w:tcW w:w="1900" w:type="dxa"/>
            <w:vAlign w:val="bottom"/>
          </w:tcPr>
          <w:p>
            <w:pPr>
              <w:ind w:left="48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20" w:type="dxa"/>
            <w:vAlign w:val="bottom"/>
          </w:tcPr>
          <w:p>
            <w:pPr>
              <w:spacing w:after="0"/>
              <w:rPr>
                <w:sz w:val="18"/>
                <w:szCs w:val="18"/>
                <w:color w:val="auto"/>
              </w:rPr>
            </w:pPr>
          </w:p>
        </w:tc>
        <w:tc>
          <w:tcPr>
            <w:tcW w:w="112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20" w:type="dxa"/>
            <w:vAlign w:val="bottom"/>
          </w:tcPr>
          <w:p>
            <w:pPr>
              <w:spacing w:after="0"/>
              <w:rPr>
                <w:sz w:val="18"/>
                <w:szCs w:val="18"/>
                <w:color w:val="auto"/>
              </w:rPr>
            </w:pPr>
          </w:p>
        </w:tc>
        <w:tc>
          <w:tcPr>
            <w:tcW w:w="2660" w:type="dxa"/>
            <w:vAlign w:val="bottom"/>
            <w:gridSpan w:val="2"/>
          </w:tcPr>
          <w:p>
            <w:pPr>
              <w:ind w:left="740"/>
              <w:spacing w:after="0"/>
              <w:rPr>
                <w:sz w:val="20"/>
                <w:szCs w:val="20"/>
                <w:color w:val="auto"/>
              </w:rPr>
            </w:pPr>
            <w:r>
              <w:rPr>
                <w:rFonts w:ascii="Times New Roman" w:cs="Times New Roman" w:eastAsia="Times New Roman" w:hAnsi="Times New Roman"/>
                <w:sz w:val="16"/>
                <w:szCs w:val="16"/>
                <w:b w:val="1"/>
                <w:bCs w:val="1"/>
                <w:color w:val="auto"/>
              </w:rPr>
              <w:t>Arrangement</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185"/>
        </w:trPr>
        <w:tc>
          <w:tcPr>
            <w:tcW w:w="234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Cedric G Francois</w:t>
            </w:r>
          </w:p>
        </w:tc>
        <w:tc>
          <w:tcPr>
            <w:tcW w:w="160" w:type="dxa"/>
            <w:vAlign w:val="bottom"/>
            <w:shd w:val="clear" w:color="auto" w:fill="CFF0FC"/>
          </w:tcPr>
          <w:p>
            <w:pPr>
              <w:spacing w:after="0"/>
              <w:rPr>
                <w:sz w:val="16"/>
                <w:szCs w:val="16"/>
                <w:color w:val="auto"/>
              </w:rPr>
            </w:pPr>
          </w:p>
        </w:tc>
        <w:tc>
          <w:tcPr>
            <w:tcW w:w="10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0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tcBorders>
              <w:top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6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5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President and Chief Executive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Termination</w:t>
            </w: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Officer</w:t>
            </w:r>
          </w:p>
        </w:tc>
        <w:tc>
          <w:tcPr>
            <w:tcW w:w="12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8/14/2025</w:t>
            </w:r>
          </w:p>
        </w:tc>
        <w:tc>
          <w:tcPr>
            <w:tcW w:w="20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arrangement</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Sale</w:t>
            </w:r>
          </w:p>
        </w:tc>
        <w:tc>
          <w:tcPr>
            <w:tcW w:w="27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6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189"/>
        </w:trPr>
        <w:tc>
          <w:tcPr>
            <w:tcW w:w="2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Until 2/27/2027, or such earlier date</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2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Caroline Baumal</w:t>
            </w:r>
          </w:p>
        </w:tc>
        <w:tc>
          <w:tcPr>
            <w:tcW w:w="16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tcPr>
          <w:p>
            <w:pPr>
              <w:spacing w:after="0"/>
              <w:rPr>
                <w:sz w:val="17"/>
                <w:szCs w:val="17"/>
                <w:color w:val="auto"/>
              </w:rPr>
            </w:pPr>
          </w:p>
        </w:tc>
        <w:tc>
          <w:tcPr>
            <w:tcW w:w="1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completed or expire without</w:t>
            </w: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340" w:type="dxa"/>
            <w:vAlign w:val="bottom"/>
          </w:tcPr>
          <w:p>
            <w:pPr>
              <w:spacing w:after="0"/>
              <w:rPr>
                <w:sz w:val="20"/>
                <w:szCs w:val="20"/>
                <w:color w:val="auto"/>
              </w:rPr>
            </w:pPr>
            <w:r>
              <w:rPr>
                <w:rFonts w:ascii="Times New Roman" w:cs="Times New Roman" w:eastAsia="Times New Roman" w:hAnsi="Times New Roman"/>
                <w:sz w:val="16"/>
                <w:szCs w:val="16"/>
                <w:color w:val="auto"/>
              </w:rPr>
              <w:t>Chief Medical Officer</w:t>
            </w:r>
          </w:p>
        </w:tc>
        <w:tc>
          <w:tcPr>
            <w:tcW w:w="1240" w:type="dxa"/>
            <w:vAlign w:val="bottom"/>
            <w:gridSpan w:val="2"/>
          </w:tcPr>
          <w:p>
            <w:pPr>
              <w:jc w:val="center"/>
              <w:ind w:left="59"/>
              <w:spacing w:after="0"/>
              <w:rPr>
                <w:sz w:val="20"/>
                <w:szCs w:val="20"/>
                <w:color w:val="auto"/>
              </w:rPr>
            </w:pPr>
            <w:r>
              <w:rPr>
                <w:rFonts w:ascii="Times New Roman" w:cs="Times New Roman" w:eastAsia="Times New Roman" w:hAnsi="Times New Roman"/>
                <w:sz w:val="16"/>
                <w:szCs w:val="16"/>
                <w:color w:val="auto"/>
              </w:rPr>
              <w:t>8/19/2025</w:t>
            </w:r>
          </w:p>
        </w:tc>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arrangement</w:t>
            </w: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Sale</w:t>
            </w:r>
          </w:p>
        </w:tc>
        <w:tc>
          <w:tcPr>
            <w:tcW w:w="120" w:type="dxa"/>
            <w:vAlign w:val="bottom"/>
          </w:tcPr>
          <w:p>
            <w:pPr>
              <w:spacing w:after="0"/>
              <w:rPr>
                <w:sz w:val="18"/>
                <w:szCs w:val="18"/>
                <w:color w:val="auto"/>
              </w:rPr>
            </w:pPr>
          </w:p>
        </w:tc>
        <w:tc>
          <w:tcPr>
            <w:tcW w:w="2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execution</w:t>
            </w:r>
          </w:p>
        </w:tc>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Up to 14,698 shares</w:t>
            </w:r>
          </w:p>
        </w:tc>
      </w:tr>
      <w:tr>
        <w:trPr>
          <w:trHeight w:val="192"/>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James Chopas</w:t>
            </w: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Until 1/29/2027, or such earlier date</w:t>
            </w:r>
          </w:p>
        </w:tc>
        <w:tc>
          <w:tcPr>
            <w:tcW w:w="15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0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Vice President, Corporate</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upon which all transactions are</w:t>
            </w: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Controller and</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Adoption</w:t>
            </w:r>
          </w:p>
        </w:tc>
        <w:tc>
          <w:tcPr>
            <w:tcW w:w="140" w:type="dxa"/>
            <w:vAlign w:val="bottom"/>
            <w:shd w:val="clear" w:color="auto" w:fill="CFF0FC"/>
          </w:tcPr>
          <w:p>
            <w:pPr>
              <w:spacing w:after="0"/>
              <w:rPr>
                <w:sz w:val="17"/>
                <w:szCs w:val="17"/>
                <w:color w:val="auto"/>
              </w:rPr>
            </w:pPr>
          </w:p>
        </w:tc>
        <w:tc>
          <w:tcPr>
            <w:tcW w:w="19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Rule 10b5-1 trading</w:t>
            </w: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completed or expire without</w:t>
            </w:r>
          </w:p>
        </w:tc>
        <w:tc>
          <w:tcPr>
            <w:tcW w:w="1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234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Chief Accounting Officer</w:t>
            </w:r>
          </w:p>
        </w:tc>
        <w:tc>
          <w:tcPr>
            <w:tcW w:w="1240" w:type="dxa"/>
            <w:vAlign w:val="bottom"/>
            <w:gridSpan w:val="2"/>
            <w:shd w:val="clear" w:color="auto" w:fill="CFF0FC"/>
          </w:tcPr>
          <w:p>
            <w:pPr>
              <w:jc w:val="center"/>
              <w:ind w:left="59"/>
              <w:spacing w:after="0"/>
              <w:rPr>
                <w:sz w:val="20"/>
                <w:szCs w:val="20"/>
                <w:color w:val="auto"/>
              </w:rPr>
            </w:pPr>
            <w:r>
              <w:rPr>
                <w:rFonts w:ascii="Times New Roman" w:cs="Times New Roman" w:eastAsia="Times New Roman" w:hAnsi="Times New Roman"/>
                <w:sz w:val="16"/>
                <w:szCs w:val="16"/>
                <w:color w:val="auto"/>
              </w:rPr>
              <w:t>9/15/2025</w:t>
            </w:r>
          </w:p>
        </w:tc>
        <w:tc>
          <w:tcPr>
            <w:tcW w:w="20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6"/>
                <w:szCs w:val="16"/>
                <w:color w:val="auto"/>
              </w:rPr>
              <w:t>arrangement</w:t>
            </w:r>
          </w:p>
        </w:tc>
        <w:tc>
          <w:tcPr>
            <w:tcW w:w="120" w:type="dxa"/>
            <w:vAlign w:val="bottom"/>
            <w:shd w:val="clear" w:color="auto" w:fill="CFF0FC"/>
          </w:tcPr>
          <w:p>
            <w:pPr>
              <w:spacing w:after="0"/>
              <w:rPr>
                <w:sz w:val="18"/>
                <w:szCs w:val="18"/>
                <w:color w:val="auto"/>
              </w:rPr>
            </w:pPr>
          </w:p>
        </w:tc>
        <w:tc>
          <w:tcPr>
            <w:tcW w:w="1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6"/>
                <w:szCs w:val="16"/>
                <w:color w:val="auto"/>
              </w:rPr>
              <w:t>Sale</w:t>
            </w:r>
          </w:p>
        </w:tc>
        <w:tc>
          <w:tcPr>
            <w:tcW w:w="120" w:type="dxa"/>
            <w:vAlign w:val="bottom"/>
            <w:shd w:val="clear" w:color="auto" w:fill="CFF0FC"/>
          </w:tcPr>
          <w:p>
            <w:pPr>
              <w:spacing w:after="0"/>
              <w:rPr>
                <w:sz w:val="18"/>
                <w:szCs w:val="18"/>
                <w:color w:val="auto"/>
              </w:rPr>
            </w:pPr>
          </w:p>
        </w:tc>
        <w:tc>
          <w:tcPr>
            <w:tcW w:w="2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execution</w:t>
            </w:r>
          </w:p>
        </w:tc>
        <w:tc>
          <w:tcPr>
            <w:tcW w:w="1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Up to 25,947 shares</w:t>
            </w:r>
          </w:p>
        </w:tc>
      </w:tr>
    </w:tbl>
    <w:p>
      <w:pPr>
        <w:spacing w:after="0" w:line="198" w:lineRule="exact"/>
        <w:rPr>
          <w:sz w:val="20"/>
          <w:szCs w:val="20"/>
          <w:color w:val="auto"/>
        </w:rPr>
      </w:pPr>
    </w:p>
    <w:p>
      <w:pPr>
        <w:ind w:left="5540" w:right="2700" w:hanging="5532"/>
        <w:spacing w:after="0" w:line="532" w:lineRule="auto"/>
        <w:tabs>
          <w:tab w:leader="none" w:pos="26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trading plan related to 358,090 shares of our common stock and had a scheduled expiration date of 7/31/2025.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7240" cy="8255"/>
                    </a:xfrm>
                    <a:prstGeom prst="rect">
                      <a:avLst/>
                    </a:prstGeom>
                    <a:noFill/>
                  </pic:spPr>
                </pic:pic>
              </a:graphicData>
            </a:graphic>
          </wp:anchor>
        </w:drawing>
      </w:r>
    </w:p>
    <w:p>
      <w:pPr>
        <w:spacing w:after="0" w:line="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Exhibits.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220" w:type="dxa"/>
            <w:vAlign w:val="bottom"/>
            <w:gridSpan w:val="7"/>
            <w:vMerge w:val="restart"/>
          </w:tcPr>
          <w:p>
            <w:pPr>
              <w:ind w:left="30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2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220" w:type="dxa"/>
            <w:vAlign w:val="bottom"/>
            <w:tcBorders>
              <w:bottom w:val="single" w:sz="8" w:color="auto"/>
            </w:tcBorders>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Royalty Buy-Down Agreement dated July 1, 2025, by and between Swedish Orphan Biovitrum AB and the Registrant.</w:t>
            </w:r>
          </w:p>
        </w:tc>
        <w:tc>
          <w:tcPr>
            <w:tcW w:w="20" w:type="dxa"/>
            <w:vAlign w:val="bottom"/>
            <w:tcBorders>
              <w:bottom w:val="single" w:sz="8" w:color="0000EE"/>
            </w:tcBorders>
          </w:tcPr>
          <w:p>
            <w:pPr>
              <w:spacing w:after="0"/>
              <w:rPr>
                <w:sz w:val="24"/>
                <w:szCs w:val="24"/>
                <w:color w:val="auto"/>
              </w:rPr>
            </w:pPr>
          </w:p>
        </w:tc>
        <w:tc>
          <w:tcPr>
            <w:tcW w:w="10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FF"/>
            </w:tcBorders>
            <w:shd w:val="clear" w:color="auto" w:fill="0000FF"/>
          </w:tcPr>
          <w:p>
            <w:pPr>
              <w:spacing w:after="0" w:line="20" w:lineRule="exact"/>
              <w:rPr>
                <w:sz w:val="1"/>
                <w:szCs w:val="1"/>
                <w:color w:val="auto"/>
              </w:rPr>
            </w:pPr>
          </w:p>
        </w:tc>
        <w:tc>
          <w:tcPr>
            <w:tcW w:w="35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98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 Sarbanes-Oxley Act of 2002.</w:t>
            </w:r>
          </w:p>
        </w:tc>
        <w:tc>
          <w:tcPr>
            <w:tcW w:w="46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w:t>
            </w: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0" w:type="dxa"/>
            <w:vAlign w:val="bottom"/>
            <w:tcBorders>
              <w:top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160" w:type="dxa"/>
            <w:vAlign w:val="bottom"/>
            <w:gridSpan w:val="5"/>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 1350, as Adopted Pursuant to Section 906 of the Sarbanes-</w:t>
            </w:r>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2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Borders>
              <w:right w:val="single" w:sz="8" w:color="0000EE"/>
            </w:tcBorders>
            <w:shd w:val="clear" w:color="auto" w:fill="0000FF"/>
          </w:tcPr>
          <w:p>
            <w:pPr>
              <w:spacing w:after="0" w:line="20" w:lineRule="exact"/>
              <w:rPr>
                <w:sz w:val="1"/>
                <w:szCs w:val="1"/>
                <w:color w:val="auto"/>
              </w:rPr>
            </w:pPr>
          </w:p>
        </w:tc>
        <w:tc>
          <w:tcPr>
            <w:tcW w:w="822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95123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5540" w:right="4280" w:hanging="5532"/>
        <w:spacing w:after="0" w:line="532" w:lineRule="auto"/>
        <w:tabs>
          <w:tab w:leader="none" w:pos="23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have been omitted pursuant to Item 601(b)(10)(iv) of Regulation S-K.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7724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77240"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41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Apellis Pharmaceuticals, Inc.</w:t>
            </w:r>
          </w:p>
        </w:tc>
      </w:tr>
      <w:tr>
        <w:trPr>
          <w:trHeight w:val="48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34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Cedric Francois</w:t>
            </w:r>
          </w:p>
        </w:tc>
      </w:tr>
      <w:tr>
        <w:trPr>
          <w:trHeight w:val="218"/>
        </w:trPr>
        <w:tc>
          <w:tcPr>
            <w:tcW w:w="36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Cedric Francois</w:t>
            </w:r>
          </w:p>
        </w:tc>
      </w:tr>
      <w:tr>
        <w:trPr>
          <w:trHeight w:val="216"/>
        </w:trPr>
        <w:tc>
          <w:tcPr>
            <w:tcW w:w="36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59"/>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344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By:</w:t>
            </w:r>
          </w:p>
        </w:tc>
        <w:tc>
          <w:tcPr>
            <w:tcW w:w="14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Sullivan</w:t>
            </w:r>
          </w:p>
        </w:tc>
      </w:tr>
      <w:tr>
        <w:trPr>
          <w:trHeight w:val="218"/>
        </w:trPr>
        <w:tc>
          <w:tcPr>
            <w:tcW w:w="36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Timothy Sullivan</w:t>
            </w:r>
          </w:p>
        </w:tc>
      </w:tr>
      <w:tr>
        <w:trPr>
          <w:trHeight w:val="216"/>
        </w:trPr>
        <w:tc>
          <w:tcPr>
            <w:tcW w:w="36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36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648"/>
        </w:trPr>
        <w:tc>
          <w:tcPr>
            <w:tcW w:w="3620" w:type="dxa"/>
            <w:vAlign w:val="bottom"/>
          </w:tcPr>
          <w:p>
            <w:pPr>
              <w:spacing w:after="0"/>
              <w:rPr>
                <w:sz w:val="24"/>
                <w:szCs w:val="24"/>
                <w:color w:val="auto"/>
              </w:rPr>
            </w:pPr>
          </w:p>
        </w:tc>
        <w:tc>
          <w:tcPr>
            <w:tcW w:w="3440" w:type="dxa"/>
            <w:vAlign w:val="bottom"/>
          </w:tcPr>
          <w:p>
            <w:pPr>
              <w:jc w:val="right"/>
              <w:ind w:right="125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763"/>
        </w:trPr>
        <w:tc>
          <w:tcPr>
            <w:tcW w:w="36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2"/>
          <w:szCs w:val="22"/>
          <w:b w:val="1"/>
          <w:bCs w:val="1"/>
          <w:color w:val="auto"/>
        </w:rPr>
        <w:t>Execution Copy</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auto"/>
        </w:rPr>
        <w:t>Confidential</w:t>
      </w:r>
    </w:p>
    <w:p>
      <w:pPr>
        <w:spacing w:after="0" w:line="182" w:lineRule="exact"/>
        <w:rPr>
          <w:sz w:val="20"/>
          <w:szCs w:val="20"/>
          <w:color w:val="auto"/>
        </w:rPr>
      </w:pPr>
    </w:p>
    <w:p>
      <w:pPr>
        <w:jc w:val="center"/>
        <w:ind w:right="40"/>
        <w:spacing w:after="0" w:line="258" w:lineRule="auto"/>
        <w:rPr>
          <w:sz w:val="20"/>
          <w:szCs w:val="20"/>
          <w:color w:val="auto"/>
        </w:rPr>
      </w:pPr>
      <w:r>
        <w:rPr>
          <w:rFonts w:ascii="Times New Roman" w:cs="Times New Roman" w:eastAsia="Times New Roman" w:hAnsi="Times New Roman"/>
          <w:sz w:val="22"/>
          <w:szCs w:val="22"/>
          <w:color w:val="auto"/>
        </w:rPr>
        <w:t>Certain identified information has been excluded from the exhibit because it is both (i) not material and (ii) is the type of information that the registrant treats as private or confidential. Double asterisks denote omissions.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ROYALTY BUY-DOWN AGREEMENT</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This ROYALTY BUY-DOWN AGREEMENT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as of July 1, 2025 (the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by and among Apellis International GmbH, f/k/a Apellis Switzerland GmbH, a company with limited liability (</w:t>
      </w:r>
      <w:r>
        <w:rPr>
          <w:rFonts w:ascii="Times New Roman" w:cs="Times New Roman" w:eastAsia="Times New Roman" w:hAnsi="Times New Roman"/>
          <w:sz w:val="22"/>
          <w:szCs w:val="22"/>
          <w:i w:val="1"/>
          <w:iCs w:val="1"/>
          <w:color w:val="auto"/>
        </w:rPr>
        <w:t>Gesellschaft mit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beschränkter Haftung</w:t>
      </w:r>
      <w:r>
        <w:rPr>
          <w:rFonts w:ascii="Times New Roman" w:cs="Times New Roman" w:eastAsia="Times New Roman" w:hAnsi="Times New Roman"/>
          <w:sz w:val="22"/>
          <w:szCs w:val="22"/>
          <w:color w:val="auto"/>
        </w:rPr>
        <w:t>) registered under the laws of Switzerland and having its registered office at Zählerweg 10, 6300 Zug,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Switzerland (“</w:t>
      </w:r>
      <w:r>
        <w:rPr>
          <w:rFonts w:ascii="Times New Roman" w:cs="Times New Roman" w:eastAsia="Times New Roman" w:hAnsi="Times New Roman"/>
          <w:sz w:val="22"/>
          <w:szCs w:val="22"/>
          <w:b w:val="1"/>
          <w:bCs w:val="1"/>
          <w:color w:val="auto"/>
        </w:rPr>
        <w:t>Apellis GmbH</w:t>
      </w:r>
      <w:r>
        <w:rPr>
          <w:rFonts w:ascii="Times New Roman" w:cs="Times New Roman" w:eastAsia="Times New Roman" w:hAnsi="Times New Roman"/>
          <w:sz w:val="22"/>
          <w:szCs w:val="22"/>
          <w:color w:val="auto"/>
        </w:rPr>
        <w:t>”), Apellis Pharmaceuticals, Inc., a Delaware corporation with a principal place of business at 100 5th Avenue, Waltham, MA 02451 USA (“</w:t>
      </w:r>
      <w:r>
        <w:rPr>
          <w:rFonts w:ascii="Times New Roman" w:cs="Times New Roman" w:eastAsia="Times New Roman" w:hAnsi="Times New Roman"/>
          <w:sz w:val="22"/>
          <w:szCs w:val="22"/>
          <w:b w:val="1"/>
          <w:bCs w:val="1"/>
          <w:color w:val="auto"/>
        </w:rPr>
        <w:t>Apellis US</w:t>
      </w:r>
      <w:r>
        <w:rPr>
          <w:rFonts w:ascii="Times New Roman" w:cs="Times New Roman" w:eastAsia="Times New Roman" w:hAnsi="Times New Roman"/>
          <w:sz w:val="22"/>
          <w:szCs w:val="22"/>
          <w:color w:val="auto"/>
        </w:rPr>
        <w:t>”) and APL DEL Holdings, LLC, a company organized and existing under the laws of Delaware with its registered agent located at c/o Vcorp Services, LLC, 1013 Centre Road, Suite 403-B, in the City of Wilmington, County of New Castle, Delaware, 19805 (“</w:t>
      </w:r>
      <w:r>
        <w:rPr>
          <w:rFonts w:ascii="Times New Roman" w:cs="Times New Roman" w:eastAsia="Times New Roman" w:hAnsi="Times New Roman"/>
          <w:sz w:val="22"/>
          <w:szCs w:val="22"/>
          <w:b w:val="1"/>
          <w:bCs w:val="1"/>
          <w:color w:val="auto"/>
        </w:rPr>
        <w:t>Apellis LLC</w:t>
      </w:r>
      <w:r>
        <w:rPr>
          <w:rFonts w:ascii="Times New Roman" w:cs="Times New Roman" w:eastAsia="Times New Roman" w:hAnsi="Times New Roman"/>
          <w:sz w:val="22"/>
          <w:szCs w:val="22"/>
          <w:color w:val="auto"/>
        </w:rPr>
        <w:t>”) (Apellis GmbH, Apellis US and Apellis LLC together referred to as “</w:t>
      </w:r>
      <w:r>
        <w:rPr>
          <w:rFonts w:ascii="Times New Roman" w:cs="Times New Roman" w:eastAsia="Times New Roman" w:hAnsi="Times New Roman"/>
          <w:sz w:val="22"/>
          <w:szCs w:val="22"/>
          <w:b w:val="1"/>
          <w:bCs w:val="1"/>
          <w:color w:val="auto"/>
        </w:rPr>
        <w:t>Apellis</w:t>
      </w:r>
      <w:r>
        <w:rPr>
          <w:rFonts w:ascii="Times New Roman" w:cs="Times New Roman" w:eastAsia="Times New Roman" w:hAnsi="Times New Roman"/>
          <w:sz w:val="22"/>
          <w:szCs w:val="22"/>
          <w:color w:val="auto"/>
        </w:rPr>
        <w:t>”) and Swedish Orphan Biovitrum AB (publ), a Swedish public company having its principal place of business at SE-112 76 Stockholm, Sweden (“</w:t>
      </w:r>
      <w:r>
        <w:rPr>
          <w:rFonts w:ascii="Times New Roman" w:cs="Times New Roman" w:eastAsia="Times New Roman" w:hAnsi="Times New Roman"/>
          <w:sz w:val="22"/>
          <w:szCs w:val="22"/>
          <w:b w:val="1"/>
          <w:bCs w:val="1"/>
          <w:color w:val="auto"/>
        </w:rPr>
        <w:t>Sobi</w:t>
      </w:r>
      <w:r>
        <w:rPr>
          <w:rFonts w:ascii="Times New Roman" w:cs="Times New Roman" w:eastAsia="Times New Roman" w:hAnsi="Times New Roman"/>
          <w:sz w:val="22"/>
          <w:szCs w:val="22"/>
          <w:color w:val="auto"/>
        </w:rPr>
        <w:t>”). Apellis and Sobi are each referred to herein individually as “</w:t>
      </w:r>
      <w:r>
        <w:rPr>
          <w:rFonts w:ascii="Times New Roman" w:cs="Times New Roman" w:eastAsia="Times New Roman" w:hAnsi="Times New Roman"/>
          <w:sz w:val="22"/>
          <w:szCs w:val="22"/>
          <w:b w:val="1"/>
          <w:bCs w:val="1"/>
          <w:color w:val="auto"/>
        </w:rPr>
        <w:t>Party</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Capitalized terms used herein and not defined herein shall have the meanings ascribed to them in the Collaboration and License Agreement dated as of October 27, 2020 by and among the Parties (the “</w:t>
      </w:r>
      <w:r>
        <w:rPr>
          <w:rFonts w:ascii="Times New Roman" w:cs="Times New Roman" w:eastAsia="Times New Roman" w:hAnsi="Times New Roman"/>
          <w:sz w:val="22"/>
          <w:szCs w:val="22"/>
          <w:b w:val="1"/>
          <w:bCs w:val="1"/>
          <w:color w:val="auto"/>
        </w:rPr>
        <w:t>CLA</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under the CLA, the Parties have agreed to collaborate to develop and commercialize the compound known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APL-2 in certain indications;</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now desire to enter into this Agreement, pursuant to which Sobi will make certain payment(s)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Apellis in consideration for Apellis reducing Sobi’s royalty obligations with respect to Net Sales of Products in the Sobi Territory for a specified period of time; and</w:t>
      </w:r>
    </w:p>
    <w:p>
      <w:pPr>
        <w:spacing w:after="0" w:line="167"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Parties also desire to memorialize certain agreements between them with respect to Apellis’ conduct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certain Clinical Trials in the Sobi Territory;</w:t>
      </w:r>
    </w:p>
    <w:p>
      <w:pPr>
        <w:spacing w:after="0" w:line="15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set out below, and other good and valuable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consideration, the receipt and sufficiency of which are hereby acknowledged, the Parties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ROYALTY BUY-DOWN</w:t>
      </w:r>
    </w:p>
    <w:p>
      <w:pPr>
        <w:spacing w:after="0" w:line="178" w:lineRule="exact"/>
        <w:rPr>
          <w:sz w:val="20"/>
          <w:szCs w:val="20"/>
          <w:color w:val="auto"/>
        </w:rPr>
      </w:pPr>
    </w:p>
    <w:p>
      <w:pPr>
        <w:jc w:val="both"/>
        <w:ind w:left="760" w:hanging="748"/>
        <w:spacing w:after="0" w:line="262" w:lineRule="auto"/>
        <w:tabs>
          <w:tab w:leader="none" w:pos="740" w:val="left"/>
        </w:tabs>
        <w:rPr>
          <w:sz w:val="20"/>
          <w:szCs w:val="20"/>
          <w:color w:val="auto"/>
        </w:rPr>
      </w:pPr>
      <w:r>
        <w:rPr>
          <w:rFonts w:ascii="Times New Roman" w:cs="Times New Roman" w:eastAsia="Times New Roman" w:hAnsi="Times New Roman"/>
          <w:sz w:val="22"/>
          <w:szCs w:val="22"/>
          <w:color w:val="auto"/>
        </w:rPr>
        <w:t>1.1</w:t>
      </w:r>
      <w:r>
        <w:rPr>
          <w:sz w:val="20"/>
          <w:szCs w:val="20"/>
          <w:color w:val="auto"/>
        </w:rPr>
        <w:tab/>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Solely in consideration for the modifications to Sobi’s royalty obligations set forth in Section 1.2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below, Sobi shall make the following one-time payments to Apellis:</w:t>
      </w:r>
    </w:p>
    <w:p>
      <w:pPr>
        <w:spacing w:after="0" w:line="154" w:lineRule="exact"/>
        <w:rPr>
          <w:sz w:val="20"/>
          <w:szCs w:val="20"/>
          <w:color w:val="auto"/>
        </w:rPr>
      </w:pPr>
    </w:p>
    <w:p>
      <w:pPr>
        <w:ind w:left="1500" w:hanging="743"/>
        <w:spacing w:after="0" w:line="258" w:lineRule="auto"/>
        <w:tabs>
          <w:tab w:leader="none" w:pos="15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five (5) business days following the Effective Date, Sobi shall pay Apellis two hundred seventy-five million Dollars ($275,000,000).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1108075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3" w:name="page44"/>
    <w:bookmarkEnd w:id="43"/>
    <w:p>
      <w:pPr>
        <w:spacing w:after="0" w:line="185" w:lineRule="exact"/>
        <w:rPr>
          <w:sz w:val="20"/>
          <w:szCs w:val="20"/>
          <w:color w:val="auto"/>
        </w:rPr>
      </w:pPr>
    </w:p>
    <w:p>
      <w:pPr>
        <w:ind w:left="1500" w:hanging="743"/>
        <w:spacing w:after="0" w:line="258" w:lineRule="auto"/>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after receipt of Regulatory Approval of a Product from the EMA for the treatment of C3G or a substantially similar Indication, Sobi shall pay Apellis [**] Dollars ($[**]).</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 after receipt of Regulatory Approval of a Product from the EMA for the treatment of primary immune complex membranoproliferative glomerulonephritis or a substantially similar Indication, Sobi shall pay Apellis [**] Dollars ($[**]).</w:t>
      </w:r>
    </w:p>
    <w:p>
      <w:pPr>
        <w:spacing w:after="0" w:line="169" w:lineRule="exact"/>
        <w:rPr>
          <w:rFonts w:ascii="Times New Roman" w:cs="Times New Roman" w:eastAsia="Times New Roman" w:hAnsi="Times New Roman"/>
          <w:sz w:val="22"/>
          <w:szCs w:val="22"/>
          <w:color w:val="auto"/>
        </w:rPr>
      </w:pPr>
    </w:p>
    <w:p>
      <w:pPr>
        <w:jc w:val="both"/>
        <w:ind w:left="1500" w:hanging="743"/>
        <w:spacing w:after="0" w:line="241" w:lineRule="auto"/>
        <w:tabs>
          <w:tab w:leader="none" w:pos="15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payments made by Sobi under this Section 1.1 (collectively,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shall be made by wire transfer in immediately available funds to the bank account designated in writing by Apellis without any reduction or withholding therefrom. The provisions of Section 9.8 of the CLA shall apply to any payment under this Section 1.1 that is not paid on or before the date such payment is due.</w:t>
      </w:r>
    </w:p>
    <w:p>
      <w:pPr>
        <w:spacing w:after="0" w:line="17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1.2</w:t>
      </w:r>
      <w:r>
        <w:rPr>
          <w:sz w:val="20"/>
          <w:szCs w:val="20"/>
          <w:color w:val="auto"/>
        </w:rPr>
        <w:tab/>
      </w:r>
      <w:r>
        <w:rPr>
          <w:rFonts w:ascii="Times New Roman" w:cs="Times New Roman" w:eastAsia="Times New Roman" w:hAnsi="Times New Roman"/>
          <w:sz w:val="21"/>
          <w:szCs w:val="21"/>
          <w:b w:val="1"/>
          <w:bCs w:val="1"/>
          <w:color w:val="auto"/>
        </w:rPr>
        <w:t>Modifications to Sobi’s Royalty Obligations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left="1500" w:hanging="743"/>
        <w:spacing w:after="0" w:line="236" w:lineRule="auto"/>
        <w:tabs>
          <w:tab w:leader="none" w:pos="15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for Sobi’s payment of the Purchase Price, solely with respect to aggregate Net Sales of Products in the Sobi Territory during the period beginning on July 1, 2025 and ending on the earliest date on which the Bought-Out Royalty Amount </w:t>
      </w:r>
      <w:r>
        <w:rPr>
          <w:rFonts w:ascii="Times New Roman" w:cs="Times New Roman" w:eastAsia="Times New Roman" w:hAnsi="Times New Roman"/>
          <w:sz w:val="22"/>
          <w:szCs w:val="22"/>
          <w:b w:val="1"/>
          <w:bCs w:val="1"/>
          <w:i w:val="1"/>
          <w:iCs w:val="1"/>
          <w:color w:val="auto"/>
        </w:rPr>
        <w:t>plus</w:t>
      </w:r>
      <w:r>
        <w:rPr>
          <w:rFonts w:ascii="Times New Roman" w:cs="Times New Roman" w:eastAsia="Times New Roman" w:hAnsi="Times New Roman"/>
          <w:sz w:val="22"/>
          <w:szCs w:val="22"/>
          <w:color w:val="auto"/>
        </w:rPr>
        <w:t xml:space="preserve"> any Hard Cap Buyout Payment made by Apellis pursuant to Section 1.2(c) below </w:t>
      </w:r>
      <w:r>
        <w:rPr>
          <w:rFonts w:ascii="Times New Roman" w:cs="Times New Roman" w:eastAsia="Times New Roman" w:hAnsi="Times New Roman"/>
          <w:sz w:val="22"/>
          <w:szCs w:val="22"/>
          <w:b w:val="1"/>
          <w:bCs w:val="1"/>
          <w:i w:val="1"/>
          <w:iCs w:val="1"/>
          <w:color w:val="auto"/>
        </w:rPr>
        <w:t>equals</w:t>
      </w:r>
      <w:r>
        <w:rPr>
          <w:rFonts w:ascii="Times New Roman" w:cs="Times New Roman" w:eastAsia="Times New Roman" w:hAnsi="Times New Roman"/>
          <w:sz w:val="22"/>
          <w:szCs w:val="22"/>
          <w:color w:val="auto"/>
        </w:rPr>
        <w:t xml:space="preserve"> the Hard Cap (the “</w:t>
      </w:r>
      <w:r>
        <w:rPr>
          <w:rFonts w:ascii="Times New Roman" w:cs="Times New Roman" w:eastAsia="Times New Roman" w:hAnsi="Times New Roman"/>
          <w:sz w:val="22"/>
          <w:szCs w:val="22"/>
          <w:b w:val="1"/>
          <w:bCs w:val="1"/>
          <w:color w:val="auto"/>
        </w:rPr>
        <w:t>Hard Cap Achievement Date</w:t>
      </w:r>
      <w:r>
        <w:rPr>
          <w:rFonts w:ascii="Times New Roman" w:cs="Times New Roman" w:eastAsia="Times New Roman" w:hAnsi="Times New Roman"/>
          <w:sz w:val="22"/>
          <w:szCs w:val="22"/>
          <w:color w:val="auto"/>
        </w:rPr>
        <w:t>”), the royalties that Sobi is required to pay to Apellis pursuant to Section 9.5 of the CLA shall be reduced to ten percent (10%) of the royalties that Sobi would otherwise be obligated to pay to Apellis pursuant to Section 9.5 of the CLA.</w:t>
      </w:r>
    </w:p>
    <w:p>
      <w:pPr>
        <w:spacing w:after="0" w:line="181"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1.2, the following terms have the following meanings:</w:t>
      </w:r>
    </w:p>
    <w:p>
      <w:pPr>
        <w:spacing w:after="0" w:line="202" w:lineRule="exact"/>
        <w:rPr>
          <w:rFonts w:ascii="Times New Roman" w:cs="Times New Roman" w:eastAsia="Times New Roman" w:hAnsi="Times New Roman"/>
          <w:sz w:val="22"/>
          <w:szCs w:val="22"/>
          <w:color w:val="auto"/>
        </w:rPr>
      </w:pPr>
    </w:p>
    <w:p>
      <w:pPr>
        <w:jc w:val="both"/>
        <w:ind w:left="2260" w:hanging="755"/>
        <w:spacing w:after="0" w:line="234" w:lineRule="auto"/>
        <w:tabs>
          <w:tab w:leader="none" w:pos="22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Bought-Out Royalty Amount</w:t>
      </w:r>
      <w:r>
        <w:rPr>
          <w:rFonts w:ascii="Times New Roman" w:cs="Times New Roman" w:eastAsia="Times New Roman" w:hAnsi="Times New Roman"/>
          <w:sz w:val="22"/>
          <w:szCs w:val="22"/>
          <w:color w:val="auto"/>
        </w:rPr>
        <w:t>” means, as measured on any given date on or after the Effective Date and prior to or on the Hard Cap Achievement Date (the applicable “</w:t>
      </w:r>
      <w:r>
        <w:rPr>
          <w:rFonts w:ascii="Times New Roman" w:cs="Times New Roman" w:eastAsia="Times New Roman" w:hAnsi="Times New Roman"/>
          <w:sz w:val="22"/>
          <w:szCs w:val="22"/>
          <w:b w:val="1"/>
          <w:bCs w:val="1"/>
          <w:color w:val="auto"/>
        </w:rPr>
        <w:t>Measurement Date</w:t>
      </w:r>
      <w:r>
        <w:rPr>
          <w:rFonts w:ascii="Times New Roman" w:cs="Times New Roman" w:eastAsia="Times New Roman" w:hAnsi="Times New Roman"/>
          <w:sz w:val="22"/>
          <w:szCs w:val="22"/>
          <w:color w:val="auto"/>
        </w:rPr>
        <w:t xml:space="preserve">”), an amount equal to (A) the royalty payments that would have been payable by Sobi under Section 9.5 of the CLA with respect to aggregate Net Sales of Products in the Sobi Territory during the period beginning on July 1, 2025 and ending on the Measurement Date if the reduction set forth in Section 1.2(a) above had not been applied, </w:t>
      </w:r>
      <w:r>
        <w:rPr>
          <w:rFonts w:ascii="Times New Roman" w:cs="Times New Roman" w:eastAsia="Times New Roman" w:hAnsi="Times New Roman"/>
          <w:sz w:val="22"/>
          <w:szCs w:val="22"/>
          <w:b w:val="1"/>
          <w:bCs w:val="1"/>
          <w:i w:val="1"/>
          <w:iCs w:val="1"/>
          <w:color w:val="auto"/>
        </w:rPr>
        <w:t>minus</w:t>
      </w:r>
      <w:r>
        <w:rPr>
          <w:rFonts w:ascii="Times New Roman" w:cs="Times New Roman" w:eastAsia="Times New Roman" w:hAnsi="Times New Roman"/>
          <w:sz w:val="22"/>
          <w:szCs w:val="22"/>
          <w:color w:val="auto"/>
        </w:rPr>
        <w:t xml:space="preserve"> (B) the royalty payments that are payable (including such amounts that have been paid) by Sobi under Section 9.5 of the CLA with respect to aggregate Net Sales of Products in the Sobi Territory during the period beginning on July 1, 2025 and ending on the Measurement Date after applying the reduction set forth in Section 1.2(a) above, in each case ((A) and (B)) taking into account the royalty reductions specified in Section 9.5.3 of the CLA, but excluding any setoffs beyond the royalty reductions specified in Section 9.5.3 of the CLA.</w:t>
      </w:r>
    </w:p>
    <w:p>
      <w:pPr>
        <w:spacing w:after="0" w:line="175" w:lineRule="exact"/>
        <w:rPr>
          <w:rFonts w:ascii="Times New Roman" w:cs="Times New Roman" w:eastAsia="Times New Roman" w:hAnsi="Times New Roman"/>
          <w:sz w:val="22"/>
          <w:szCs w:val="22"/>
          <w:color w:val="auto"/>
        </w:rPr>
      </w:pPr>
    </w:p>
    <w:p>
      <w:pPr>
        <w:ind w:left="2260" w:hanging="755"/>
        <w:spacing w:after="0"/>
        <w:tabs>
          <w:tab w:leader="none" w:pos="2260"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Hard Cap</w:t>
      </w:r>
      <w:r>
        <w:rPr>
          <w:rFonts w:ascii="Times New Roman" w:cs="Times New Roman" w:eastAsia="Times New Roman" w:hAnsi="Times New Roman"/>
          <w:sz w:val="22"/>
          <w:szCs w:val="22"/>
          <w:color w:val="auto"/>
        </w:rPr>
        <w:t>” means:</w:t>
      </w:r>
    </w:p>
    <w:p>
      <w:pPr>
        <w:spacing w:after="0" w:line="210" w:lineRule="exact"/>
        <w:rPr>
          <w:rFonts w:ascii="Times New Roman" w:cs="Times New Roman" w:eastAsia="Times New Roman" w:hAnsi="Times New Roman"/>
          <w:sz w:val="22"/>
          <w:szCs w:val="22"/>
          <w:color w:val="auto"/>
        </w:rPr>
      </w:pPr>
    </w:p>
    <w:p>
      <w:pPr>
        <w:ind w:left="3000" w:hanging="746"/>
        <w:spacing w:after="0" w:line="258" w:lineRule="auto"/>
        <w:tabs>
          <w:tab w:leader="none" w:pos="3000" w:val="left"/>
        </w:tabs>
        <w:numPr>
          <w:ilvl w:val="2"/>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period beginning on the July 1, 2025 and ending on [**], an amount equal to the Purchase Price multiplied by 1.45;</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85" w:lineRule="exact"/>
        <w:rPr>
          <w:sz w:val="20"/>
          <w:szCs w:val="20"/>
          <w:color w:val="auto"/>
        </w:rPr>
      </w:pPr>
    </w:p>
    <w:p>
      <w:pPr>
        <w:ind w:left="3000" w:hanging="746"/>
        <w:spacing w:after="0" w:line="282" w:lineRule="auto"/>
        <w:tabs>
          <w:tab w:leader="none" w:pos="3000"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the Hard Cap Achievement Date has not occurred prior to [**], during the period beginning on [**], and ending on [**], an amount equal to the Purchase Price multiplied by [**]; and</w:t>
      </w:r>
    </w:p>
    <w:p>
      <w:pPr>
        <w:spacing w:after="0" w:line="134" w:lineRule="exact"/>
        <w:rPr>
          <w:rFonts w:ascii="Times New Roman" w:cs="Times New Roman" w:eastAsia="Times New Roman" w:hAnsi="Times New Roman"/>
          <w:sz w:val="21"/>
          <w:szCs w:val="21"/>
          <w:color w:val="auto"/>
        </w:rPr>
      </w:pPr>
    </w:p>
    <w:p>
      <w:pPr>
        <w:ind w:left="3000" w:hanging="746"/>
        <w:spacing w:after="0" w:line="258" w:lineRule="auto"/>
        <w:tabs>
          <w:tab w:leader="none" w:pos="300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Hard Cap Achievement Date has not occurred prior to [**], from and after [**], an amount equal to the Purchase Price multiplied by [**].</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44" w:lineRule="auto"/>
        <w:tabs>
          <w:tab w:leader="none" w:pos="15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any time on or after [**], Apellis may elect, in its discretion, to pay to Sobi a one-time payment amount of up to [**] dollars ($[**]) (a “</w:t>
      </w:r>
      <w:r>
        <w:rPr>
          <w:rFonts w:ascii="Times New Roman" w:cs="Times New Roman" w:eastAsia="Times New Roman" w:hAnsi="Times New Roman"/>
          <w:sz w:val="22"/>
          <w:szCs w:val="22"/>
          <w:b w:val="1"/>
          <w:bCs w:val="1"/>
          <w:color w:val="auto"/>
        </w:rPr>
        <w:t>Hard Cap Buyout Payment</w:t>
      </w:r>
      <w:r>
        <w:rPr>
          <w:rFonts w:ascii="Times New Roman" w:cs="Times New Roman" w:eastAsia="Times New Roman" w:hAnsi="Times New Roman"/>
          <w:sz w:val="22"/>
          <w:szCs w:val="22"/>
          <w:color w:val="auto"/>
        </w:rPr>
        <w:t>”), which payment amount shall be counted in determining whether the Hard Cap Achievement Date has been reached, as set forth in Section 1.2(a) above.</w:t>
      </w:r>
    </w:p>
    <w:p>
      <w:pPr>
        <w:spacing w:after="0" w:line="173" w:lineRule="exact"/>
        <w:rPr>
          <w:rFonts w:ascii="Times New Roman" w:cs="Times New Roman" w:eastAsia="Times New Roman" w:hAnsi="Times New Roman"/>
          <w:sz w:val="22"/>
          <w:szCs w:val="22"/>
          <w:color w:val="auto"/>
        </w:rPr>
      </w:pPr>
    </w:p>
    <w:p>
      <w:pPr>
        <w:jc w:val="both"/>
        <w:ind w:left="1500" w:hanging="743"/>
        <w:spacing w:after="0" w:line="239" w:lineRule="auto"/>
        <w:tabs>
          <w:tab w:leader="none" w:pos="15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and after the Hard Cap Achievement Date, this Section 1.2 will be of no further force or effect, and the royalties payable by Sobi with respect to aggregate Net Sales of Products in the Sobi Territory after the Hard Cap Achievement Date shall revert to royalties payable under Section 9.5 of the CLA above without regard to this Section 1.2.</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CONDUCT BY APELLIS OF [**] CLINICAL TRIALS</w:t>
      </w:r>
    </w:p>
    <w:p>
      <w:pPr>
        <w:spacing w:after="0" w:line="17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b w:val="1"/>
          <w:bCs w:val="1"/>
          <w:color w:val="auto"/>
        </w:rPr>
        <w:t>[**] Clinical Trials</w:t>
      </w:r>
      <w:r>
        <w:rPr>
          <w:rFonts w:ascii="Times New Roman" w:cs="Times New Roman" w:eastAsia="Times New Roman" w:hAnsi="Times New Roman"/>
          <w:sz w:val="21"/>
          <w:szCs w:val="21"/>
          <w:color w:val="auto"/>
        </w:rPr>
        <w:t>. Notwithstanding anything in Section 4.7.2 or Section 4.7.3 of the CLA to the contrary:</w:t>
      </w:r>
    </w:p>
    <w:p>
      <w:pPr>
        <w:spacing w:after="0" w:line="210" w:lineRule="exact"/>
        <w:rPr>
          <w:sz w:val="20"/>
          <w:szCs w:val="20"/>
          <w:color w:val="auto"/>
        </w:rPr>
      </w:pPr>
    </w:p>
    <w:p>
      <w:pPr>
        <w:ind w:left="1500" w:hanging="758"/>
        <w:spacing w:after="0"/>
        <w:tabs>
          <w:tab w:leader="none" w:pos="150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Apellis conducting (directly or indirectly) one or more Clinical Trials of the Product for the treatment of</w:t>
      </w:r>
    </w:p>
    <w:p>
      <w:pPr>
        <w:spacing w:after="0" w:line="14" w:lineRule="exact"/>
        <w:rPr>
          <w:rFonts w:ascii="Times New Roman" w:cs="Times New Roman" w:eastAsia="Times New Roman" w:hAnsi="Times New Roman"/>
          <w:sz w:val="22"/>
          <w:szCs w:val="22"/>
          <w:color w:val="auto"/>
        </w:rPr>
      </w:pPr>
    </w:p>
    <w:p>
      <w:pPr>
        <w:ind w:left="15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(each such Clinical Trial, an “</w:t>
      </w:r>
      <w:r>
        <w:rPr>
          <w:rFonts w:ascii="Times New Roman" w:cs="Times New Roman" w:eastAsia="Times New Roman" w:hAnsi="Times New Roman"/>
          <w:sz w:val="22"/>
          <w:szCs w:val="22"/>
          <w:b w:val="1"/>
          <w:bCs w:val="1"/>
          <w:color w:val="auto"/>
        </w:rPr>
        <w:t>[**] Clinical Trial</w:t>
      </w:r>
      <w:r>
        <w:rPr>
          <w:rFonts w:ascii="Times New Roman" w:cs="Times New Roman" w:eastAsia="Times New Roman" w:hAnsi="Times New Roman"/>
          <w:sz w:val="22"/>
          <w:szCs w:val="22"/>
          <w:color w:val="auto"/>
        </w:rPr>
        <w:t>”) in any or all of the Major Markets.</w:t>
      </w:r>
    </w:p>
    <w:p>
      <w:pPr>
        <w:spacing w:after="0" w:line="178" w:lineRule="exact"/>
        <w:rPr>
          <w:rFonts w:ascii="Times New Roman" w:cs="Times New Roman" w:eastAsia="Times New Roman" w:hAnsi="Times New Roman"/>
          <w:sz w:val="22"/>
          <w:szCs w:val="22"/>
          <w:color w:val="auto"/>
        </w:rPr>
      </w:pPr>
    </w:p>
    <w:p>
      <w:pPr>
        <w:jc w:val="both"/>
        <w:ind w:left="1500" w:hanging="743"/>
        <w:spacing w:after="0" w:line="246"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 Apellis engaging (directly or indirectly) with the key opinion leaders in the Sobi Territory listed on </w:t>
      </w:r>
      <w:r>
        <w:rPr>
          <w:rFonts w:ascii="Times New Roman" w:cs="Times New Roman" w:eastAsia="Times New Roman" w:hAnsi="Times New Roman"/>
          <w:sz w:val="22"/>
          <w:szCs w:val="22"/>
          <w:b w:val="1"/>
          <w:bCs w:val="1"/>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this Agreement [**]. Apellis shall not engage with any key opinion leaders in the Sobi Territory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concerning [**].</w:t>
      </w:r>
    </w:p>
    <w:p>
      <w:pPr>
        <w:spacing w:after="0" w:line="17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after the Effective Date Apellis [**] engage (directly or indirectly) with key opinion leader(s) in the Sobi Territory not listed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to this Agreement, [**].</w:t>
      </w:r>
    </w:p>
    <w:p>
      <w:pPr>
        <w:spacing w:after="0" w:line="158" w:lineRule="exact"/>
        <w:rPr>
          <w:rFonts w:ascii="Times New Roman" w:cs="Times New Roman" w:eastAsia="Times New Roman" w:hAnsi="Times New Roman"/>
          <w:sz w:val="22"/>
          <w:szCs w:val="22"/>
          <w:color w:val="auto"/>
        </w:rPr>
      </w:pPr>
    </w:p>
    <w:p>
      <w:pPr>
        <w:jc w:val="both"/>
        <w:ind w:left="1500" w:hanging="743"/>
        <w:spacing w:after="0" w:line="236"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 Clinical Trial-by-[**] Clinical Trial basis, unless and until [**], to the extent (i) it is legally required or (ii) Apellis [**] reasonably determines that it is appropriate, taking into account the benefit to patients and other approved treatment options available to patients, in any country in the Sobi Territory, to continue to provide or make available the Product to patients in such country who participated in such [**] Clinical Trial, Apellis shall, at its sole cost and expense, continue to provide or make available the Product to such patients in such country.</w:t>
      </w:r>
    </w:p>
    <w:p>
      <w:pPr>
        <w:spacing w:after="0" w:line="181" w:lineRule="exact"/>
        <w:rPr>
          <w:rFonts w:ascii="Times New Roman" w:cs="Times New Roman" w:eastAsia="Times New Roman" w:hAnsi="Times New Roman"/>
          <w:sz w:val="22"/>
          <w:szCs w:val="22"/>
          <w:color w:val="auto"/>
        </w:rPr>
      </w:pPr>
    </w:p>
    <w:p>
      <w:pPr>
        <w:ind w:left="1500" w:hanging="743"/>
        <w:spacing w:after="0" w:line="258" w:lineRule="auto"/>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Apellis will provide [**] reports to the JEC concerning each [**] Clinical Trial for review and discussion at the JEC concerning Development of the Product in each [**] Clinical Trial.</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182" w:lineRule="exact"/>
        <w:rPr>
          <w:sz w:val="20"/>
          <w:szCs w:val="20"/>
          <w:color w:val="auto"/>
        </w:rPr>
      </w:pPr>
    </w:p>
    <w:p>
      <w:pPr>
        <w:jc w:val="both"/>
        <w:ind w:left="740" w:hanging="748"/>
        <w:spacing w:after="0" w:line="258" w:lineRule="auto"/>
        <w:tabs>
          <w:tab w:leader="none" w:pos="72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2"/>
          <w:szCs w:val="22"/>
          <w:color w:val="auto"/>
        </w:rPr>
        <w:t>This Agreement, and all claims arising under or in connection therewith, will be governed by and interpreted in accordance with the substantive laws of the State of New York, without regard to conflict of law principles thereof.</w:t>
      </w:r>
    </w:p>
    <w:p>
      <w:pPr>
        <w:spacing w:after="0" w:line="158" w:lineRule="exact"/>
        <w:rPr>
          <w:sz w:val="20"/>
          <w:szCs w:val="20"/>
          <w:color w:val="auto"/>
        </w:rPr>
      </w:pPr>
    </w:p>
    <w:p>
      <w:pPr>
        <w:jc w:val="both"/>
        <w:ind w:left="740" w:hanging="748"/>
        <w:spacing w:after="0" w:line="244" w:lineRule="auto"/>
        <w:tabs>
          <w:tab w:leader="none" w:pos="72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22"/>
          <w:szCs w:val="22"/>
          <w:color w:val="auto"/>
        </w:rPr>
        <w:t>Notices. All notices that are required or permitted hereunder will be in writing and sufficient if delivered by internationally-recognized overnight courier, addressed as follows (with a courtesy copy sent by email, which will not constitute notice):</w:t>
      </w:r>
    </w:p>
    <w:p>
      <w:pPr>
        <w:spacing w:after="0" w:line="173" w:lineRule="exact"/>
        <w:rPr>
          <w:sz w:val="20"/>
          <w:szCs w:val="20"/>
          <w:color w:val="auto"/>
        </w:rPr>
      </w:pPr>
    </w:p>
    <w:p>
      <w:pPr>
        <w:ind w:left="740"/>
        <w:spacing w:after="0"/>
        <w:tabs>
          <w:tab w:leader="none" w:pos="2020" w:val="left"/>
        </w:tabs>
        <w:rPr>
          <w:sz w:val="20"/>
          <w:szCs w:val="20"/>
          <w:color w:val="auto"/>
        </w:rPr>
      </w:pPr>
      <w:r>
        <w:rPr>
          <w:rFonts w:ascii="Times New Roman" w:cs="Times New Roman" w:eastAsia="Times New Roman" w:hAnsi="Times New Roman"/>
          <w:sz w:val="22"/>
          <w:szCs w:val="22"/>
          <w:color w:val="auto"/>
        </w:rPr>
        <w:t>If to Apellis:</w:t>
      </w:r>
      <w:r>
        <w:rPr>
          <w:sz w:val="20"/>
          <w:szCs w:val="20"/>
          <w:color w:val="auto"/>
        </w:rPr>
        <w:tab/>
      </w:r>
      <w:r>
        <w:rPr>
          <w:rFonts w:ascii="Times New Roman" w:cs="Times New Roman" w:eastAsia="Times New Roman" w:hAnsi="Times New Roman"/>
          <w:sz w:val="21"/>
          <w:szCs w:val="21"/>
          <w:color w:val="auto"/>
        </w:rPr>
        <w:t>Apellis Pharmaceuticals, Inc.</w:t>
      </w:r>
    </w:p>
    <w:p>
      <w:pPr>
        <w:spacing w:after="0" w:line="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APL Del Holdings, LLC</w:t>
      </w:r>
    </w:p>
    <w:p>
      <w:pPr>
        <w:ind w:left="1160"/>
        <w:spacing w:after="0" w:line="184" w:lineRule="auto"/>
        <w:rPr>
          <w:sz w:val="20"/>
          <w:szCs w:val="20"/>
          <w:color w:val="auto"/>
        </w:rPr>
      </w:pPr>
      <w:r>
        <w:rPr>
          <w:rFonts w:ascii="Times New Roman" w:cs="Times New Roman" w:eastAsia="Times New Roman" w:hAnsi="Times New Roman"/>
          <w:sz w:val="22"/>
          <w:szCs w:val="22"/>
          <w:color w:val="auto"/>
        </w:rPr>
        <w:t>100 5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w:t>
      </w:r>
    </w:p>
    <w:p>
      <w:pPr>
        <w:ind w:left="1160"/>
        <w:spacing w:after="0" w:line="230" w:lineRule="auto"/>
        <w:rPr>
          <w:sz w:val="20"/>
          <w:szCs w:val="20"/>
          <w:color w:val="auto"/>
        </w:rPr>
      </w:pPr>
      <w:r>
        <w:rPr>
          <w:rFonts w:ascii="Times New Roman" w:cs="Times New Roman" w:eastAsia="Times New Roman" w:hAnsi="Times New Roman"/>
          <w:sz w:val="22"/>
          <w:szCs w:val="22"/>
          <w:color w:val="auto"/>
        </w:rPr>
        <w:t>Waltham, MA 02451</w:t>
      </w:r>
    </w:p>
    <w:p>
      <w:pPr>
        <w:ind w:left="1160"/>
        <w:spacing w:after="0" w:line="231" w:lineRule="auto"/>
        <w:rPr>
          <w:sz w:val="20"/>
          <w:szCs w:val="20"/>
          <w:color w:val="auto"/>
        </w:rPr>
      </w:pPr>
      <w:r>
        <w:rPr>
          <w:rFonts w:ascii="Times New Roman" w:cs="Times New Roman" w:eastAsia="Times New Roman" w:hAnsi="Times New Roman"/>
          <w:sz w:val="22"/>
          <w:szCs w:val="22"/>
          <w:color w:val="auto"/>
        </w:rPr>
        <w:t>USA</w:t>
      </w:r>
    </w:p>
    <w:p>
      <w:pPr>
        <w:ind w:left="1160"/>
        <w:spacing w:after="0"/>
        <w:rPr>
          <w:sz w:val="20"/>
          <w:szCs w:val="20"/>
          <w:color w:val="auto"/>
        </w:rPr>
      </w:pPr>
      <w:r>
        <w:rPr>
          <w:rFonts w:ascii="Times New Roman" w:cs="Times New Roman" w:eastAsia="Times New Roman" w:hAnsi="Times New Roman"/>
          <w:sz w:val="22"/>
          <w:szCs w:val="22"/>
          <w:color w:val="auto"/>
        </w:rPr>
        <w:t>Attn: David Watson, General Counsel</w:t>
      </w:r>
    </w:p>
    <w:p>
      <w:pPr>
        <w:sectPr>
          <w:pgSz w:w="11900" w:h="16838" w:orient="portrait"/>
          <w:cols w:equalWidth="0" w:num="1">
            <w:col w:w="11220"/>
          </w:cols>
          <w:pgMar w:left="340" w:top="1440" w:right="339" w:bottom="1440" w:gutter="0" w:footer="0" w:header="0"/>
        </w:sectPr>
      </w:pP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Apellis Switzerland GmbH</w:t>
      </w:r>
    </w:p>
    <w:p>
      <w:pPr>
        <w:spacing w:after="0" w:line="1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Zählerweg 10, 6300 Zug</w:t>
      </w:r>
    </w:p>
    <w:p>
      <w:pPr>
        <w:ind w:left="1280"/>
        <w:spacing w:after="0" w:line="231" w:lineRule="auto"/>
        <w:rPr>
          <w:sz w:val="20"/>
          <w:szCs w:val="20"/>
          <w:color w:val="auto"/>
        </w:rPr>
      </w:pPr>
      <w:r>
        <w:rPr>
          <w:rFonts w:ascii="Times New Roman" w:cs="Times New Roman" w:eastAsia="Times New Roman" w:hAnsi="Times New Roman"/>
          <w:sz w:val="22"/>
          <w:szCs w:val="22"/>
          <w:color w:val="auto"/>
        </w:rPr>
        <w:t>Switzerland</w:t>
      </w:r>
    </w:p>
    <w:p>
      <w:pPr>
        <w:spacing w:after="0" w:line="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Attn: Managing Director</w:t>
      </w:r>
    </w:p>
    <w:p>
      <w:pPr>
        <w:spacing w:after="0" w:line="200" w:lineRule="exact"/>
        <w:rPr>
          <w:sz w:val="20"/>
          <w:szCs w:val="20"/>
          <w:color w:val="auto"/>
        </w:rPr>
      </w:pPr>
    </w:p>
    <w:p>
      <w:pPr>
        <w:sectPr>
          <w:pgSz w:w="11900" w:h="16838" w:orient="portrait"/>
          <w:cols w:equalWidth="0" w:num="2">
            <w:col w:w="2080" w:space="380"/>
            <w:col w:w="8760"/>
          </w:cols>
          <w:pgMar w:left="340" w:top="1440" w:right="339" w:bottom="1440" w:gutter="0" w:footer="0" w:header="0"/>
          <w:type w:val="continuous"/>
        </w:sectPr>
      </w:pPr>
    </w:p>
    <w:p>
      <w:pPr>
        <w:spacing w:after="0" w:line="2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WilmerHale</w:t>
      </w:r>
    </w:p>
    <w:p>
      <w:pPr>
        <w:spacing w:after="0" w:line="16" w:lineRule="exact"/>
        <w:rPr>
          <w:sz w:val="20"/>
          <w:szCs w:val="20"/>
          <w:color w:val="auto"/>
        </w:rPr>
      </w:pPr>
    </w:p>
    <w:p>
      <w:pPr>
        <w:sectPr>
          <w:pgSz w:w="11900" w:h="16838" w:orient="portrait"/>
          <w:cols w:equalWidth="0" w:num="2">
            <w:col w:w="2080" w:space="380"/>
            <w:col w:w="8760"/>
          </w:cols>
          <w:pgMar w:left="340" w:top="1440" w:right="339" w:bottom="1440" w:gutter="0" w:footer="0" w:header="0"/>
          <w:type w:val="continuous"/>
        </w:sectPr>
      </w:pPr>
    </w:p>
    <w:p>
      <w:pPr>
        <w:ind w:left="3740"/>
        <w:spacing w:after="0"/>
        <w:rPr>
          <w:sz w:val="20"/>
          <w:szCs w:val="20"/>
          <w:color w:val="auto"/>
        </w:rPr>
      </w:pPr>
      <w:r>
        <w:rPr>
          <w:rFonts w:ascii="Times New Roman" w:cs="Times New Roman" w:eastAsia="Times New Roman" w:hAnsi="Times New Roman"/>
          <w:sz w:val="22"/>
          <w:szCs w:val="22"/>
          <w:color w:val="auto"/>
        </w:rPr>
        <w:t>60 State Street</w:t>
      </w:r>
    </w:p>
    <w:p>
      <w:pPr>
        <w:ind w:left="3740"/>
        <w:spacing w:after="0" w:line="230" w:lineRule="auto"/>
        <w:rPr>
          <w:sz w:val="20"/>
          <w:szCs w:val="20"/>
          <w:color w:val="auto"/>
        </w:rPr>
      </w:pPr>
      <w:r>
        <w:rPr>
          <w:rFonts w:ascii="Times New Roman" w:cs="Times New Roman" w:eastAsia="Times New Roman" w:hAnsi="Times New Roman"/>
          <w:sz w:val="22"/>
          <w:szCs w:val="22"/>
          <w:color w:val="auto"/>
        </w:rPr>
        <w:t>Boston, MA 02109</w:t>
      </w:r>
    </w:p>
    <w:p>
      <w:pPr>
        <w:ind w:left="3740"/>
        <w:spacing w:after="0" w:line="231" w:lineRule="auto"/>
        <w:rPr>
          <w:sz w:val="20"/>
          <w:szCs w:val="20"/>
          <w:color w:val="auto"/>
        </w:rPr>
      </w:pPr>
      <w:r>
        <w:rPr>
          <w:rFonts w:ascii="Times New Roman" w:cs="Times New Roman" w:eastAsia="Times New Roman" w:hAnsi="Times New Roman"/>
          <w:sz w:val="22"/>
          <w:szCs w:val="22"/>
          <w:color w:val="auto"/>
        </w:rPr>
        <w:t>USA</w:t>
      </w:r>
    </w:p>
    <w:p>
      <w:pPr>
        <w:ind w:left="3740"/>
        <w:spacing w:after="0"/>
        <w:tabs>
          <w:tab w:leader="none" w:pos="458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2"/>
          <w:szCs w:val="22"/>
          <w:color w:val="auto"/>
        </w:rPr>
        <w:t>Steven D. Barrett</w:t>
      </w:r>
    </w:p>
    <w:p>
      <w:pPr>
        <w:spacing w:after="0" w:line="209" w:lineRule="exact"/>
        <w:rPr>
          <w:sz w:val="20"/>
          <w:szCs w:val="20"/>
          <w:color w:val="auto"/>
        </w:rPr>
      </w:pPr>
    </w:p>
    <w:p>
      <w:pPr>
        <w:ind w:left="740"/>
        <w:spacing w:after="0"/>
        <w:tabs>
          <w:tab w:leader="none" w:pos="2880" w:val="left"/>
        </w:tabs>
        <w:rPr>
          <w:sz w:val="20"/>
          <w:szCs w:val="20"/>
          <w:color w:val="auto"/>
        </w:rPr>
      </w:pPr>
      <w:r>
        <w:rPr>
          <w:rFonts w:ascii="Times New Roman" w:cs="Times New Roman" w:eastAsia="Times New Roman" w:hAnsi="Times New Roman"/>
          <w:sz w:val="22"/>
          <w:szCs w:val="22"/>
          <w:color w:val="auto"/>
        </w:rPr>
        <w:t>If to Sobi:</w:t>
      </w:r>
      <w:r>
        <w:rPr>
          <w:sz w:val="20"/>
          <w:szCs w:val="20"/>
          <w:color w:val="auto"/>
        </w:rPr>
        <w:tab/>
      </w:r>
      <w:r>
        <w:rPr>
          <w:rFonts w:ascii="Times New Roman" w:cs="Times New Roman" w:eastAsia="Times New Roman" w:hAnsi="Times New Roman"/>
          <w:sz w:val="21"/>
          <w:szCs w:val="21"/>
          <w:color w:val="auto"/>
        </w:rPr>
        <w:t>Swedish Orphan Biovitrum AB (publ)</w:t>
      </w:r>
    </w:p>
    <w:p>
      <w:pPr>
        <w:spacing w:after="0" w:line="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SE-112 76 Stockholm, Sweden</w:t>
      </w:r>
    </w:p>
    <w:p>
      <w:pPr>
        <w:ind w:left="420"/>
        <w:spacing w:after="0"/>
        <w:rPr>
          <w:sz w:val="20"/>
          <w:szCs w:val="20"/>
          <w:color w:val="auto"/>
        </w:rPr>
      </w:pPr>
      <w:r>
        <w:rPr>
          <w:rFonts w:ascii="Times New Roman" w:cs="Times New Roman" w:eastAsia="Times New Roman" w:hAnsi="Times New Roman"/>
          <w:sz w:val="22"/>
          <w:szCs w:val="22"/>
          <w:color w:val="auto"/>
        </w:rPr>
        <w:t>Attn: General Counsel</w:t>
      </w:r>
    </w:p>
    <w:p>
      <w:pPr>
        <w:sectPr>
          <w:pgSz w:w="11900" w:h="16838" w:orient="portrait"/>
          <w:cols w:equalWidth="0" w:num="1">
            <w:col w:w="11220"/>
          </w:cols>
          <w:pgMar w:left="340" w:top="1440" w:right="339" w:bottom="1440" w:gutter="0" w:footer="0" w:header="0"/>
          <w:type w:val="continuous"/>
        </w:sectPr>
      </w:pPr>
    </w:p>
    <w:p>
      <w:pPr>
        <w:spacing w:after="0" w:line="20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1"/>
          <w:szCs w:val="21"/>
          <w:color w:val="auto"/>
        </w:rPr>
        <w:t>With a copy to: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Latham &amp; Watkins LLP</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12670 High Bluff Drive</w:t>
      </w:r>
    </w:p>
    <w:p>
      <w:pPr>
        <w:spacing w:after="0" w:line="230" w:lineRule="auto"/>
        <w:rPr>
          <w:sz w:val="20"/>
          <w:szCs w:val="20"/>
          <w:color w:val="auto"/>
        </w:rPr>
      </w:pPr>
      <w:r>
        <w:rPr>
          <w:rFonts w:ascii="Times New Roman" w:cs="Times New Roman" w:eastAsia="Times New Roman" w:hAnsi="Times New Roman"/>
          <w:sz w:val="22"/>
          <w:szCs w:val="22"/>
          <w:color w:val="auto"/>
        </w:rPr>
        <w:t>San Diego, CA 92130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Attn: Steve Chinowsky</w:t>
      </w:r>
    </w:p>
    <w:p>
      <w:pPr>
        <w:spacing w:after="0" w:line="200" w:lineRule="exact"/>
        <w:rPr>
          <w:sz w:val="20"/>
          <w:szCs w:val="20"/>
          <w:color w:val="auto"/>
        </w:rPr>
      </w:pPr>
    </w:p>
    <w:p>
      <w:pPr>
        <w:sectPr>
          <w:pgSz w:w="11900" w:h="16838" w:orient="portrait"/>
          <w:cols w:equalWidth="0" w:num="2">
            <w:col w:w="2080" w:space="380"/>
            <w:col w:w="8760"/>
          </w:cols>
          <w:pgMar w:left="340" w:top="1440" w:right="339"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740"/>
        <w:spacing w:after="0" w:line="258" w:lineRule="auto"/>
        <w:rPr>
          <w:sz w:val="20"/>
          <w:szCs w:val="20"/>
          <w:color w:val="auto"/>
        </w:rPr>
      </w:pPr>
      <w:r>
        <w:rPr>
          <w:rFonts w:ascii="Times New Roman" w:cs="Times New Roman" w:eastAsia="Times New Roman" w:hAnsi="Times New Roman"/>
          <w:sz w:val="22"/>
          <w:szCs w:val="22"/>
          <w:color w:val="auto"/>
        </w:rPr>
        <w:t>or to such other address as the Party to whom notice is to be given may have furnished to the other Party in writing in accordance herewith. Any such notice will be deemed to have been given on the third Business Day after dispatch.</w:t>
      </w:r>
    </w:p>
    <w:p>
      <w:pPr>
        <w:spacing w:after="0" w:line="158" w:lineRule="exact"/>
        <w:rPr>
          <w:sz w:val="20"/>
          <w:szCs w:val="20"/>
          <w:color w:val="auto"/>
        </w:rPr>
      </w:pPr>
    </w:p>
    <w:p>
      <w:pPr>
        <w:jc w:val="both"/>
        <w:ind w:left="740" w:hanging="748"/>
        <w:spacing w:after="0" w:line="244" w:lineRule="auto"/>
        <w:tabs>
          <w:tab w:leader="none" w:pos="72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22"/>
          <w:szCs w:val="22"/>
          <w:color w:val="auto"/>
        </w:rPr>
        <w:t>Each Party represents that such Party has all necessary power and authority to enter into and perform the obligations of this Agreement and that there are no consents or approvals required to be obtained by such Party for such Party to enter into and perform its obligations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615315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46" w:name="page47"/>
    <w:bookmarkEnd w:id="46"/>
    <w:p>
      <w:pPr>
        <w:spacing w:after="0" w:line="185" w:lineRule="exact"/>
        <w:rPr>
          <w:sz w:val="20"/>
          <w:szCs w:val="20"/>
          <w:color w:val="auto"/>
        </w:rPr>
      </w:pPr>
    </w:p>
    <w:p>
      <w:pPr>
        <w:jc w:val="both"/>
        <w:ind w:left="760"/>
        <w:spacing w:after="0" w:line="244" w:lineRule="auto"/>
        <w:rPr>
          <w:sz w:val="20"/>
          <w:szCs w:val="20"/>
          <w:color w:val="auto"/>
        </w:rPr>
      </w:pPr>
      <w:r>
        <w:rPr>
          <w:rFonts w:ascii="Times New Roman" w:cs="Times New Roman" w:eastAsia="Times New Roman" w:hAnsi="Times New Roman"/>
          <w:sz w:val="22"/>
          <w:szCs w:val="22"/>
          <w:color w:val="auto"/>
        </w:rPr>
        <w:t>under this Agreement that have not been obtained. Except as expressly and specifically modified hereby, all terms and provisions of the CLA are and shall remain in full force and effect, and all references to the CLA in this Agreement shall hereafter refer to the CLA as it may hereafter be further amended or restated.</w:t>
      </w:r>
    </w:p>
    <w:p>
      <w:pPr>
        <w:spacing w:after="0" w:line="173" w:lineRule="exact"/>
        <w:rPr>
          <w:sz w:val="20"/>
          <w:szCs w:val="20"/>
          <w:color w:val="auto"/>
        </w:rPr>
      </w:pPr>
    </w:p>
    <w:p>
      <w:pPr>
        <w:jc w:val="both"/>
        <w:ind w:left="760" w:hanging="748"/>
        <w:spacing w:after="0" w:line="239" w:lineRule="auto"/>
        <w:tabs>
          <w:tab w:leader="none" w:pos="740" w:val="left"/>
        </w:tabs>
        <w:rPr>
          <w:sz w:val="20"/>
          <w:szCs w:val="20"/>
          <w:color w:val="auto"/>
        </w:rPr>
      </w:pPr>
      <w:r>
        <w:rPr>
          <w:rFonts w:ascii="Times New Roman" w:cs="Times New Roman" w:eastAsia="Times New Roman" w:hAnsi="Times New Roman"/>
          <w:sz w:val="22"/>
          <w:szCs w:val="22"/>
          <w:color w:val="auto"/>
        </w:rPr>
        <w:t>3.4</w:t>
      </w:r>
      <w:r>
        <w:rPr>
          <w:sz w:val="20"/>
          <w:szCs w:val="20"/>
          <w:color w:val="auto"/>
        </w:rPr>
        <w:tab/>
      </w:r>
      <w:r>
        <w:rPr>
          <w:rFonts w:ascii="Times New Roman" w:cs="Times New Roman" w:eastAsia="Times New Roman" w:hAnsi="Times New Roman"/>
          <w:sz w:val="22"/>
          <w:szCs w:val="22"/>
          <w:color w:val="auto"/>
        </w:rPr>
        <w:t>In the event of any inconsistency or conflict between the terms and provisions of the CLA, on the one hand, and this Agreement, on the other hand, the terms and provisions of this Agreement shall govern and control. Apellis acknowledges and agrees that this Agreement modifies Sobi’s royalty obligations under the CLA as set forth in Section 1.2 above.</w:t>
      </w:r>
    </w:p>
    <w:p>
      <w:pPr>
        <w:spacing w:after="0" w:line="180" w:lineRule="exact"/>
        <w:rPr>
          <w:sz w:val="20"/>
          <w:szCs w:val="20"/>
          <w:color w:val="auto"/>
        </w:rPr>
      </w:pPr>
    </w:p>
    <w:p>
      <w:pPr>
        <w:jc w:val="both"/>
        <w:ind w:left="760" w:hanging="748"/>
        <w:spacing w:after="0" w:line="238" w:lineRule="auto"/>
        <w:tabs>
          <w:tab w:leader="none" w:pos="7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2"/>
          <w:szCs w:val="22"/>
          <w:color w:val="auto"/>
        </w:rPr>
        <w:t>This Agreement may be executed in counterparts, all of which taken together will be regarded as one and the same instrument. Counterparts may be delivered via electronic mail, including Adobe™ Portable Document Format (PDF) or any electronic signature complying with the U.S. Federal ESIGN Act of 2000, and any counterpart so delivered will be deemed to be original signatures, will be valid and binding upon the Parties, and, upon delivery, will constitute due execution of this Agreement.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caused this Agreement to be executed by their duly authorized representatives.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wedish</w:t>
      </w:r>
      <w:r>
        <w:rPr>
          <w:rFonts w:ascii="Times New Roman" w:cs="Times New Roman" w:eastAsia="Times New Roman" w:hAnsi="Times New Roman"/>
          <w:sz w:val="22"/>
          <w:szCs w:val="22"/>
          <w:b w:val="1"/>
          <w:bCs w:val="1"/>
          <w:color w:val="auto"/>
        </w:rPr>
        <w:t xml:space="preserve"> O</w:t>
      </w:r>
      <w:r>
        <w:rPr>
          <w:rFonts w:ascii="Times New Roman" w:cs="Times New Roman" w:eastAsia="Times New Roman" w:hAnsi="Times New Roman"/>
          <w:sz w:val="14"/>
          <w:szCs w:val="14"/>
          <w:b w:val="1"/>
          <w:bCs w:val="1"/>
          <w:color w:val="auto"/>
        </w:rPr>
        <w:t>rphan</w:t>
      </w:r>
      <w:r>
        <w:rPr>
          <w:rFonts w:ascii="Times New Roman" w:cs="Times New Roman" w:eastAsia="Times New Roman" w:hAnsi="Times New Roman"/>
          <w:sz w:val="22"/>
          <w:szCs w:val="22"/>
          <w:b w:val="1"/>
          <w:bCs w:val="1"/>
          <w:color w:val="auto"/>
        </w:rPr>
        <w:t xml:space="preserve"> B</w:t>
      </w:r>
      <w:r>
        <w:rPr>
          <w:rFonts w:ascii="Times New Roman" w:cs="Times New Roman" w:eastAsia="Times New Roman" w:hAnsi="Times New Roman"/>
          <w:sz w:val="14"/>
          <w:szCs w:val="14"/>
          <w:b w:val="1"/>
          <w:bCs w:val="1"/>
          <w:color w:val="auto"/>
        </w:rPr>
        <w:t>iovitrum</w:t>
      </w:r>
      <w:r>
        <w:rPr>
          <w:rFonts w:ascii="Times New Roman" w:cs="Times New Roman" w:eastAsia="Times New Roman" w:hAnsi="Times New Roman"/>
          <w:sz w:val="22"/>
          <w:szCs w:val="22"/>
          <w:b w:val="1"/>
          <w:bCs w:val="1"/>
          <w:color w:val="auto"/>
        </w:rPr>
        <w:t xml:space="preserve"> AB (</w:t>
      </w:r>
      <w:r>
        <w:rPr>
          <w:rFonts w:ascii="Times New Roman" w:cs="Times New Roman" w:eastAsia="Times New Roman" w:hAnsi="Times New Roman"/>
          <w:sz w:val="14"/>
          <w:szCs w:val="14"/>
          <w:b w:val="1"/>
          <w:bCs w:val="1"/>
          <w:color w:val="auto"/>
        </w:rPr>
        <w:t>publ</w:t>
      </w:r>
      <w:r>
        <w:rPr>
          <w:rFonts w:ascii="Times New Roman" w:cs="Times New Roman" w:eastAsia="Times New Roman" w:hAnsi="Times New Roman"/>
          <w:sz w:val="22"/>
          <w:szCs w:val="22"/>
          <w:b w:val="1"/>
          <w:bCs w:val="1"/>
          <w:color w:val="auto"/>
        </w:rPr>
        <w: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Guido Oelkers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Guido Oelkers</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President &amp; CEO</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Torbjorn Hallberg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Torbjorn Hallberg</w:t>
      </w:r>
    </w:p>
    <w:p>
      <w:pPr>
        <w:spacing w:after="0"/>
        <w:tabs>
          <w:tab w:leader="none" w:pos="6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1217295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20" w:top="1440" w:right="619" w:bottom="1440" w:gutter="0" w:footer="0" w:header="0"/>
        </w:sectPr>
      </w:pPr>
    </w:p>
    <w:bookmarkStart w:id="48" w:name="page49"/>
    <w:bookmarkEnd w:id="48"/>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Parties have caused this Agreement to be executed by their duly authorized representatives.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pellis</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harmaceuticals</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Timothy Sullivan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Timothy Sullivan</w:t>
      </w:r>
    </w:p>
    <w:p>
      <w:pPr>
        <w:spacing w:after="0"/>
        <w:rPr>
          <w:sz w:val="20"/>
          <w:szCs w:val="20"/>
          <w:color w:val="auto"/>
        </w:rPr>
      </w:pPr>
      <w:r>
        <w:rPr>
          <w:rFonts w:ascii="Times New Roman" w:cs="Times New Roman" w:eastAsia="Times New Roman" w:hAnsi="Times New Roman"/>
          <w:sz w:val="22"/>
          <w:szCs w:val="22"/>
          <w:color w:val="auto"/>
        </w:rPr>
        <w:t>Title: CFO</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pellis</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nternational</w:t>
      </w:r>
      <w:r>
        <w:rPr>
          <w:rFonts w:ascii="Times New Roman" w:cs="Times New Roman" w:eastAsia="Times New Roman" w:hAnsi="Times New Roman"/>
          <w:sz w:val="22"/>
          <w:szCs w:val="22"/>
          <w:b w:val="1"/>
          <w:bCs w:val="1"/>
          <w:color w:val="auto"/>
        </w:rPr>
        <w:t xml:space="preserve"> G</w:t>
      </w:r>
      <w:r>
        <w:rPr>
          <w:rFonts w:ascii="Times New Roman" w:cs="Times New Roman" w:eastAsia="Times New Roman" w:hAnsi="Times New Roman"/>
          <w:sz w:val="14"/>
          <w:szCs w:val="14"/>
          <w:b w:val="1"/>
          <w:bCs w:val="1"/>
          <w:color w:val="auto"/>
        </w:rPr>
        <w:t>mb</w:t>
      </w:r>
      <w:r>
        <w:rPr>
          <w:rFonts w:ascii="Times New Roman" w:cs="Times New Roman" w:eastAsia="Times New Roman" w:hAnsi="Times New Roman"/>
          <w:sz w:val="22"/>
          <w:szCs w:val="22"/>
          <w:b w:val="1"/>
          <w:bCs w:val="1"/>
          <w:color w:val="auto"/>
        </w:rPr>
        <w:t>H</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Nur Nicholson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Nur Nicholson</w:t>
      </w:r>
    </w:p>
    <w:p>
      <w:pPr>
        <w:spacing w:after="0"/>
        <w:rPr>
          <w:sz w:val="20"/>
          <w:szCs w:val="20"/>
          <w:color w:val="auto"/>
        </w:rPr>
      </w:pPr>
      <w:r>
        <w:rPr>
          <w:rFonts w:ascii="Times New Roman" w:cs="Times New Roman" w:eastAsia="Times New Roman" w:hAnsi="Times New Roman"/>
          <w:sz w:val="22"/>
          <w:szCs w:val="22"/>
          <w:color w:val="auto"/>
        </w:rPr>
        <w:t>Title: CTO</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APL D</w:t>
      </w:r>
      <w:r>
        <w:rPr>
          <w:rFonts w:ascii="Times New Roman" w:cs="Times New Roman" w:eastAsia="Times New Roman" w:hAnsi="Times New Roman"/>
          <w:sz w:val="14"/>
          <w:szCs w:val="14"/>
          <w:b w:val="1"/>
          <w:bCs w:val="1"/>
          <w:color w:val="auto"/>
        </w:rPr>
        <w:t>el</w:t>
      </w:r>
      <w:r>
        <w:rPr>
          <w:rFonts w:ascii="Times New Roman" w:cs="Times New Roman" w:eastAsia="Times New Roman" w:hAnsi="Times New Roman"/>
          <w:sz w:val="22"/>
          <w:szCs w:val="22"/>
          <w:b w:val="1"/>
          <w:bCs w:val="1"/>
          <w:color w:val="auto"/>
        </w:rPr>
        <w:t xml:space="preserve"> H</w:t>
      </w:r>
      <w:r>
        <w:rPr>
          <w:rFonts w:ascii="Times New Roman" w:cs="Times New Roman" w:eastAsia="Times New Roman" w:hAnsi="Times New Roman"/>
          <w:sz w:val="14"/>
          <w:szCs w:val="14"/>
          <w:b w:val="1"/>
          <w:bCs w:val="1"/>
          <w:color w:val="auto"/>
        </w:rPr>
        <w:t>oldings</w:t>
      </w:r>
      <w:r>
        <w:rPr>
          <w:rFonts w:ascii="Times New Roman" w:cs="Times New Roman" w:eastAsia="Times New Roman" w:hAnsi="Times New Roman"/>
          <w:sz w:val="22"/>
          <w:szCs w:val="22"/>
          <w:b w:val="1"/>
          <w:bCs w:val="1"/>
          <w:color w:val="auto"/>
        </w:rPr>
        <w:t>, LLC</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David Watson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David Watson</w:t>
      </w:r>
    </w:p>
    <w:p>
      <w:pPr>
        <w:spacing w:after="0"/>
        <w:rPr>
          <w:sz w:val="20"/>
          <w:szCs w:val="20"/>
          <w:color w:val="auto"/>
        </w:rPr>
      </w:pPr>
      <w:r>
        <w:rPr>
          <w:rFonts w:ascii="Times New Roman" w:cs="Times New Roman" w:eastAsia="Times New Roman" w:hAnsi="Times New Roman"/>
          <w:sz w:val="22"/>
          <w:szCs w:val="22"/>
          <w:color w:val="auto"/>
        </w:rPr>
        <w:t>Title: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1260475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420" w:top="1440" w:right="619" w:bottom="1440" w:gutter="0" w:footer="0" w:header="0"/>
        </w:sectPr>
      </w:pPr>
    </w:p>
    <w:bookmarkStart w:id="49" w:name="page50"/>
    <w:bookmarkEnd w:id="49"/>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Cedric Francois,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70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Cedric Francois</w:t>
            </w:r>
          </w:p>
        </w:tc>
      </w:tr>
      <w:tr>
        <w:trPr>
          <w:trHeight w:val="191"/>
        </w:trPr>
        <w:tc>
          <w:tcPr>
            <w:tcW w:w="42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Cedric Francois</w:t>
            </w:r>
          </w:p>
        </w:tc>
      </w:tr>
      <w:tr>
        <w:trPr>
          <w:trHeight w:val="234"/>
        </w:trPr>
        <w:tc>
          <w:tcPr>
            <w:tcW w:w="42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1222"/>
        </w:trPr>
        <w:tc>
          <w:tcPr>
            <w:tcW w:w="424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50" w:name="page51"/>
    <w:bookmarkEnd w:id="50"/>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Timothy Sullivan, certify that:</w:t>
      </w:r>
    </w:p>
    <w:p>
      <w:pPr>
        <w:spacing w:after="0" w:line="225" w:lineRule="exact"/>
        <w:rPr>
          <w:sz w:val="20"/>
          <w:szCs w:val="20"/>
          <w:color w:val="auto"/>
        </w:rPr>
      </w:pPr>
    </w:p>
    <w:p>
      <w:pPr>
        <w:ind w:left="520" w:hanging="512"/>
        <w:spacing w:after="0"/>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Apellis Pharmaceuticals,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698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Timothy Sullivan</w:t>
            </w:r>
          </w:p>
        </w:tc>
      </w:tr>
      <w:tr>
        <w:trPr>
          <w:trHeight w:val="191"/>
        </w:trPr>
        <w:tc>
          <w:tcPr>
            <w:tcW w:w="426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Sullivan</w:t>
            </w:r>
          </w:p>
        </w:tc>
      </w:tr>
      <w:tr>
        <w:trPr>
          <w:trHeight w:val="234"/>
        </w:trPr>
        <w:tc>
          <w:tcPr>
            <w:tcW w:w="4260" w:type="dxa"/>
            <w:vAlign w:val="bottom"/>
          </w:tcPr>
          <w:p>
            <w:pPr>
              <w:spacing w:after="0"/>
              <w:rPr>
                <w:sz w:val="20"/>
                <w:szCs w:val="20"/>
                <w:color w:val="auto"/>
              </w:rPr>
            </w:pPr>
          </w:p>
        </w:tc>
        <w:tc>
          <w:tcPr>
            <w:tcW w:w="6980" w:type="dxa"/>
            <w:vAlign w:val="bottom"/>
            <w:gridSpan w:val="2"/>
          </w:tcPr>
          <w:p>
            <w:pPr>
              <w:ind w:left="298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979"/>
        </w:trPr>
        <w:tc>
          <w:tcPr>
            <w:tcW w:w="426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September 30, 2025 as filed with the Securities and Exchange Commission on the date hereof (the “Report”), the undersigned, Cedric Francois, President and Chief Executive Officer of the Company, hereby certifies, pursuant to 18 U.S.C. Section 1350, that:</w:t>
      </w:r>
    </w:p>
    <w:p>
      <w:pPr>
        <w:spacing w:after="0" w:line="68"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70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Cedric Francois</w:t>
            </w:r>
          </w:p>
        </w:tc>
      </w:tr>
      <w:tr>
        <w:trPr>
          <w:trHeight w:val="191"/>
        </w:trPr>
        <w:tc>
          <w:tcPr>
            <w:tcW w:w="42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Cedric Francois</w:t>
            </w:r>
          </w:p>
        </w:tc>
      </w:tr>
      <w:tr>
        <w:trPr>
          <w:trHeight w:val="234"/>
        </w:trPr>
        <w:tc>
          <w:tcPr>
            <w:tcW w:w="42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2" w:name="page53"/>
    <w:bookmarkEnd w:id="52"/>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Apellis Pharmaceuticals, Inc. (the “Company”) on Form 10-Q for the period ending September 30, 2025 as filed with the Securities and Exchange Commission on the date hereof (the “Report”), the undersigned, Timothy Sullivan, Chief Financial Officer and Treasurer of the Company, hereby certifies, pursuant to 18 U.S.C. Section 1350, that:</w:t>
      </w:r>
    </w:p>
    <w:p>
      <w:pPr>
        <w:spacing w:after="0" w:line="68"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7000" w:type="dxa"/>
            <w:vAlign w:val="bottom"/>
            <w:gridSpan w:val="2"/>
          </w:tcPr>
          <w:p>
            <w:pPr>
              <w:ind w:left="2560"/>
              <w:spacing w:after="0"/>
              <w:rPr>
                <w:sz w:val="20"/>
                <w:szCs w:val="20"/>
                <w:color w:val="auto"/>
              </w:rPr>
            </w:pPr>
            <w:r>
              <w:rPr>
                <w:rFonts w:ascii="Times New Roman" w:cs="Times New Roman" w:eastAsia="Times New Roman" w:hAnsi="Times New Roman"/>
                <w:sz w:val="18"/>
                <w:szCs w:val="18"/>
                <w:color w:val="auto"/>
              </w:rPr>
              <w:t>By:  /s/ Timothy Sullivan</w:t>
            </w:r>
          </w:p>
        </w:tc>
      </w:tr>
      <w:tr>
        <w:trPr>
          <w:trHeight w:val="191"/>
        </w:trPr>
        <w:tc>
          <w:tcPr>
            <w:tcW w:w="42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4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Timothy Sullivan</w:t>
            </w:r>
          </w:p>
        </w:tc>
      </w:tr>
      <w:tr>
        <w:trPr>
          <w:trHeight w:val="234"/>
        </w:trPr>
        <w:tc>
          <w:tcPr>
            <w:tcW w:w="42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bl>
    <w:p>
      <w:pPr>
        <w:spacing w:after="0" w:line="198"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581660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1)"/>
      <w:numFmt w:val="lowerLetter"/>
      <w:start w:val="1"/>
    </w:lvl>
  </w:abstractNum>
  <w:abstractNum w:abstractNumId="13">
    <w:nsid w:val="431BD7B7"/>
    <w:multiLevelType w:val="hybridMultilevel"/>
    <w:lvl w:ilvl="0">
      <w:lvlJc w:val="left"/>
      <w:lvlText w:val="(%1)"/>
      <w:numFmt w:val="lowerLetter"/>
      <w:start w:val="2"/>
    </w:lvl>
  </w:abstractNum>
  <w:abstractNum w:abstractNumId="14">
    <w:nsid w:val="3F2DBA3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
    <w:nsid w:val="7C83E458"/>
    <w:multiLevelType w:val="hybridMultilevel"/>
    <w:lvl w:ilvl="0">
      <w:lvlJc w:val="left"/>
      <w:lvlText w:val="%1"/>
      <w:numFmt w:val="lowerLetter"/>
      <w:start w:val="1"/>
    </w:lvl>
    <w:lvl w:ilvl="1">
      <w:lvlJc w:val="left"/>
      <w:lvlText w:val="(%2)"/>
      <w:numFmt w:val="upperLetter"/>
      <w:start w:val="2"/>
    </w:lvl>
  </w:abstractNum>
  <w:abstractNum w:abstractNumId="16">
    <w:nsid w:val="257130A3"/>
    <w:multiLevelType w:val="hybridMultilevel"/>
    <w:lvl w:ilvl="0">
      <w:lvlJc w:val="left"/>
      <w:lvlText w:val="(%1)"/>
      <w:numFmt w:val="lowerLetter"/>
      <w:start w:val="3"/>
    </w:lvl>
    <w:lvl w:ilvl="1">
      <w:lvlJc w:val="left"/>
      <w:lvlText w:val="%2"/>
      <w:numFmt w:val="upperLetter"/>
      <w:start w:val="1"/>
    </w:lvl>
  </w:abstractNum>
  <w:abstractNum w:abstractNumId="17">
    <w:nsid w:val="62BBD95A"/>
    <w:multiLevelType w:val="hybridMultilevel"/>
    <w:lvl w:ilvl="0">
      <w:lvlJc w:val="left"/>
      <w:lvlText w:val="(%1)"/>
      <w:numFmt w:val="lowerLetter"/>
      <w:start w:val="1"/>
    </w:lvl>
    <w:lvl w:ilvl="1">
      <w:lvlJc w:val="left"/>
      <w:lvlText w:val="(%2)"/>
      <w:numFmt w:val="lowerLetter"/>
      <w:start w:val="2"/>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2025-10-30T06:17:19Z</dcterms:created>
  <dcterms:modified xsi:type="dcterms:W3CDTF">2025-10-30T06:17:19Z</dcterms:modified>
</cp:coreProperties>
</file>