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340"/>
          </w:cols>
          <w:pgMar w:left="460" w:top="216" w:right="47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Francois Cedric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APELLIS PHARMACEUTICALS,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FIFTH AVENUE, 3RD FLOOR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Apellis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54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34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216"/>
          </w:cols>
          <w:pgMar w:left="460" w:top="216" w:right="47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040"/>
          </w:cols>
          <w:pgMar w:left="460" w:top="216"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360" w:type="dxa"/>
            <w:vAlign w:val="bottom"/>
          </w:tcPr>
          <w:p>
            <w:pPr>
              <w:spacing w:after="0"/>
              <w:rPr>
                <w:sz w:val="11"/>
                <w:szCs w:val="11"/>
                <w:color w:val="auto"/>
              </w:rPr>
            </w:pPr>
          </w:p>
        </w:tc>
        <w:tc>
          <w:tcPr>
            <w:tcW w:w="1700" w:type="dxa"/>
            <w:vAlign w:val="bottom"/>
          </w:tcPr>
          <w:p>
            <w:pPr>
              <w:jc w:val="center"/>
              <w:ind w:left="542"/>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 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01"/>
        </w:trPr>
        <w:tc>
          <w:tcPr>
            <w:tcW w:w="2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8"/>
                <w:szCs w:val="8"/>
                <w:color w:val="auto"/>
              </w:rPr>
            </w:pPr>
          </w:p>
        </w:tc>
        <w:tc>
          <w:tcPr>
            <w:tcW w:w="110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8"/>
                <w:szCs w:val="8"/>
                <w:color w:val="auto"/>
              </w:rPr>
            </w:pPr>
          </w:p>
        </w:tc>
        <w:tc>
          <w:tcPr>
            <w:tcW w:w="9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41"/>
        </w:trPr>
        <w:tc>
          <w:tcPr>
            <w:tcW w:w="2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vMerge w:val="continue"/>
          </w:tcPr>
          <w:p>
            <w:pPr>
              <w:spacing w:after="0"/>
              <w:rPr>
                <w:sz w:val="12"/>
                <w:szCs w:val="12"/>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w w:val="98"/>
                <w:vertAlign w:val="subscript"/>
              </w:rPr>
              <w:t>U</w:t>
            </w:r>
            <w:r>
              <w:rPr>
                <w:rFonts w:ascii="Times New Roman" w:cs="Times New Roman" w:eastAsia="Times New Roman" w:hAnsi="Times New Roman"/>
                <w:sz w:val="11"/>
                <w:szCs w:val="11"/>
                <w:color w:val="008000"/>
                <w:w w:val="98"/>
              </w:rPr>
              <w:t>(1)(2)(3)</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425,968</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0" w:type="dxa"/>
            <w:vAlign w:val="bottom"/>
          </w:tcPr>
          <w:p>
            <w:pPr>
              <w:spacing w:after="0"/>
              <w:rPr>
                <w:sz w:val="1"/>
                <w:szCs w:val="1"/>
                <w:color w:val="auto"/>
              </w:rPr>
            </w:pPr>
          </w:p>
        </w:tc>
      </w:tr>
      <w:tr>
        <w:trPr>
          <w:trHeight w:val="20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17"/>
                <w:szCs w:val="17"/>
                <w:color w:val="auto"/>
              </w:rPr>
            </w:pPr>
          </w:p>
        </w:tc>
        <w:tc>
          <w:tcPr>
            <w:tcW w:w="600" w:type="dxa"/>
            <w:vAlign w:val="bottom"/>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U</w:t>
            </w:r>
            <w:r>
              <w:rPr>
                <w:rFonts w:ascii="Times New Roman" w:cs="Times New Roman" w:eastAsia="Times New Roman" w:hAnsi="Times New Roman"/>
                <w:sz w:val="10"/>
                <w:szCs w:val="10"/>
                <w:color w:val="008000"/>
              </w:rPr>
              <w:t>(1)(2)(3)</w:t>
            </w:r>
          </w:p>
        </w:tc>
        <w:tc>
          <w:tcPr>
            <w:tcW w:w="3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372,815</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(4)</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0" w:type="dxa"/>
            <w:vAlign w:val="bottom"/>
          </w:tcPr>
          <w:p>
            <w:pPr>
              <w:spacing w:after="0"/>
              <w:rPr>
                <w:sz w:val="1"/>
                <w:szCs w:val="1"/>
                <w:color w:val="auto"/>
              </w:rPr>
            </w:pPr>
          </w:p>
        </w:tc>
      </w:tr>
      <w:tr>
        <w:trPr>
          <w:trHeight w:val="20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17"/>
                <w:szCs w:val="17"/>
                <w:color w:val="auto"/>
              </w:rPr>
            </w:pPr>
          </w:p>
        </w:tc>
        <w:tc>
          <w:tcPr>
            <w:tcW w:w="600" w:type="dxa"/>
            <w:vAlign w:val="bottom"/>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U</w:t>
            </w:r>
            <w:r>
              <w:rPr>
                <w:rFonts w:ascii="Times New Roman" w:cs="Times New Roman" w:eastAsia="Times New Roman" w:hAnsi="Times New Roman"/>
                <w:sz w:val="10"/>
                <w:szCs w:val="10"/>
                <w:color w:val="008000"/>
              </w:rPr>
              <w:t>(1)(2)(3)</w:t>
            </w:r>
          </w:p>
        </w:tc>
        <w:tc>
          <w:tcPr>
            <w:tcW w:w="3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472,065</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(5)</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04"/>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17"/>
                <w:szCs w:val="17"/>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w w:val="98"/>
                <w:vertAlign w:val="subscript"/>
              </w:rPr>
              <w:t>U</w:t>
            </w:r>
            <w:r>
              <w:rPr>
                <w:rFonts w:ascii="Times New Roman" w:cs="Times New Roman" w:eastAsia="Times New Roman" w:hAnsi="Times New Roman"/>
                <w:sz w:val="11"/>
                <w:szCs w:val="11"/>
                <w:color w:val="008000"/>
                <w:w w:val="98"/>
              </w:rPr>
              <w:t>(1)(2)(3)</w:t>
            </w:r>
          </w:p>
        </w:tc>
        <w:tc>
          <w:tcPr>
            <w:tcW w:w="30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300,000</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vMerge w:val="restart"/>
          </w:tcPr>
          <w:p>
            <w:pPr>
              <w:jc w:val="center"/>
              <w:spacing w:after="0" w:line="369" w:lineRule="exact"/>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(6)</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165"/>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0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17"/>
                <w:szCs w:val="17"/>
                <w:color w:val="auto"/>
              </w:rPr>
            </w:pPr>
          </w:p>
        </w:tc>
        <w:tc>
          <w:tcPr>
            <w:tcW w:w="600" w:type="dxa"/>
            <w:vAlign w:val="bottom"/>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U</w:t>
            </w:r>
            <w:r>
              <w:rPr>
                <w:rFonts w:ascii="Times New Roman" w:cs="Times New Roman" w:eastAsia="Times New Roman" w:hAnsi="Times New Roman"/>
                <w:sz w:val="10"/>
                <w:szCs w:val="10"/>
                <w:color w:val="008000"/>
              </w:rPr>
              <w:t>(1)(2)(3)</w:t>
            </w:r>
          </w:p>
        </w:tc>
        <w:tc>
          <w:tcPr>
            <w:tcW w:w="3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234,411</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(7)</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143,750</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(8)(9)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143,750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143,750</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(8)(9)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87,108</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(8)(9)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87,108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87,108</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(8)(9)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97,976</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(8)(9)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97,976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97,976</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(8)(9)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195,952</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8"/>
              </w:rPr>
              <w:t>(10)(11)(12)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195,952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195,952</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8"/>
              </w:rPr>
              <w:t>(10)(11)(12)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3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808080"/>
            </w:tcBorders>
          </w:tcPr>
          <w:p>
            <w:pPr>
              <w:jc w:val="center"/>
              <w:ind w:left="542"/>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8"/>
              </w:rPr>
              <w:t>20,862</w:t>
            </w:r>
          </w:p>
        </w:tc>
        <w:tc>
          <w:tcPr>
            <w:tcW w:w="500" w:type="dxa"/>
            <w:vAlign w:val="bottom"/>
            <w:tcBorders>
              <w:bottom w:val="single" w:sz="8" w:color="808080"/>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1"/>
                <w:szCs w:val="11"/>
                <w:color w:val="008000"/>
                <w:w w:val="92"/>
              </w:rPr>
              <w:t>(13)(14)</w:t>
            </w:r>
          </w:p>
        </w:tc>
        <w:tc>
          <w:tcPr>
            <w:tcW w:w="1100" w:type="dxa"/>
            <w:vAlign w:val="bottom"/>
            <w:tcBorders>
              <w:bottom w:val="single" w:sz="8" w:color="808080"/>
            </w:tcBorders>
          </w:tcPr>
          <w:p>
            <w:pPr>
              <w:jc w:val="center"/>
              <w:spacing w:after="0" w:line="306"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(13)(14)</w:t>
            </w:r>
          </w:p>
        </w:tc>
        <w:tc>
          <w:tcPr>
            <w:tcW w:w="9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6" w:right="479" w:bottom="0" w:gutter="0" w:footer="0" w:header="0"/>
          <w:type w:val="continuous"/>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6821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682117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3"/>
                <w:szCs w:val="13"/>
                <w:color w:val="auto"/>
              </w:rPr>
            </w:pP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700" w:type="dxa"/>
            <w:vAlign w:val="bottom"/>
          </w:tcPr>
          <w:p>
            <w:pPr>
              <w:jc w:val="center"/>
              <w:ind w:left="55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 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8"/>
                <w:szCs w:val="8"/>
                <w:color w:val="auto"/>
              </w:rPr>
            </w:pPr>
          </w:p>
        </w:tc>
        <w:tc>
          <w:tcPr>
            <w:tcW w:w="110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8"/>
                <w:szCs w:val="8"/>
                <w:color w:val="auto"/>
              </w:rPr>
            </w:pPr>
          </w:p>
        </w:tc>
        <w:tc>
          <w:tcPr>
            <w:tcW w:w="9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14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vMerge w:val="continue"/>
          </w:tcPr>
          <w:p>
            <w:pPr>
              <w:spacing w:after="0"/>
              <w:rPr>
                <w:sz w:val="12"/>
                <w:szCs w:val="12"/>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50"/>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36,047</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right"/>
              <w:ind w:right="106"/>
              <w:spacing w:after="0"/>
              <w:rPr>
                <w:sz w:val="20"/>
                <w:szCs w:val="20"/>
                <w:color w:val="auto"/>
              </w:rPr>
            </w:pPr>
            <w:r>
              <w:rPr>
                <w:rFonts w:ascii="Times New Roman" w:cs="Times New Roman" w:eastAsia="Times New Roman" w:hAnsi="Times New Roman"/>
                <w:sz w:val="11"/>
                <w:szCs w:val="11"/>
                <w:color w:val="008000"/>
              </w:rPr>
              <w:t>(13)(14)</w:t>
            </w:r>
          </w:p>
        </w:tc>
        <w:tc>
          <w:tcPr>
            <w:tcW w:w="1100" w:type="dxa"/>
            <w:vAlign w:val="bottom"/>
            <w:tcBorders>
              <w:bottom w:val="single" w:sz="8" w:color="2C2C2C"/>
            </w:tcBorders>
          </w:tcPr>
          <w:p>
            <w:pPr>
              <w:ind w:left="340"/>
              <w:spacing w:after="0" w:line="306" w:lineRule="exact"/>
              <w:rPr>
                <w:sz w:val="20"/>
                <w:szCs w:val="20"/>
                <w:color w:val="auto"/>
              </w:rPr>
            </w:pP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(13)(14)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50"/>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97,997</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right"/>
              <w:ind w:right="106"/>
              <w:spacing w:after="0"/>
              <w:rPr>
                <w:sz w:val="20"/>
                <w:szCs w:val="20"/>
                <w:color w:val="auto"/>
              </w:rPr>
            </w:pPr>
            <w:r>
              <w:rPr>
                <w:rFonts w:ascii="Times New Roman" w:cs="Times New Roman" w:eastAsia="Times New Roman" w:hAnsi="Times New Roman"/>
                <w:sz w:val="11"/>
                <w:szCs w:val="11"/>
                <w:color w:val="008000"/>
              </w:rPr>
              <w:t>(13)(14)</w:t>
            </w:r>
          </w:p>
        </w:tc>
        <w:tc>
          <w:tcPr>
            <w:tcW w:w="1100" w:type="dxa"/>
            <w:vAlign w:val="bottom"/>
            <w:tcBorders>
              <w:bottom w:val="single" w:sz="8" w:color="2C2C2C"/>
            </w:tcBorders>
          </w:tcPr>
          <w:p>
            <w:pPr>
              <w:ind w:left="340"/>
              <w:spacing w:after="0" w:line="306" w:lineRule="exact"/>
              <w:rPr>
                <w:sz w:val="20"/>
                <w:szCs w:val="20"/>
                <w:color w:val="auto"/>
              </w:rPr>
            </w:pP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(13)(14)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50"/>
              <w:spacing w:after="0"/>
              <w:rPr>
                <w:sz w:val="20"/>
                <w:szCs w:val="20"/>
                <w:color w:val="auto"/>
              </w:rPr>
            </w:pPr>
            <w:r>
              <w:rPr>
                <w:rFonts w:ascii="Times New Roman" w:cs="Times New Roman" w:eastAsia="Times New Roman" w:hAnsi="Times New Roman"/>
                <w:sz w:val="17"/>
                <w:szCs w:val="17"/>
                <w:color w:val="0000FF"/>
                <w:w w:val="98"/>
              </w:rPr>
              <w:t>05/14/2026</w:t>
            </w:r>
          </w:p>
        </w:tc>
        <w:tc>
          <w:tcPr>
            <w:tcW w:w="10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195,952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right"/>
              <w:ind w:right="106"/>
              <w:spacing w:after="0"/>
              <w:rPr>
                <w:sz w:val="20"/>
                <w:szCs w:val="20"/>
                <w:color w:val="auto"/>
              </w:rPr>
            </w:pPr>
            <w:r>
              <w:rPr>
                <w:rFonts w:ascii="Times New Roman" w:cs="Times New Roman" w:eastAsia="Times New Roman" w:hAnsi="Times New Roman"/>
                <w:sz w:val="11"/>
                <w:szCs w:val="11"/>
                <w:color w:val="008000"/>
              </w:rPr>
              <w:t>(13)(14)</w:t>
            </w:r>
          </w:p>
        </w:tc>
        <w:tc>
          <w:tcPr>
            <w:tcW w:w="1100" w:type="dxa"/>
            <w:vAlign w:val="bottom"/>
            <w:tcBorders>
              <w:bottom w:val="single" w:sz="8" w:color="2C2C2C"/>
            </w:tcBorders>
          </w:tcPr>
          <w:p>
            <w:pPr>
              <w:ind w:left="340"/>
              <w:spacing w:after="0" w:line="306" w:lineRule="exact"/>
              <w:rPr>
                <w:sz w:val="20"/>
                <w:szCs w:val="20"/>
                <w:color w:val="auto"/>
              </w:rPr>
            </w:pP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(13)(14)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100,538</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100,538</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13.85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273,779</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273,779</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19.39</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287,500</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287,500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273,312</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273,312</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35.46</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170,400</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170,400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44.33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206,250</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206,250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44.9</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150,000</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52.66</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131,093</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131,093</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66.3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104,834</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104,834</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jc w:val="center"/>
              <w:ind w:right="6"/>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40" w:right="14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w:t>
      </w:r>
    </w:p>
    <w:p>
      <w:pPr>
        <w:spacing w:after="0" w:line="25" w:lineRule="exact"/>
        <w:rPr>
          <w:rFonts w:ascii="Times New Roman" w:cs="Times New Roman" w:eastAsia="Times New Roman" w:hAnsi="Times New Roman"/>
          <w:sz w:val="13"/>
          <w:szCs w:val="13"/>
          <w:color w:val="008000"/>
        </w:rPr>
      </w:pPr>
    </w:p>
    <w:p>
      <w:pPr>
        <w:ind w:left="40" w:right="26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which entitles the holder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w:t>
      </w:r>
    </w:p>
    <w:p>
      <w:pPr>
        <w:spacing w:after="0" w:line="25"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In the Merger, each share of Common Stock issued and outstanding immediately prior to the Effective Time, subject to certain exceptions, was automatically converted into the right to receive the Offer Price from Purchaser, without interest and subject to reduction for any applicable withholding taxes.</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Patrick Collins is the trustee of The Cedric Francois Irrevocable Trust of 2023 - 2. The reporting person disclaims beneficial ownership over the shares held by The Cedric Francois Irrevocable Trust of 2023 - 2 except to the extent of his pecuniary interest therein.</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Cedric Francois Irrevocable Trust of 2023. Patrick Collins is the trustee of The Cedric Francois Irrevocable Trust of 2023. The reporting person disclaims beneficial ownership over the shares held by The Cedric Francois Irrevocable Trust of 2023 except to the extent of his pecuniary interest therein.</w:t>
      </w:r>
    </w:p>
    <w:p>
      <w:pPr>
        <w:spacing w:after="0" w:line="19" w:lineRule="exact"/>
        <w:rPr>
          <w:rFonts w:ascii="Times New Roman" w:cs="Times New Roman" w:eastAsia="Times New Roman" w:hAnsi="Times New Roman"/>
          <w:sz w:val="13"/>
          <w:szCs w:val="13"/>
          <w:color w:val="008000"/>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p>
      <w:pPr>
        <w:spacing w:after="0" w:line="19"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p>
      <w:pPr>
        <w:spacing w:after="0" w:line="19" w:lineRule="exact"/>
        <w:rPr>
          <w:rFonts w:ascii="Times New Roman" w:cs="Times New Roman" w:eastAsia="Times New Roman" w:hAnsi="Times New Roman"/>
          <w:sz w:val="13"/>
          <w:szCs w:val="13"/>
          <w:color w:val="008000"/>
        </w:rPr>
      </w:pPr>
    </w:p>
    <w:p>
      <w:pPr>
        <w:ind w:left="40" w:right="280"/>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outstanding RSU that was not a Cash-Out RSU Award (each, a "Converted RSU Award") that was subject to both a time-based and a performance-based vesting schedule (other than RSUs granted in January 2026 and for which performance-based vesting schedule was based on total shareholder return), was 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target level of performance, multiplied by (y) the Cash Amount and (ii) one CVR for each share of Common Stock underlying such Converted RSU Award.</w:t>
      </w:r>
    </w:p>
    <w:p>
      <w:pPr>
        <w:spacing w:after="0" w:line="25" w:lineRule="exact"/>
        <w:rPr>
          <w:rFonts w:ascii="Times New Roman" w:cs="Times New Roman" w:eastAsia="Times New Roman" w:hAnsi="Times New Roman"/>
          <w:sz w:val="13"/>
          <w:szCs w:val="13"/>
          <w:color w:val="008000"/>
        </w:rPr>
      </w:pPr>
    </w:p>
    <w:p>
      <w:pPr>
        <w:ind w:left="40" w:right="200"/>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25" w:lineRule="exact"/>
        <w:rPr>
          <w:rFonts w:ascii="Times New Roman" w:cs="Times New Roman" w:eastAsia="Times New Roman" w:hAnsi="Times New Roman"/>
          <w:sz w:val="13"/>
          <w:szCs w:val="13"/>
          <w:color w:val="008000"/>
        </w:rPr>
      </w:pPr>
    </w:p>
    <w:p>
      <w:pPr>
        <w:ind w:left="40" w:right="140"/>
        <w:spacing w:after="0" w:line="233" w:lineRule="auto"/>
        <w:tabs>
          <w:tab w:leader="none" w:pos="23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granted in January 2026 subject to both a time-based and a performance-based vesting schedule, with the performance-based vesting schedule based on performance with respect to total shareholder return ("TSR") relative to the TSR of the group of companies in the Nasdaq Biotechnology Index ("Relative TSR"), was 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actual performance determined by the compensation committee of the Issuer's board of directors as of May 8, 2026 (which is the latest practicable date prior to the Effective Time),</w:t>
      </w:r>
    </w:p>
    <w:p>
      <w:pPr>
        <w:spacing w:after="0" w:line="25" w:lineRule="exact"/>
        <w:rPr>
          <w:rFonts w:ascii="Times New Roman" w:cs="Times New Roman" w:eastAsia="Times New Roman" w:hAnsi="Times New Roman"/>
          <w:sz w:val="13"/>
          <w:szCs w:val="13"/>
          <w:color w:val="008000"/>
        </w:rPr>
      </w:pPr>
    </w:p>
    <w:p>
      <w:pPr>
        <w:ind w:left="40" w:right="260"/>
        <w:spacing w:after="0" w:line="267" w:lineRule="auto"/>
        <w:tabs>
          <w:tab w:leader="none" w:pos="22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10) multiplied by (y) the Cash Amount and (ii) one CVR for each share of Common Stock underlying such Converted RSU Award. On May 11, 2026, the compensation committee certified that the Relative TSR as of May 8, 2026 was at the 93.3rd percentile, which resulted in a payout percentage of 200% of target for each such Converted RSU Award, as reported in the table above. Subject to the holder's continued service through the vesting dates applicable to the Converted RSU Award under its terms as in effect immediately prior to the Effective Time, all payments in respect of such Converted</w:t>
      </w:r>
    </w:p>
    <w:p>
      <w:pPr>
        <w:sectPr>
          <w:pgSz w:w="11900" w:h="16870" w:orient="portrait"/>
          <w:cols w:equalWidth="0" w:num="1">
            <w:col w:w="11080"/>
          </w:cols>
          <w:pgMar w:left="460" w:top="190" w:right="359" w:bottom="0" w:gutter="0" w:footer="0" w:header="0"/>
        </w:sectPr>
      </w:pPr>
    </w:p>
    <w:bookmarkStart w:id="2" w:name="page3"/>
    <w:bookmarkEnd w:id="2"/>
    <w:p>
      <w:pPr>
        <w:ind w:right="380"/>
        <w:spacing w:after="0" w:line="250" w:lineRule="auto"/>
        <w:rPr>
          <w:sz w:val="20"/>
          <w:szCs w:val="20"/>
          <w:color w:val="auto"/>
        </w:rPr>
      </w:pPr>
      <w:r>
        <w:rPr>
          <w:rFonts w:ascii="Times New Roman" w:cs="Times New Roman" w:eastAsia="Times New Roman" w:hAnsi="Times New Roman"/>
          <w:sz w:val="13"/>
          <w:szCs w:val="13"/>
          <w:color w:val="008000"/>
        </w:rPr>
        <w:t>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w:t>
      </w:r>
    </w:p>
    <w:p>
      <w:pPr>
        <w:spacing w:after="0" w:line="20" w:lineRule="exact"/>
        <w:rPr>
          <w:sz w:val="20"/>
          <w:szCs w:val="20"/>
          <w:color w:val="auto"/>
        </w:rPr>
      </w:pPr>
    </w:p>
    <w:p>
      <w:pPr>
        <w:ind w:right="360"/>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11)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19" w:lineRule="exact"/>
        <w:rPr>
          <w:rFonts w:ascii="Times New Roman" w:cs="Times New Roman" w:eastAsia="Times New Roman" w:hAnsi="Times New Roman"/>
          <w:sz w:val="13"/>
          <w:szCs w:val="13"/>
          <w:color w:val="008000"/>
        </w:rPr>
      </w:pPr>
    </w:p>
    <w:p>
      <w:pPr>
        <w:jc w:val="both"/>
        <w:spacing w:after="0" w:line="235"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 (y) the Cash Amount and (ii) one CVR for each share of Common Stock underlying such Converted RSU Award.</w:t>
      </w:r>
    </w:p>
    <w:p>
      <w:pPr>
        <w:spacing w:after="0" w:line="25" w:lineRule="exact"/>
        <w:rPr>
          <w:rFonts w:ascii="Times New Roman" w:cs="Times New Roman" w:eastAsia="Times New Roman" w:hAnsi="Times New Roman"/>
          <w:sz w:val="13"/>
          <w:szCs w:val="13"/>
          <w:color w:val="008000"/>
        </w:rPr>
      </w:pPr>
    </w:p>
    <w:p>
      <w:pPr>
        <w:spacing w:after="0" w:line="259" w:lineRule="auto"/>
        <w:tabs>
          <w:tab w:leader="none" w:pos="191"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13)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5" w:lineRule="exact"/>
        <w:rPr>
          <w:rFonts w:ascii="Times New Roman" w:cs="Times New Roman" w:eastAsia="Times New Roman" w:hAnsi="Times New Roman"/>
          <w:sz w:val="12"/>
          <w:szCs w:val="12"/>
          <w:color w:val="008000"/>
        </w:rPr>
      </w:pPr>
    </w:p>
    <w:p>
      <w:pPr>
        <w:spacing w:after="0" w:line="259" w:lineRule="auto"/>
        <w:tabs>
          <w:tab w:leader="none" w:pos="191"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pacing w:after="0" w:line="15" w:lineRule="exact"/>
        <w:rPr>
          <w:rFonts w:ascii="Times New Roman" w:cs="Times New Roman" w:eastAsia="Times New Roman" w:hAnsi="Times New Roman"/>
          <w:sz w:val="12"/>
          <w:szCs w:val="12"/>
          <w:color w:val="008000"/>
        </w:rPr>
      </w:pPr>
    </w:p>
    <w:p>
      <w:pPr>
        <w:ind w:right="240"/>
        <w:spacing w:after="0" w:line="235"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Cash-Out Option that had an exercise price per share that was equal to or greater than the Cash Amount, and less than the sum of (i) $41.00 (the Cash Amount) plus (ii) $4.00 (i.e., the maximum amount payable pursuant to a CVR assuming that the milestones are achieved) (such sum of $45.00, the "Aggregate Amount"), was automatically cancelled and converted into the right to receive one CVR for each share of Common Stock underlying such Cash-Out Option (with any payable milestone payment amounts being reduced by the excess, if any, of the applicable exercise price per share over the Cash Amount).</w:t>
      </w:r>
    </w:p>
    <w:p>
      <w:pPr>
        <w:spacing w:after="0" w:line="25" w:lineRule="exact"/>
        <w:rPr>
          <w:rFonts w:ascii="Times New Roman" w:cs="Times New Roman" w:eastAsia="Times New Roman" w:hAnsi="Times New Roman"/>
          <w:sz w:val="13"/>
          <w:szCs w:val="13"/>
          <w:color w:val="008000"/>
        </w:rPr>
      </w:pPr>
    </w:p>
    <w:p>
      <w:pPr>
        <w:ind w:right="80"/>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vested or unvested option with an exercise price per share that was equal to or greater than $45.00 (the Aggregate Amount) was cancelled without consideration and will have no further force or effect.</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Watson,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7"/>
        </w:trPr>
        <w:tc>
          <w:tcPr>
            <w:tcW w:w="15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fact for Cedric Francois</w:t>
            </w:r>
          </w:p>
        </w:tc>
        <w:tc>
          <w:tcPr>
            <w:tcW w:w="6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08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2026-05-14T18:20:36Z</dcterms:created>
  <dcterms:modified xsi:type="dcterms:W3CDTF">2026-05-14T18:20:36Z</dcterms:modified>
</cp:coreProperties>
</file>