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APELLIS PHARMACEUTICALS,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ind w:left="1881"/>
              <w:spacing w:after="0"/>
              <w:rPr>
                <w:sz w:val="20"/>
                <w:szCs w:val="20"/>
                <w:color w:val="auto"/>
              </w:rPr>
            </w:pPr>
            <w:r>
              <w:rPr>
                <w:rFonts w:ascii="Arial" w:cs="Arial" w:eastAsia="Arial" w:hAnsi="Arial"/>
                <w:sz w:val="18"/>
                <w:szCs w:val="18"/>
                <w:b w:val="1"/>
                <w:bCs w:val="1"/>
                <w:color w:val="auto"/>
                <w:w w:val="89"/>
              </w:rPr>
              <w:t>27–1537290</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0"/>
              </w:rPr>
              <w:t>6400 Westwind Way, Suite A</w:t>
            </w:r>
          </w:p>
        </w:tc>
        <w:tc>
          <w:tcPr>
            <w:tcW w:w="3100" w:type="dxa"/>
            <w:vAlign w:val="bottom"/>
          </w:tcPr>
          <w:p>
            <w:pPr>
              <w:spacing w:after="0"/>
              <w:rPr>
                <w:sz w:val="22"/>
                <w:szCs w:val="22"/>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Crestwood, KY</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40014</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(502) 241-4114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620"/>
              <w:spacing w:after="0"/>
              <w:rPr>
                <w:sz w:val="20"/>
                <w:szCs w:val="20"/>
                <w:color w:val="auto"/>
              </w:rPr>
            </w:pPr>
            <w:r>
              <w:rPr>
                <w:rFonts w:ascii="Arial" w:cs="Arial" w:eastAsia="Arial" w:hAnsi="Arial"/>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8"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C</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44"/>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APLS</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6"/>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2019, the registrant had 63,232,476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3"/>
            <w:vMerge w:val="restart"/>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400" w:type="dxa"/>
            <w:vAlign w:val="bottom"/>
            <w:gridSpan w:val="2"/>
            <w:vMerge w:val="restart"/>
          </w:tcPr>
          <w:p>
            <w:pPr>
              <w:spacing w:after="0"/>
              <w:rPr>
                <w:sz w:val="14"/>
                <w:szCs w:val="14"/>
                <w:color w:val="auto"/>
              </w:rPr>
            </w:pPr>
          </w:p>
        </w:tc>
        <w:tc>
          <w:tcPr>
            <w:tcW w:w="82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16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640" w:type="dxa"/>
            <w:vAlign w:val="bottom"/>
            <w:gridSpan w:val="3"/>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20" w:type="dxa"/>
            <w:vAlign w:val="bottom"/>
            <w:gridSpan w:val="16"/>
            <w:vMerge w:val="continue"/>
          </w:tcPr>
          <w:p>
            <w:pPr>
              <w:spacing w:after="0"/>
              <w:rPr>
                <w:sz w:val="16"/>
                <w:szCs w:val="16"/>
                <w:color w:val="auto"/>
              </w:rPr>
            </w:pPr>
          </w:p>
        </w:tc>
        <w:tc>
          <w:tcPr>
            <w:tcW w:w="21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2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24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800" w:type="dxa"/>
            <w:vAlign w:val="bottom"/>
            <w:gridSpan w:val="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w:t>
              </w:r>
            </w:hyperlink>
          </w:p>
        </w:tc>
        <w:tc>
          <w:tcPr>
            <w:tcW w:w="2700" w:type="dxa"/>
            <w:vAlign w:val="bottom"/>
            <w:gridSpan w:val="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Stockholders’ Equity</w:t>
              </w:r>
            </w:hyperlink>
          </w:p>
        </w:tc>
        <w:tc>
          <w:tcPr>
            <w:tcW w:w="2980" w:type="dxa"/>
            <w:vAlign w:val="bottom"/>
            <w:gridSpan w:val="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2.</w:t>
              </w:r>
            </w:hyperlink>
          </w:p>
        </w:tc>
        <w:tc>
          <w:tcPr>
            <w:tcW w:w="500" w:type="dxa"/>
            <w:vAlign w:val="bottom"/>
            <w:gridSpan w:val="3"/>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176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500" w:type="dxa"/>
            <w:vAlign w:val="bottom"/>
            <w:gridSpan w:val="3"/>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3860" w:type="dxa"/>
            <w:vAlign w:val="bottom"/>
            <w:gridSpan w:val="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520" w:type="dxa"/>
            <w:vAlign w:val="bottom"/>
            <w:gridSpan w:val="4"/>
          </w:tcPr>
          <w:p>
            <w:pPr>
              <w:spacing w:after="0"/>
              <w:rPr>
                <w:sz w:val="17"/>
                <w:szCs w:val="17"/>
                <w:color w:val="auto"/>
              </w:rPr>
            </w:pPr>
          </w:p>
        </w:tc>
        <w:tc>
          <w:tcPr>
            <w:tcW w:w="822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8220" w:type="dxa"/>
            <w:vAlign w:val="bottom"/>
            <w:gridSpan w:val="16"/>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1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6200" w:type="dxa"/>
            <w:vAlign w:val="bottom"/>
            <w:gridSpan w:val="11"/>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822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822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Item 6.</w:t>
              </w:r>
            </w:hyperlink>
          </w:p>
        </w:tc>
        <w:tc>
          <w:tcPr>
            <w:tcW w:w="50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17"/>
                <w:szCs w:val="17"/>
                <w:color w:val="auto"/>
              </w:rPr>
            </w:pPr>
          </w:p>
        </w:tc>
        <w:tc>
          <w:tcPr>
            <w:tcW w:w="3880" w:type="dxa"/>
            <w:vAlign w:val="bottom"/>
            <w:gridSpan w:val="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176,267,666</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288,246,706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Refundable research and development credit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1,473,591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1,755,639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24,333,851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20,509,948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364,113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202,439,221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310,527,863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6,621,807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977,918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1,041,063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162,345</w:t>
            </w:r>
          </w:p>
        </w:tc>
        <w:tc>
          <w:tcPr>
            <w:tcW w:w="10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203,533,559</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318,353,078</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10,254,938</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11,916,152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5,103,002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7,342,601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right of use liabilities</w:t>
            </w: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1,127,720</w:t>
            </w:r>
          </w:p>
        </w:tc>
        <w:tc>
          <w:tcPr>
            <w:tcW w:w="100" w:type="dxa"/>
            <w:vAlign w:val="bottom"/>
          </w:tcPr>
          <w:p>
            <w:pPr>
              <w:spacing w:after="0"/>
              <w:rPr>
                <w:sz w:val="19"/>
                <w:szCs w:val="19"/>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17,024,607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20,386,473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derivative liability</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60,736,000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18,722,321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Promissory note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6,655,193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6,673,970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Right-of-use liabilities</w:t>
            </w: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5,566,811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234,932</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42,560,904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93,598,186</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zero</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2018 and March 31, 2019</w:t>
            </w: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200,000,000 shares authorized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December 31, 2018 and March 31, 2019 and 56,279,307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at December 31, 2018 and 63,218,476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at March 31, 2019</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5,628</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437,855,681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552,209,429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(122,807)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(120,645)</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(276,765,847)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(327,340,214)</w:t>
            </w: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160,972,655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224,754,892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203,533,559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318,353,078</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17,402,890</w:t>
            </w:r>
          </w:p>
        </w:tc>
        <w:tc>
          <w:tcPr>
            <w:tcW w:w="100" w:type="dxa"/>
            <w:vAlign w:val="bottom"/>
          </w:tcPr>
          <w:p>
            <w:pPr>
              <w:spacing w:after="0"/>
              <w:rPr>
                <w:sz w:val="19"/>
                <w:szCs w:val="19"/>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40,479,899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4,035,255</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(21,438,145)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(48,650,570)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(1,208,132)</w:t>
            </w:r>
          </w:p>
        </w:tc>
        <w:tc>
          <w:tcPr>
            <w:tcW w:w="0" w:type="dxa"/>
            <w:vAlign w:val="bottom"/>
          </w:tcPr>
          <w:p>
            <w:pPr>
              <w:spacing w:after="0"/>
              <w:rPr>
                <w:sz w:val="1"/>
                <w:szCs w:val="1"/>
                <w:color w:val="auto"/>
              </w:rPr>
            </w:pPr>
          </w:p>
        </w:tc>
      </w:tr>
      <w:tr>
        <w:trPr>
          <w:trHeight w:val="215"/>
        </w:trPr>
        <w:tc>
          <w:tcPr>
            <w:tcW w:w="7820" w:type="dxa"/>
            <w:vAlign w:val="bottom"/>
          </w:tcPr>
          <w:p>
            <w:pPr>
              <w:spacing w:after="0"/>
              <w:rPr>
                <w:sz w:val="20"/>
                <w:szCs w:val="20"/>
                <w:color w:val="auto"/>
              </w:rPr>
            </w:pPr>
            <w:r>
              <w:rPr>
                <w:rFonts w:ascii="Arial" w:cs="Arial" w:eastAsia="Arial" w:hAnsi="Arial"/>
                <w:sz w:val="18"/>
                <w:szCs w:val="18"/>
                <w:color w:val="auto"/>
              </w:rPr>
              <w:t>Loss from remeasurement of development</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80"/>
              <w:spacing w:after="0"/>
              <w:rPr>
                <w:sz w:val="20"/>
                <w:szCs w:val="20"/>
                <w:color w:val="auto"/>
              </w:rPr>
            </w:pPr>
            <w:r>
              <w:rPr>
                <w:rFonts w:ascii="Arial" w:cs="Arial" w:eastAsia="Arial" w:hAnsi="Arial"/>
                <w:sz w:val="18"/>
                <w:szCs w:val="18"/>
                <w:color w:val="auto"/>
              </w:rPr>
              <w:t>derivative liability</w:t>
            </w:r>
          </w:p>
        </w:tc>
        <w:tc>
          <w:tcPr>
            <w:tcW w:w="3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(736,000)</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(667,087)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(593,505)</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867,017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(31,473)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(253,177)</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(21,736,304)</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(50,574,367)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gain:</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Foreign currency gain</w:t>
            </w:r>
          </w:p>
        </w:tc>
        <w:tc>
          <w:tcPr>
            <w:tcW w:w="3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gain</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 net of tax</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(21,736,304)</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(50,572,205)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Weighted-average number of common shares used in net</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loss per common share, basic and diluted</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50,353,812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57,897,390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80" w:type="dxa"/>
            <w:vAlign w:val="bottom"/>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17"/>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46"/>
        </w:trPr>
        <w:tc>
          <w:tcPr>
            <w:tcW w:w="42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9"/>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17"/>
              <w:spacing w:after="0" w:line="147"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left="128"/>
              <w:spacing w:after="0" w:line="147" w:lineRule="exact"/>
              <w:rPr>
                <w:sz w:val="20"/>
                <w:szCs w:val="20"/>
                <w:color w:val="auto"/>
              </w:rPr>
            </w:pPr>
            <w:r>
              <w:rPr>
                <w:rFonts w:ascii="Arial" w:cs="Arial" w:eastAsia="Arial" w:hAnsi="Arial"/>
                <w:sz w:val="14"/>
                <w:szCs w:val="14"/>
                <w:b w:val="1"/>
                <w:bCs w:val="1"/>
                <w:color w:val="auto"/>
                <w:w w:val="89"/>
              </w:rPr>
              <w:t>Comprehensive</w:t>
            </w:r>
          </w:p>
        </w:tc>
        <w:tc>
          <w:tcPr>
            <w:tcW w:w="280" w:type="dxa"/>
            <w:vAlign w:val="bottom"/>
          </w:tcPr>
          <w:p>
            <w:pPr>
              <w:spacing w:after="0"/>
              <w:rPr>
                <w:sz w:val="12"/>
                <w:szCs w:val="12"/>
                <w:color w:val="auto"/>
              </w:rPr>
            </w:pPr>
          </w:p>
        </w:tc>
        <w:tc>
          <w:tcPr>
            <w:tcW w:w="12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Stockholders'</w:t>
            </w:r>
          </w:p>
        </w:tc>
      </w:tr>
      <w:tr>
        <w:trPr>
          <w:trHeight w:val="171"/>
        </w:trPr>
        <w:tc>
          <w:tcPr>
            <w:tcW w:w="428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35"/>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50,334,152</w:t>
            </w: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5,033</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$ 298,201,480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4"/>
              </w:rPr>
              <w:t>$ (149,263,653)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$ 148,942,860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8"/>
                <w:szCs w:val="18"/>
                <w:color w:val="auto"/>
              </w:rPr>
              <w:t>Issuance of common stock upon exercise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94,868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225,352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225,361</w:t>
            </w:r>
          </w:p>
        </w:tc>
        <w:tc>
          <w:tcPr>
            <w:tcW w:w="100" w:type="dxa"/>
            <w:vAlign w:val="bottom"/>
          </w:tcPr>
          <w:p>
            <w:pPr>
              <w:spacing w:after="0"/>
              <w:rPr>
                <w:sz w:val="20"/>
                <w:szCs w:val="20"/>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1,610,188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1,610,188</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(21,736,304 )</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(21,736,304)</w:t>
            </w:r>
          </w:p>
        </w:tc>
      </w:tr>
      <w:tr>
        <w:trPr>
          <w:trHeight w:val="223"/>
        </w:trPr>
        <w:tc>
          <w:tcPr>
            <w:tcW w:w="4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March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50,429,020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5,042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300,037,020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 (170,999,957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129,042,105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r>
      <w:tr>
        <w:trPr>
          <w:trHeight w:val="146"/>
        </w:trPr>
        <w:tc>
          <w:tcPr>
            <w:tcW w:w="4260" w:type="dxa"/>
            <w:vAlign w:val="bottom"/>
          </w:tcPr>
          <w:p>
            <w:pPr>
              <w:spacing w:after="0"/>
              <w:rPr>
                <w:sz w:val="12"/>
                <w:szCs w:val="12"/>
                <w:color w:val="auto"/>
              </w:rPr>
            </w:pPr>
          </w:p>
        </w:tc>
        <w:tc>
          <w:tcPr>
            <w:tcW w:w="11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Comprehensive</w:t>
            </w:r>
          </w:p>
        </w:tc>
        <w:tc>
          <w:tcPr>
            <w:tcW w:w="13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Stockholders'</w:t>
            </w:r>
          </w:p>
        </w:tc>
      </w:tr>
      <w:tr>
        <w:trPr>
          <w:trHeight w:val="171"/>
        </w:trPr>
        <w:tc>
          <w:tcPr>
            <w:tcW w:w="42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56,279,307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5,628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$ 437,855,681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(122,807)</w:t>
            </w: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3"/>
              </w:rPr>
              <w:t>$ (276,765,847)</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$ 160,972,655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260" w:type="dxa"/>
            <w:vAlign w:val="bottom"/>
          </w:tcPr>
          <w:p>
            <w:pPr>
              <w:ind w:left="140"/>
              <w:spacing w:after="0"/>
              <w:rPr>
                <w:sz w:val="20"/>
                <w:szCs w:val="20"/>
                <w:color w:val="auto"/>
              </w:rPr>
            </w:pPr>
            <w:r>
              <w:rPr>
                <w:rFonts w:ascii="Arial" w:cs="Arial" w:eastAsia="Arial" w:hAnsi="Arial"/>
                <w:sz w:val="18"/>
                <w:szCs w:val="18"/>
                <w:color w:val="auto"/>
              </w:rPr>
              <w:t>Issuance of common stock in follow-on offering,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net of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6,900,000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109,603,159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109,603,849</w:t>
            </w:r>
          </w:p>
        </w:tc>
        <w:tc>
          <w:tcPr>
            <w:tcW w:w="100" w:type="dxa"/>
            <w:vAlign w:val="bottom"/>
          </w:tcPr>
          <w:p>
            <w:pPr>
              <w:spacing w:after="0"/>
              <w:rPr>
                <w:sz w:val="20"/>
                <w:szCs w:val="20"/>
                <w:color w:val="auto"/>
              </w:rPr>
            </w:pPr>
          </w:p>
        </w:tc>
      </w:tr>
      <w:tr>
        <w:trPr>
          <w:trHeight w:val="215"/>
        </w:trPr>
        <w:tc>
          <w:tcPr>
            <w:tcW w:w="4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upon exercise of</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192,001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192,005</w:t>
            </w:r>
          </w:p>
        </w:tc>
        <w:tc>
          <w:tcPr>
            <w:tcW w:w="100" w:type="dxa"/>
            <w:vAlign w:val="bottom"/>
            <w:shd w:val="clear" w:color="auto" w:fill="CFF0FC"/>
          </w:tcPr>
          <w:p>
            <w:pPr>
              <w:spacing w:after="0"/>
              <w:rPr>
                <w:sz w:val="20"/>
                <w:szCs w:val="20"/>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4,558,588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4,558,588</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(50,574,367 )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(50,574,367)</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Foreign currency gain</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w:t>
            </w:r>
          </w:p>
        </w:tc>
        <w:tc>
          <w:tcPr>
            <w:tcW w:w="30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r>
      <w:tr>
        <w:trPr>
          <w:trHeight w:val="223"/>
        </w:trPr>
        <w:tc>
          <w:tcPr>
            <w:tcW w:w="42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March 31,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63,218,476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6,322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552,209,429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(120,645</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7"/>
              </w:rPr>
              <w:t>$ (327,340,214</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224,754,892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(21,736,304)</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(50,574,367)</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1,610,188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4,558,588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early extinguishment of debt</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Loss from remeasurement of development derivative liability</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right-of-use assets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discounts for promissory note</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Accretion of discounts for term loan facility</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208,624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Refundable research and development credit</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(531,204)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(275,218)</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assets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(3,062,009)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(188,226)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(45,925)</w:t>
            </w: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1,906,521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(180,904)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liabilities</w:t>
            </w:r>
          </w:p>
        </w:tc>
        <w:tc>
          <w:tcPr>
            <w:tcW w:w="1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(22,935,249)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(35,560,484)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(875,111)</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(875,111)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110,262,000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issuance costs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(334,462)</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Proceeds from development derivative liability</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Repayment of term loan facility</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(21,701,292)</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222,697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148,418,251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(22,712,552)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111,979,040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175,643,529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176,267,666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152,930,977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288,246,706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Financing Activities</w:t>
            </w: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551,750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 AND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229"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Apellis Pharmaceuticals, Inc. (the “Company”) is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was incorporated in September 2009 under the laws of the State of Delaware and has its principal office in Crestwood, Kentucky.</w:t>
      </w:r>
    </w:p>
    <w:p>
      <w:pPr>
        <w:spacing w:after="0" w:line="23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Company’s operations since inception have been limited to organizing and staffing the Company, acquiring rights to product candidates, business planning, raising capital and developing its product candidates.</w:t>
      </w:r>
    </w:p>
    <w:p>
      <w:pPr>
        <w:spacing w:after="0" w:line="170" w:lineRule="exact"/>
        <w:rPr>
          <w:sz w:val="20"/>
          <w:szCs w:val="20"/>
          <w:color w:val="auto"/>
        </w:rPr>
      </w:pPr>
    </w:p>
    <w:p>
      <w:pPr>
        <w:jc w:val="both"/>
        <w:ind w:right="340" w:firstLine="518"/>
        <w:spacing w:after="0" w:line="279" w:lineRule="auto"/>
        <w:rPr>
          <w:sz w:val="20"/>
          <w:szCs w:val="20"/>
          <w:color w:val="auto"/>
        </w:rPr>
      </w:pPr>
      <w:r>
        <w:rPr>
          <w:rFonts w:ascii="Arial" w:cs="Arial" w:eastAsia="Arial" w:hAnsi="Arial"/>
          <w:sz w:val="17"/>
          <w:szCs w:val="17"/>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Development Derivative Liability</w:t>
      </w:r>
    </w:p>
    <w:p>
      <w:pPr>
        <w:spacing w:after="0" w:line="2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On February 28, 2019, the Company entered into a development funding agreement with SFJ Pharmaceuticals Group (“SFJ”) under which SFJ agreed to provide funding to the Company to support the development of APL-2 for the treatment of patients with paroxysmal nocturnal hemoglobinuria (“PNH”) (“SFJ Agreement”). Pursuant to the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APL-2 in PNH and subject to the Company having cash resources at the time sufficient to fund at least 10 months of the Company’s operations. The Company expects that those milestones will occur during 2019. In addition, upon the mutual agreement of the Company and SFJ, at any time after the earlier of the date that the Company has reviewed the primary endpoint data from its PEGASUS Phase 3 trial of APL-2 in patients with PNH and March 31, 2020, SFJ may fund an additional $50.0 million of the Company’s development costs (the “Additional SFJ Funding”).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Follow-on Public Offering</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March 11, 2019, the Company issued and sold 6,900,000 shares of its common stock at a price per share of $17.00 in a follow-on public offering (“2019 follow-on offering”). The Company received net proceeds of $109.6 million after deducting underwriting discounts and commissions of $7.0 million and offering costs of $0.7 million.</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April 23, 2018, the Company issued and sold 5,500,000 shares of its common stock at a price per share of $25.50 in a follow-on public offering (“2018 follow-on offering”). The Company received net proceeds of $131.2 million after deducting underwriting discounts and commissions of $8.4 million and offering costs of $0.5 million.</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ind w:firstLine="518"/>
        <w:spacing w:after="0" w:line="265" w:lineRule="auto"/>
        <w:rPr>
          <w:sz w:val="20"/>
          <w:szCs w:val="20"/>
          <w:color w:val="auto"/>
        </w:rPr>
      </w:pPr>
      <w:r>
        <w:rPr>
          <w:rFonts w:ascii="Arial" w:cs="Arial" w:eastAsia="Arial" w:hAnsi="Arial"/>
          <w:sz w:val="18"/>
          <w:szCs w:val="18"/>
          <w:color w:val="auto"/>
        </w:rPr>
        <w:t>The accompanying unaudited condensed consolidated financial statements have been prepared on the basis of the realization of assets and the satisfaction of liabilities and commitments in the normal course of business. As of May 7, 2019, the date of issuance of these unaudited condensed consolidated financial statements, the Company believes that its cash and cash equivalents as of March 31, 2019 of $288.2 million will be sufficient to fund its operations for at least the next twelve months from the issuance of the unaudited interim consolidated financial statements. The future viability beyond that point is dependent on its ability to raise additional capital to finance its operations.</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 is subject to risks common to other life science companies in the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spacing w:after="0" w:line="264" w:lineRule="auto"/>
        <w:rPr>
          <w:sz w:val="20"/>
          <w:szCs w:val="20"/>
          <w:color w:val="auto"/>
        </w:rPr>
      </w:pPr>
      <w:r>
        <w:rPr>
          <w:rFonts w:ascii="Arial" w:cs="Arial" w:eastAsia="Arial" w:hAnsi="Arial"/>
          <w:sz w:val="18"/>
          <w:szCs w:val="18"/>
          <w:color w:val="auto"/>
        </w:rPr>
        <w:t>proprietary technology, ability to raise additional financing, and compliance with FDA and other government regulations. If the Company does not successfully commercialize any of its product candidates, it will be unable to generate recurring product revenue or achieve profitability. Management’s plans in order to meet its short-term and longer-term operating cash flow requirements include obtaining additional funding.</w:t>
      </w:r>
    </w:p>
    <w:p>
      <w:pPr>
        <w:spacing w:after="0" w:line="18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There are uncertainties associated with the Company’s ability to (1) obtain additional debt or equity financing (2) enter into collaborative agreements with strategic partners, and (3) succeed in its future operations. If the Company is not able to obtain the required capital to fund its operations from any of these, or is not able to obtain such funding on terms that are favorable to the Company, it could be forced to delay, reduce or eliminate its research and development programs or future commercialization efforts and its business could be materially harmed.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Company and its wholly-owned subsidiaries, Apellis Australia Pty Ltd, Apellis Ireland Ltd and Apellis Switzerland GmbH.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balance sheet as of December 31, 2018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months ended March 31, 2019 are not necessarily indicative of the results to be expected for the year ending December 31, 2019 or for any other interim period or for any other future year.</w:t>
      </w:r>
    </w:p>
    <w:p>
      <w:pPr>
        <w:spacing w:after="0" w:line="169"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audited consolidated financial statements and the related notes thereto for the year ended December 31, 2018 included in the Company’s Annual Report on Form 10-K filed with the Securities and Exchange Commission on February 26, 2019.</w:t>
      </w:r>
    </w:p>
    <w:p>
      <w:pPr>
        <w:spacing w:after="0" w:line="3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588"/>
        <w:spacing w:after="0" w:line="277" w:lineRule="auto"/>
        <w:rPr>
          <w:sz w:val="20"/>
          <w:szCs w:val="20"/>
          <w:color w:val="auto"/>
        </w:rPr>
      </w:pPr>
      <w:r>
        <w:rPr>
          <w:rFonts w:ascii="Arial" w:cs="Arial" w:eastAsia="Arial" w:hAnsi="Arial"/>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right="80" w:firstLine="588"/>
        <w:spacing w:after="0" w:line="277" w:lineRule="auto"/>
        <w:rPr>
          <w:sz w:val="20"/>
          <w:szCs w:val="20"/>
          <w:color w:val="auto"/>
        </w:rPr>
      </w:pPr>
      <w:r>
        <w:rPr>
          <w:rFonts w:ascii="Arial" w:cs="Arial" w:eastAsia="Arial" w:hAnsi="Arial"/>
          <w:sz w:val="18"/>
          <w:szCs w:val="18"/>
          <w:color w:val="auto"/>
        </w:rPr>
        <w:t>Level 3 – Unobservable inputs that reflect the Company’s own assumptions about the assumptions market participants would use in pricing the asset or liability.</w:t>
      </w:r>
    </w:p>
    <w:p>
      <w:pPr>
        <w:spacing w:after="0" w:line="62" w:lineRule="exact"/>
        <w:rPr>
          <w:sz w:val="20"/>
          <w:szCs w:val="20"/>
          <w:color w:val="auto"/>
        </w:rPr>
      </w:pPr>
    </w:p>
    <w:p>
      <w:pPr>
        <w:ind w:right="20" w:firstLine="588"/>
        <w:spacing w:after="0" w:line="259" w:lineRule="auto"/>
        <w:rPr>
          <w:sz w:val="20"/>
          <w:szCs w:val="20"/>
          <w:color w:val="auto"/>
        </w:rPr>
      </w:pPr>
      <w:r>
        <w:rPr>
          <w:rFonts w:ascii="Arial" w:cs="Arial" w:eastAsia="Arial" w:hAnsi="Arial"/>
          <w:sz w:val="18"/>
          <w:szCs w:val="18"/>
          <w:color w:val="auto"/>
        </w:rPr>
        <w:t>The Company’s financial instruments, in addition to those presented in Note 5, Long-Term Debt, and Note 6, Fair Value Measurement, include cash and cash equivalents, the Australian research and development credit, accounts payable and accrued liabilities. Management believes that the carrying amounts of cash and cash equivalents, the Australian research and development credit, accounts payable and accrued expenses approximate the fair value due to the short-term nature of those instruments.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firstLine="588"/>
        <w:spacing w:after="0" w:line="342" w:lineRule="auto"/>
        <w:rPr>
          <w:sz w:val="20"/>
          <w:szCs w:val="20"/>
          <w:color w:val="auto"/>
        </w:rPr>
      </w:pPr>
      <w:r>
        <w:rPr>
          <w:rFonts w:ascii="Arial" w:cs="Arial" w:eastAsia="Arial" w:hAnsi="Arial"/>
          <w:sz w:val="16"/>
          <w:szCs w:val="16"/>
          <w:color w:val="auto"/>
        </w:rPr>
        <w:t>Cash and cash equivalents are defined as cash in banks and investment instruments having maturities of three months or less from their acquisition date. The carrying amounts reported in the consolidated balance sheets for cash and cash equivalents are valued at cost, which approximates their fair value.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 w:name="page9"/>
    <w:bookmarkEnd w:id="8"/>
    <w:p>
      <w:pPr>
        <w:ind w:left="6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654"/>
        <w:spacing w:after="0" w:line="286" w:lineRule="auto"/>
        <w:rPr>
          <w:sz w:val="20"/>
          <w:szCs w:val="20"/>
          <w:color w:val="auto"/>
        </w:rPr>
      </w:pPr>
      <w:r>
        <w:rPr>
          <w:rFonts w:ascii="Arial" w:cs="Arial" w:eastAsia="Arial" w:hAnsi="Arial"/>
          <w:sz w:val="17"/>
          <w:szCs w:val="17"/>
          <w:color w:val="auto"/>
        </w:rPr>
        <w:t>Due to the growing volume of research contracts and intercompany loans that are now being exclusively denominated in local currency, effective August 1, 2018, the functional currency of the Company’s Australian subsidiary was changed from the U.S. dollar to the Australian dollar. The impact of the change in functional currency was not material to the audited consolidated financial statements for the year ended December 31, 2018.</w:t>
      </w:r>
    </w:p>
    <w:p>
      <w:pPr>
        <w:spacing w:after="0" w:line="166" w:lineRule="exact"/>
        <w:rPr>
          <w:sz w:val="20"/>
          <w:szCs w:val="20"/>
          <w:color w:val="auto"/>
        </w:rPr>
      </w:pPr>
    </w:p>
    <w:p>
      <w:pPr>
        <w:ind w:right="100" w:firstLine="323"/>
        <w:spacing w:after="0" w:line="302" w:lineRule="auto"/>
        <w:rPr>
          <w:sz w:val="20"/>
          <w:szCs w:val="20"/>
          <w:color w:val="auto"/>
        </w:rPr>
      </w:pPr>
      <w:r>
        <w:rPr>
          <w:rFonts w:ascii="Arial" w:cs="Arial" w:eastAsia="Arial" w:hAnsi="Arial"/>
          <w:sz w:val="16"/>
          <w:szCs w:val="16"/>
          <w:color w:val="auto"/>
        </w:rPr>
        <w:t>As a result of the change in functional currency, the financial position and results of operations of the Company's Australian subsidiary are measured using the foreign subsidiary's local currency. Revenues and expenses of the Australian subsidiary have been translated into U.S. dollars at average exchange rates prevailing during the period from January 1, through March 31, 2019. Assets and liabilities have been translated at the rates of exchange on the balance sheet date. The resulting translation gain and loss adjustments are recorded directly as a separate component of stockholders’ equity</w:t>
      </w:r>
      <w:r>
        <w:rPr>
          <w:rFonts w:ascii="Arial" w:cs="Arial" w:eastAsia="Arial" w:hAnsi="Arial"/>
          <w:sz w:val="16"/>
          <w:szCs w:val="16"/>
          <w:i w:val="1"/>
          <w:iCs w:val="1"/>
          <w:color w:val="auto"/>
        </w:rPr>
        <w: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year amounts have been reclassified to conform to the 2019 presentation.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are as follows: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54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3,481,570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4,702,232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payroll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269,046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1,777,244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1,352,386</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863,125</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5,103,002</w:t>
            </w: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7,342,601</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Development Derivative Liability</w:t>
      </w:r>
    </w:p>
    <w:p>
      <w:pPr>
        <w:spacing w:after="0" w:line="33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On February 28, 2019, the Company entered into the SFJ Agreement under which SFJ agreed to provide funding to the Company to support the development of APL-2 for the treatment of patients with PNH. Pursuant to the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APL-2 in PNH and subject to the Company having cash resources at the time sufficient to fund at least 10 months of the Company’s operations. The Company expects that those milestones will occur during 2019. In addition, upon the mutual agreement of the Company and SFJ, at any time after the earlier of the date that the Company has reviewed the primary endpoint data from its PEGASUS Phase 3 trial of APL-2 in patients with PNH and March 31, 2020, SFJ may fund an additional $50.0 million of the Company’s development costs (the “Additional SFJ Funding”).</w:t>
      </w:r>
    </w:p>
    <w:p>
      <w:pPr>
        <w:spacing w:after="0" w:line="19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Following regulatory approval by the FDA or the European Medicines Agency (“EMA”) for the use of APL-2 as a treatment for PNH the Company will be obligated to pay SFJ an initial payment of $2.5 million (or a total of $5 million if regulatory approval is granted by the FDA and the EMA) and then an additional $192.5 million in the aggregate (or $385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 million (including as a result of the payment of the Additional SFJ Funding). Additionally, the Company granted a security interest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9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SFJ Agreement is presented as a derivative liability on the balance sheet as of March 31, 2019. The liability was initially recorded at the value of the aggregate cash received pursuant to the contractual terms, which was determined to have been fair value, and subsequently remeasured at the end of the fiscal quarter as a level 3 derivative, with the change in fair value of $736,000 recorded in loss from remeasurement of development derivative liability on the income statement.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06" w:right="259" w:bottom="1440" w:gutter="0" w:footer="0" w:header="0"/>
        </w:sectPr>
      </w:pPr>
    </w:p>
    <w:bookmarkStart w:id="9" w:name="page10"/>
    <w:bookmarkEnd w:id="9"/>
    <w:p>
      <w:pPr>
        <w:ind w:right="20" w:firstLine="518"/>
        <w:spacing w:after="0" w:line="276" w:lineRule="auto"/>
        <w:rPr>
          <w:sz w:val="20"/>
          <w:szCs w:val="20"/>
          <w:color w:val="auto"/>
        </w:rPr>
      </w:pPr>
      <w:r>
        <w:rPr>
          <w:rFonts w:ascii="Arial" w:cs="Arial" w:eastAsia="Arial" w:hAnsi="Arial"/>
          <w:sz w:val="17"/>
          <w:szCs w:val="17"/>
          <w:color w:val="auto"/>
        </w:rPr>
        <w:t>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goals to receive the next tranche of funding, (ii) the probability and timing of achieving FDA and EMA approval, (iii) SFJ’s cost of borrowing (8.00%), and (iv) the Company’s cost of borrowing (16.16%).</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SFJ’s implied cost of borrowing was 8.00% and the Company’s implied cost of borrowing was 16.16.%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October 20, 2017, the Company entered into a loan and security agreement with Silicon Valley Bank (“SVB”) to provide for a $20.0 million term loan facility (the “term loan facility”). Borrowings under the term loan facility accrued interest at a floating rate per annum equal to the WSJ prime rate plus 1.50%. Under the agreement, the Company was required to make monthly interest-only payments through November 1, 2019 and was required to make 24 equal monthly payments of principal, plus accrued interest, from November 1, 2019 through October 1, 2021, when all unpaid principal and interest became due and payable.</w:t>
      </w:r>
    </w:p>
    <w:p>
      <w:pPr>
        <w:spacing w:after="0" w:line="18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On March 26, 2019, the Company voluntarily repaid all outstanding amounts due and owed, including applicable termination fees, under the term loan facility. The final payment of $21,802,403 totaled per diem interest of $101,111 and $21,701,292 for the outstanding balance of the term loan which included</w:t>
      </w:r>
    </w:p>
    <w:p>
      <w:pPr>
        <w:ind w:right="2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final payment equal to 8% of the original principal amount of the term loan of $1,600,000, and (ii) a prepayment fee contractually owed of $100,000 plus other fees of $1,292 which resulted in a total loss on extinguishment of debt of $1,208,132.</w:t>
      </w:r>
    </w:p>
    <w:p>
      <w:pPr>
        <w:spacing w:after="0" w:line="18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the Company’s entry into the term loan facility, the Company issued to SVB a warrant to purchase 14,064 shares of the Company’s common stock with an exercise price per share of $5.484. The warrant has a ten-year term and includes a put option pursuant to which, in the event of an acquisition, change in control or dissolution or winding up of the Company, or the expiration of the warrant, SVB may require the Company to repurchase the warrant for a total aggregate purchase price of $250,000.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Related Party Promissory Note</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October 19, 2017, the Company issued and sold an unsecured promissory note in the principal amount of $7.0 million to Golda Darty Partners S.A. (“GDP”), an affiliate of one of the Company’s stockholders. The promissory note accrues interest at a rate per annum of 8.0%, and is due and payable quarterly in arrears on the 19th day of each April, July, October and January. The promissory note has a maturity date of October 19, 2022 when the $7,000,000 is due and payable in its entirety. The promissory note is contractually subordinated to the Company’s obligations to SFJ under the SFJ Agreement.</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issuance and sale of the above promissory note, the Company issued to GDP a warrant to purchase 93,764 shares of the Company’s common stock at a price per share of $5.484, which was exercised in whole in October 2017. The Company recorded the fair value of the warrant in the aggregate amount of $430,160 as a discount to the promissory note. This amount is being accreted as additional interest expense over the term of the promissory note.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48"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 xml:space="preserve">On January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a modified retrospective method. The Company recognized $5.5 million of lease assets and liabilities. There was no impact to retained earnings upon adoption of Topic 842. The underlying assets of the Company’s leases primarily relate to office space leases, but also include some equipment leases. The Company determines if an arrangement qualifies as a lease at its inception.</w:t>
      </w:r>
    </w:p>
    <w:p>
      <w:pPr>
        <w:spacing w:after="0" w:line="187" w:lineRule="exact"/>
        <w:rPr>
          <w:sz w:val="20"/>
          <w:szCs w:val="20"/>
          <w:color w:val="auto"/>
        </w:rPr>
      </w:pPr>
    </w:p>
    <w:p>
      <w:pPr>
        <w:jc w:val="both"/>
        <w:ind w:right="200" w:firstLine="761"/>
        <w:spacing w:after="0" w:line="264" w:lineRule="auto"/>
        <w:rPr>
          <w:sz w:val="20"/>
          <w:szCs w:val="20"/>
          <w:color w:val="auto"/>
        </w:rPr>
      </w:pPr>
      <w:r>
        <w:rPr>
          <w:rFonts w:ascii="Arial" w:cs="Arial" w:eastAsia="Arial" w:hAnsi="Arial"/>
          <w:sz w:val="18"/>
          <w:szCs w:val="18"/>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ind w:right="40"/>
        <w:spacing w:after="0" w:line="264" w:lineRule="auto"/>
        <w:rPr>
          <w:sz w:val="20"/>
          <w:szCs w:val="20"/>
          <w:color w:val="auto"/>
        </w:rPr>
      </w:pPr>
      <w:r>
        <w:rPr>
          <w:rFonts w:ascii="Arial" w:cs="Arial" w:eastAsia="Arial" w:hAnsi="Arial"/>
          <w:sz w:val="18"/>
          <w:szCs w:val="18"/>
          <w:color w:val="auto"/>
        </w:rPr>
        <w:t>amounts or variable amounts that depend on a rate or index as stipulated in the lease contract. 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w:t>
      </w:r>
    </w:p>
    <w:p>
      <w:pPr>
        <w:spacing w:after="0" w:line="181"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The Company enters into lease agreements with terms generally ranging from 2-7 years. Some of the Company’s lease agreements include Company options to extend the lease on a month to month basis or for set periods for up to 5 years. Many leases also include options to terminate the leases within 1 year or per other contractual terms. Renewal and termination options were generally not included in the lease term for the Company’s existing operating leases.</w:t>
      </w:r>
    </w:p>
    <w:p>
      <w:pPr>
        <w:spacing w:after="0" w:line="187" w:lineRule="exact"/>
        <w:rPr>
          <w:sz w:val="20"/>
          <w:szCs w:val="20"/>
          <w:color w:val="auto"/>
        </w:rPr>
      </w:pPr>
    </w:p>
    <w:p>
      <w:pPr>
        <w:ind w:right="80" w:firstLine="761"/>
        <w:spacing w:after="0" w:line="286" w:lineRule="auto"/>
        <w:rPr>
          <w:sz w:val="20"/>
          <w:szCs w:val="20"/>
          <w:color w:val="auto"/>
        </w:rPr>
      </w:pPr>
      <w:r>
        <w:rPr>
          <w:rFonts w:ascii="Arial" w:cs="Arial" w:eastAsia="Arial" w:hAnsi="Arial"/>
          <w:sz w:val="17"/>
          <w:szCs w:val="17"/>
          <w:color w:val="auto"/>
        </w:rPr>
        <w:t>As of March 31, 2019, all leases were classified as operating lease assets and liabilities. Operating lease assets were $6.6 million and operating lease liabilities were $6.7 million at March 31, 2019. At March 31, 2019, the weighted average remaining lease term of operating leases was 5.29 years and the weighted average discount rate used to measure the outstanding operating lease liabilities leases was 8.54%.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the total lease cost for operating lease expense was: $403,542.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for the three months ended March 31, 2019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$330,816</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Right of use assets obtained in exchange for</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lease obligations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$6,940,332</w:t>
            </w: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color w:val="auto"/>
              </w:rPr>
              <w:t>The maturity of the Company’s operating lease liabilities as of March 31, 2019 are as follows: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$1,154,778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2020</w:t>
            </w:r>
          </w:p>
        </w:tc>
        <w:tc>
          <w:tcPr>
            <w:tcW w:w="1420" w:type="dxa"/>
            <w:vAlign w:val="bottom"/>
          </w:tcPr>
          <w:p>
            <w:pPr>
              <w:jc w:val="right"/>
              <w:spacing w:after="0"/>
              <w:rPr>
                <w:sz w:val="20"/>
                <w:szCs w:val="20"/>
                <w:color w:val="auto"/>
              </w:rPr>
            </w:pPr>
            <w:r>
              <w:rPr>
                <w:rFonts w:ascii="Arial" w:cs="Arial" w:eastAsia="Arial" w:hAnsi="Arial"/>
                <w:sz w:val="18"/>
                <w:szCs w:val="18"/>
                <w:color w:val="auto"/>
              </w:rPr>
              <w:t>1,691,742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1,320,200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1420" w:type="dxa"/>
            <w:vAlign w:val="bottom"/>
          </w:tcPr>
          <w:p>
            <w:pPr>
              <w:jc w:val="right"/>
              <w:spacing w:after="0"/>
              <w:rPr>
                <w:sz w:val="20"/>
                <w:szCs w:val="20"/>
                <w:color w:val="auto"/>
              </w:rPr>
            </w:pPr>
            <w:r>
              <w:rPr>
                <w:rFonts w:ascii="Arial" w:cs="Arial" w:eastAsia="Arial" w:hAnsi="Arial"/>
                <w:sz w:val="18"/>
                <w:szCs w:val="18"/>
                <w:color w:val="auto"/>
              </w:rPr>
              <w:t>1,353,133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2,829,649</w:t>
            </w:r>
          </w:p>
        </w:tc>
        <w:tc>
          <w:tcPr>
            <w:tcW w:w="0" w:type="dxa"/>
            <w:vAlign w:val="bottom"/>
          </w:tcPr>
          <w:p>
            <w:pPr>
              <w:spacing w:after="0"/>
              <w:rPr>
                <w:sz w:val="1"/>
                <w:szCs w:val="1"/>
                <w:color w:val="auto"/>
              </w:rPr>
            </w:pPr>
          </w:p>
        </w:tc>
      </w:tr>
      <w:tr>
        <w:trPr>
          <w:trHeight w:val="223"/>
        </w:trPr>
        <w:tc>
          <w:tcPr>
            <w:tcW w:w="8280" w:type="dxa"/>
            <w:vAlign w:val="bottom"/>
            <w:gridSpan w:val="2"/>
          </w:tcPr>
          <w:p>
            <w:pPr>
              <w:ind w:left="1720"/>
              <w:spacing w:after="0"/>
              <w:rPr>
                <w:sz w:val="20"/>
                <w:szCs w:val="20"/>
                <w:color w:val="auto"/>
              </w:rPr>
            </w:pPr>
            <w:r>
              <w:rPr>
                <w:rFonts w:ascii="Arial" w:cs="Arial" w:eastAsia="Arial" w:hAnsi="Arial"/>
                <w:sz w:val="18"/>
                <w:szCs w:val="18"/>
                <w:color w:val="auto"/>
              </w:rPr>
              <w:t>Total future minimum lease payments</w:t>
            </w:r>
          </w:p>
        </w:tc>
        <w:tc>
          <w:tcPr>
            <w:tcW w:w="1420" w:type="dxa"/>
            <w:vAlign w:val="bottom"/>
          </w:tcPr>
          <w:p>
            <w:pPr>
              <w:jc w:val="right"/>
              <w:spacing w:after="0"/>
              <w:rPr>
                <w:sz w:val="20"/>
                <w:szCs w:val="20"/>
                <w:color w:val="auto"/>
              </w:rPr>
            </w:pPr>
            <w:r>
              <w:rPr>
                <w:rFonts w:ascii="Arial" w:cs="Arial" w:eastAsia="Arial" w:hAnsi="Arial"/>
                <w:sz w:val="18"/>
                <w:szCs w:val="18"/>
                <w:color w:val="auto"/>
              </w:rPr>
              <w:t>8,349,502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6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imputed interest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(1,654,971)</w:t>
            </w:r>
          </w:p>
        </w:tc>
        <w:tc>
          <w:tcPr>
            <w:tcW w:w="0" w:type="dxa"/>
            <w:vAlign w:val="bottom"/>
          </w:tcPr>
          <w:p>
            <w:pPr>
              <w:spacing w:after="0"/>
              <w:rPr>
                <w:sz w:val="1"/>
                <w:szCs w:val="1"/>
                <w:color w:val="auto"/>
              </w:rPr>
            </w:pPr>
          </w:p>
        </w:tc>
      </w:tr>
      <w:tr>
        <w:trPr>
          <w:trHeight w:val="223"/>
        </w:trPr>
        <w:tc>
          <w:tcPr>
            <w:tcW w:w="8280" w:type="dxa"/>
            <w:vAlign w:val="bottom"/>
            <w:gridSpan w:val="2"/>
          </w:tcPr>
          <w:p>
            <w:pPr>
              <w:ind w:left="1720"/>
              <w:spacing w:after="0"/>
              <w:rPr>
                <w:sz w:val="20"/>
                <w:szCs w:val="20"/>
                <w:color w:val="auto"/>
              </w:rPr>
            </w:pPr>
            <w:r>
              <w:rPr>
                <w:rFonts w:ascii="Arial" w:cs="Arial" w:eastAsia="Arial" w:hAnsi="Arial"/>
                <w:sz w:val="18"/>
                <w:szCs w:val="18"/>
                <w:color w:val="auto"/>
              </w:rPr>
              <w:t>Total operating lease liabilities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$6,694,531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Comparative disclosures under ASC 840: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totaled $136,215 for the three months ended March 31, 2018.</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As previously disclosed in our 2018 Annual Report on Form 10-K and under the previous lease accounting standard,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Future minimum rental payments for lease obligations with initial terms in excess of one year as of December 31, 2018 were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$1,251,720</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2020</w:t>
            </w:r>
          </w:p>
        </w:tc>
        <w:tc>
          <w:tcPr>
            <w:tcW w:w="1420" w:type="dxa"/>
            <w:vAlign w:val="bottom"/>
          </w:tcPr>
          <w:p>
            <w:pPr>
              <w:jc w:val="right"/>
              <w:spacing w:after="0"/>
              <w:rPr>
                <w:sz w:val="20"/>
                <w:szCs w:val="20"/>
                <w:color w:val="auto"/>
              </w:rPr>
            </w:pPr>
            <w:r>
              <w:rPr>
                <w:rFonts w:ascii="Arial" w:cs="Arial" w:eastAsia="Arial" w:hAnsi="Arial"/>
                <w:sz w:val="18"/>
                <w:szCs w:val="18"/>
                <w:color w:val="auto"/>
              </w:rPr>
              <w:t>1,292,025</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975,750</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1420" w:type="dxa"/>
            <w:vAlign w:val="bottom"/>
          </w:tcPr>
          <w:p>
            <w:pPr>
              <w:jc w:val="right"/>
              <w:spacing w:after="0"/>
              <w:rPr>
                <w:sz w:val="20"/>
                <w:szCs w:val="20"/>
                <w:color w:val="auto"/>
              </w:rPr>
            </w:pPr>
            <w:r>
              <w:rPr>
                <w:rFonts w:ascii="Arial" w:cs="Arial" w:eastAsia="Arial" w:hAnsi="Arial"/>
                <w:sz w:val="18"/>
                <w:szCs w:val="18"/>
                <w:color w:val="auto"/>
              </w:rPr>
              <w:t>998,350</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2,341,219</w:t>
            </w:r>
          </w:p>
        </w:tc>
      </w:tr>
      <w:tr>
        <w:trPr>
          <w:trHeight w:val="223"/>
        </w:trPr>
        <w:tc>
          <w:tcPr>
            <w:tcW w:w="65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$6,859,064</w:t>
            </w:r>
          </w:p>
        </w:tc>
      </w:tr>
      <w:tr>
        <w:trPr>
          <w:trHeight w:val="20"/>
        </w:trPr>
        <w:tc>
          <w:tcPr>
            <w:tcW w:w="6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56"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The fair value of the following financial instruments are based on level 2 inputs. As of December 31, 2018 and March 31, 2019, the fair value of the Company's promissory note was approximately $7.4 million, based on discounted cash flows, market-based expectations for interest rates, credit risk and the contractual terms of the debt instrument. The term loan facility paid interest at a variable interest rate and accordingly the carrying amount approximated fair value at December 31, 2018.</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1" w:name="page12"/>
    <w:bookmarkEnd w:id="11"/>
    <w:p>
      <w:pPr>
        <w:ind w:right="180" w:firstLine="518"/>
        <w:spacing w:after="0" w:line="255" w:lineRule="auto"/>
        <w:rPr>
          <w:sz w:val="20"/>
          <w:szCs w:val="20"/>
          <w:color w:val="auto"/>
        </w:rPr>
      </w:pPr>
      <w:r>
        <w:rPr>
          <w:rFonts w:ascii="Arial" w:cs="Arial" w:eastAsia="Arial" w:hAnsi="Arial"/>
          <w:sz w:val="18"/>
          <w:szCs w:val="18"/>
          <w:color w:val="auto"/>
        </w:rPr>
        <w:t>The fair value of the SFJ Agreement is presented as a derivative liability based on level 3 inputs. 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goals to receive the next tranche of funding, (ii) the probability and timing of achieving FDA and EMA approval, (iii) SFJ’s cost of borrowing (8.00%), and (iv) the Company’s cost of borrowing (16.16%).</w:t>
      </w:r>
    </w:p>
    <w:p>
      <w:pPr>
        <w:spacing w:after="0" w:line="193"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SFJ’s implied cost of borrowing was 8.00% and the Company’s implied cost of borrowing was 16.16%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Refundable Research and Development Credit and 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earns non-income related refundable Australian research and development credits that are settled and paid to the Company annually.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associated income from the credits are an offset to research and development expenses.</w:t>
      </w:r>
    </w:p>
    <w:p>
      <w:pPr>
        <w:spacing w:after="0" w:line="211"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The Company’s income tax provision is computed based on the federal statutory rate and the average state statutory rates, net of the related federal benefit. For the three months ended March 31, 2019 and 2018, there were no current or deferred income tax expenses or benefits due to the Company’s net losses, research and development credits and increases in its deferred tax asset valuation allowance during those periods.</w:t>
      </w:r>
    </w:p>
    <w:p>
      <w:pPr>
        <w:spacing w:after="0" w:line="166"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Company’s estimate of the realizability of the deferred tax asset is dependent on estimates of projected future levels of taxable income. In analyzing future taxable income levels, the Company considered all evidence currently available, both positive and negative. Based on this analysis, the Company has recorded a valuation allowance for all deferred tax assets as of March 31, 2019.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contracts to conduct research and development activities with third parties. The scope of the services under the research and development contracts can be modified and the contracts cancelled by the Company upon written notice. In some instances, the contracts may be cancelled by the third party upon written notice. If the Company were to cancel these contracts as of March 31, 2019, the Company would be required to pay certain termination costs and other fees of approximately $1,768,400 that would be incurred in future periods.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certain payment and other obligations under the SFJ Agreement, which are discussed above in Note 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Since the Company was in a loss position for all periods presented, basic net loss per common share is the same as diluted net loss per common share for all periods presented as the inclusion of all potential common shares outstanding would have been anti-dilutive. Shares outstanding presented below were excluded from the calculation of diluted net loss per share, prior to the use of the treasury stock method, as their effect is anti-dilutive:</w:t>
      </w:r>
    </w:p>
    <w:p>
      <w:pPr>
        <w:spacing w:after="0" w:line="152"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Three Months Ended</w:t>
      </w:r>
    </w:p>
    <w:p>
      <w:pPr>
        <w:jc w:val="center"/>
        <w:ind w:left="54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7,418,316</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9,191,033</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w:t>
            </w:r>
          </w:p>
        </w:tc>
        <w:tc>
          <w:tcPr>
            <w:tcW w:w="1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7,432,380</w:t>
            </w:r>
          </w:p>
        </w:tc>
        <w:tc>
          <w:tcPr>
            <w:tcW w:w="1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9,205,097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firstLine="518"/>
        <w:spacing w:after="0" w:line="297" w:lineRule="auto"/>
        <w:rPr>
          <w:sz w:val="20"/>
          <w:szCs w:val="20"/>
          <w:color w:val="auto"/>
        </w:rPr>
      </w:pPr>
      <w:r>
        <w:rPr>
          <w:rFonts w:ascii="Arial" w:cs="Arial" w:eastAsia="Arial" w:hAnsi="Arial"/>
          <w:sz w:val="16"/>
          <w:szCs w:val="16"/>
          <w:color w:val="auto"/>
        </w:rPr>
        <w:t>Effective as of May 1, 2018, the Company entered into a subscription license agreement and a services agreement with Revon Systems, Inc. (“Revon”). Under the subscription license agreement, Revon granted the Company an exclusive license to use the Revon software platform and applications for any purpose with respect to the Company's programs in age-related macular degeneration, hemolytic diseases and complement-dependent nephropathies for an annual license fee of $175,000 and an option to obtain a perpetual, exclusive license thereafter for $350,000. Under the services agreement, Revon will provide development services with respect to the Revon software to the Company for $250,000 during the first year.</w:t>
      </w:r>
    </w:p>
    <w:p>
      <w:pPr>
        <w:spacing w:after="0" w:line="15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Each of Cedric Francois, the Company’s chief executive officer, Pascal Deschatelets, the Company’s chief operating officer, and Alec Machiels, a member of the board of directors, is an affiliate of Revon. The Board approved the Revon agreements after review by a subcommittee of the disinterested members of the Board and determination by the full Board that the terms of the Revon agreements were fair, reasonable and in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2018 included in our Annual Report on Form 10-K filed with the Securities and Exchange Commission on February 26, 2019, which we refer to as the 2018 Annual Report on Form 10-K.</w:t>
      </w:r>
    </w:p>
    <w:p>
      <w:pPr>
        <w:spacing w:after="0" w:line="18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8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have the most advanced clinical program targeting C3with Phase 3 clinical trials of our lead product candidate, APL-2, in multiple indications. We believe that APL-2 has the potential to be a best-in-class treatment that may address the limitations of existing treatment options or provide a treatment option where there currently is none. APL-2 has already shown activity that we believe is clinically meaningful in clinical trials for four distinct medical conditions</w:t>
      </w:r>
    </w:p>
    <w:p>
      <w:pPr>
        <w:ind w:right="340"/>
        <w:spacing w:after="0" w:line="255" w:lineRule="auto"/>
        <w:rPr>
          <w:sz w:val="20"/>
          <w:szCs w:val="20"/>
          <w:color w:val="auto"/>
        </w:rPr>
      </w:pPr>
      <w:r>
        <w:rPr>
          <w:rFonts w:ascii="Arial" w:cs="Arial" w:eastAsia="Arial" w:hAnsi="Arial"/>
          <w:sz w:val="18"/>
          <w:szCs w:val="18"/>
          <w:color w:val="auto"/>
        </w:rPr>
        <w:t>— geographic atrophy in age-related macular degeneration, or GA; paroxysmal nocturnal hemoglobinuria, or PNH; cold agglutinin disease, or CAD; and warm antibody autoimmune hemolytic anemia, or w/AIHA. In additional to trials for these indications, we have also initiated clinical trials of APL-2 in patients with glomerular diseases with complement involvement.</w:t>
      </w:r>
    </w:p>
    <w:p>
      <w:pPr>
        <w:spacing w:after="0" w:line="190"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We initiated a Phase 3 clinical program consisting of two Phase 3 clinical trials evaluating APL-2 in patients with GA in September 2018. In our Phase 2 clinical trial of APL-2 in patients with GA, treatment with APL-2 resulted in a significant reduction in the rate of GA lesion growth over 12 months. We also initiated a Phase 3 clinical program evaluating APL-2 in patients with PNH who are anemic while being treated with eculizumab, an approved therapy for PNH, in June 2018, and plan to initiate a second Phase 3 clinical trial in patients with PNH who have not been treated with eculizumab in mid 2019. In our ongoing Phase 1b trials in PNH, APL-2 has achieved improvements in transfusion dependency, hemoglobin levels and other hematological indicators that we believe are clinically meaningful. In our ongoing Phase 2 clinical trials of APL-2 in patients with CAD and wAIHA, patients with CAD and with wAIHA have achieved reduced extravascular hemolysis, measured by increased hemoglobin levels, reduced reticulocytes and bilirubin levels, and reduced intravascular hemolysis, measured by reduced lactate dehydrogenase. We plan to continue clinical development of APL-2 for these indications. We are also conducting clinicals trials of APL-2 for glomerular diseases with complement involvement. We are also developing novel compounds targeting C3 and plan to conduct clinical trials of these compounds in additional complement-dependent diseases. We hold worldwide commercialization rights to APL-2 and those other novel compounds targeting C3.</w:t>
      </w:r>
    </w:p>
    <w:p>
      <w:pPr>
        <w:spacing w:after="0" w:line="183"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our clinical trials of APL-2 for the treatment of PNH, we are currently using an off-the-shelf, FDA-cleared device that enables patients to self-administer APL-2 through subcutaneous infusion. In addition, we are developing, with a third-party manufacturer, a custom, on-body drug delivery system that is expected to further improve the ease of self-administration of APL-2. Initial clinical testing in a Phase 1 trial with healthy volunteers indicates that the pharmacokinetic (PK) profile of APL-2 administered subcutaneously at 2x weekly at a dose of 1,080 mg, both with the 510(k) approved device used in the PEGASUS Phase 3 trial and with the custom delivery system is comparable to that of APL-2 administered once daily at a dose between 270 mg and 360 mg.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 w:name="page15"/>
    <w:bookmarkEnd w:id="14"/>
    <w:p>
      <w:pPr>
        <w:ind w:right="340" w:firstLine="518"/>
        <w:spacing w:after="0" w:line="312" w:lineRule="auto"/>
        <w:rPr>
          <w:sz w:val="20"/>
          <w:szCs w:val="20"/>
          <w:color w:val="auto"/>
        </w:rPr>
      </w:pPr>
      <w:r>
        <w:rPr>
          <w:rFonts w:ascii="Arial" w:cs="Arial" w:eastAsia="Arial" w:hAnsi="Arial"/>
          <w:sz w:val="16"/>
          <w:szCs w:val="16"/>
          <w:color w:val="auto"/>
        </w:rPr>
        <w:t>Since our commencement of operations in May 2010, we have devoted substantially all of our resources to developing our proprietary technology, developing product candidates, undertaking preclinical studies and conducting clinical trials for APL-2, building our intellectual property portfolio, organizing and staffing our company, business planning, raising capital, and providing general and administrative support for these operations.</w:t>
      </w:r>
    </w:p>
    <w:p>
      <w:pPr>
        <w:spacing w:after="0" w:line="14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February 28, 2019, we entered into a development funding agreement, which we refer to as the SFJ agreement, with SFJ Pharmaceuticals Group or SFJ, under which SFJ agreed to provide funding to us to support the development of APL-2 for the treatment of patients with PNH. Pursuant to the agreement, SFJ paid us $60.0 million following the signing of the agreement, and agreed to pay us up to an additional $60.0 million in the aggregate in three equal installments upon the achievement of specified development milestones with respect to our Phase 3 program for APL-2 in PNH and subject to our having cash resources at the time sufficient to fund at least 10 months of our operations. We expect that those milestones will occur during 2019. In addition, upon the mutual agreement of us and SFJ, at any time after the earlier of the date that we have reviewed the primary endpoint data from our PEGASUS Phase 3 trial of APL-2 in patients with PNH and March 31, 2020, SFJ may fund an additional $50.0 million of our development costs which we refer to as the Additional SFJ Funding.</w:t>
      </w:r>
    </w:p>
    <w:p>
      <w:pPr>
        <w:spacing w:after="0" w:line="192"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On March 11, 2019, we issued and sold 6,900,000 shares of our common stock in a follow-on offering at a public offering price of $17.00 per share for net proceeds of $109.6 million, after deducting underwriting discounts and commissions of $7.0 million and estimated offering expenses of $0.7 million.</w:t>
      </w:r>
    </w:p>
    <w:p>
      <w:pPr>
        <w:spacing w:after="0" w:line="12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To date, we have financed our operations primarily through $391.5 million in net proceeds from public offerings of our common stock, including our initial public offering, or IPO, $112.6 million in proceeds from the private placement of shares of our convertible preferred stock, $60.0 million from the SFJ agreement, $20.0 million in proceeds from borrowings under a term loan facility with Silicon Valley Bank, and $7.0 million in proceeds from our issuance and sale of a promissory note to Golda Darty Partners, S.A., or GDP, an affiliate of one of our stockholders.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We have not generated any revenue from product sales. We have incurred significant annual net operating losses in each year since our inception and expect to continue to incur net operating losses for the foreseeable future. Our net losses were $50.6 million and $21.7 million for the three months ended March 31, 2019 and March 31, 2018, respectively. As of March 31, 2019, we had an accumulated deficit of $327.3 million. We expect to continue to incur significant expenses and increasing operating losses for the next several years. Our net losses may fluctuate significantly from quarter to quarter and year to year. We anticipate that our expenses will increase significantly if and as we continue to develop and conduct clinical trials in our current and new indications with APL-2, including the Phase 3 clinical trials in GA and the ongoing and planned Phase 3 clinical trials in PNH;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in the future to commercialize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March 31, 2019, we had cash and cash equivalents of $288.2 million. We believe that our cash and cash equivalents as of March 31, 2019, which include the net proceeds of $109.6 million from our follow-on offering in March of 2019 and the $60.0 million in proceeds from the SFJ agreement, will be sufficient to fund our operating expenses and capital expenditures into the second quarter of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We have not generated any revenue from product sales and do not expect to generate any revenue from the sale of products in the near future. In the future, we will seek to generate revenue primarily from a combination of product sales and collaborations with strategic partners.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62" w:lineRule="exact"/>
        <w:rPr>
          <w:sz w:val="20"/>
          <w:szCs w:val="20"/>
          <w:color w:val="auto"/>
        </w:rPr>
      </w:pPr>
    </w:p>
    <w:p>
      <w:pPr>
        <w:ind w:left="5620" w:right="2900" w:hanging="4977"/>
        <w:spacing w:after="0" w:line="528" w:lineRule="auto"/>
        <w:tabs>
          <w:tab w:leader="none" w:pos="1017"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and share-based compensation expense;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1020" w:right="220" w:hanging="377"/>
        <w:spacing w:after="0" w:line="26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73" w:lineRule="exact"/>
        <w:rPr>
          <w:rFonts w:ascii="Arial" w:cs="Arial" w:eastAsia="Arial" w:hAnsi="Arial"/>
          <w:sz w:val="18"/>
          <w:szCs w:val="18"/>
          <w:color w:val="auto"/>
        </w:rPr>
      </w:pPr>
    </w:p>
    <w:p>
      <w:pPr>
        <w:ind w:left="1020" w:hanging="377"/>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consultants, including share-based compensation expense;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other expenses incident to the management of our preclinical studies and clinical trials.</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on a program-by-program basis.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most advanced research and development programs:</w:t>
      </w:r>
    </w:p>
    <w:p>
      <w:pPr>
        <w:spacing w:after="0" w:line="117" w:lineRule="exact"/>
        <w:rPr>
          <w:sz w:val="20"/>
          <w:szCs w:val="20"/>
          <w:color w:val="auto"/>
        </w:rPr>
      </w:pPr>
    </w:p>
    <w:p>
      <w:pPr>
        <w:ind w:left="1020" w:hanging="377"/>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GA</w:t>
      </w:r>
      <w:r>
        <w:rPr>
          <w:rFonts w:ascii="Arial" w:cs="Arial" w:eastAsia="Arial" w:hAnsi="Arial"/>
          <w:sz w:val="18"/>
          <w:szCs w:val="18"/>
          <w:color w:val="auto"/>
        </w:rPr>
        <w:t>. We are developing APL-2 as monotherapy for GA, administered by intravitreal injections. In our Phase 2 clinical trial of APL-2 in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GA, treatment with APL-2 resulted in a significant reduction in the rate of GA lesion growth at 12 months compared to sham. In October 2018, we voluntarily implemented a pause in dosing in our Phase 3 clinical program in patients with GA due to observed cases of non-infectious inflammation in patients treated from a single manufacturing lot of APL-2 intravitreal drug product. In March 2019, we restarted enrollment of our Phase 3 clinical program in GA and expect to have fully enrolled both trials in the GA program by the end of the first quarter of 2020, within the originally planned timeline for completion.</w:t>
      </w:r>
    </w:p>
    <w:p>
      <w:pPr>
        <w:spacing w:after="0" w:line="85" w:lineRule="exact"/>
        <w:rPr>
          <w:rFonts w:ascii="Arial" w:cs="Arial" w:eastAsia="Arial" w:hAnsi="Arial"/>
          <w:sz w:val="18"/>
          <w:szCs w:val="18"/>
          <w:color w:val="auto"/>
        </w:rPr>
      </w:pPr>
    </w:p>
    <w:p>
      <w:pPr>
        <w:ind w:left="1020" w:right="80" w:hanging="373"/>
        <w:spacing w:after="0" w:line="27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PNH</w:t>
      </w:r>
      <w:r>
        <w:rPr>
          <w:rFonts w:ascii="Arial" w:cs="Arial" w:eastAsia="Arial" w:hAnsi="Arial"/>
          <w:sz w:val="17"/>
          <w:szCs w:val="17"/>
          <w:color w:val="auto"/>
        </w:rPr>
        <w:t>. We are developing APL-2 as monotherapy for patients with PNH, administered by subcutaneous injection. In our ongoing Phase 1b</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trials of APL-2 in patients being treated with eculizumab and in treatment-naïve patients, APL-2 treatment has been associated with improvements in transfusion dependency, hemoglobin levels and other hematological indicators that we believe are clinically meaningful. We initiated a Phase 3 clinical trial in patients with PNH in June 2018. This Phase 3 clinical trial, which we refer to as our Pegasus trial, is a 70 patient randomized head-to-head study comparing APL-2 monotherapy to eculizumab monotherapy in patients with PNH currently on treatment with eculizumab. We also plan to initiate a 48 patient Phase 3 clinical trial in treatment-naïve patients in the first half of 2019.We initiated a Phase 2 clinical trial of APL-2 in patients with autoimmune hemolytic anemia and a Phase 2 clinical trial of APL-2 in patients with complement-dependent nephropathies in the first half of 2018.</w:t>
      </w:r>
    </w:p>
    <w:p>
      <w:pPr>
        <w:spacing w:after="0" w:line="70" w:lineRule="exact"/>
        <w:rPr>
          <w:rFonts w:ascii="Arial" w:cs="Arial" w:eastAsia="Arial" w:hAnsi="Arial"/>
          <w:sz w:val="17"/>
          <w:szCs w:val="17"/>
          <w:color w:val="auto"/>
        </w:rPr>
      </w:pPr>
    </w:p>
    <w:p>
      <w:pPr>
        <w:ind w:left="1020" w:right="40" w:hanging="36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CAD</w:t>
      </w:r>
      <w:r>
        <w:rPr>
          <w:rFonts w:ascii="Arial" w:cs="Arial" w:eastAsia="Arial" w:hAnsi="Arial"/>
          <w:sz w:val="18"/>
          <w:szCs w:val="18"/>
          <w:color w:val="auto"/>
        </w:rPr>
        <w:t>. We are developing APL-2 for patients with CAD, administered by subcutaneous injection. We initiated a Phase 2 clinical trial of APL-2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patients with CAD in the first quarter of 2018, reported interim data in December 2018 and intend to provide additional data in the second quarter of 2019.</w:t>
      </w:r>
    </w:p>
    <w:p>
      <w:pPr>
        <w:spacing w:after="0" w:line="73" w:lineRule="exact"/>
        <w:rPr>
          <w:rFonts w:ascii="Arial" w:cs="Arial" w:eastAsia="Arial" w:hAnsi="Arial"/>
          <w:sz w:val="18"/>
          <w:szCs w:val="18"/>
          <w:color w:val="auto"/>
        </w:rPr>
      </w:pPr>
    </w:p>
    <w:p>
      <w:pPr>
        <w:ind w:left="1020" w:right="20" w:hanging="377"/>
        <w:spacing w:after="0" w:line="26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wAIHA</w:t>
      </w:r>
      <w:r>
        <w:rPr>
          <w:rFonts w:ascii="Arial" w:cs="Arial" w:eastAsia="Arial" w:hAnsi="Arial"/>
          <w:sz w:val="18"/>
          <w:szCs w:val="18"/>
          <w:color w:val="auto"/>
        </w:rPr>
        <w:t>. We are developing APL-2 for patients with wAIHA, administered by subcutaneous injection. We initiated a Phase 2 clinical trial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APL-2 in patients with wAIHA in the first quarter of 2018, reported interim data in December 2018 and intend to provide additional data in the second quarter of 2019.</w:t>
      </w:r>
    </w:p>
    <w:p>
      <w:pPr>
        <w:spacing w:after="0" w:line="73" w:lineRule="exact"/>
        <w:rPr>
          <w:sz w:val="20"/>
          <w:szCs w:val="20"/>
          <w:color w:val="auto"/>
        </w:rPr>
      </w:pPr>
    </w:p>
    <w:p>
      <w:pPr>
        <w:ind w:right="80" w:firstLine="647"/>
        <w:spacing w:after="0" w:line="277" w:lineRule="auto"/>
        <w:rPr>
          <w:sz w:val="20"/>
          <w:szCs w:val="20"/>
          <w:color w:val="auto"/>
        </w:rPr>
      </w:pPr>
      <w:r>
        <w:rPr>
          <w:rFonts w:ascii="Arial" w:cs="Arial" w:eastAsia="Arial" w:hAnsi="Arial"/>
          <w:sz w:val="18"/>
          <w:szCs w:val="18"/>
          <w:color w:val="auto"/>
        </w:rPr>
        <w:t>We are also conducting a Phase 2 clinical trial of APL-2 in patients with glomerular diseases with complement involvement, which we began in the first quarter of 2018.</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APL-2 or any other potential product candidates. This is due to the numerous risks and uncertainties associated with developing therapeutics, including the uncertainties of:</w:t>
      </w:r>
    </w:p>
    <w:p>
      <w:pPr>
        <w:spacing w:after="0" w:line="79" w:lineRule="exact"/>
        <w:rPr>
          <w:sz w:val="20"/>
          <w:szCs w:val="20"/>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 appropriate safety profile in preclinical studies;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acceptable safety profile of the products following approval.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6" w:name="page17"/>
    <w:bookmarkEnd w:id="16"/>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bonuses, benefits and share-based compensation. Other significant costs include facility costs not otherwise included in research and development expenses, legal fees relating to patent and corporate matters, and fees for accounting and consulting services.</w:t>
      </w:r>
    </w:p>
    <w:p>
      <w:pPr>
        <w:spacing w:after="0" w:line="181" w:lineRule="exact"/>
        <w:rPr>
          <w:sz w:val="20"/>
          <w:szCs w:val="20"/>
          <w:color w:val="auto"/>
        </w:rPr>
      </w:pPr>
    </w:p>
    <w:p>
      <w:pPr>
        <w:ind w:right="360" w:firstLine="518"/>
        <w:spacing w:after="0" w:line="276"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attorneys and accountants, among other expenses. Additionally, we anticipate increased costs associated with being a public company including expenses related to services associated with maintaining compliance with exchange listing and SEC requirements, insurance costs and investor relations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following critical accounting policies are described under the heading “Management’s Discussion and Analysis of Financial Condition and Results of Operations—Critical Accounting Policies and Estimates” in our 2018 Annual Report on Form 10-K and the notes to the unaudited condensed financial statements included in Item 1, “Unaudited Financial Statements,” of this Quarterly Report on Form 10-Q. We believe that of our critical accounting policies, the following accounting policies are the most critical to fully understanding and evaluating our financial condition and results of operations:</w:t>
      </w:r>
    </w:p>
    <w:p>
      <w:pPr>
        <w:spacing w:after="0" w:line="46" w:lineRule="exact"/>
        <w:rPr>
          <w:sz w:val="20"/>
          <w:szCs w:val="20"/>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Accrued research and development expenses,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 addition, we identified the following policy as a new critical policy that reflects significant judgements or uncertainties, and potentially may result in materially different results under different assumptions and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Development Derivative Liability</w:t>
      </w:r>
    </w:p>
    <w:p>
      <w:pPr>
        <w:spacing w:after="0" w:line="117" w:lineRule="exact"/>
        <w:rPr>
          <w:sz w:val="20"/>
          <w:szCs w:val="20"/>
          <w:color w:val="auto"/>
        </w:rPr>
      </w:pPr>
    </w:p>
    <w:p>
      <w:pPr>
        <w:ind w:right="100" w:firstLine="553"/>
        <w:spacing w:after="0" w:line="254" w:lineRule="auto"/>
        <w:rPr>
          <w:sz w:val="20"/>
          <w:szCs w:val="20"/>
          <w:color w:val="auto"/>
        </w:rPr>
      </w:pPr>
      <w:r>
        <w:rPr>
          <w:rFonts w:ascii="Arial" w:cs="Arial" w:eastAsia="Arial" w:hAnsi="Arial"/>
          <w:sz w:val="18"/>
          <w:szCs w:val="18"/>
          <w:color w:val="auto"/>
        </w:rPr>
        <w:t>On February 28, 2019, the Company entered into the SFJ Agreement under which SFJ agreed to provide funding to the Company to support the development of APL-2 for the treatment of patients with PNH. Pursuant to the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APL-2 in PNH and subject to the Company having cash resources at the time sufficient to fund at least 10 months of the Company’s operations. The Company expects that those milestones will occur during 2019. In addition, upon the mutual agreement of the Company and SFJ, at any time after the earlier of the date that the Company has reviewed the primary endpoint data from its PEGASUS Phase 3 trial of APL-2 in patients with PNH and March 31, 2020, SFJ may fund an additional $50.0 million of the Company’s development costs (the “Additional SFJ Funding”).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40" w:firstLine="518"/>
        <w:spacing w:after="0" w:line="253" w:lineRule="auto"/>
        <w:rPr>
          <w:sz w:val="20"/>
          <w:szCs w:val="20"/>
          <w:color w:val="auto"/>
        </w:rPr>
      </w:pPr>
      <w:r>
        <w:rPr>
          <w:rFonts w:ascii="Arial" w:cs="Arial" w:eastAsia="Arial" w:hAnsi="Arial"/>
          <w:sz w:val="18"/>
          <w:szCs w:val="18"/>
          <w:color w:val="auto"/>
        </w:rPr>
        <w:t>Following regulatory approval by the FDA or the European Medicines Agency (“EMA”) for the use of APL-2 as a treatment for PNH the Company will be obligated to pay SFJ an initial payment of $2.5 million (or a total of $5 million if regulatory approval is granted by the FDA and the EMA) and then an additional $192.5 million in the aggregate (or $385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 million (including as a result of the payment of the Additional SFJ Funding). Additionally, the Company granted a security interest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9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SFJ Agreement is presented as a derivative liability on the balance sheet as of March 31, 2019. The liability was initially recorded at the value of the aggregate cash received pursuant to the contractual terms, which was determined to have been fair value, and subsequently remeasured at the end of the fiscal quarter as a level 3 derivative, with the change in fair value of $736,000 recorded in loss from remeasurement of development derivative liability on the income statement.</w:t>
      </w:r>
    </w:p>
    <w:p>
      <w:pPr>
        <w:spacing w:after="0" w:line="18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derivative is valued using a scenario-based discounted cash flow method, whereby each scenario makes assumptions about the probability and timing of cash flows, and such cash flows are present valued using a risk-adjusted discount rate. The analysis is calibrated such that the value of the derivative as of the date of the SFJ Agreement was consistent with an arm’s-length transaction. Key inputs to the level 3 fair value model include (i) the probability and timing of achieving stated development goals to receive the next tranche of funding, (ii) the probability and timing of achieving FDA and EMA approval, (iii) SFJ’s cost of borrowing (8.00%), and (iv) the Company’s cost of borrowing (16.16%).</w:t>
      </w:r>
    </w:p>
    <w:p>
      <w:pPr>
        <w:spacing w:after="0" w:line="186" w:lineRule="exact"/>
        <w:rPr>
          <w:sz w:val="20"/>
          <w:szCs w:val="20"/>
          <w:color w:val="auto"/>
        </w:rPr>
      </w:pPr>
    </w:p>
    <w:p>
      <w:pPr>
        <w:ind w:right="60" w:firstLine="553"/>
        <w:spacing w:after="0" w:line="264" w:lineRule="auto"/>
        <w:rPr>
          <w:sz w:val="20"/>
          <w:szCs w:val="20"/>
          <w:color w:val="auto"/>
        </w:rPr>
      </w:pPr>
      <w:r>
        <w:rPr>
          <w:rFonts w:ascii="Arial" w:cs="Arial" w:eastAsia="Arial" w:hAnsi="Arial"/>
          <w:sz w:val="18"/>
          <w:szCs w:val="18"/>
          <w:color w:val="auto"/>
        </w:rPr>
        <w:t>SFJ’s implied cost of borrowing was 8.00% and the Company’s implied cost of borrowing was 16.16.% as of the reporting date. These implied costs of borrowing were determined assuming the SFJ Agreement was initially executed with arm’s-length terms. If the SFJ Agreement was instead not determined to be an arm’s-length transaction, then implied discount rates could differ.</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actual results or events differ materially from the estimates, judgments and assumptions used by us in applying these policies, our reported financial condition and results of operations could be materially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March 31, 2018 and 2019</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March 31, 2018 and 2019, together with the dollar increase or decrease and percentage change in those items: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140" w:type="dxa"/>
            <w:vAlign w:val="bottom"/>
            <w:gridSpan w:val="2"/>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2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17,402,890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40,479,899</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9"/>
              </w:rPr>
              <w:t>$  23,077,009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4,035,255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8,170,671</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4,135,416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Net operating loss</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(21,438,145)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(48,650,570)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(27,212,425)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(1,208,132)</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(1,208,132)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Loss from remeasurement of development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derivative liability</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(736,000)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(736,000)</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(667,087)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(593,505)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73,582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400,401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867,017</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466,616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(253,177)</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(221,704)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(21,736,304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(50,574,367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(28,838,063</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8" w:name="page19"/>
    <w:bookmarkEnd w:id="18"/>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2018 and 2019, together with the dollar increase or decrease and percentage change in those items: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Clinical trial costs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7,662,878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17,405,194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9,742,316</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5,644,047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13,746,046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8,101,999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personnel costs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2,137,074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6,059,362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3,922,288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Pre-clinical study expenses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502,301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1,218,651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716,350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Device development expenses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465,017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(118,451)</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costs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991,573</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1,704,080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712,507</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17,402,890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40,479,899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23,077,009</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Research and development expenses increased by $23.1 million to $40.5 million for the three months ended March 31, 2019 from $17.4 million for the three months ended March 31, 2018, an increase of 132.6%. The increase in research and development expenses was primarily attributable to an increase of $9.7 million in clinical trial costs, an increase of $8.1 million in manufacturing expenses, an increase of $3.9 million in employee related costs primarily due to the hiring of additional personnel, an increase of $0.7 million related to research and development supporting activities, and an increase of $0.7 million in pre-clinical study expenses, offset by a decrease of $0.1 million in device development expenses.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General and administrative expenses increased by $4.1 million to $8.1 million for the three months ended March 31, 2019, from $4.0 for the three months ended March 31, 2018, an increase of 102.5%. The increase in general and administrative expenses was primarily attributable to an increase in employee related costs of $2.8 million due to the hiring of additional personnel, an increase in professional and consulting fees of $0.9 million, an increase in general office costs of $0.3 million and an increase of $0.1 million in insurance costs.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March 26, 2019, we repaid all outstanding amounts due and owed, including applicable termination fees, under our term loan facility with Silicon Valley Bank. The final payment included the outstanding balance of the term loan as well as (i) a prepayment fee contractually owed of $0.1 million and other fees of $1,292, (ii) a final payment equal to 8% of the original principal amount of the term loan, or $1.6 million, and (iii) per diem interest of $0.1 million, for a total payment of $21.8 million, which resulted in a loss on extinguishment of debt of $1.2 million.</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from Remeasurement of Development Derivative Liability</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Loss from remeasurement of development derivative liability was $736,000 for the three months ended March 31, 2019. On February 28, 2019, we entered into the SFJ agreement under which SFJ agreed to provide funding to us to support the development of APL-2 for the treatment of patients with PNH. The liability was initially recorded at the value of the aggregate cash received pursuant to the contractual terms, which was determined to have been fair value, and subsequently remeasured at the end of the fiscal quarter as a level 3 derivative.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Interest expense was $0.6 million for the three months ended March 31, 2019, a decrease of $0.1 million, compared to $0.7 million for the three months ended March 31, 2018. The interest expense was primarily attributable to interest expense incurred on our long-term debt.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Interest income was $0.9 million for the three months ended March 31, 2019, an increase of $.5 million, compared to $0.4 million for the three months ended March 31, 2018. The increase in interest income earned during the three months ended March 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160"/>
        <w:spacing w:after="0" w:line="277" w:lineRule="auto"/>
        <w:rPr>
          <w:sz w:val="20"/>
          <w:szCs w:val="20"/>
          <w:color w:val="auto"/>
        </w:rPr>
      </w:pPr>
      <w:r>
        <w:rPr>
          <w:rFonts w:ascii="Arial" w:cs="Arial" w:eastAsia="Arial" w:hAnsi="Arial"/>
          <w:sz w:val="18"/>
          <w:szCs w:val="18"/>
          <w:color w:val="auto"/>
        </w:rPr>
        <w:t>2019 was due to the interest earned on our cash and cash equivalents, which increased as a result of the completion of our follow-on offering in March 2019 and the initial payment to us under the SFJ agreement.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Other expense, net during the three months ended March 31, 2019, increased $0.2 million compared to the three months ended March 31, 2018 due primarily to an increase in business-related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On November 13, 2017, we issued and sold 10,714,000 shares of common stock in our IPO at a public offering price of $14.00 per share for net proceeds of $137.2 million after deducting underwriting discounts and commissions of $10.5 million and other offering expenses of approximately $2.3 million. On November 13, 2017, upon the closing of the IPO, all shares of preferred stock then outstanding converted into an aggregate of 30,070,034 shares of common stock. In addition, on December 13, 2017, we issued and sold an additional 981,107 shares of common stock at the IPO price of $14.00 per share pursuant to the underwriters’ partial exercise of their option to purchase additional shares of common stock, resulting in net proceeds of approximately $12.8 million, after underwriting discounts and commissions of $1.0 million.</w:t>
      </w:r>
    </w:p>
    <w:p>
      <w:pPr>
        <w:spacing w:after="0" w:line="17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April 23, 2018, we issued and sold 5,500,000 shares of our common stock in a follow-on offering at a public offering price of $25.50 per share. We received net proceeds of $131.3 million, after deducting underwriting discounts and commissions of $8.4 million and estimated offering expenses of $0.5 million.</w:t>
      </w:r>
    </w:p>
    <w:p>
      <w:pPr>
        <w:spacing w:after="0" w:line="289"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On March 11, 2019, we issued and sold 6,900,000 shares of our common stock in a follow-on offering at a public offering price of $17.00. We received net proceeds of $109.6 million after deducting underwriting discounts and commissions of $7.0 million and offering costs of $0.7 million.</w:t>
      </w:r>
    </w:p>
    <w:p>
      <w:pPr>
        <w:spacing w:after="0" w:line="124"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Prior to our IPO, we financed our operations primarily through $112.6 million in proceeds from the private placement of shares of our convertible preferred stock, $20.0 million in proceeds from borrowings under our term loan facility with Silicon Valley Bank, and $7.0 million in proceeds from our issuance and sale of a promissory note to GDP.</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Development Derivative Liability</w:t>
      </w:r>
    </w:p>
    <w:p>
      <w:pPr>
        <w:spacing w:after="0" w:line="2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On February 28, 2019, we entered into the SFJ agreement, under which SFJ agreed to provide funding to us to support the development of APL-2 for the treatment of patients with PNH. Pursuant to the agreement, SFJ paid us $60.0 million following the signing of the agreement, and has agreed to pay us up to an additional $60.0 million in the aggregate in three equal installments upon the achievement of specified development milestones with respect to our Phase 3 program for APL-2 in PNH and subject to our having cash resources at the time sufficient to fund at least 10 months of our operations. We expect that those milestones will occur during 2019. In addition, upon the mutual agreement of us and SFJ, at any time after the earlier of the date that we have reviewed the primary endpoint data from its PEGASUS Phase 3 trial of APL-2 in patients with PNH and March 31, 2020, SFJ may fund an additional $50.0 million of our development costs.</w:t>
      </w:r>
    </w:p>
    <w:p>
      <w:pPr>
        <w:spacing w:after="0" w:line="193"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Following regulatory approval by the U.S. Food and Drug Administration, or the FDA, or the European Medicines Agency, or the EMA, for the use of APL-2 as a treatment for PNH we will be obligated to pay SFJ an initial payment of $2.5 million (or a total of $5.0 million if regulatory approval is granted by the FDA and the EMA) and then an additional $192.5 million in the aggregate (or $385.0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$120.0 million (including as a result of the payment of the Additional SFJ Funding). Additionally, we granted a security interest in all of our assets, excluding intellectual property and license agreements to which we are a party. In connection with the grant of the security interest, we agreed to certain affirmative and negative covenants, including restrictions on our ability to pay dividends, incur additional debt or enter into licensing transactions with respect to its intellectual property, other than specified types of licenses.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On October 20, 2017, we entered into a loan and security agreement with Silicon Valley Bank providing for a $20.0 million term loan facility, which we refer to as the term loan facility.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firstLine="518"/>
        <w:spacing w:after="0" w:line="312" w:lineRule="auto"/>
        <w:rPr>
          <w:sz w:val="20"/>
          <w:szCs w:val="20"/>
          <w:color w:val="auto"/>
        </w:rPr>
      </w:pPr>
      <w:r>
        <w:rPr>
          <w:rFonts w:ascii="Arial" w:cs="Arial" w:eastAsia="Arial" w:hAnsi="Arial"/>
          <w:sz w:val="16"/>
          <w:szCs w:val="16"/>
          <w:color w:val="auto"/>
        </w:rPr>
        <w:t>Borrowings under the term loan facility accrued interest at a floating rate per annum equal to the WSJ prime rate plus 1.50%. Under the agreement, we were required to make monthly interest-only payments through November 1, 2019 and were required to make 24 equal monthly payments of principal, plus accrued interest, from November 1, 2019 through October 1, 2021, when all unpaid principal and interest were to become due and payable.</w:t>
      </w:r>
    </w:p>
    <w:p>
      <w:pPr>
        <w:spacing w:after="0" w:line="14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March 26, 2019, we repaid all outstanding amounts due and owed, including applicable termination fees, under the term loan facility. The final payment included the outstanding balance of the term loan as well as (i) a prepayment fee contractually owed of $0.1 million and other fees of $1,292, (ii) a final payment equal to 8% of the original principal amount of the term loan, or $1.6 million, and (iii) per diem interest of $0.1 million, for a total payment of $21.8 million, which resulted in a loss on extinguishment of debt of $1.2 million.</w:t>
      </w:r>
    </w:p>
    <w:p>
      <w:pPr>
        <w:spacing w:after="0" w:line="187" w:lineRule="exact"/>
        <w:rPr>
          <w:sz w:val="20"/>
          <w:szCs w:val="20"/>
          <w:color w:val="auto"/>
        </w:rPr>
      </w:pPr>
    </w:p>
    <w:p>
      <w:pPr>
        <w:ind w:right="40" w:firstLine="523"/>
        <w:spacing w:after="0" w:line="259" w:lineRule="auto"/>
        <w:rPr>
          <w:sz w:val="20"/>
          <w:szCs w:val="20"/>
          <w:color w:val="auto"/>
        </w:rPr>
      </w:pPr>
      <w:r>
        <w:rPr>
          <w:rFonts w:ascii="Arial" w:cs="Arial" w:eastAsia="Arial" w:hAnsi="Arial"/>
          <w:sz w:val="18"/>
          <w:szCs w:val="18"/>
          <w:color w:val="auto"/>
        </w:rPr>
        <w:t>In connection with our entry into the term loan facility, we issued to Silicon Valley Bank a warrant to purchase 14,064 shares of our common stock, with an exercise price per share of $5.484. The warrant has a ten-year term and includes a put option pursuant to which, in the event of an acquisition, change in control or dissolution or winding up of our company, or the expiration of the warrant, Silicon Valley Bank may require us to repurchase the warrant for a total aggregate purchase price of $250,000.</w:t>
      </w:r>
    </w:p>
    <w:p>
      <w:pPr>
        <w:spacing w:after="0" w:line="18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On October 19, 2017, we issued and sold an unsecured promissory note in the principal amount of $7.0 million to GDP. The note accrues interest at a rate per annum of 8.0%, and is due and payable quarterly in arrears on the 19th day of each April, July, October and January beginning on January 19, 2018. The note has a maturity date of October 19, 2022. The promissory note is contractually subordinated to our obligations to SFJ under the SFJ agreement.</w:t>
      </w:r>
    </w:p>
    <w:p>
      <w:pPr>
        <w:spacing w:after="0" w:line="14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connection with the issuance and sale of the $7.0 million promissory note, we issued to GDP a warrant to purchase 93,764 shares of our common stock at a price per share of $5.484, which was exercised in October 2017 prior to the IPO. The warrant was exercisable at any time but would have expired if unexercised by the closing date of our IPO. We recorded the fair value of the warrant in the aggregate amount of $430,160 as a discount to the promissory note. This amount is being accreted as additional interest expense over the term of the promissory note.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2019 and March 31, 2018:</w:t>
      </w:r>
    </w:p>
    <w:p>
      <w:pPr>
        <w:spacing w:after="0" w:line="257"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-3175</wp:posOffset>
            </wp:positionV>
            <wp:extent cx="15690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(22,935,249)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(35,560,484)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(875,111)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222,697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148,418,251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(22,712,552</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111,979,040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Net cash used in operating activities was $35.6 million for the three months ended March 31, 2019 and consisted primarily of a net loss of $50.6 million adjusted for $6.8 million of non-cash items, including share-based compensation expense of $4.6 million, a loss on early extinguishment of debt of $1.2 million, and a loss from remeasurement of development derivative liability of $0.7 million, a net increase in accounts payable, accrued expenses and other liabilities of $4.7 million and a net decrease in operating assets of $3.5 million. The net decrease in operating assets resulted primarily from a decrease in prepaid expenses of $3.8 million partially offset by an increase in refundable research and development credit of $0.3 million.</w:t>
      </w:r>
    </w:p>
    <w:p>
      <w:pPr>
        <w:spacing w:after="0" w:line="15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Net cash used in operating activities was $22.9 million for the three months ended March 31, 2018 and consisted primarily of a net loss of $21.7 million adjusted for non-cash items, including share-based compensation expense of $1.6 million, a net increase in accounts payable and accrued expenses of $0.7 million and a net increase in operating assets of $3.8 million. The net increase in operating assets resulted from an increase in prepaid expenses of $3.1 million, an increase in other current assets of $0.2 million and an increase in refundable research and development credit of $0.5 million..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investing activities during the three months ended March 31, 2019 was $0.9 million due to the purchase of fixed assets for our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cash used in investing activities during the three months ended March 31, 2018.</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Net cash provided by financing activities was $148.4 million during the three months ended March 31, 2019 and consisted primarily of proceeds from the issuance of common stock in our March follow-on offering of $110.3 million, the receipt of $60.0 million from the SFJ Agreement and $0.2 million upon the exercise of stock options, offset by $21.7 million for the repayment of our term loan facility and the payment of deferred issuance costs associated with our follow-on offering of $0.3 million. Net cash provided by financing activities was $0.2 million for the three months ended March 31, 2018 and consisted primarily of proceeds from stock option exercises.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 Furthermore, we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9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believe that our cash and cash equivalents as of March 31, 2019, which include the net proceeds of our March 2019 follow-on offering and the initial payment from the SFJ agreement, will enable us to fund our operating expenses and capital expenditure requirements at least into the second quarter of 2020. We have based this estimate on assumptions that may prove to be wrong, and we may use our available capital resources sooner than we currently expect. We do not expect our cash and cash equivalents as of March 31, 2019 will be sufficient to enable us to complete our ongoing and planned Phase 3 clinical trials of APL-2 or to complete the development of APL-2 or any of our other product candidates. Because of the numerous risks and uncertainties associated with the development of APL-2 and other potential product candidates, and because the extent to which we may enter into collaborations with third parties for the development of these product candidates is unknown, we are unable to estimate the amounts of capital outlays and operating expenses associated with completing the research and development of our product candidates. Our future funding requirements will depend on many factors, including:</w:t>
      </w:r>
    </w:p>
    <w:p>
      <w:pPr>
        <w:spacing w:after="0" w:line="58" w:lineRule="exact"/>
        <w:rPr>
          <w:sz w:val="20"/>
          <w:szCs w:val="20"/>
          <w:color w:val="auto"/>
        </w:rPr>
      </w:pPr>
    </w:p>
    <w:p>
      <w:pPr>
        <w:ind w:left="1020" w:right="40" w:hanging="377"/>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APL-2 and future product candidates;</w:t>
      </w:r>
    </w:p>
    <w:p>
      <w:pPr>
        <w:spacing w:after="0" w:line="62" w:lineRule="exact"/>
        <w:rPr>
          <w:rFonts w:ascii="Arial" w:cs="Arial" w:eastAsia="Arial" w:hAnsi="Arial"/>
          <w:sz w:val="18"/>
          <w:szCs w:val="18"/>
          <w:color w:val="auto"/>
        </w:rPr>
      </w:pPr>
    </w:p>
    <w:p>
      <w:pPr>
        <w:ind w:left="1020" w:right="340" w:hanging="377"/>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 collaborator for any of our product candidates and the terms and timing of any collaboration agreement that we may establish for the development and any commercialization of such product candidates;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future product candidates that we pursue and their development requirements;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costs of clinical trials and of seeking regulatory approvals;</w:t>
      </w:r>
    </w:p>
    <w:p>
      <w:pPr>
        <w:spacing w:after="0" w:line="117" w:lineRule="exact"/>
        <w:rPr>
          <w:rFonts w:ascii="Arial" w:cs="Arial" w:eastAsia="Arial" w:hAnsi="Arial"/>
          <w:sz w:val="18"/>
          <w:szCs w:val="18"/>
          <w:color w:val="auto"/>
        </w:rPr>
      </w:pPr>
    </w:p>
    <w:p>
      <w:pPr>
        <w:ind w:left="1020" w:right="220" w:hanging="377"/>
        <w:spacing w:after="0" w:line="26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73"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 to receipt of marketing approval, revenue, if any, received from commercial sales of our current and future product candidates;</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20" w:right="440" w:hanging="377"/>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adequate reimbursement for any product we commercialize;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firstLine="518"/>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We currently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2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in our 2018 Annual Report on Form 10-K. See Note 4 and 5 to our unaudited condensed financial statements included in Item 1, “Unaudited Financial Statements,” of this Quarterly Report on Form 10-Q for a discussion of obligations and commitments.</w:t>
      </w:r>
    </w:p>
    <w:p>
      <w:pPr>
        <w:spacing w:after="0" w:line="295" w:lineRule="exact"/>
        <w:rPr>
          <w:sz w:val="20"/>
          <w:szCs w:val="20"/>
          <w:color w:val="auto"/>
        </w:rPr>
      </w:pPr>
    </w:p>
    <w:p>
      <w:pPr>
        <w:ind w:right="60" w:firstLine="518"/>
        <w:spacing w:after="0" w:line="280" w:lineRule="auto"/>
        <w:rPr>
          <w:sz w:val="20"/>
          <w:szCs w:val="20"/>
          <w:color w:val="auto"/>
        </w:rPr>
      </w:pPr>
      <w:r>
        <w:rPr>
          <w:rFonts w:ascii="Arial" w:cs="Arial" w:eastAsia="Arial" w:hAnsi="Arial"/>
          <w:sz w:val="17"/>
          <w:szCs w:val="17"/>
          <w:color w:val="auto"/>
        </w:rPr>
        <w:t>On February 28, 2019, we entered into the SFJ agreement. Under the agreement, following regulatory approval by the FDA or the EMA of the use of APL-2 as a treatment for PNH, we will be obligated to pay SFJ an initial payment of $2.5 million (or a total of $5.0 million if regulatory approval is granted by the FDA and the EMA) and then an additional $192.5 million in the aggregate (or $385.0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$120.0 million (including as a result of the payment of the Additional SFJ Funding). The timing and likelihood of such payments are not currently known.</w:t>
      </w:r>
    </w:p>
    <w:p>
      <w:pPr>
        <w:spacing w:after="0" w:line="63"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Other than the SFJ agreement, during the three months ended March 31, 2019, there were no material changes to our contractual obligations and commitments as of December 31, 2018 as described under Management’s Discussion and Analysis of Financial Condition and Results of Operations in our 2018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are exposed to market risk related to changes in interest rates. As of March 31, 2019 we had cash and cash equivalents of $288.2 million, consisting primarily of money market funds.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8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2019 that has materially affected, or is reasonably likely to materially affect, our internal control over financial reporting.</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Quarterly Report on Form 10-Q and in other documents that we file with the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at least the next several years, and may never achieve or maintain profitability.</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incurred significant annual net operating losses in every year since our inception. We expect to continue to incur significant and increasing net operating losses for at least the next several years. Our net losses were $50.6 million for the three months ended March 31, 2019 and $127.5 million for the year ended December 31, 2018. As of March 31, 2019, we had an accumulated deficit of $327.3 million. We have not generated any revenues from product sales, have not completed the development of any product candidate and may never have a product candidate approved for commercialization. We have financed our operations to date primarily through the sale of our common stock in our initial public offering and subsequent follow-on offerings, private placements of our preferred stock, our development funding agreement with SFJ, borrowings under a term loan facility and the issuance and sale of a promissory note to GDP.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stockholders’ equity and working capital.</w:t>
      </w:r>
    </w:p>
    <w:p>
      <w:pPr>
        <w:spacing w:after="0" w:line="18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 our current and new indications with our lead product candidate, APL-2;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and continue research and preclinical and clinical development efforts for any future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 for complement-dependent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in the future to commercialize any products for which we may obtain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the manufacture of larger quantities of product candidates for clinical development and, potentially, commercialization;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help us comply with our obligations as a public company;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programs.</w:t>
      </w:r>
    </w:p>
    <w:p>
      <w:pPr>
        <w:spacing w:after="0" w:line="200" w:lineRule="exact"/>
        <w:rPr>
          <w:sz w:val="20"/>
          <w:szCs w:val="20"/>
          <w:color w:val="auto"/>
        </w:rPr>
      </w:pPr>
    </w:p>
    <w:p>
      <w:pPr>
        <w:spacing w:after="0" w:line="24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 We do not expect to generate significant revenue unless and until we are, or any future collaborator is, able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future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5" w:name="page26"/>
    <w:bookmarkEnd w:id="25"/>
    <w:p>
      <w:pPr>
        <w:ind w:right="40"/>
        <w:spacing w:after="0" w:line="297" w:lineRule="auto"/>
        <w:rPr>
          <w:sz w:val="20"/>
          <w:szCs w:val="20"/>
          <w:color w:val="auto"/>
        </w:rPr>
      </w:pPr>
      <w:r>
        <w:rPr>
          <w:rFonts w:ascii="Arial" w:cs="Arial" w:eastAsia="Arial" w:hAnsi="Arial"/>
          <w:sz w:val="16"/>
          <w:szCs w:val="16"/>
          <w:color w:val="auto"/>
        </w:rPr>
        <w:t>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spacing w:after="0" w:line="2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not yet successfully completed any Phase 3 clinical trials nor commercialized pharmaceutical products, which may make it difficult to evaluate our future prospects.</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operations to date have been limited to financing and staffing our company, developing our technology and conducting preclinical research and Phase 1, Phase 2 and Phase 3 clinical trials for our product candidates. However, although we have initiated Phase 3 clinical trials and have begun planning commercial activities, we have not yet demonstrated an ability to successfully complete Phase 3 clinical trials, obtain marketing approvals, manufacture a commercial-scale product, or arrange for a third party to do so on our behalf, or conduct sales and marketing activities necessary for successful product commercialization. Accordingly, our stockholders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6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 We expect our financial condition and operating results to continue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279"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We have consumed substantial amounts of cash since our inception. For example, in the three months ended March 31, 2019 and the years ended December 31, 2016, 2017 and 2018, we used net cash of $35.2 million, $26.0 million, $46.6 million and $131.2 million respectively, in our operating activities substantially all of which related to research and development activities. As of March 31, 2019, our cash and cash equivalents were $288.2 million. We expect our expenses to increase in connection with our ongoing activities, particularly as we initiate new clinical trials of, initiate new research and preclinical development efforts for and seek marketing approval for, our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future collaborator. Furthermore, we incur significant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8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will be required to expend significant funds in order to advance the development of APL-2 in multiple disease areas, as well as other product candidates we may seek to develop. In addition, while we may seek one or more collaborators for future development of our product candidates for one or more indications, we may not be able to enter into a collaboration for any of our product candidates for such indications on suitable terms, on a timely basis or at all. In any event, our cash and cash equivalents as of March 31, 2019, will not be sufficient to complete our ongoing and planned Phase 3 clinical trials of APL-2 or to complete development of APL-2 or any of our other product candidates. Accordingly, we will be required to obtain further funding through public or private equity offerings, debt financings, collaborations and licensing arrangements or other sources to achieve our business objectives.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66"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believe that our cash and cash equivalents as of March 31, 2019, which include the net proceeds from our March 2019 follow-on offering and the initial payment from the SFJ agreement, will enable us to fund our operating expenses and capital expenditure requirements at least into the second quarter of 2020. Our estimate as to how long we expect our cash and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t>equivalents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9" w:lineRule="exact"/>
        <w:rPr>
          <w:sz w:val="20"/>
          <w:szCs w:val="20"/>
          <w:color w:val="auto"/>
        </w:rPr>
      </w:pPr>
    </w:p>
    <w:p>
      <w:pPr>
        <w:ind w:left="1020" w:right="40" w:hanging="37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APL-2 and future product candidates;</w:t>
      </w:r>
    </w:p>
    <w:p>
      <w:pPr>
        <w:spacing w:after="0" w:line="62" w:lineRule="exact"/>
        <w:rPr>
          <w:rFonts w:ascii="Arial" w:cs="Arial" w:eastAsia="Arial" w:hAnsi="Arial"/>
          <w:sz w:val="18"/>
          <w:szCs w:val="18"/>
          <w:color w:val="auto"/>
        </w:rPr>
      </w:pPr>
    </w:p>
    <w:p>
      <w:pPr>
        <w:ind w:left="1020" w:right="340" w:hanging="37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 collaborator for any of our product candidates and the terms and timing of any collaboration agreement that we may establish for the development and any commercialization of such product candidates;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future product candidates that we pursue and their development requirements;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and costs of clinical trials and of seeking regulatory approvals;</w:t>
      </w:r>
    </w:p>
    <w:p>
      <w:pPr>
        <w:spacing w:after="0" w:line="117" w:lineRule="exact"/>
        <w:rPr>
          <w:rFonts w:ascii="Arial" w:cs="Arial" w:eastAsia="Arial" w:hAnsi="Arial"/>
          <w:sz w:val="18"/>
          <w:szCs w:val="18"/>
          <w:color w:val="auto"/>
        </w:rPr>
      </w:pPr>
    </w:p>
    <w:p>
      <w:pPr>
        <w:ind w:left="1020" w:right="220" w:hanging="377"/>
        <w:spacing w:after="0" w:line="26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73"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receipt of marketing approval, revenue, if any, received from commercial sales of our current and future product candidates;</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20" w:right="440" w:hanging="37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adequate reimbursement for any product we commercialize;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report of our independent registered public accounting firm included a “going concern” explanatory paragraph.</w:t>
      </w:r>
    </w:p>
    <w:p>
      <w:pPr>
        <w:spacing w:after="0" w:line="9" w:lineRule="exact"/>
        <w:rPr>
          <w:sz w:val="20"/>
          <w:szCs w:val="20"/>
          <w:color w:val="auto"/>
        </w:rPr>
      </w:pPr>
    </w:p>
    <w:p>
      <w:pPr>
        <w:ind w:firstLine="588"/>
        <w:spacing w:after="0" w:line="268" w:lineRule="auto"/>
        <w:rPr>
          <w:sz w:val="20"/>
          <w:szCs w:val="20"/>
          <w:color w:val="auto"/>
        </w:rPr>
      </w:pPr>
      <w:r>
        <w:rPr>
          <w:rFonts w:ascii="Arial" w:cs="Arial" w:eastAsia="Arial" w:hAnsi="Arial"/>
          <w:sz w:val="17"/>
          <w:szCs w:val="17"/>
          <w:color w:val="auto"/>
        </w:rPr>
        <w:t xml:space="preserve">The report of Ernst &amp; Young, LLP on our financial statements as of and for the fiscal year ended December 31, 2018 included an explanatory paragraph that there was substantial doubt about our ability to continue as a going concern. See Note 1 to the consolidated financial statements included in our 2018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for additional information. Given our planned expenditures, our independent registered public accounting firm may conclude, in connection with the audit of our financial statements for the year ended December 31, 2019 or any other subsequent period, that there is substantial doubt regarding our ability to continue as a going concern. If we are unable to continue as a going concern, we might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may materially and adversely affect our share price and our ability to raise new capital or to enter into critical contractual relations with third parties.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expect our expenses to increase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 anti-dilution protections that could adversely affect the rights of our common stockholders. In addition,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For example, in connection with our development funding agreement with SFJ, we agreed that following regulatory approval by the FDA or EMA for the use of APL-2 as a treatment for PNH we will pay to SFJ an initial payment of $2.5 million (or a total of $5 million if regulatory approval is granted by the FDA and the EMA) and then an additional $192.5 million in the aggregate (or $385 million if regulatory approval is granted by the FDA and the EMA) in six additional annual payments with the majority of the payments being made from the third anniversary to the sixth anniversary of regulatory approval. Such payments will be proportionately adjusted in the event that the actual funding from SFJ is lower or greater than $120 million (including as a result of the payment of the Additional SFJ Funding). Additionally, we granted a security interest in all of our assets, excluding our intellectual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240"/>
        <w:spacing w:after="0" w:line="264" w:lineRule="auto"/>
        <w:rPr>
          <w:sz w:val="20"/>
          <w:szCs w:val="20"/>
          <w:color w:val="auto"/>
        </w:rPr>
      </w:pPr>
      <w:r>
        <w:rPr>
          <w:rFonts w:ascii="Arial" w:cs="Arial" w:eastAsia="Arial" w:hAnsi="Arial"/>
          <w:sz w:val="18"/>
          <w:szCs w:val="18"/>
          <w:color w:val="auto"/>
        </w:rPr>
        <w:t>property and license agreements to which we are a party. In connection with the grant of the security interest, we agreed to certain affirmative and negative covenants, including restrictions on our ability to pay dividends, incur additional debt or enter into licensing transactions with respect to our intellectual property other than specified types of licenses.</w:t>
      </w:r>
    </w:p>
    <w:p>
      <w:pPr>
        <w:spacing w:after="0" w:line="18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6"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right="1880" w:firstLine="518"/>
        <w:spacing w:after="0" w:line="276" w:lineRule="auto"/>
        <w:rPr>
          <w:sz w:val="20"/>
          <w:szCs w:val="20"/>
          <w:color w:val="auto"/>
        </w:rPr>
      </w:pPr>
      <w:r>
        <w:rPr>
          <w:rFonts w:ascii="Arial" w:cs="Arial" w:eastAsia="Arial" w:hAnsi="Arial"/>
          <w:sz w:val="17"/>
          <w:szCs w:val="17"/>
          <w:b w:val="1"/>
          <w:bCs w:val="1"/>
          <w:i w:val="1"/>
          <w:iCs w:val="1"/>
          <w:color w:val="auto"/>
        </w:rPr>
        <w:t>If we receive regulatory approval for the use of APL-2 as a treatment for PNH or if our agreement with SFJ is terminated prior to receiving such approval in specified circumstances, we will be required to make substantial payments to SFJ pursuant to our development funding agreement.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spacing w:after="0" w:line="173" w:lineRule="exact"/>
        <w:rPr>
          <w:sz w:val="20"/>
          <w:szCs w:val="20"/>
          <w:color w:val="auto"/>
        </w:rPr>
      </w:pPr>
    </w:p>
    <w:p>
      <w:pPr>
        <w:ind w:right="1900" w:firstLine="518"/>
        <w:spacing w:after="0" w:line="283" w:lineRule="auto"/>
        <w:rPr>
          <w:sz w:val="20"/>
          <w:szCs w:val="20"/>
          <w:color w:val="auto"/>
        </w:rPr>
      </w:pPr>
      <w:r>
        <w:rPr>
          <w:rFonts w:ascii="Arial" w:cs="Arial" w:eastAsia="Arial" w:hAnsi="Arial"/>
          <w:sz w:val="16"/>
          <w:szCs w:val="16"/>
          <w:color w:val="auto"/>
        </w:rPr>
        <w:t>If we receive regulatory approval for the use of APL-2 as a treatment for PNH, we will be required to make substantial payments to SFJ pursuant to our development funding agreement. In addition, if the agreement is terminated prior to obtaining regulatory approval for the treatment of PNH, under specified circumstances, we also will be required to make substantial payments to SFJ. Our ability to make these required payments depends on our future performance, which is subject to economic, financial, competitive and other factors beyond our control. Our business may generate cash flow from operations in the future sufficient to meet our obligations under the development funding agreement. If we are unable to generate such cash flow or to obtain additional funding through public or private equity offerings, debt financings, collaborations and licensing arrangements or other sources on acceptable terms or at all, we could default on our payment obligations to SFJ. We have granted SFJ a first priority security interest in all of our assets other than our intellectual property and the license agreements to which we are a party. If we are unable to meet</w:t>
      </w:r>
    </w:p>
    <w:p>
      <w:pPr>
        <w:spacing w:after="0" w:line="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payment obligations to SFJ, SFJ may exercise its remedies as a holder of a first priority security interest, which would result in a loss of our assets and our business would be materially harmed.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There are no approved therapies that act by inhibiting C3, and we may not be able to successfully develop and commercialize APL-2 or other product candidates.</w:t>
      </w:r>
    </w:p>
    <w:p>
      <w:pPr>
        <w:spacing w:after="0" w:line="62"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APL-2 is a novel therapeutic compound and its potential benefit in controlling autoimmune and inflammatory diseases has not been established. APL-2 is designed to control disease through inhibition of C3. There are no approved therapies that act by inhibiting C3 and only one approved therapy that acts by inhibiting the complement system. As a result, APL-2 may not demonstrate in patients any or all of the pharmacological benefits we believe it may possess.</w:t>
      </w:r>
    </w:p>
    <w:p>
      <w:pPr>
        <w:ind w:right="140"/>
        <w:spacing w:after="0" w:line="254" w:lineRule="auto"/>
        <w:rPr>
          <w:sz w:val="20"/>
          <w:szCs w:val="20"/>
          <w:color w:val="auto"/>
        </w:rPr>
      </w:pPr>
      <w:r>
        <w:rPr>
          <w:rFonts w:ascii="Arial" w:cs="Arial" w:eastAsia="Arial" w:hAnsi="Arial"/>
          <w:sz w:val="18"/>
          <w:szCs w:val="18"/>
          <w:color w:val="auto"/>
        </w:rPr>
        <w:t>We have not yet demonstrated efficacy and safety for APL-2 or any other product candidates in a pivotal trial or obtained marketing approval of any product candidate. We have evaluated APL-2 in preclinical studies and in clinical trials, and have advanced APL-2 into Phase 3 clinical development in geographic atrophy, or GA, and paroxysmal-nocturnal hemoglobinuria, or PNH, but we have not obtained regulatory approval to sell any product based on our therapeutic approaches.</w:t>
      </w:r>
    </w:p>
    <w:p>
      <w:pPr>
        <w:spacing w:after="0" w:line="190"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APL-2 or any other product candidate, commercialize products, raise capital, expand our business or continue our operations.</w:t>
      </w:r>
    </w:p>
    <w:p>
      <w:pPr>
        <w:spacing w:after="0" w:line="2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our lead product candidate, APL-2. If we are unable to develop, obtain marketing approval for or successfully commercialize this product candidate, either alone or through a collaboration, or if we experience significant delays in doing so, our business could be harmed.</w:t>
      </w:r>
    </w:p>
    <w:p>
      <w:pPr>
        <w:spacing w:after="0" w:line="7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currently have no products approved for sale and are investing a significant portion of our efforts and financial resources to fund the development of APL-2. Our prospects are substantially dependent on our ability, or that of any future collaborator, to develop, obtain marketing approval for and successfully commercialize APL-2 in one or more disease indications.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The success of APL-2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recruitment of patients, enrollment in and completion of our ongoing and planned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and successful recruitment of patients, enrollment in and completion of additional clinical trials;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U.S. Food and Drug Administration, or FDA, or any comparable foreign regulatory authority for marketing approval;</w:t>
      </w:r>
    </w:p>
    <w:p>
      <w:pPr>
        <w:spacing w:after="0" w:line="62" w:lineRule="exact"/>
        <w:rPr>
          <w:rFonts w:ascii="Arial" w:cs="Arial" w:eastAsia="Arial" w:hAnsi="Arial"/>
          <w:sz w:val="18"/>
          <w:szCs w:val="18"/>
          <w:color w:val="auto"/>
        </w:rPr>
      </w:pPr>
    </w:p>
    <w:p>
      <w:pPr>
        <w:ind w:left="1040" w:right="12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suppliers and manufacturers of raw materials and drug intermediates;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products that are appropriately packaged for sale;</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validating and maintaining a commercially viable manufacturing process that is compliant with current good manufacturing practices, or cGMPs;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APL-2 drug product from third-party manufacturers of sufficient quality to be used in our clinical trials and for commercial sale;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acceptable safety profile following any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acceptance of our products, if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with other therapies;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future collaborator. If we are unable to develop, receive marketing approval for and successfully commercialize APL-2 or another product candidate, on our own or with any future collaborator, or experience delays as a result of any of these factors or otherwise, our business could be substantially harmed.</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clinical trials of our product candidates fail to satisfactorily demonstrate safety and efficacy to the FDA and other regulators, we, or any future collaborators, may incur additional costs or experience delays in completing, or ultimately be unable to complete, the development and commercialization of these product candidates.</w:t>
      </w:r>
    </w:p>
    <w:p>
      <w:pPr>
        <w:spacing w:after="0" w:line="141"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We, and any future collaborators, are not permitted to commercialize, market, promote or sell any product candidate in the United States without obtaining marketing approval from the FDA. Foreign regulatory authorities, such as the EMA, impose similar requirements. We have not previously submitted a new drug application, or NDA, to the FDA or similar drug approval filings to comparable foreign regulatory authorities for any of our product candidates. We, and any future collaborators, may never receive such approvals. We, and any future collaborators, must complete extensive preclinical development and clinical trials to demonstrate the safety and efficacy of our product candidates in humans before we will be able to obtain these approvals.</w:t>
      </w:r>
    </w:p>
    <w:p>
      <w:pPr>
        <w:spacing w:after="0" w:line="13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line="269" w:lineRule="auto"/>
        <w:rPr>
          <w:sz w:val="20"/>
          <w:szCs w:val="20"/>
          <w:color w:val="auto"/>
        </w:rPr>
      </w:pPr>
      <w:r>
        <w:rPr>
          <w:rFonts w:ascii="Arial" w:cs="Arial" w:eastAsia="Arial" w:hAnsi="Arial"/>
          <w:sz w:val="17"/>
          <w:szCs w:val="17"/>
          <w:color w:val="auto"/>
        </w:rPr>
        <w:t>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56" w:lineRule="exact"/>
        <w:rPr>
          <w:sz w:val="20"/>
          <w:szCs w:val="20"/>
          <w:color w:val="auto"/>
        </w:rPr>
      </w:pPr>
    </w:p>
    <w:p>
      <w:pPr>
        <w:ind w:right="80" w:firstLine="761"/>
        <w:spacing w:after="0" w:line="269" w:lineRule="auto"/>
        <w:rPr>
          <w:sz w:val="20"/>
          <w:szCs w:val="20"/>
          <w:color w:val="auto"/>
        </w:rPr>
      </w:pPr>
      <w:r>
        <w:rPr>
          <w:rFonts w:ascii="Arial" w:cs="Arial" w:eastAsia="Arial" w:hAnsi="Arial"/>
          <w:sz w:val="17"/>
          <w:szCs w:val="17"/>
          <w:color w:val="auto"/>
        </w:rPr>
        <w:t>In October 2018, we announced that we voluntarily implemented a pause in dosing in our Phase 3 clinical program in patients with GA due to observed cases of non-infectious inflammation in patients treated from a single manufacturing lot of APL-2 intravitreal drug product. We also voluntarily implemented a pause in our Phase 1b/2 trial of APL-2 in patients with wet AMD. A total of eight patients, four in the Phase 3 GA program and four in our Phase 1b/2 clinical trial of APL-2 in patients with wet AMD, were treated with APL-2 from this manufacturing lot and each patient developed non-infectious inflammation. Inflammation in all eight patients has completely resolved. We have reviewed these events with the data safety monitoring board for the ophthalmology program, conducted a series of non-human studies and introduced improvements to the manufacturing process. Based on these efforts, we believe that the likely source of inflammation resided in an impurity in the active pharmaceutical ingredient that was introduced by the scale-up of the manufacturing process to produce commercial lot sizes. We modified our manufacturing process in order to eliminate the impurity and have manufactured sufficient supply of APL-2 utilizing the modified manufacturing process to conduct the Phase 3 GA program. In March 2019, we announced that, with the agreement of the independent safety monitoring committee for our Phase 3 clinical program for APL-2 in patients with GA, we restarted enrollment of our Phase 3 clinical program in GA and expect to have fully enrolled both trials in the GA program by the end of the first quarter of 2020, within the originally planned timeline for completion.</w:t>
      </w:r>
    </w:p>
    <w:p>
      <w:pPr>
        <w:spacing w:after="0" w:line="139"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any future collaborators, and impair our ability to generate revenues from product sales, regulatory and commercialization milestones and royalties. Moreover, if we, or any future collaborators, are required to conduct additional clinical trials or other testing of our product candidates beyond the trials and testing that we or they contemplate, if we or they are unable to successfully complete clinical trials of our product candidates or other testing or the results of these trials or tests are unfavorable, uncertain or are only modestly favorable, or there are unacceptable safety concerns associated with our product candidates, we, or any future collaborators may:</w:t>
      </w:r>
    </w:p>
    <w:p>
      <w:pPr>
        <w:spacing w:after="0" w:line="85"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unplanned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significant safety warnings, including boxed warnings;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addition, investigators for our clinical trials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6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right="860"/>
        <w:spacing w:after="0" w:line="277" w:lineRule="auto"/>
        <w:rPr>
          <w:sz w:val="20"/>
          <w:szCs w:val="20"/>
          <w:color w:val="auto"/>
        </w:rPr>
      </w:pPr>
      <w:r>
        <w:rPr>
          <w:rFonts w:ascii="Arial" w:cs="Arial" w:eastAsia="Arial" w:hAnsi="Arial"/>
          <w:sz w:val="18"/>
          <w:szCs w:val="18"/>
          <w:b w:val="1"/>
          <w:bCs w:val="1"/>
          <w:i w:val="1"/>
          <w:iCs w:val="1"/>
          <w:color w:val="auto"/>
        </w:rPr>
        <w:t>Adverse events or undesirable side effects caused by, or other unexpected properties of, any of our product candidates may be identified during development that could delay or prevent their marketing approval or limit their use.</w:t>
      </w:r>
    </w:p>
    <w:p>
      <w:pPr>
        <w:spacing w:after="0" w:line="13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Adverse events or undesirable side effects caused by, or other unexpected properties of, our product candidates could cause us, any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APL-2 has immunosuppressive effects and, in some cases, may be administered to patients with underlying significantly compromised health. Administration of our product candidates could make patients more susceptible to infection. We vaccinate subjects against certain bacterial pathogens in all of our ongoing trials involving systemic administration of APL-2. However, there can be no assurance that these efforts will prevent serious adverse effects, including bacterial infection.</w:t>
      </w:r>
    </w:p>
    <w:p>
      <w:pPr>
        <w:spacing w:after="0" w:line="162"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In addition, in preclinical studies of APL-2, we observed evidence of minimal to mild kidney toxicity when animals were administered relatively higher doses of APL-2 than the doses we intend to use in the treatment of patients. We believe this kidney toxicity is likely associated with the presence of polyethylene glycol, or PEG, which is a component of APL-2. If such kidney toxicity, or other adverse effects, were to arise in patients being treated with APL-2 or any other of our product candidates, it could require us to halt, delay or interrupt clinical trials of such product candidate or adversely affect our ability to obtain requisite approvals to advance the development and commercialization of such product candidate.</w:t>
      </w:r>
    </w:p>
    <w:p>
      <w:pPr>
        <w:spacing w:after="0" w:line="132"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In our Phase 2 trial of APL-2 in patients with GA, the most frequently reported adverse events were associated with the injection procedure in the study eye. These adverse events included two cases of confirmed endophthalmitis, which is inflammation in the eye typically caused by infection, and one case of presumed endophthalmitis where the culture tested negative for bacterial growth. In addition, during the 12-month treatment period and the subsequent six-month period during which no treatment was administered, we observed a higher incidence of new onset exudation, or fluid leakage in the retinas of eyes in which exudation had not previously been reported, in the study eyes treated with APL-2, predominantly in patients with a history of wet AMD in the non-study eye, or fellow eye. Specifically, we observed that, after the 12 month treatment period and the six-month monitoring period, 21% of patients who received administration of APL-2 every month and 9% of patients who received administration of APL-2 every other month showed new onset exudation in the study eye as compared to 1% of the sham group. As we continue development of APL-2 for GA, if a significant number of patients develop new onset exudation, then we may need to limit development of intravitreal APL-2 to certain uses or subpopulations in which the undesirable side effects or other characteristics are less prevalent, less severe or more acceptable from a risk-benefit perspective.</w:t>
      </w:r>
    </w:p>
    <w:p>
      <w:pPr>
        <w:spacing w:after="0" w:line="129" w:lineRule="exact"/>
        <w:rPr>
          <w:sz w:val="20"/>
          <w:szCs w:val="20"/>
          <w:color w:val="auto"/>
        </w:rPr>
      </w:pPr>
    </w:p>
    <w:p>
      <w:pPr>
        <w:ind w:right="180" w:firstLine="571"/>
        <w:spacing w:after="0" w:line="279" w:lineRule="auto"/>
        <w:rPr>
          <w:sz w:val="20"/>
          <w:szCs w:val="20"/>
          <w:color w:val="auto"/>
        </w:rPr>
      </w:pPr>
      <w:r>
        <w:rPr>
          <w:rFonts w:ascii="Arial" w:cs="Arial" w:eastAsia="Arial" w:hAnsi="Arial"/>
          <w:sz w:val="17"/>
          <w:szCs w:val="17"/>
          <w:color w:val="auto"/>
        </w:rPr>
        <w:t>In our Phase 3 clinical trial of APL-2 in patients with GA and our Phase 1b/2 clinical trial of APL-2 in patients with wet AMD, several patients treated from a single manufacturing lot of APL-2 intravitreal drug product experienced non-infectious inflammation. A total of eight patients, four in our Phase 3 GA program and four in our Phase 1b/2 clinical trial of APL-2 in patients with wet AMD, were treated with this APL-2 from this manufacturing lot and each patient developed non-infectious inflammation. Inflammation in these patients has completely resolved.</w:t>
      </w:r>
    </w:p>
    <w:p>
      <w:pPr>
        <w:spacing w:after="0" w:line="14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Serious adverse events have also been reported in our Phase 1b trials of APL-2 for PNH. In our Phase 1b trial of APL-2 in patients receiving treatment with eculizumab, one serious adverse event was noted as possibly related to the administration of APL-2. The patient with this serious adverse event experienced liver pain and elevated liver enzyme levels. As a result, treatment with APL-2 was temporarily discontinued but treatment with eculizumab continued. This discontinuation was followed by a recurrence of anemia and required a blood transfusion, and treatment with APL-2 was reinitiated. Following resumption of treatment, the patient had surgery, which resulted in a lowering of liver enzyme levels. In late October 2017, in our Phase 1b trial of APL-2 in treatment-naïve patients, we learned that one patient with concomitant aplastic anemia developed bone marrow failure after one year of treatment with APL-2. Treatment with APL-2 was discontinued on November 14, 2017. The investigator determined that the bone marrow failure in this patient was not related to the administration of APL-2. Development of bone marrow failure is a known risk in patients with PNH. In third-party studies, bone marrow failure occurred in between 15% and 30% of PNH patients, regardless of treatment with eculizumab. However, there can be no assurance that the administration of APL-2 could not have contributed to the bone marrow failure experienced by this patient.</w:t>
      </w:r>
    </w:p>
    <w:p>
      <w:pPr>
        <w:spacing w:after="0" w:line="137" w:lineRule="exact"/>
        <w:rPr>
          <w:sz w:val="20"/>
          <w:szCs w:val="20"/>
          <w:color w:val="auto"/>
        </w:rPr>
      </w:pPr>
    </w:p>
    <w:p>
      <w:pPr>
        <w:jc w:val="both"/>
        <w:ind w:right="520" w:firstLine="518"/>
        <w:spacing w:after="0" w:line="279" w:lineRule="auto"/>
        <w:rPr>
          <w:sz w:val="20"/>
          <w:szCs w:val="20"/>
          <w:color w:val="auto"/>
        </w:rPr>
      </w:pPr>
      <w:r>
        <w:rPr>
          <w:rFonts w:ascii="Arial" w:cs="Arial" w:eastAsia="Arial" w:hAnsi="Arial"/>
          <w:sz w:val="17"/>
          <w:szCs w:val="17"/>
          <w:color w:val="auto"/>
        </w:rPr>
        <w:t>In addition, in our Phase 1b clinical trial of APL-2 treatment naïve patients with PNH, one patient, who had been temporarily discontinued from dosing with APL-2 due to an unrelated medical condition, experienced increased hemolysis and required a transfusion. This was classified as a serious adverse event unrelated to the administration of APL-2. This patient subsequently recovered and has resumed treatment with APL-2. We believe that a sudden discontinuation of APL-2 may cause increased hemolysis in some patients.</w:t>
      </w:r>
    </w:p>
    <w:p>
      <w:pPr>
        <w:spacing w:after="0" w:line="131"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b w:val="1"/>
          <w:bCs w:val="1"/>
          <w:i w:val="1"/>
          <w:iCs w:val="1"/>
          <w:color w:val="auto"/>
        </w:rPr>
        <w:t>If any of our product candidates is associated with adverse events or undesirable side effects or has properties that are unexpected, we, or any future collaborators, may need to abandon development or limit development of that product candidate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40"/>
        <w:spacing w:after="0" w:line="264" w:lineRule="auto"/>
        <w:rPr>
          <w:sz w:val="20"/>
          <w:szCs w:val="20"/>
          <w:color w:val="auto"/>
        </w:rPr>
      </w:pPr>
      <w:r>
        <w:rPr>
          <w:rFonts w:ascii="Arial" w:cs="Arial" w:eastAsia="Arial" w:hAnsi="Arial"/>
          <w:sz w:val="18"/>
          <w:szCs w:val="18"/>
          <w:b w:val="1"/>
          <w:bCs w:val="1"/>
          <w:i w:val="1"/>
          <w:iCs w:val="1"/>
          <w:color w:val="auto"/>
        </w:rPr>
        <w:t>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54"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 If safety problems occur or are identified after one of our products reaches the market, the FDA or comparable non-U.S. regulatory authorities may require that we amend the labeling of our product, recall our product, or even withdraw approval for our product.</w:t>
      </w:r>
    </w:p>
    <w:p>
      <w:pPr>
        <w:spacing w:after="0" w:line="28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we, or any future collaborators,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6"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or any future collaborators, may experience numerous unforeseen events during, or as a result of, clinical trials that could delay or prevent clinical development, marketing approval or commercialization of our product candidates, including:</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or inconclusive results;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may decide, or regulators may require us or them, to conduct additional clinical trials or abandon product development programs;</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or any future collaborators, anticipate, patient enrollment in these clinical trials may be slower than we, or any future collaborators, anticipate or participants may drop out of these clinical trials at a higher rate than we, or any future collaborators, anticipate;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planned clinical trials of our product candidates may be greater than we anticipate;</w:t>
      </w:r>
    </w:p>
    <w:p>
      <w:pPr>
        <w:spacing w:after="0" w:line="117" w:lineRule="exact"/>
        <w:rPr>
          <w:rFonts w:ascii="Arial" w:cs="Arial" w:eastAsia="Arial" w:hAnsi="Arial"/>
          <w:sz w:val="18"/>
          <w:szCs w:val="18"/>
          <w:color w:val="auto"/>
        </w:rPr>
      </w:pPr>
    </w:p>
    <w:p>
      <w:pPr>
        <w:ind w:left="1040" w:hanging="519"/>
        <w:spacing w:after="0" w:line="31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third-party contractors or those of any future collaborators, including those manufacturing our product candidates or components or ingredients thereof or conducting clinical trials on our behalf or on behalf of any future collaborators, may deviate from the trial protocol, fail to comply with regulatory requirements or fail to meet their contractual obligations to us or any future collaborators in a timely manner or at all;</w:t>
      </w:r>
    </w:p>
    <w:p>
      <w:pPr>
        <w:spacing w:after="0" w:line="38" w:lineRule="exact"/>
        <w:rPr>
          <w:rFonts w:ascii="Arial" w:cs="Arial" w:eastAsia="Arial" w:hAnsi="Arial"/>
          <w:sz w:val="16"/>
          <w:szCs w:val="16"/>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any future collaborators or our or their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may have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73"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w:t>
      </w:r>
    </w:p>
    <w:p>
      <w:pPr>
        <w:spacing w:after="0" w:line="73" w:lineRule="exact"/>
        <w:rPr>
          <w:rFonts w:ascii="Arial" w:cs="Arial" w:eastAsia="Arial" w:hAnsi="Arial"/>
          <w:sz w:val="18"/>
          <w:szCs w:val="18"/>
          <w:color w:val="auto"/>
        </w:rPr>
      </w:pPr>
    </w:p>
    <w:p>
      <w:pPr>
        <w:ind w:left="1040" w:right="20" w:hanging="519"/>
        <w:spacing w:after="0" w:line="279"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any future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63"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any future collaborators’, clinical trial designs or our or their interpretation of data from preclinical studies and clinical trials;</w:t>
      </w:r>
    </w:p>
    <w:p>
      <w:pPr>
        <w:spacing w:after="0" w:line="62"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facilities of third-party manufacturers with which we, or any future collaborators, enter into agreements for clinical and commercial supplies;</w:t>
      </w:r>
    </w:p>
    <w:p>
      <w:pPr>
        <w:spacing w:after="0" w:line="15" w:lineRule="exact"/>
        <w:rPr>
          <w:rFonts w:ascii="Arial" w:cs="Arial" w:eastAsia="Arial" w:hAnsi="Arial"/>
          <w:sz w:val="16"/>
          <w:szCs w:val="16"/>
          <w:color w:val="auto"/>
        </w:rPr>
      </w:pPr>
    </w:p>
    <w:p>
      <w:pPr>
        <w:ind w:left="1040" w:right="10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2" w:name="page33"/>
    <w:bookmarkEnd w:id="32"/>
    <w:p>
      <w:pPr>
        <w:ind w:left="1040" w:hanging="519"/>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our clinical data insufficient to obtain marketing approval.</w:t>
      </w:r>
    </w:p>
    <w:p>
      <w:pPr>
        <w:spacing w:after="0" w:line="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Product development costs for us, or any future collaborators, will increase if we, or they, experience delays in testing or pursuing marketing approvals and we, or they,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any future collaborators, may have the exclusive right to commercialize our product candidates or allow our competitors, or the competitors of any future collaborators, to bring products to market before we, or any future collaborators, do and impair our ability, or the ability of any future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29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or any future collaborators, experience delays or difficulties in the enrollment of patients in clinical trials, our or their receipt of necessary regulatory approvals could be delayed or prevented.</w:t>
      </w:r>
    </w:p>
    <w:p>
      <w:pPr>
        <w:spacing w:after="0" w:line="62"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We, or any future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5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particular, the successful completion of our clinical development program for APL-2 for the treatment of PNH is dependent upon our ability to enroll a sufficient number of patients with PNH. PNH is a rare disease with a small patient population, and many of those patients are treated with eculizumab (Soliris) or ravulizumab (Ultomiris), both of which are marketed by Alexion Pharmaceuticals, Inc., or Alexion. Further, there are only a limited number of specialist physicians that regularly treat patients with PNH and major clinical centers that support PNH treatment are concentrated in a few geographic regions. In addition, other companies are conducting clinical trials and have announced plans for future clinical trials that are seeking, or are likely to seek, to enroll patients with PNH and patients are generally only able to enroll in a single trial at a time. Both patients and their physicians may be reluctant to forgo, discontinue or otherwise alter existing, approved life-saving therapeutic approaches such as eculizumab. Given the severe and life-threatening nature of PNH and the expectation that many patients will be on treatment with eculizumab, we may encounter difficulty in recruiting a sufficient number of patients for our trials including in particular our planned Phase 3 clinical trial in treatment-naive patients. The small population of patients, competition for these patients, the nature of the disease and limited trial sites may make it difficult for us to enroll enough patients to complete our clinical trials of APL-2 in PNH in a timely and cost-effective manner.</w:t>
      </w:r>
    </w:p>
    <w:p>
      <w:pPr>
        <w:spacing w:after="0" w:line="18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Our inability, or the inability of any future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any future collaborators’, ability to commence sales of and generate revenues from our product candidates, which could cause the value of our company to decline and limit our ability to obtain additional financing, if needed.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Results of preclinical studies and Phase 1 and Phase 2 clinical trials may not be predictive of results of later clinical trials.</w:t>
      </w:r>
    </w:p>
    <w:p>
      <w:pPr>
        <w:spacing w:after="0" w:line="117" w:lineRule="exact"/>
        <w:rPr>
          <w:sz w:val="20"/>
          <w:szCs w:val="20"/>
          <w:color w:val="auto"/>
        </w:rPr>
      </w:pPr>
    </w:p>
    <w:p>
      <w:pPr>
        <w:jc w:val="both"/>
        <w:ind w:right="120" w:firstLine="518"/>
        <w:spacing w:after="0" w:line="288" w:lineRule="auto"/>
        <w:rPr>
          <w:sz w:val="20"/>
          <w:szCs w:val="20"/>
          <w:color w:val="auto"/>
        </w:rPr>
      </w:pPr>
      <w:r>
        <w:rPr>
          <w:rFonts w:ascii="Arial" w:cs="Arial" w:eastAsia="Arial" w:hAnsi="Arial"/>
          <w:sz w:val="16"/>
          <w:szCs w:val="16"/>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w:t>
      </w:r>
    </w:p>
    <w:p>
      <w:pPr>
        <w:ind w:right="180"/>
        <w:spacing w:after="0" w:line="261" w:lineRule="auto"/>
        <w:rPr>
          <w:sz w:val="20"/>
          <w:szCs w:val="20"/>
          <w:color w:val="auto"/>
        </w:rPr>
      </w:pPr>
      <w:r>
        <w:rPr>
          <w:rFonts w:ascii="Arial" w:cs="Arial" w:eastAsia="Arial" w:hAnsi="Arial"/>
          <w:sz w:val="18"/>
          <w:szCs w:val="18"/>
          <w:color w:val="auto"/>
        </w:rPr>
        <w:t>Similarly, the design of a clinical trial can determine whether its results will support approval of a product and flaws in the design of a clinical trial may not become apparent until the clinical trial is well advanced.</w:t>
      </w:r>
    </w:p>
    <w:p>
      <w:pPr>
        <w:spacing w:after="0" w:line="18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have limited experience in designing pivotal clinical trials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future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73"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 xml:space="preserve">Some of the data we present on the use of APL-2 for the treatment of GA is drawn from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of data subsets from our Phase 2 clinical trial. While we believe these data may be useful in informing the design of future Phase 3 clinical trials for APL-2,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performed after unmasking trial results can result in the introduction of bias and may not be predictive of success in Phase 3 clinical trials.</w:t>
      </w:r>
    </w:p>
    <w:p>
      <w:pPr>
        <w:spacing w:after="0" w:line="166"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For instance, the Phase 3 clinical trials in GA are similar in design to the Phase 2 clinical trial, except that patients will be treated with APL-2 for 24 months rather than 12 months and there will not be a six-month monitoring period following treatment. Additionally, unlike the Phase 2 clinical trial, GA lesion size will be measured by total area rather than mean change in the square root of GA lesion size. In our Phase 3 clinical trials in GA, statistical significance is set at a p-value of 0.05 or less, meaning that there is a 1-in-20 or less probability that the observed results occurred by chance rather than as a treatment effect. In our Phase 2 clinical trial, we set statistical significance as a p-value of 0.1 or less, meaning that there is a 1-in-10 or less probability that the observed results occurred by chance.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Although the development and commercialization of APL-2 is our primary focus, as part of our growth strategy, we are developing a pipeline of product candidates for the treatment of complement-dependent diseases.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 is insufficient to obtain marketing approval of our product candidates. If the FDA does not accept or approve our NDAs for any of our product candidates, including APL-2, it may require that we conduct additional clinical trials, preclinical studies or manufacturing validation studies and submit that data before it will reconsider our applications. Depending on the extent of these or any other FDA-required trials or studies, approval of any NDA or application that we submit may be delayed by several years, or may require us to expend more resources than we have available. It is also possible that additional trials or studies, if performed and completed, may not be considered sufficient by the FDA to approve our NDAs.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4" w:name="page35"/>
    <w:bookmarkEnd w:id="34"/>
    <w:p>
      <w:pPr>
        <w:ind w:right="340" w:firstLine="518"/>
        <w:spacing w:after="0" w:line="264"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we or others may later discover that the product is less effective than previously believed or causes undesirable side effects that were not previously identified, which could compromise our ability, or that of any future collaborators, to market the product.</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80"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the product is administered or conduct additional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7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have never commercialized a product, and even if one of our product candidates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Eculizumab and ravulizumab are the only therapies that have been approved for the treatment of PNH, and even if we are able to obtain marketing approval of APL-2 for the treatment of PNH, we may not be able to successfully convince physicians or patients to switch from eculizumab or ravulizumab to APL-2. This may be particularly true with respect to eculizumab as many in the medical community believe that patients with PNH on eculizumab may experience sudden and excessive blood cell lysis, or rupture, leading to anemia, blood clots and other medical problems, when they stop receiving eculizumab. In addition, even if we are able to demonstrate our product candidates’ safety and efficacy to the FDA and other regulators, safety concerns in the medical community may hinder market acceptance.</w:t>
      </w:r>
    </w:p>
    <w:p>
      <w:pPr>
        <w:spacing w:after="0" w:line="85"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79"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our approved products as well as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3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right="120" w:firstLine="761"/>
        <w:spacing w:after="0" w:line="286"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57" w:lineRule="exact"/>
        <w:rPr>
          <w:sz w:val="20"/>
          <w:szCs w:val="20"/>
          <w:color w:val="auto"/>
        </w:rPr>
      </w:pPr>
    </w:p>
    <w:p>
      <w:pPr>
        <w:ind w:right="40" w:firstLine="761"/>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any product candidates if approved.</w:t>
      </w:r>
    </w:p>
    <w:p>
      <w:pPr>
        <w:spacing w:after="0" w:line="62" w:lineRule="exact"/>
        <w:rPr>
          <w:sz w:val="20"/>
          <w:szCs w:val="20"/>
          <w:color w:val="auto"/>
        </w:rPr>
      </w:pPr>
    </w:p>
    <w:p>
      <w:pPr>
        <w:ind w:right="20" w:firstLine="761"/>
        <w:spacing w:after="0" w:line="264" w:lineRule="auto"/>
        <w:rPr>
          <w:sz w:val="20"/>
          <w:szCs w:val="20"/>
          <w:color w:val="auto"/>
        </w:rPr>
      </w:pPr>
      <w:r>
        <w:rPr>
          <w:rFonts w:ascii="Arial" w:cs="Arial" w:eastAsia="Arial" w:hAnsi="Arial"/>
          <w:sz w:val="18"/>
          <w:szCs w:val="18"/>
          <w:color w:val="auto"/>
        </w:rPr>
        <w:t>We do not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w:t>
      </w:r>
    </w:p>
    <w:p>
      <w:pPr>
        <w:spacing w:after="0" w:line="73"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The development of sales, marketing and distribution capabilities will require substantial resources, will be time-consuming and could delay any product launch. If the commercial launch of a product candidate for which we recruit a sales force and establish marketing and distribution capabilities is delayed or does not occur for any reason, we could have prematurely or unnecessarily incurred these commercialization costs. This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70"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140"/>
        <w:spacing w:after="0" w:line="308" w:lineRule="auto"/>
        <w:rPr>
          <w:sz w:val="20"/>
          <w:szCs w:val="20"/>
          <w:color w:val="auto"/>
        </w:rPr>
      </w:pPr>
      <w:r>
        <w:rPr>
          <w:rFonts w:ascii="Arial" w:cs="Arial" w:eastAsia="Arial" w:hAnsi="Arial"/>
          <w:sz w:val="17"/>
          <w:szCs w:val="17"/>
          <w:color w:val="auto"/>
        </w:rPr>
        <w:t>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47" w:lineRule="exact"/>
        <w:rPr>
          <w:sz w:val="20"/>
          <w:szCs w:val="20"/>
          <w:color w:val="auto"/>
        </w:rPr>
      </w:pPr>
    </w:p>
    <w:p>
      <w:pPr>
        <w:ind w:right="700" w:firstLine="761"/>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of our product candidates that receive marketing approval.</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We expect that we, and any future collaborators, will face significant competition from major pharmaceutical companies, specialty pharmaceutical companies and biotechnology companies worldwide with respect to any of our product candidates that we, or any future collaborators, may seek to develop or commercialize in the future, including from therapies that act through the complement system and therapies that use different approaches.</w:t>
      </w:r>
    </w:p>
    <w:p>
      <w:pPr>
        <w:spacing w:after="0" w:line="187" w:lineRule="exact"/>
        <w:rPr>
          <w:sz w:val="20"/>
          <w:szCs w:val="20"/>
          <w:color w:val="auto"/>
        </w:rPr>
      </w:pPr>
    </w:p>
    <w:p>
      <w:pPr>
        <w:ind w:right="120" w:firstLine="761"/>
        <w:spacing w:after="0" w:line="273" w:lineRule="auto"/>
        <w:rPr>
          <w:sz w:val="20"/>
          <w:szCs w:val="20"/>
          <w:color w:val="auto"/>
        </w:rPr>
      </w:pPr>
      <w:r>
        <w:rPr>
          <w:rFonts w:ascii="Arial" w:cs="Arial" w:eastAsia="Arial" w:hAnsi="Arial"/>
          <w:sz w:val="17"/>
          <w:szCs w:val="17"/>
          <w:color w:val="auto"/>
        </w:rPr>
        <w:t>There are currently no approved treatments for GA. We are aware that there are a number of companies that are actively developing product candidates for the treatment of GA, including the following product candidates that are in clinical development: CLG561, an anti-properdin monoclonal antibody being developed as a monotherapy or adjunctive therapy with LFG316, an anti-C5 monoclonal antibody being developed by Novartis AG that is in Phase 2 clinical trials; Zimura, a C5 inhibitor being developed by Ophthotech Corporation that is in Phase 2 clinical trials; and other product candidates that do not target the complement system that are in Phase 2 clinical trials, including therapies being developed by Allergan PLC, Ionis Pharmaceuticals, Inc., Janssen Research &amp; Development, LLC, Regenerative Patch Technologies and Stealth BioTherapeutics Corp..</w:t>
      </w:r>
    </w:p>
    <w:p>
      <w:pPr>
        <w:spacing w:after="0" w:line="178"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The principal competitors for PNH, and possibly other indications in our hematology and nephrology programs are eculizumab (marked as Soliris) and ravulizumab (marketed as Ultomiris), which are C5 inhibitors marketed by Alexion and are the only drugs approved for the treatment of PNH. Ravulizumab is designed to have a longer half-life and greater inhibition of C5 than eculizumab.</w:t>
      </w:r>
    </w:p>
    <w:p>
      <w:pPr>
        <w:spacing w:after="0" w:line="181"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We are aware of a number of other companies that are actively developing product candidates for the treatment of PNH, including AMY-101, a product candidate directed at C3 complement inhibition that is currently in early clinical development by Amyndas Pharmaceuticals SA; product candidates directed at C5 complement inhibition such as ALN-CC5, an RNAi therapeutic targeting C5 being developed by Alnylam Pharmaceuticals, Inc. that is in early clinical trials; Coversin, a small protein inhibitor of C5 being developed by Akari Therapeutics, Plc. that is in Phase 2 clinical trials; Ra101495, a cyclic peptide inhibitor of C5 that is currently in Phase 2 clinical trials by Ra Pharmaceuticals, Inc., and LFG316, an anti-C5 monoclonal antibody that is currently in Phase 2 clinical trials by Novartis; and other product candidates directed at other mechanisms of complement inhibition such as NM-9405, an anti-properdin antibody in preclinical development by NovelMed Therapeutics, Inc., and ACH-4471 (previously ACH-CFDIS), an orally available small molecule inhibitor of complement factor D, that is currently in early clinical development by Achillion Pharmaceuticals, Inc. Amgen is developing ABP959, a biosimilar for eculizumab that is in Phase 3 development.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83" w:lineRule="exact"/>
        <w:rPr>
          <w:sz w:val="20"/>
          <w:szCs w:val="20"/>
          <w:color w:val="auto"/>
        </w:rPr>
      </w:pPr>
    </w:p>
    <w:p>
      <w:pPr>
        <w:ind w:right="100" w:firstLine="761"/>
        <w:spacing w:after="0" w:line="270" w:lineRule="auto"/>
        <w:rPr>
          <w:sz w:val="20"/>
          <w:szCs w:val="20"/>
          <w:color w:val="auto"/>
        </w:rPr>
      </w:pPr>
      <w:r>
        <w:rPr>
          <w:rFonts w:ascii="Arial" w:cs="Arial" w:eastAsia="Arial" w:hAnsi="Arial"/>
          <w:sz w:val="17"/>
          <w:szCs w:val="17"/>
          <w:color w:val="auto"/>
        </w:rPr>
        <w:t>There are no currently marketed drug treatments for cold agglutinin disease, or CAD, or warm antibody autoimmune hemolytic anemia, or wAIHA, but there are currently treatments in development, including fostamatinib, a spleen tyrosine kinase inhibitor being developed by Rigel Pharmaceuticals, Inc., which is in Phase 2 clinical trials, for CAD and wAIHA, TNT-009/BIVV009, a C1s monoclonal antibody inhibitor, which is being developed by Bioverativ Inc., and is in Phase 3 clinical trials for CAD, and ALXN1830, a humanized monoclonal antibody, which is being developed by Alexion Pharmaceuticals, Inc. and is in Phase 1b/2a clinical trials for wAIHA. There are no currently marketed drug treatments for glomerular diseases with complement involvement, but OMS721, a human monoclonal antibody to mannose-binding lectin-associated serine protease-2 (MASP-2) that blocks the lectin pathway, is being developed by Omeros Corp. as a treatment for IgA nephropathy and is in Phase 3 clinical trials. Furthermore, voclosporin developed by Aurininia Pharmaceuticals for lupus nephritis is in Phase 3 clinical trials, and avacopan, an oral C5aR-inhibitor developed by ChemoCentryx, Inc. for C3 glomerulopathy is in Phase 2 clinical trials.</w:t>
      </w:r>
    </w:p>
    <w:p>
      <w:pPr>
        <w:spacing w:after="0" w:line="182" w:lineRule="exact"/>
        <w:rPr>
          <w:sz w:val="20"/>
          <w:szCs w:val="20"/>
          <w:color w:val="auto"/>
        </w:rPr>
      </w:pPr>
    </w:p>
    <w:p>
      <w:pPr>
        <w:jc w:val="both"/>
        <w:ind w:right="280" w:firstLine="761"/>
        <w:spacing w:after="0" w:line="264" w:lineRule="auto"/>
        <w:rPr>
          <w:sz w:val="20"/>
          <w:szCs w:val="20"/>
          <w:color w:val="auto"/>
        </w:rPr>
      </w:pPr>
      <w:r>
        <w:rPr>
          <w:rFonts w:ascii="Arial" w:cs="Arial" w:eastAsia="Arial" w:hAnsi="Arial"/>
          <w:sz w:val="18"/>
          <w:szCs w:val="18"/>
          <w:color w:val="auto"/>
        </w:rPr>
        <w:t>Our competitors may succeed in developing, acquiring or licensing technologies and products that are more effective, have fewer side effects or more tolerable side effects or are less costly than any product candidates that we are currently developing or that we may develop, which could render our product candidates obsolete and noncompetitive.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right="160" w:firstLine="761"/>
        <w:spacing w:after="0" w:line="30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any future collaborators, may develop. Our competitors also may obtain FDA or other marketing approval for their products before we, or any future collaborators, are able to obtain approval for ours, which could result in our competitors establishing a strong market position before we, or any future collaborators, are able to enter the market.</w:t>
      </w:r>
    </w:p>
    <w:p>
      <w:pPr>
        <w:spacing w:after="0" w:line="154" w:lineRule="exact"/>
        <w:rPr>
          <w:sz w:val="20"/>
          <w:szCs w:val="20"/>
          <w:color w:val="auto"/>
        </w:rPr>
      </w:pPr>
    </w:p>
    <w:p>
      <w:pPr>
        <w:ind w:right="220" w:firstLine="761"/>
        <w:spacing w:after="0" w:line="255" w:lineRule="auto"/>
        <w:rPr>
          <w:sz w:val="20"/>
          <w:szCs w:val="20"/>
          <w:color w:val="auto"/>
        </w:rPr>
      </w:pPr>
      <w:r>
        <w:rPr>
          <w:rFonts w:ascii="Arial" w:cs="Arial" w:eastAsia="Arial" w:hAnsi="Arial"/>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2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81" w:lineRule="exact"/>
        <w:rPr>
          <w:sz w:val="20"/>
          <w:szCs w:val="20"/>
          <w:color w:val="auto"/>
        </w:rPr>
      </w:pPr>
    </w:p>
    <w:p>
      <w:pPr>
        <w:ind w:right="100" w:firstLine="761"/>
        <w:spacing w:after="0" w:line="271" w:lineRule="auto"/>
        <w:rPr>
          <w:sz w:val="20"/>
          <w:szCs w:val="20"/>
          <w:color w:val="auto"/>
        </w:rPr>
      </w:pPr>
      <w:r>
        <w:rPr>
          <w:rFonts w:ascii="Arial" w:cs="Arial" w:eastAsia="Arial" w:hAnsi="Arial"/>
          <w:sz w:val="17"/>
          <w:szCs w:val="17"/>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79" w:lineRule="exact"/>
        <w:rPr>
          <w:sz w:val="20"/>
          <w:szCs w:val="20"/>
          <w:color w:val="auto"/>
        </w:rPr>
      </w:pPr>
    </w:p>
    <w:p>
      <w:pPr>
        <w:ind w:right="120" w:firstLine="761"/>
        <w:spacing w:after="0" w:line="270"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78"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27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Even if we, or any future collaborators, are able to commercialize any product candidate that we, or they, develop, the product may become subject to unfavorable pricing regulations, third-party payor reimbursement practices or healthcare reform initiatives, any of which could harm our business.</w:t>
      </w:r>
    </w:p>
    <w:p>
      <w:pPr>
        <w:spacing w:after="0" w:line="1"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The commercial success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right="300"/>
        <w:spacing w:after="0" w:line="277" w:lineRule="auto"/>
        <w:rPr>
          <w:sz w:val="20"/>
          <w:szCs w:val="20"/>
          <w:color w:val="auto"/>
        </w:rPr>
      </w:pPr>
      <w:r>
        <w:rPr>
          <w:rFonts w:ascii="Arial" w:cs="Arial" w:eastAsia="Arial" w:hAnsi="Arial"/>
          <w:sz w:val="18"/>
          <w:szCs w:val="18"/>
          <w:color w:val="auto"/>
        </w:rPr>
        <w:t>will require us to provide scientific and clinical support for the use of our products to each payor separately, with no assurance that coverage and adequate reimbursement will be applied consistently or obtained in the first instance.</w:t>
      </w:r>
    </w:p>
    <w:p>
      <w:pPr>
        <w:spacing w:after="0" w:line="170"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any future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any future collaborators to recoup our or their investment in one or more product candidates, even if our product candidates obtain marketing approval.</w:t>
      </w:r>
    </w:p>
    <w:p>
      <w:pPr>
        <w:spacing w:after="0" w:line="179"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and the ability of any future collaborators, to commercialize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any future collaborators to sell our product candidates profitably. These payors may not view our products, if any, as cost-effective, and coverage and reimbursement may not be available to our customers, or those of any future collaborators, or may not be sufficient to allow our products, if any, to be marketed on a competitive basis. Cost-control initiatives could cause us, or any future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3" w:lineRule="exact"/>
        <w:rPr>
          <w:sz w:val="20"/>
          <w:szCs w:val="20"/>
          <w:color w:val="auto"/>
        </w:rPr>
      </w:pPr>
    </w:p>
    <w:p>
      <w:pPr>
        <w:ind w:right="420" w:firstLine="761"/>
        <w:spacing w:after="0" w:line="253" w:lineRule="auto"/>
        <w:rPr>
          <w:sz w:val="20"/>
          <w:szCs w:val="20"/>
          <w:color w:val="auto"/>
        </w:rPr>
      </w:pPr>
      <w:r>
        <w:rPr>
          <w:rFonts w:ascii="Arial" w:cs="Arial" w:eastAsia="Arial" w:hAnsi="Arial"/>
          <w:sz w:val="18"/>
          <w:szCs w:val="18"/>
          <w:color w:val="auto"/>
        </w:rPr>
        <w:t>The commercial potential of our products depends in part on reimbursement by government health administration authorities, private health insurers and other organizations. If we are unable to obtain coverage or reimbursement for our products, as monotherapy or in combination with other therapies, including possible combinations with eculizumab, at the levels anticipated, our financial condition could be harmed. Additionally, if new compounds currently in development by potential competitors, including biosimilars of eculizumab, obtain marketing approval, there may be downward pressure on reimbursement levels for therapies in our target disease areas, which could have a negative impact on our ability to achieve and maintain profitability.</w:t>
      </w:r>
    </w:p>
    <w:p>
      <w:pPr>
        <w:spacing w:after="0" w:line="2" w:lineRule="exact"/>
        <w:rPr>
          <w:sz w:val="20"/>
          <w:szCs w:val="20"/>
          <w:color w:val="auto"/>
        </w:rPr>
      </w:pPr>
    </w:p>
    <w:p>
      <w:pPr>
        <w:ind w:right="120" w:firstLine="761"/>
        <w:spacing w:after="0" w:line="271"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79"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or any future collaborators commercially sell any product that we may or they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380"/>
        <w:spacing w:after="0" w:line="277" w:lineRule="auto"/>
        <w:rPr>
          <w:sz w:val="20"/>
          <w:szCs w:val="20"/>
          <w:color w:val="auto"/>
        </w:rPr>
      </w:pPr>
      <w:r>
        <w:rPr>
          <w:rFonts w:ascii="Arial" w:cs="Arial" w:eastAsia="Arial" w:hAnsi="Arial"/>
          <w:sz w:val="18"/>
          <w:szCs w:val="18"/>
          <w:color w:val="auto"/>
        </w:rPr>
        <w:t>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Although we maintain product liability insurance coverage in the amount of up to $20.0 million in the aggregate and clinical trial liability insurance of up to $20.0 million in the aggregate, this insurance may not fully cover potential liabilities that we may incur. The cost of any litigation or other proceeding, even if resolved in our favor, could be substantial. We will need to increase our insurance coverage if we commercialize any product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APL-2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3"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do not successfully carry out their contractual duties, meet expected deadlines or conduct our clinical trials in accordance with regulatory requirements or our stated protocols, we may not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100"/>
        <w:spacing w:after="0" w:line="312" w:lineRule="auto"/>
        <w:rPr>
          <w:sz w:val="20"/>
          <w:szCs w:val="20"/>
          <w:color w:val="auto"/>
        </w:rPr>
      </w:pPr>
      <w:r>
        <w:rPr>
          <w:rFonts w:ascii="Arial" w:cs="Arial" w:eastAsia="Arial" w:hAnsi="Arial"/>
          <w:sz w:val="16"/>
          <w:szCs w:val="16"/>
          <w:color w:val="auto"/>
        </w:rPr>
        <w:t>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and distribution of our product candidates for clinical trials and expect to continue to do so in connection with our future development and commercialization efforts.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46"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plan to continue to rely upon contract manufacturers, and, potentially collaboration partners, to manufacture commercial quantities of our products, if approved. We may be unable to establish any agreements with contract manufacturers or to do so on acceptable terms. Even if we are able to establish agreements with contract manufacturers, reliance on contract manufacturers entails additional risks, including:</w:t>
      </w:r>
    </w:p>
    <w:p>
      <w:pPr>
        <w:spacing w:after="0" w:line="146" w:lineRule="exact"/>
        <w:rPr>
          <w:sz w:val="20"/>
          <w:szCs w:val="20"/>
          <w:color w:val="auto"/>
        </w:rPr>
      </w:pPr>
    </w:p>
    <w:p>
      <w:pPr>
        <w:ind w:left="10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give greater priority to the supply of other products over our product candidates or otherwise do not satisfactorily perform according to the terms of the agreements between us and them, or if unforeseen events in the manufacturing process arise;</w:t>
      </w:r>
    </w:p>
    <w:p>
      <w:pPr>
        <w:spacing w:after="0" w:line="14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84"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breach by the third-party contractors of our agreements with them;</w:t>
      </w:r>
    </w:p>
    <w:p>
      <w:pPr>
        <w:spacing w:after="0" w:line="184"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84"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29"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2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8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We currently rely, and expect to continue to rely, on a small number of third-party contract manufacturers to supply most of our supply of active pharmaceutical ingredients and required finished product for our preclinical studies and clinical trials. We do not have long-term supply agreements with any of these third parties.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For example, in the past we experienced issues associated with the manufacturing process for APL-2 that resulted in delays in the supply of APL-2. These delays resulted in us incurring additional costs and delays in our PNH development program. Additionally, in October 2018, we announced that we voluntarily implemented a pause in dosing in our Phase 3 clinical program in patients with GA due to observed cases of non-infectious inflammation in patients treated from a single manufacturing lot of APL-2 intravitreal drug product that we believe occurred due to </w:t>
      </w:r>
      <w:r>
        <w:rPr>
          <w:rFonts w:ascii="Arial" w:cs="Arial" w:eastAsia="Arial" w:hAnsi="Arial"/>
          <w:sz w:val="17"/>
          <w:szCs w:val="17"/>
          <w:color w:val="111111"/>
        </w:rPr>
        <w:t>an impurity in the active pharmaceutical ingredient</w:t>
      </w:r>
      <w:r>
        <w:rPr>
          <w:rFonts w:ascii="Arial" w:cs="Arial" w:eastAsia="Arial" w:hAnsi="Arial"/>
          <w:sz w:val="17"/>
          <w:szCs w:val="17"/>
          <w:color w:val="auto"/>
        </w:rPr>
        <w:t>. We have also voluntarily implemented a pause in our Phase 1b/2 trial of APL-2 in patients with wet AMD. If we experience other issues or delays in the future, our development of APL-2 may be materially delayed and our business adversely affected.</w:t>
      </w:r>
    </w:p>
    <w:p>
      <w:pPr>
        <w:spacing w:after="0" w:line="139"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Any manufacturing problem, the loss of a contract manufacturer or any loss of storage could be disruptive to our operations, delay our clinical trials and, if our products are approved for sale, result in lost sales. Additionally, we rely on third parties to supply the raw materials needed to manufacture our product candidates. For example, one company currently produces most of the PEG that is used in pharmaceutical and drug development globally. PEG is a component of APL-2. If this supplier of PEG experiences manufacturing and supply problems with respect to PEG, then the manufacturers with whom we contract may have difficulty in procuring PEG for the supply and manufacture of APL-2. Any reliance on suppliers may involve several risks, including a potential inability to obtain critical materials and reduced control over production costs, delivery schedules, reliability and quality. 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unanticipated disruption to our contract manufacturing caused by problems at suppliers could delay shipment of our product candidates, increase our cost of goods sold and result in lost sales with respect to any approved products.</w:t>
      </w:r>
    </w:p>
    <w:p>
      <w:pPr>
        <w:spacing w:after="0" w:line="14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If any of our product candidates are approved by any regulatory agency, we will need to enter into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4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 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26"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66"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are developing a custom, on-body drug delivery system that would enable patients to self-administer APL-2 through subcutaneous infusion. While this device is in development, we plan to use one or more commercially available ambulatory infusion pumps in our ongoing and planned clinical trials. The development of a custom drug delivery system may be delayed or we may not be successful in developing a custom drug delivery system and may need to continue to rely on commercially available ambulatory infusion pumps. Any reliance on third-party infusion pumps may involve several risks, including reduced control over costs, delivery schedules, reliability and quality.</w:t>
      </w:r>
    </w:p>
    <w:p>
      <w:pPr>
        <w:spacing w:after="0" w:line="14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harm our future profit margins and our ability to commercialize any products that receive marketing approval on a timely and competitive basis.</w:t>
      </w:r>
    </w:p>
    <w:p>
      <w:pPr>
        <w:spacing w:after="0" w:line="27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 w:lineRule="exact"/>
        <w:rPr>
          <w:sz w:val="20"/>
          <w:szCs w:val="20"/>
          <w:color w:val="auto"/>
        </w:rPr>
      </w:pPr>
    </w:p>
    <w:p>
      <w:pPr>
        <w:ind w:right="80" w:firstLine="518"/>
        <w:spacing w:after="0" w:line="295" w:lineRule="auto"/>
        <w:rPr>
          <w:sz w:val="20"/>
          <w:szCs w:val="20"/>
          <w:color w:val="auto"/>
        </w:rPr>
      </w:pPr>
      <w:r>
        <w:rPr>
          <w:rFonts w:ascii="Arial" w:cs="Arial" w:eastAsia="Arial" w:hAnsi="Arial"/>
          <w:sz w:val="16"/>
          <w:szCs w:val="16"/>
          <w:color w:val="auto"/>
        </w:rPr>
        <w:t>We may seek to establish one or more collaborators for the development and commercialization of one or more of our product candidates.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w:t>
      </w:r>
    </w:p>
    <w:p>
      <w:pPr>
        <w:spacing w:after="0" w:line="1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2" w:name="page43"/>
    <w:bookmarkEnd w:id="42"/>
    <w:p>
      <w:pPr>
        <w:ind w:right="880"/>
        <w:spacing w:after="0" w:line="342" w:lineRule="auto"/>
        <w:rPr>
          <w:sz w:val="20"/>
          <w:szCs w:val="20"/>
          <w:color w:val="auto"/>
        </w:rPr>
      </w:pPr>
      <w:r>
        <w:rPr>
          <w:rFonts w:ascii="Arial" w:cs="Arial" w:eastAsia="Arial" w:hAnsi="Arial"/>
          <w:sz w:val="16"/>
          <w:szCs w:val="16"/>
          <w:b w:val="1"/>
          <w:bCs w:val="1"/>
          <w:i w:val="1"/>
          <w:iCs w:val="1"/>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w:t>
      </w:r>
    </w:p>
    <w:p>
      <w:pPr>
        <w:spacing w:after="0" w:line="16"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and commercialization of our product candidates, our prospects with respect to those product candidates will depend in significant part on the success of those collaborations.</w:t>
      </w:r>
    </w:p>
    <w:p>
      <w:pPr>
        <w:spacing w:after="0" w:line="62"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may seek to enter into collaborations for the development and commercialization of certain of our product candidates. Other than our development funding agreement with SFJ, we have not entered into any collaborations to date.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pose a number of risks, including the following:</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40" w:right="380" w:hanging="519"/>
        <w:spacing w:after="0" w:line="259"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1040" w:right="11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62"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are a party to patent license agreements with Penn under which we license patent rights relating to a family of compounds for use in all fields. The licensed patent rights include issued U.S. and foreign patents with claims that recite a class of compounds generically covering our lead product candidate, APL-2, and that specifically recite APL-1.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27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7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7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78"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ind w:right="20" w:firstLine="518"/>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8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 candidates or relating to the use of complement inhibition that may cover our product candidates or approach to complement inhibition. For example, we are aware of a U.S. patent with claims that could be construed to cover APL-2. Although we believe that these claims, if construed to cover APL-2, would be invalid due to various prior art disclosures available more than a year before the priority date of the U.S. patent, there are no assurances that a court would agree. If any third-party patents or patent applications are found to cover our product candidates or their methods of use or our approach to complement inhibition, we may not be free to manufacture or market our product candidates as planned without obtaining a license, which may not be available on commercially reasonable terms,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right="80" w:firstLine="518"/>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proceedings before the USPTO.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73" w:lineRule="exact"/>
        <w:rPr>
          <w:sz w:val="20"/>
          <w:szCs w:val="20"/>
          <w:color w:val="auto"/>
        </w:rPr>
      </w:pPr>
    </w:p>
    <w:p>
      <w:pPr>
        <w:ind w:right="120" w:firstLine="571"/>
        <w:spacing w:after="0" w:line="270" w:lineRule="auto"/>
        <w:rPr>
          <w:sz w:val="20"/>
          <w:szCs w:val="20"/>
          <w:color w:val="auto"/>
        </w:rPr>
      </w:pPr>
      <w:r>
        <w:rPr>
          <w:rFonts w:ascii="Arial" w:cs="Arial" w:eastAsia="Arial" w:hAnsi="Arial"/>
          <w:sz w:val="17"/>
          <w:szCs w:val="17"/>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29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3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Some of our in-licensed intellectual property with respect to our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For example, under the “march-in” provisions of the Bayh-Dole Act, the U.S. government may have the right under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Intellectual property under such discoveries would be subject to the applicable provisions of the Bayh-Dole Act. Similarly, intellectual property that we license in the future may have been made using government funding and may be subject to the provisions of the Bayh-Dole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8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4"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380" w:firstLine="518"/>
        <w:spacing w:after="0" w:line="264"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540" w:firstLine="518"/>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Arial" w:cs="Arial" w:eastAsia="Arial" w:hAnsi="Arial"/>
          <w:sz w:val="18"/>
          <w:szCs w:val="18"/>
          <w:color w:val="auto"/>
        </w:rPr>
        <w:t>.</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121"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Even if we complete the necessary preclinical studies and clinical trials, the regulatory approval process is expensive, time 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2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and any future collaborators,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firstLine="518"/>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6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future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79"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Any delay in obtaining or failure to obtain required approvals and clearances could negatively impact our ability or that of any future collaborators to generate revenue from the particular product candidate, which likely would result in significant harm to our financial position and adversely impact our stock price.</w:t>
      </w:r>
    </w:p>
    <w:p>
      <w:pPr>
        <w:spacing w:after="0" w:line="2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2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other foreign jurisdictions, we, and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any future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39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right="720"/>
        <w:spacing w:after="0" w:line="277" w:lineRule="auto"/>
        <w:rPr>
          <w:sz w:val="20"/>
          <w:szCs w:val="20"/>
          <w:color w:val="auto"/>
        </w:rPr>
      </w:pPr>
      <w:r>
        <w:rPr>
          <w:rFonts w:ascii="Arial" w:cs="Arial" w:eastAsia="Arial" w:hAnsi="Arial"/>
          <w:sz w:val="18"/>
          <w:szCs w:val="18"/>
          <w:color w:val="auto"/>
        </w:rPr>
        <w:t>forced to restrict or delay efforts to seek regulatory approval in the United Kingdom and/or European Union for our product candidates, which could significantly and materially harm our business.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or any future collaborators, may not be able to obtain orphan drug designation or orphan drug exclusivity for our product candidates and, even if we do, that exclusivity many not prevent the FDA or the EMA from approving other competing products.</w:t>
      </w:r>
    </w:p>
    <w:p>
      <w:pPr>
        <w:spacing w:after="0" w:line="62" w:lineRule="exact"/>
        <w:rPr>
          <w:sz w:val="20"/>
          <w:szCs w:val="20"/>
          <w:color w:val="auto"/>
        </w:rPr>
      </w:pPr>
    </w:p>
    <w:p>
      <w:pPr>
        <w:ind w:right="240" w:firstLine="518"/>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APL-2 for the treatment of PNH and for the treatment of C3 glomerulopathy. We, or any future collaborators, may seek orphan drug designations for other product candidates and may be unable to obtain such designations.</w:t>
      </w:r>
    </w:p>
    <w:p>
      <w:pPr>
        <w:spacing w:after="0" w:line="3"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Even if we, or any future collaborators, obtain orphan drug designation for a product candidate, such as is the case for APL-2 for the treatment of PNH,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8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Even if we, or any future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Fast track designation for one or more of our product candidates may not actually lead to a faster development or regulatory review or approval process.</w:t>
      </w:r>
    </w:p>
    <w:p>
      <w:pPr>
        <w:spacing w:after="0" w:line="15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received fast track designations for APL-2 for the treatment of PNH and GA.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APL-2 for the treatment of PNH and GA, fast track designation does not ensure that we will receive marketing approval or that approval will be granted within any particular timeframe. We may not experience a faster development or regulatory review or approval process with fast 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Even if we, or any future collaborators, obtain marketing approvals for our product candidates, the terms of approvals and ongoing regulation of our products may limit how we manufacture and market our products, which could impair our ability to generate revenue.</w:t>
      </w:r>
    </w:p>
    <w:p>
      <w:pPr>
        <w:spacing w:after="0" w:line="3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160" w:firstLine="518"/>
        <w:spacing w:after="0" w:line="257"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the FDA to monitor and ensure compliance with cGMPs.</w:t>
      </w:r>
    </w:p>
    <w:p>
      <w:pPr>
        <w:spacing w:after="0" w:line="188"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Accordingly, assuming we, or any future collaborators, receive marketing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we, and any future collaborators, are not able to comply with post-approval regulatory requirements, we, and any future collaborators, could have the marketing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9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Any of our product candidates for which we, or any future collaborators, obtain marketing approval in the future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p>
    <w:p>
      <w:pPr>
        <w:spacing w:after="0" w:line="3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Any of our product candidates for which we, or any future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w:t>
      </w:r>
    </w:p>
    <w:p>
      <w:pPr>
        <w:spacing w:after="0" w:line="178"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92"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5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and our product candidates are the following:</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20"/>
        <w:spacing w:after="0" w:line="257" w:lineRule="auto"/>
        <w:rPr>
          <w:sz w:val="20"/>
          <w:szCs w:val="20"/>
          <w:color w:val="auto"/>
        </w:rPr>
      </w:pPr>
      <w:r>
        <w:rPr>
          <w:rFonts w:ascii="Arial" w:cs="Arial" w:eastAsia="Arial" w:hAnsi="Arial"/>
          <w:sz w:val="18"/>
          <w:szCs w:val="18"/>
          <w:color w:val="auto"/>
        </w:rPr>
        <w:t>Congressional session.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 We will continue to evaluate the effect that the ACA and its possible repeal and replacement could have on our business.</w:t>
      </w:r>
    </w:p>
    <w:p>
      <w:pPr>
        <w:spacing w:after="0" w:line="18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0" w:lineRule="exact"/>
        <w:rPr>
          <w:sz w:val="20"/>
          <w:szCs w:val="20"/>
          <w:color w:val="auto"/>
        </w:rPr>
      </w:pPr>
    </w:p>
    <w:p>
      <w:pPr>
        <w:ind w:right="1900" w:firstLine="518"/>
        <w:spacing w:after="0" w:line="270" w:lineRule="auto"/>
        <w:rPr>
          <w:sz w:val="20"/>
          <w:szCs w:val="20"/>
          <w:color w:val="auto"/>
        </w:rPr>
      </w:pPr>
      <w:r>
        <w:rPr>
          <w:rFonts w:ascii="Arial" w:cs="Arial" w:eastAsia="Arial" w:hAnsi="Arial"/>
          <w:sz w:val="17"/>
          <w:szCs w:val="17"/>
          <w:color w:val="auto"/>
        </w:rPr>
        <w:t>In addition, the Centers for Medicare &amp;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while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78" w:lineRule="exact"/>
        <w:rPr>
          <w:sz w:val="20"/>
          <w:szCs w:val="20"/>
          <w:color w:val="auto"/>
        </w:rPr>
      </w:pPr>
    </w:p>
    <w:p>
      <w:pPr>
        <w:ind w:right="1920" w:firstLine="761"/>
        <w:spacing w:after="0" w:line="284"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w:t>
      </w:r>
    </w:p>
    <w:p>
      <w:pPr>
        <w:spacing w:after="0" w:line="5"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efforts to repeal and replace the ACA will impact the ACA and our business. Litigation and legislation over the ACA are likely to continue, with unpredictable and uncertain results.</w:t>
      </w:r>
    </w:p>
    <w:p>
      <w:pPr>
        <w:spacing w:after="0" w:line="184" w:lineRule="exact"/>
        <w:rPr>
          <w:sz w:val="20"/>
          <w:szCs w:val="20"/>
          <w:color w:val="auto"/>
        </w:rPr>
      </w:pPr>
    </w:p>
    <w:p>
      <w:pPr>
        <w:ind w:firstLine="488"/>
        <w:spacing w:after="0" w:line="287"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Congress and the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ind w:right="160" w:firstLine="488"/>
        <w:spacing w:after="0" w:line="277" w:lineRule="auto"/>
        <w:rPr>
          <w:sz w:val="20"/>
          <w:szCs w:val="20"/>
          <w:color w:val="auto"/>
        </w:rPr>
      </w:pPr>
      <w:r>
        <w:rPr>
          <w:rFonts w:ascii="Arial" w:cs="Arial" w:eastAsia="Arial" w:hAnsi="Arial"/>
          <w:sz w:val="18"/>
          <w:szCs w:val="18"/>
          <w:color w:val="auto"/>
        </w:rPr>
        <w:t>Specifically, there have been several recent U.S. congressional inquiries and proposed federal and proposed and enacted state legislation designed to, among other things, bring more transparency to drug pricing, review the relationship between pricing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6"/>
          <w:szCs w:val="16"/>
          <w:color w:val="auto"/>
        </w:rPr>
        <w:t>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Administration issued a plan to lower drug prices. Under this blueprint for action, the Administration indicated that the Department of Health and Human Services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85" w:lineRule="exact"/>
        <w:rPr>
          <w:sz w:val="20"/>
          <w:szCs w:val="20"/>
          <w:color w:val="auto"/>
        </w:rPr>
      </w:pPr>
    </w:p>
    <w:p>
      <w:pPr>
        <w:ind w:right="20" w:firstLine="488"/>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6" w:lineRule="exact"/>
        <w:rPr>
          <w:sz w:val="20"/>
          <w:szCs w:val="20"/>
          <w:color w:val="auto"/>
        </w:rPr>
      </w:pPr>
    </w:p>
    <w:p>
      <w:pPr>
        <w:ind w:right="160" w:firstLine="488"/>
        <w:spacing w:after="0" w:line="276"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2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9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 xml:space="preserve">Transparency Requirements. </w:t>
      </w:r>
      <w:r>
        <w:rPr>
          <w:rFonts w:ascii="Arial" w:cs="Arial" w:eastAsia="Arial" w:hAnsi="Arial"/>
          <w:sz w:val="17"/>
          <w:szCs w:val="17"/>
          <w:color w:val="auto"/>
        </w:rPr>
        <w:t>The federal Physician Payments Sunshine Act requires certain manufacturers of drugs, devices, biologics, and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physicians and teaching hospitals, as well as information regarding ownership and investment interests held by physicians and their immediate family members; and</w:t>
      </w:r>
    </w:p>
    <w:p>
      <w:pPr>
        <w:spacing w:after="0" w:line="17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 xml:space="preserve">Analogous State and Foreign Laws. </w:t>
      </w:r>
      <w:r>
        <w:rPr>
          <w:rFonts w:ascii="Arial" w:cs="Arial" w:eastAsia="Arial" w:hAnsi="Arial"/>
          <w:sz w:val="17"/>
          <w:szCs w:val="17"/>
          <w:color w:val="auto"/>
        </w:rPr>
        <w:t>Analogous state and foreign fraud and abuse laws and regulations, such as state anti-kickback and false claims</w:t>
      </w:r>
      <w:r>
        <w:rPr>
          <w:rFonts w:ascii="Arial" w:cs="Arial" w:eastAsia="Arial" w:hAnsi="Arial"/>
          <w:sz w:val="17"/>
          <w:szCs w:val="17"/>
          <w:i w:val="1"/>
          <w:iCs w:val="1"/>
          <w:color w:val="auto"/>
        </w:rPr>
        <w:t xml:space="preserve"> </w:t>
      </w:r>
      <w:r>
        <w:rPr>
          <w:rFonts w:ascii="Arial" w:cs="Arial" w:eastAsia="Arial" w:hAnsi="Arial"/>
          <w:sz w:val="17"/>
          <w:szCs w:val="17"/>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right="220" w:firstLine="518"/>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p>
      <w:pPr>
        <w:ind w:right="80"/>
        <w:spacing w:after="0" w:line="264" w:lineRule="auto"/>
        <w:rPr>
          <w:sz w:val="20"/>
          <w:szCs w:val="20"/>
          <w:color w:val="auto"/>
        </w:rPr>
      </w:pPr>
      <w:r>
        <w:rPr>
          <w:rFonts w:ascii="Arial" w:cs="Arial" w:eastAsia="Arial" w:hAnsi="Arial"/>
          <w:sz w:val="18"/>
          <w:szCs w:val="18"/>
          <w:color w:val="auto"/>
        </w:rPr>
        <w:t>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harmed.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are highly dependent on the pharmaceutical research and development and business development expertise of our executive team, including Cedric Francois, M.D., Ph.D., our President and Chief Executive Officer, and Pascal Deschatelets, Ph.D., our Chief Operating Officer. The members of our executive team are employed “at will,” meaning any of them may terminate his employment with us at any time with or without notice and for any reason or no reason. In the future, we may be dependent on other members of our management, scientific and development team.</w:t>
      </w:r>
    </w:p>
    <w:p>
      <w:pPr>
        <w:spacing w:after="0" w:line="17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ind w:right="240" w:firstLine="518"/>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9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248"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manufacturing, clinical, regulatory affairs and sales, marketing and distribution. During 2018, the number of our employees increased from 39 on December 31, 2017 to 80 on December 31, 2018. Our headquarters are located in Kentucky and we maintain additional offices in Massachusetts and California. To manage these growth activities and separation of offices, we must continue to implement and improve our managerial, operational and financial systems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disrupt our business, cause dilution to our stockholders or reduce our financial resources.</w:t>
      </w:r>
    </w:p>
    <w:p>
      <w:pPr>
        <w:spacing w:after="0" w:line="22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available for operations and other uses. We cannot predict the number, timing or size of future acquisitions or the effect that any such transactions might have on our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62" w:lineRule="exact"/>
        <w:rPr>
          <w:sz w:val="20"/>
          <w:szCs w:val="20"/>
          <w:color w:val="auto"/>
        </w:rPr>
      </w:pPr>
    </w:p>
    <w:p>
      <w:pPr>
        <w:ind w:right="40" w:firstLine="588"/>
        <w:spacing w:after="0" w:line="302" w:lineRule="auto"/>
        <w:rPr>
          <w:sz w:val="20"/>
          <w:szCs w:val="20"/>
          <w:color w:val="auto"/>
        </w:rPr>
      </w:pPr>
      <w:r>
        <w:rPr>
          <w:rFonts w:ascii="Arial" w:cs="Arial" w:eastAsia="Arial" w:hAnsi="Arial"/>
          <w:sz w:val="16"/>
          <w:szCs w:val="16"/>
          <w:color w:val="auto"/>
        </w:rPr>
        <w:t>Our shares began trading on the Nasdaq Global Select Market on November 9, 2017. Given the limited trading history of our common stock,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highly volatile, which could result in substantial losses for our stockholders.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80"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results of clinical trials of APL-2 and any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17" w:lineRule="exact"/>
        <w:rPr>
          <w:rFonts w:ascii="Arial" w:cs="Arial" w:eastAsia="Arial" w:hAnsi="Arial"/>
          <w:sz w:val="18"/>
          <w:szCs w:val="18"/>
          <w:color w:val="auto"/>
        </w:rPr>
      </w:pPr>
    </w:p>
    <w:p>
      <w:pPr>
        <w:ind w:left="1040" w:right="9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 or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funds and may not use them effectively.</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Our management will have broad discretion in the application of our cash and cash equivalents and could spend our funds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especially as we are no longer an “emerging growth company”, as defined in the Jumpstart Our Business Startups Act of 2012, and are no longer able to take advantage of certain exemptions from various reporting requirements that are applicable to other public companies that are “emerging growth companies” and were applicable to us prior to January 1, 2019.</w:t>
      </w:r>
    </w:p>
    <w:p>
      <w:pPr>
        <w:spacing w:after="0" w:line="16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Pursuant to SOX Section 404, as of January 1, 2019, we are required to furnish with our periodic Exchange Act reports a report by our management on our internal control over financial reporting. As of December 31, 2018, because we are no longer an emerging growth company, we are required to include with our annual report an attestation report on internal control over financial reporting issued by our independent registered public accounting firm. To achieve compliance with SOX Section 404 within the prescribed period, we have been engaged in a process to document and evaluate our internal control over financial reporting, which has been, and will continued to be,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from time to time, that our internal control over financial reporting is effective. If we identify one or more material weaknesses, it could result in an adverse reaction in the financial markets due to a loss of confidence in the reliability of our financial statements.</w:t>
      </w:r>
    </w:p>
    <w:p>
      <w:pPr>
        <w:spacing w:after="0" w:line="3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41" w:lineRule="exact"/>
        <w:rPr>
          <w:sz w:val="20"/>
          <w:szCs w:val="20"/>
          <w:color w:val="auto"/>
        </w:rPr>
      </w:pPr>
    </w:p>
    <w:p>
      <w:pPr>
        <w:ind w:right="280" w:firstLine="761"/>
        <w:spacing w:after="0" w:line="26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spacing w:after="0" w:line="154"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reporting are not effective, or we discover areas that need improvement in the future, these shortcomings could have an adverse effect on our business and financial results, and the price of our common stock could be negatively affected.</w:t>
      </w:r>
    </w:p>
    <w:p>
      <w:pPr>
        <w:spacing w:after="0" w:line="130" w:lineRule="exact"/>
        <w:rPr>
          <w:sz w:val="20"/>
          <w:szCs w:val="20"/>
          <w:color w:val="auto"/>
        </w:rPr>
      </w:pPr>
    </w:p>
    <w:p>
      <w:pPr>
        <w:ind w:right="20" w:firstLine="761"/>
        <w:spacing w:after="0" w:line="279" w:lineRule="auto"/>
        <w:rPr>
          <w:sz w:val="20"/>
          <w:szCs w:val="20"/>
          <w:color w:val="auto"/>
        </w:rPr>
      </w:pPr>
      <w:r>
        <w:rPr>
          <w:rFonts w:ascii="Arial" w:cs="Arial" w:eastAsia="Arial" w:hAnsi="Arial"/>
          <w:sz w:val="17"/>
          <w:szCs w:val="17"/>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62"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31, 2019, we had 63,218,476 shares of common stock outstanding. All of these shares may be freely sold in the public market at any time to the extent permitted by Rules 144 and 701 under the Securities Act of 1933, as amended, or the Securities Act and subject to the volume limitations applicable to affiliates.</w:t>
      </w:r>
    </w:p>
    <w:p>
      <w:pPr>
        <w:spacing w:after="0" w:line="154"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have registered all shares of common stock that we may issue under our equity compensation plans. As of March 31, 2019, we had options to purchase an aggregate of 9,191,033 shares of our common stock outstanding, of which options to purchase 4,493,865 shares were vested. These shares can be freely sold in the public market upon issuance, subject to volume limitations applicable to affiliates. Moreover, holders of an aggregate of 11,178,984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31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December 22, 2017, President Trump signed into law new legislation, commonly referred to as the Tax Cuts and Jobs Act, or the TCJA, that significantly revised the Internal Revenue Code of 1986, as amended.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federal tax law remains uncertain and our business and financial condition could be adversely affected. In addition, how various states will respond to the TCJA continues to be uncertain.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As of December 31, 2018, we had both federal and state net operating loss carryforwards of $251.4 million and $254.6 million, respectively, and federal research and development tax credit carryforwards of $14.4 million, all of which if not utilized will begin to expire in 2024. These net operating loss and tax credit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62"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plan to retain all of our future earnings, if any, to finance the operation, development and growth of our business. In addition, the terms of our development funding agreement with SFJ preclude us from paying dividends, and any future debt or credit agreements may also preclude us from paying dividends. As a result, capital appreciation, if any, of our common stock will be our stockholders’ sole source of gain for the foreseeable future.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As of March 31, 2019, our executive officers and directors, and entities associated or affiliated with our executive officers and directors, in the aggregate, beneficially owned shares representing approximately 30.44% of our outstanding common stock, including our largest stockholder, Morningside Venture Investments, Ltd., which beneficially owned approximately 19.0%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spacing w:after="0" w:line="70"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spacing w:after="0" w:line="29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3"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right="100"/>
        <w:spacing w:after="0" w:line="257" w:lineRule="auto"/>
        <w:rPr>
          <w:sz w:val="20"/>
          <w:szCs w:val="20"/>
          <w:color w:val="auto"/>
        </w:rPr>
      </w:pPr>
      <w:r>
        <w:rPr>
          <w:rFonts w:ascii="Arial" w:cs="Arial" w:eastAsia="Arial" w:hAnsi="Arial"/>
          <w:sz w:val="18"/>
          <w:szCs w:val="18"/>
          <w:color w:val="auto"/>
        </w:rPr>
        <w:t>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27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officers and employees.</w:t>
      </w:r>
    </w:p>
    <w:p>
      <w:pPr>
        <w:spacing w:after="0" w:line="47"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225"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November 13, 2017, we closed our initial public offering, or IPO of 10,714,000 shares of our common stock at a public offering price of $14.00 per share resulting in gross proceeds of approximately $150.0 million. In addition, on December 13, 2017, we issued and sold an additional 981,107 shares of common stock at the IPO price of $14.00 per share pursuant to the underwriters’ partial exercise of their option to purchase additional shares of common stock, resulting in gross proceeds of approximately $13.8 million. The offer and sale of all of the shares in the offering were registered under the Securities Act pursuant to registration statement on Form S-1 (File No. 333-220941), which was declared effective by the SEC on November 8, 2017. Citigroup Global Markets Inc., J.P. Morgan Securities LLC and Evercore Group L.L.C. acted as joint book-running managers for the offering and as representatives of the underwriters. The offering commenced on November 8, 2017 and did not terminate until the sale of all of the shares offered.</w:t>
      </w:r>
    </w:p>
    <w:p>
      <w:pPr>
        <w:spacing w:after="0" w:line="16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We received aggregate net proceeds from the offering of approximately $150.0 million, after deducting underwriting discounts and commissions of $11.5 million and estimated offering expenses of $2.3 million payable by us. None of the underwriting discounts and commissions or offering expenses were incurred or paid to directors or officers of ours or their associates or to persons owning 10% or more of our common stock or to any affiliates of ours.</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As of March 31, 2019, we have used approximately all of the net proceeds from the IPO to fund clinical trials of APL-2, as well as for working capital and general corporate purposes. We have not used any of the net proceeds from the IPO to make payments, directly or indirectly, to any director or officer of ours or any of their associates, to any person owning 10% or more of our common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t>stock, or to any affiliate of ours. There has been no material change in our planned use of the net proceeds from the IPO as described in our final prospectus dated November 9, 2017, filed with the SEC pursuant to Rule 424(b) under the Securities Act.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12"/>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558"/>
        </w:trPr>
        <w:tc>
          <w:tcPr>
            <w:tcW w:w="94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9"/>
          </w:tcPr>
          <w:p>
            <w:pPr>
              <w:ind w:left="3800"/>
              <w:spacing w:after="0"/>
              <w:rPr>
                <w:sz w:val="20"/>
                <w:szCs w:val="20"/>
                <w:color w:val="auto"/>
              </w:rPr>
            </w:pPr>
            <w:r>
              <w:rPr>
                <w:rFonts w:ascii="Arial" w:cs="Arial" w:eastAsia="Arial" w:hAnsi="Arial"/>
                <w:sz w:val="14"/>
                <w:szCs w:val="14"/>
                <w:b w:val="1"/>
                <w:bCs w:val="1"/>
                <w:color w:val="auto"/>
              </w:rPr>
              <w:t>Description</w:t>
            </w:r>
          </w:p>
        </w:tc>
      </w:tr>
      <w:tr>
        <w:trPr>
          <w:trHeight w:val="358"/>
        </w:trPr>
        <w:tc>
          <w:tcPr>
            <w:tcW w:w="940" w:type="dxa"/>
            <w:vAlign w:val="bottom"/>
          </w:tcPr>
          <w:p>
            <w:pPr>
              <w:ind w:left="1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Development Funding Agreement, dated as of February 28, 2019 by and between the Registrant and SFJ Pharmaceuticals XI, L.P</w:t>
              </w:r>
            </w:hyperlink>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Standard Office Lease, dated as of March 29, 2019, by and between the Registrant and Geary-Market Investment Company, Ltd.</w:t>
              </w:r>
            </w:hyperlink>
          </w:p>
        </w:tc>
        <w:tc>
          <w:tcPr>
            <w:tcW w:w="80" w:type="dxa"/>
            <w:vAlign w:val="bottom"/>
            <w:tcBorders>
              <w:top w:val="single" w:sz="8" w:color="0000EE"/>
            </w:tcBorders>
          </w:tcPr>
          <w:p>
            <w:pPr>
              <w:spacing w:after="0"/>
              <w:rPr>
                <w:sz w:val="24"/>
                <w:szCs w:val="24"/>
                <w:color w:val="auto"/>
              </w:rPr>
            </w:pPr>
          </w:p>
        </w:tc>
        <w:tc>
          <w:tcPr>
            <w:tcW w:w="780" w:type="dxa"/>
            <w:vAlign w:val="bottom"/>
            <w:gridSpan w:val="5"/>
          </w:tcPr>
          <w:p>
            <w:pPr>
              <w:spacing w:after="0"/>
              <w:rPr>
                <w:sz w:val="24"/>
                <w:szCs w:val="24"/>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Offer Letter, dated as of April 13, 2018, by and between the Registrant and Lukas Scheibler</w:t>
              </w:r>
            </w:hyperlink>
            <w:r>
              <w:rPr>
                <w:rFonts w:ascii="Arial" w:cs="Arial" w:eastAsia="Arial" w:hAnsi="Arial"/>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5"/>
              </w:rPr>
            </w:pPr>
            <w:hyperlink w:anchor="page188">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88">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5"/>
          </w:tcPr>
          <w:p>
            <w:pPr>
              <w:spacing w:after="0"/>
              <w:rPr>
                <w:sz w:val="17"/>
                <w:szCs w:val="17"/>
                <w:color w:val="auto"/>
              </w:rPr>
            </w:pPr>
          </w:p>
        </w:tc>
        <w:tc>
          <w:tcPr>
            <w:tcW w:w="520" w:type="dxa"/>
            <w:vAlign w:val="bottom"/>
            <w:gridSpan w:val="3"/>
          </w:tcPr>
          <w:p>
            <w:pPr>
              <w:spacing w:after="0"/>
              <w:rPr>
                <w:sz w:val="17"/>
                <w:szCs w:val="17"/>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9">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56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Adopted Pursuant to Section 302 of the Sarbanes-Oxley Act of 2002.</w:t>
              </w:r>
            </w:hyperlink>
          </w:p>
        </w:tc>
        <w:tc>
          <w:tcPr>
            <w:tcW w:w="5140" w:type="dxa"/>
            <w:vAlign w:val="bottom"/>
            <w:gridSpan w:val="8"/>
          </w:tcPr>
          <w:p>
            <w:pPr>
              <w:spacing w:after="0"/>
              <w:rPr>
                <w:sz w:val="17"/>
                <w:szCs w:val="17"/>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1"/>
              </w:rPr>
            </w:pPr>
            <w:hyperlink w:anchor="page190">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Act of 2002.</w:t>
              </w:r>
            </w:hyperlink>
          </w:p>
        </w:tc>
        <w:tc>
          <w:tcPr>
            <w:tcW w:w="9140" w:type="dxa"/>
            <w:vAlign w:val="bottom"/>
            <w:tcBorders>
              <w:top w:val="single" w:sz="8" w:color="0000EE"/>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91">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2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Act of 2002.</w:t>
              </w:r>
            </w:hyperlink>
          </w:p>
        </w:tc>
        <w:tc>
          <w:tcPr>
            <w:tcW w:w="9220" w:type="dxa"/>
            <w:vAlign w:val="bottom"/>
            <w:gridSpan w:val="9"/>
          </w:tcPr>
          <w:p>
            <w:pPr>
              <w:spacing w:after="0"/>
              <w:rPr>
                <w:sz w:val="17"/>
                <w:szCs w:val="17"/>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portions of this exhibit are subject to confidential treatment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Apellis Pharmaceuticals, Inc.</w:t>
            </w:r>
          </w:p>
        </w:tc>
      </w:tr>
      <w:tr>
        <w:trPr>
          <w:trHeight w:val="486"/>
        </w:trPr>
        <w:tc>
          <w:tcPr>
            <w:tcW w:w="3500" w:type="dxa"/>
            <w:vAlign w:val="bottom"/>
          </w:tcPr>
          <w:p>
            <w:pPr>
              <w:spacing w:after="0"/>
              <w:rPr>
                <w:sz w:val="20"/>
                <w:szCs w:val="20"/>
                <w:color w:val="auto"/>
              </w:rPr>
            </w:pPr>
            <w:r>
              <w:rPr>
                <w:rFonts w:ascii="Arial" w:cs="Arial" w:eastAsia="Arial" w:hAnsi="Arial"/>
                <w:sz w:val="18"/>
                <w:szCs w:val="18"/>
                <w:color w:val="auto"/>
              </w:rPr>
              <w:t>Date: May 7, 2019</w:t>
            </w:r>
          </w:p>
        </w:tc>
        <w:tc>
          <w:tcPr>
            <w:tcW w:w="3660" w:type="dxa"/>
            <w:vAlign w:val="bottom"/>
          </w:tcPr>
          <w:p>
            <w:pPr>
              <w:ind w:left="33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Cedric Francois</w:t>
            </w:r>
          </w:p>
        </w:tc>
      </w:tr>
      <w:tr>
        <w:trPr>
          <w:trHeight w:val="222"/>
        </w:trPr>
        <w:tc>
          <w:tcPr>
            <w:tcW w:w="35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Cedric Francois</w:t>
            </w:r>
          </w:p>
        </w:tc>
      </w:tr>
      <w:tr>
        <w:trPr>
          <w:trHeight w:val="216"/>
        </w:trPr>
        <w:tc>
          <w:tcPr>
            <w:tcW w:w="3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7, 2019</w:t>
            </w:r>
          </w:p>
        </w:tc>
        <w:tc>
          <w:tcPr>
            <w:tcW w:w="3660" w:type="dxa"/>
            <w:vAlign w:val="bottom"/>
          </w:tcPr>
          <w:p>
            <w:pPr>
              <w:ind w:left="33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Sullivan</w:t>
            </w:r>
          </w:p>
        </w:tc>
      </w:tr>
      <w:tr>
        <w:trPr>
          <w:trHeight w:val="222"/>
        </w:trPr>
        <w:tc>
          <w:tcPr>
            <w:tcW w:w="35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Timothy Sullivan</w:t>
            </w:r>
          </w:p>
        </w:tc>
      </w:tr>
      <w:tr>
        <w:trPr>
          <w:trHeight w:val="216"/>
        </w:trPr>
        <w:tc>
          <w:tcPr>
            <w:tcW w:w="3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824"/>
        </w:trPr>
        <w:tc>
          <w:tcPr>
            <w:tcW w:w="3500" w:type="dxa"/>
            <w:vAlign w:val="bottom"/>
          </w:tcPr>
          <w:p>
            <w:pPr>
              <w:spacing w:after="0"/>
              <w:rPr>
                <w:sz w:val="24"/>
                <w:szCs w:val="24"/>
                <w:color w:val="auto"/>
              </w:rPr>
            </w:pPr>
          </w:p>
        </w:tc>
        <w:tc>
          <w:tcPr>
            <w:tcW w:w="3660" w:type="dxa"/>
            <w:vAlign w:val="bottom"/>
          </w:tcPr>
          <w:p>
            <w:pPr>
              <w:jc w:val="right"/>
              <w:ind w:right="127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wp:posOffset>
            </wp:positionV>
            <wp:extent cx="5651500" cy="617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1500" cy="617220"/>
                    </a:xfrm>
                    <a:prstGeom prst="rect">
                      <a:avLst/>
                    </a:prstGeom>
                    <a:noFill/>
                  </pic:spPr>
                </pic:pic>
              </a:graphicData>
            </a:graphic>
          </wp:anchor>
        </w:drawing>
      </w:r>
    </w:p>
    <w:p>
      <w:pPr>
        <w:spacing w:after="0" w:line="108" w:lineRule="exact"/>
        <w:rPr>
          <w:sz w:val="20"/>
          <w:szCs w:val="20"/>
          <w:color w:val="auto"/>
        </w:rPr>
      </w:pPr>
    </w:p>
    <w:p>
      <w:pPr>
        <w:ind w:left="1380" w:right="1460"/>
        <w:spacing w:after="0"/>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FUNDING AGREEMENT</w:t>
      </w:r>
    </w:p>
    <w:p>
      <w:pPr>
        <w:spacing w:after="0" w:line="212" w:lineRule="exact"/>
        <w:rPr>
          <w:sz w:val="20"/>
          <w:szCs w:val="20"/>
          <w:color w:val="auto"/>
        </w:rPr>
      </w:pPr>
    </w:p>
    <w:p>
      <w:pPr>
        <w:ind w:right="100" w:firstLine="877"/>
        <w:spacing w:after="0" w:line="282" w:lineRule="auto"/>
        <w:rPr>
          <w:sz w:val="20"/>
          <w:szCs w:val="20"/>
          <w:color w:val="auto"/>
        </w:rPr>
      </w:pPr>
      <w:r>
        <w:rPr>
          <w:rFonts w:ascii="Arial" w:cs="Arial" w:eastAsia="Arial" w:hAnsi="Arial"/>
          <w:sz w:val="19"/>
          <w:szCs w:val="19"/>
          <w:color w:val="auto"/>
        </w:rPr>
        <w:t>This Development Funding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made effective as of February 28, 2019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by and between Apellis Pharmaceuticals Inc., a Delaware corporation, with a principal place of business at 6400 Westwind Way, Suite A, Crestwood, KY 40014, USA (“Apellis”), and SFJ Pharmaceuticals XI, L.P. (“</w:t>
      </w:r>
      <w:r>
        <w:rPr>
          <w:rFonts w:ascii="Arial" w:cs="Arial" w:eastAsia="Arial" w:hAnsi="Arial"/>
          <w:sz w:val="19"/>
          <w:szCs w:val="19"/>
          <w:u w:val="single" w:color="auto"/>
          <w:color w:val="auto"/>
        </w:rPr>
        <w:t>SFJ</w:t>
      </w:r>
      <w:r>
        <w:rPr>
          <w:rFonts w:ascii="Arial" w:cs="Arial" w:eastAsia="Arial" w:hAnsi="Arial"/>
          <w:sz w:val="19"/>
          <w:szCs w:val="19"/>
          <w:color w:val="auto"/>
        </w:rPr>
        <w:t>”), an SFJ Pharmaceuticals Group company and limited partnership organized and existing under the laws of Delaware, having its principal place of business at 5000 Hopyard Road, Suite 330, Pleasanton, CA 94588, US (each,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48" w:lineRule="exact"/>
        <w:rPr>
          <w:sz w:val="20"/>
          <w:szCs w:val="20"/>
          <w:color w:val="auto"/>
        </w:rPr>
      </w:pPr>
    </w:p>
    <w:p>
      <w:pPr>
        <w:jc w:val="both"/>
        <w:ind w:right="180" w:firstLine="877"/>
        <w:spacing w:after="0"/>
        <w:rPr>
          <w:sz w:val="20"/>
          <w:szCs w:val="20"/>
          <w:color w:val="auto"/>
        </w:rPr>
      </w:pPr>
      <w:r>
        <w:rPr>
          <w:rFonts w:ascii="Arial" w:cs="Arial" w:eastAsia="Arial" w:hAnsi="Arial"/>
          <w:sz w:val="22"/>
          <w:szCs w:val="22"/>
          <w:color w:val="auto"/>
        </w:rPr>
        <w:t>WHEREAS, SFJ is in the business of facilitating, among other things, the development and approval of pharmaceutical products and desires to provide financing for the development of the Product as a treatment of patients with paroxysmal nocturnal hemoglobinuria (“</w:t>
      </w:r>
      <w:r>
        <w:rPr>
          <w:rFonts w:ascii="Arial" w:cs="Arial" w:eastAsia="Arial" w:hAnsi="Arial"/>
          <w:sz w:val="22"/>
          <w:szCs w:val="22"/>
          <w:u w:val="single" w:color="auto"/>
          <w:color w:val="auto"/>
        </w:rPr>
        <w:t>PNH</w:t>
      </w:r>
      <w:r>
        <w:rPr>
          <w:rFonts w:ascii="Arial" w:cs="Arial" w:eastAsia="Arial" w:hAnsi="Arial"/>
          <w:sz w:val="22"/>
          <w:szCs w:val="22"/>
          <w:color w:val="auto"/>
        </w:rPr>
        <w:t>”); and</w:t>
      </w:r>
    </w:p>
    <w:p>
      <w:pPr>
        <w:spacing w:after="0" w:line="186" w:lineRule="exact"/>
        <w:rPr>
          <w:sz w:val="20"/>
          <w:szCs w:val="20"/>
          <w:color w:val="auto"/>
        </w:rPr>
      </w:pPr>
    </w:p>
    <w:p>
      <w:pPr>
        <w:ind w:right="40" w:firstLine="877"/>
        <w:spacing w:after="0" w:line="328" w:lineRule="auto"/>
        <w:rPr>
          <w:sz w:val="20"/>
          <w:szCs w:val="20"/>
          <w:color w:val="auto"/>
        </w:rPr>
      </w:pPr>
      <w:r>
        <w:rPr>
          <w:rFonts w:ascii="Arial" w:cs="Arial" w:eastAsia="Arial" w:hAnsi="Arial"/>
          <w:sz w:val="19"/>
          <w:szCs w:val="19"/>
          <w:color w:val="auto"/>
        </w:rPr>
        <w:t>WHEREAS, Apellis has rights to the Product, is conducting clinical trials of the Product in patients with PNH and would like to enter into an agreement with SFJ to enable SFJ to provide financing for the continued development of the Product.</w:t>
      </w:r>
    </w:p>
    <w:p>
      <w:pPr>
        <w:spacing w:after="0" w:line="105" w:lineRule="exact"/>
        <w:rPr>
          <w:sz w:val="20"/>
          <w:szCs w:val="20"/>
          <w:color w:val="auto"/>
        </w:rPr>
      </w:pPr>
    </w:p>
    <w:p>
      <w:pPr>
        <w:ind w:right="980" w:firstLine="877"/>
        <w:spacing w:after="0" w:line="251" w:lineRule="auto"/>
        <w:rPr>
          <w:sz w:val="20"/>
          <w:szCs w:val="20"/>
          <w:color w:val="auto"/>
        </w:rPr>
      </w:pPr>
      <w:r>
        <w:rPr>
          <w:rFonts w:ascii="Arial" w:cs="Arial" w:eastAsia="Arial" w:hAnsi="Arial"/>
          <w:sz w:val="22"/>
          <w:szCs w:val="22"/>
          <w:color w:val="auto"/>
        </w:rPr>
        <w:t>NOW THEREFORE, in consideration of the mutual agreements contained herein and other good and valuable consideration, the sufficiency of which is hereby acknowledged, the Parties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right="360" w:firstLine="877"/>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Initially capitalized terms will have the meaning ascribed to such terms in this Agreement, including the following terms which will have the following respective meanings:</w:t>
      </w:r>
    </w:p>
    <w:p>
      <w:pPr>
        <w:spacing w:after="0" w:line="173" w:lineRule="exact"/>
        <w:rPr>
          <w:sz w:val="20"/>
          <w:szCs w:val="20"/>
          <w:color w:val="auto"/>
        </w:rPr>
      </w:pPr>
    </w:p>
    <w:p>
      <w:pPr>
        <w:ind w:left="880" w:right="160" w:firstLine="1620"/>
        <w:spacing w:after="0" w:line="274" w:lineRule="auto"/>
        <w:rPr>
          <w:sz w:val="20"/>
          <w:szCs w:val="20"/>
          <w:color w:val="auto"/>
        </w:rPr>
      </w:pPr>
      <w:r>
        <w:rPr>
          <w:rFonts w:ascii="Arial" w:cs="Arial" w:eastAsia="Arial" w:hAnsi="Arial"/>
          <w:sz w:val="21"/>
          <w:szCs w:val="21"/>
          <w:color w:val="auto"/>
        </w:rPr>
        <w:t>1.1.1 “</w:t>
      </w:r>
      <w:r>
        <w:rPr>
          <w:rFonts w:ascii="Arial" w:cs="Arial" w:eastAsia="Arial" w:hAnsi="Arial"/>
          <w:sz w:val="21"/>
          <w:szCs w:val="21"/>
          <w:u w:val="single" w:color="auto"/>
          <w:color w:val="auto"/>
        </w:rPr>
        <w:t>Account</w:t>
      </w:r>
      <w:r>
        <w:rPr>
          <w:rFonts w:ascii="Arial" w:cs="Arial" w:eastAsia="Arial" w:hAnsi="Arial"/>
          <w:sz w:val="21"/>
          <w:szCs w:val="21"/>
          <w:color w:val="auto"/>
        </w:rPr>
        <w:t>” is any “account” as defined in the UCC with such additions as such term may hereafter be made and includes, without limitation, all accounts receivable and other sums owing to Apellis.</w:t>
      </w:r>
    </w:p>
    <w:p>
      <w:pPr>
        <w:spacing w:after="0" w:line="151"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Additional SFJ Funding</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206" w:lineRule="exact"/>
        <w:rPr>
          <w:sz w:val="20"/>
          <w:szCs w:val="20"/>
          <w:color w:val="auto"/>
        </w:rPr>
      </w:pPr>
    </w:p>
    <w:p>
      <w:pPr>
        <w:ind w:left="880" w:right="80" w:firstLine="1620"/>
        <w:spacing w:after="0" w:line="258" w:lineRule="auto"/>
        <w:rPr>
          <w:sz w:val="20"/>
          <w:szCs w:val="20"/>
          <w:color w:val="auto"/>
        </w:rPr>
      </w:pPr>
      <w:r>
        <w:rPr>
          <w:rFonts w:ascii="Arial" w:cs="Arial" w:eastAsia="Arial" w:hAnsi="Arial"/>
          <w:sz w:val="21"/>
          <w:szCs w:val="21"/>
          <w:color w:val="auto"/>
        </w:rPr>
        <w:t>1.1.3 “</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Person, a business entity under common control with, or controlling or controlled by, such Person, with “control” meaning direct or indirect ownership of 50% or more of the voting interest in the applicable Person, and in the case of a partnership, control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ind w:left="1620"/>
        <w:spacing w:after="0"/>
        <w:tabs>
          <w:tab w:leader="none" w:pos="26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Alliance Manager</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5.1.5</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Apellis</w:t>
      </w:r>
      <w:r>
        <w:rPr>
          <w:rFonts w:ascii="Arial" w:cs="Arial" w:eastAsia="Arial" w:hAnsi="Arial"/>
          <w:sz w:val="19"/>
          <w:szCs w:val="19"/>
          <w:color w:val="auto"/>
        </w:rPr>
        <w:t>” has the meaning ascribed to such term in the Preamble.</w:t>
      </w:r>
    </w:p>
    <w:p>
      <w:pPr>
        <w:spacing w:after="0" w:line="206" w:lineRule="exact"/>
        <w:rPr>
          <w:sz w:val="20"/>
          <w:szCs w:val="20"/>
          <w:color w:val="auto"/>
        </w:rPr>
      </w:pPr>
    </w:p>
    <w:p>
      <w:pPr>
        <w:ind w:right="260" w:firstLine="1620"/>
        <w:spacing w:after="0" w:line="297"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u w:val="single" w:color="auto"/>
          <w:color w:val="auto"/>
        </w:rPr>
        <w:t>Apellis Confidential Information</w:t>
      </w:r>
      <w:r>
        <w:rPr>
          <w:rFonts w:ascii="Arial" w:cs="Arial" w:eastAsia="Arial" w:hAnsi="Arial"/>
          <w:sz w:val="19"/>
          <w:szCs w:val="19"/>
          <w:color w:val="auto"/>
        </w:rPr>
        <w:t>” means all Confidential Information provided and/or disclosed by or on behalf of Apellis or its Affiliates, agents or representatives to SFJ or its Affiliates, agents or representatives hereunder. For clarity, Apellis Confidential Information will include any and all CMC Information.</w:t>
      </w:r>
    </w:p>
    <w:p>
      <w:pPr>
        <w:spacing w:after="0" w:line="134" w:lineRule="exact"/>
        <w:rPr>
          <w:sz w:val="20"/>
          <w:szCs w:val="20"/>
          <w:color w:val="auto"/>
        </w:rPr>
      </w:pPr>
    </w:p>
    <w:p>
      <w:pPr>
        <w:ind w:right="180" w:firstLine="1620"/>
        <w:spacing w:after="0" w:line="251"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Apellis Development Costs</w:t>
      </w:r>
      <w:r>
        <w:rPr>
          <w:rFonts w:ascii="Arial" w:cs="Arial" w:eastAsia="Arial" w:hAnsi="Arial"/>
          <w:sz w:val="22"/>
          <w:szCs w:val="22"/>
          <w:color w:val="auto"/>
        </w:rPr>
        <w:t>” means all costs incurred by Apellis in connection with the Development Program.</w:t>
      </w:r>
    </w:p>
    <w:p>
      <w:pPr>
        <w:spacing w:after="0" w:line="173"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Apellis Disclosure Materials</w:t>
      </w:r>
      <w:r>
        <w:rPr>
          <w:rFonts w:ascii="Arial" w:cs="Arial" w:eastAsia="Arial" w:hAnsi="Arial"/>
          <w:sz w:val="19"/>
          <w:szCs w:val="19"/>
          <w:color w:val="auto"/>
        </w:rPr>
        <w:t>” means the financial statements and reports listed 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Exhibit J.</w:t>
      </w:r>
    </w:p>
    <w:p>
      <w:pPr>
        <w:spacing w:after="0" w:line="188" w:lineRule="exact"/>
        <w:rPr>
          <w:sz w:val="20"/>
          <w:szCs w:val="20"/>
          <w:color w:val="auto"/>
        </w:rPr>
      </w:pPr>
    </w:p>
    <w:p>
      <w:pPr>
        <w:ind w:left="1620"/>
        <w:spacing w:after="0"/>
        <w:tabs>
          <w:tab w:leader="none" w:pos="27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Apellis Indemnified Parties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12.1.1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APL Intellectual Property</w:t>
      </w:r>
      <w:r>
        <w:rPr>
          <w:rFonts w:ascii="Arial" w:cs="Arial" w:eastAsia="Arial" w:hAnsi="Arial"/>
          <w:sz w:val="19"/>
          <w:szCs w:val="19"/>
          <w:color w:val="auto"/>
        </w:rPr>
        <w:t>” means all Intellectual Property owned or Controlled 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Apellis.</w:t>
      </w:r>
    </w:p>
    <w:p>
      <w:pPr>
        <w:spacing w:after="0" w:line="188" w:lineRule="exact"/>
        <w:rPr>
          <w:sz w:val="20"/>
          <w:szCs w:val="20"/>
          <w:color w:val="auto"/>
        </w:rPr>
      </w:pPr>
    </w:p>
    <w:p>
      <w:pPr>
        <w:ind w:firstLine="1620"/>
        <w:spacing w:after="0" w:line="251"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u w:val="single" w:color="auto"/>
          <w:color w:val="auto"/>
        </w:rPr>
        <w:t>APL Restricted Intellectual Property</w:t>
      </w:r>
      <w:r>
        <w:rPr>
          <w:rFonts w:ascii="Arial" w:cs="Arial" w:eastAsia="Arial" w:hAnsi="Arial"/>
          <w:sz w:val="22"/>
          <w:szCs w:val="22"/>
          <w:color w:val="auto"/>
        </w:rPr>
        <w:t>” means APL Intellectual Property that is necessary or useful for the manufacture, use, marketing, sale or import of APL 2.</w:t>
      </w:r>
    </w:p>
    <w:p>
      <w:pPr>
        <w:spacing w:after="0" w:line="173" w:lineRule="exact"/>
        <w:rPr>
          <w:sz w:val="20"/>
          <w:szCs w:val="20"/>
          <w:color w:val="auto"/>
        </w:rPr>
      </w:pPr>
    </w:p>
    <w:p>
      <w:pPr>
        <w:ind w:right="40" w:firstLine="1620"/>
        <w:spacing w:after="0" w:line="249" w:lineRule="auto"/>
        <w:rPr>
          <w:sz w:val="20"/>
          <w:szCs w:val="20"/>
          <w:color w:val="auto"/>
        </w:rPr>
      </w:pPr>
      <w:r>
        <w:rPr>
          <w:rFonts w:ascii="Arial" w:cs="Arial" w:eastAsia="Arial" w:hAnsi="Arial"/>
          <w:sz w:val="21"/>
          <w:szCs w:val="21"/>
          <w:color w:val="auto"/>
        </w:rPr>
        <w:t>1.1.12 “</w:t>
      </w:r>
      <w:r>
        <w:rPr>
          <w:rFonts w:ascii="Arial" w:cs="Arial" w:eastAsia="Arial" w:hAnsi="Arial"/>
          <w:sz w:val="21"/>
          <w:szCs w:val="21"/>
          <w:u w:val="single" w:color="auto"/>
          <w:color w:val="auto"/>
        </w:rPr>
        <w:t>Applicable Law</w:t>
      </w:r>
      <w:r>
        <w:rPr>
          <w:rFonts w:ascii="Arial" w:cs="Arial" w:eastAsia="Arial" w:hAnsi="Arial"/>
          <w:sz w:val="21"/>
          <w:szCs w:val="21"/>
          <w:color w:val="auto"/>
        </w:rPr>
        <w:t>” means the applicable laws, rules and regulations, including any rules, regulations, guidelines, or other requirements of any Governmental Authorities (including any Regulatory Authorities), to the extent legally binding, that may be in effect from time to time in any country or regulatory jurisdiction of the Territory. For clarity, Applicable Laws will include all laws, regulations and legally binding guidelines, including legally binding GCP, GLP, GMP and ICH guidelines applicable to the Trial.</w:t>
      </w:r>
    </w:p>
    <w:p>
      <w:pPr>
        <w:spacing w:after="0" w:line="179"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Approval Payments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Background Materials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206" w:lineRule="exact"/>
        <w:rPr>
          <w:sz w:val="20"/>
          <w:szCs w:val="20"/>
          <w:color w:val="auto"/>
        </w:rPr>
      </w:pPr>
    </w:p>
    <w:p>
      <w:pPr>
        <w:ind w:right="340" w:firstLine="1620"/>
        <w:spacing w:after="0"/>
        <w:rPr>
          <w:sz w:val="20"/>
          <w:szCs w:val="20"/>
          <w:color w:val="auto"/>
        </w:rPr>
      </w:pPr>
      <w:r>
        <w:rPr>
          <w:rFonts w:ascii="Arial" w:cs="Arial" w:eastAsia="Arial" w:hAnsi="Arial"/>
          <w:sz w:val="22"/>
          <w:szCs w:val="22"/>
          <w:color w:val="auto"/>
        </w:rPr>
        <w:t>1.1.15 “</w:t>
      </w:r>
      <w:r>
        <w:rPr>
          <w:rFonts w:ascii="Arial" w:cs="Arial" w:eastAsia="Arial" w:hAnsi="Arial"/>
          <w:sz w:val="22"/>
          <w:szCs w:val="22"/>
          <w:u w:val="single" w:color="auto"/>
          <w:color w:val="auto"/>
        </w:rPr>
        <w:t>BLA</w:t>
      </w:r>
      <w:r>
        <w:rPr>
          <w:rFonts w:ascii="Arial" w:cs="Arial" w:eastAsia="Arial" w:hAnsi="Arial"/>
          <w:sz w:val="22"/>
          <w:szCs w:val="22"/>
          <w:color w:val="auto"/>
        </w:rPr>
        <w:t>” means a biologics license application or similar application, including any applications for Regulatory Approval, submitted to any Regulatory Authority for the purpose of obtaining Regulatory Approval to market and sell a pharmaceutical product in such jurisdiction.</w:t>
      </w:r>
    </w:p>
    <w:p>
      <w:pPr>
        <w:spacing w:after="0" w:line="18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that is not a Saturday, Sunday or a US federal holiday.</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69" w:name="page70"/>
    <w:bookmarkEnd w:id="69"/>
    <w:p>
      <w:pPr>
        <w:ind w:right="200" w:firstLine="1620"/>
        <w:spacing w:after="0" w:line="252" w:lineRule="auto"/>
        <w:rPr>
          <w:sz w:val="20"/>
          <w:szCs w:val="20"/>
          <w:color w:val="auto"/>
        </w:rPr>
      </w:pPr>
      <w:r>
        <w:rPr>
          <w:rFonts w:ascii="Arial" w:cs="Arial" w:eastAsia="Arial" w:hAnsi="Arial"/>
          <w:sz w:val="21"/>
          <w:szCs w:val="21"/>
          <w:color w:val="auto"/>
        </w:rPr>
        <w:t>1.1.17 “</w:t>
      </w:r>
      <w:r>
        <w:rPr>
          <w:rFonts w:ascii="Arial" w:cs="Arial" w:eastAsia="Arial" w:hAnsi="Arial"/>
          <w:sz w:val="21"/>
          <w:szCs w:val="21"/>
          <w:u w:val="single" w:color="auto"/>
          <w:color w:val="auto"/>
        </w:rPr>
        <w:t>Calendar Quarter</w:t>
      </w:r>
      <w:r>
        <w:rPr>
          <w:rFonts w:ascii="Arial" w:cs="Arial" w:eastAsia="Arial" w:hAnsi="Arial"/>
          <w:sz w:val="21"/>
          <w:szCs w:val="21"/>
          <w:color w:val="auto"/>
        </w:rPr>
        <w:t>” means each successive period of three (3) consecutive calendar months ending on March 31, June 30, September 30 and December 31; provided, that, the (a) the first Calendar Quarter shall begin on the Effective Date and end on the last day of the Calendar Quarter in which the Effective Date falls, and (b) the final Calendar Quarter shall end on the last day of the Term.</w:t>
      </w:r>
    </w:p>
    <w:p>
      <w:pPr>
        <w:spacing w:after="0" w:line="174" w:lineRule="exact"/>
        <w:rPr>
          <w:sz w:val="20"/>
          <w:szCs w:val="20"/>
          <w:color w:val="auto"/>
        </w:rPr>
      </w:pPr>
    </w:p>
    <w:p>
      <w:pPr>
        <w:ind w:right="180" w:firstLine="1620"/>
        <w:spacing w:after="0" w:line="238" w:lineRule="auto"/>
        <w:rPr>
          <w:sz w:val="20"/>
          <w:szCs w:val="20"/>
          <w:color w:val="auto"/>
        </w:rPr>
      </w:pPr>
      <w:r>
        <w:rPr>
          <w:rFonts w:ascii="Arial" w:cs="Arial" w:eastAsia="Arial" w:hAnsi="Arial"/>
          <w:sz w:val="22"/>
          <w:szCs w:val="22"/>
          <w:color w:val="auto"/>
        </w:rPr>
        <w:t>1.1.18 “</w:t>
      </w:r>
      <w:r>
        <w:rPr>
          <w:rFonts w:ascii="Arial" w:cs="Arial" w:eastAsia="Arial" w:hAnsi="Arial"/>
          <w:sz w:val="22"/>
          <w:szCs w:val="22"/>
          <w:u w:val="single" w:color="auto"/>
          <w:color w:val="auto"/>
        </w:rPr>
        <w:t>Calendar Year</w:t>
      </w:r>
      <w:r>
        <w:rPr>
          <w:rFonts w:ascii="Arial" w:cs="Arial" w:eastAsia="Arial" w:hAnsi="Arial"/>
          <w:sz w:val="22"/>
          <w:szCs w:val="22"/>
          <w:color w:val="auto"/>
        </w:rPr>
        <w:t>” means each successive period of twelve (12) months commencing on January 1 and ending on December 31; provided, that, (a) the first Calendar Year shall begin on the Effective Date and end on December 31 of the Calendar Year in which the Effective Date falls, and (b) the final Calendar Year shall end on the last day of the Term.</w:t>
      </w:r>
    </w:p>
    <w:p>
      <w:pPr>
        <w:spacing w:after="0" w:line="185"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“controlled foreign corporation” as defined in the IRC.</w:t>
      </w:r>
    </w:p>
    <w:p>
      <w:pPr>
        <w:spacing w:after="0" w:line="206" w:lineRule="exact"/>
        <w:rPr>
          <w:sz w:val="20"/>
          <w:szCs w:val="20"/>
          <w:color w:val="auto"/>
        </w:rPr>
      </w:pPr>
    </w:p>
    <w:p>
      <w:pPr>
        <w:ind w:firstLine="1620"/>
        <w:spacing w:after="0" w:line="272" w:lineRule="auto"/>
        <w:rPr>
          <w:sz w:val="20"/>
          <w:szCs w:val="20"/>
          <w:color w:val="auto"/>
        </w:rPr>
      </w:pPr>
      <w:r>
        <w:rPr>
          <w:rFonts w:ascii="Arial" w:cs="Arial" w:eastAsia="Arial" w:hAnsi="Arial"/>
          <w:sz w:val="19"/>
          <w:szCs w:val="19"/>
          <w:color w:val="auto"/>
        </w:rPr>
        <w:t>1.1.20 “</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means, with respect to either Party, at any time prior to the date of the first Regulatory Approval of the Product for PNH (a) a merger, reorganization or consolidation of such Party with a Third Party which results in the voting securities of such Party outstanding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(b) a transaction in which a Third Party becomes the beneficial owner of fifty percent (50%) or more of the combined voting power of the outstanding securities of such Party or (c) the sale or other transfer of all or substantially all of such Party’s business or assets relating to the Product for use in the treatment of PNH, provided that a Licensing Transaction shall not constitute a Change of Control and a Change of Control will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be deemed to have occurred in the event that the Third Party in any of the foregoing transactions is a venture capital fund, pension fund, investment fund, commercial or investment bank, insurance company, or similar financial institution, in each case that is not then a controlled Affiliate of a company engaged in the development and/or commercialization of pharmaceutical or biotechnology products.</w:t>
      </w:r>
    </w:p>
    <w:p>
      <w:pPr>
        <w:spacing w:after="0" w:line="200" w:lineRule="exact"/>
        <w:rPr>
          <w:sz w:val="20"/>
          <w:szCs w:val="20"/>
          <w:color w:val="auto"/>
        </w:rPr>
      </w:pPr>
    </w:p>
    <w:p>
      <w:pPr>
        <w:spacing w:after="0" w:line="205"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Claim</w:t>
      </w:r>
      <w:r>
        <w:rPr>
          <w:rFonts w:ascii="Arial" w:cs="Arial" w:eastAsia="Arial" w:hAnsi="Arial"/>
          <w:sz w:val="19"/>
          <w:szCs w:val="19"/>
          <w:color w:val="auto"/>
        </w:rPr>
        <w:t>” means any Third Party claim, demand, suit and/or cause of action.</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Investigator</w:t>
      </w:r>
      <w:r>
        <w:rPr>
          <w:rFonts w:ascii="Arial" w:cs="Arial" w:eastAsia="Arial" w:hAnsi="Arial"/>
          <w:sz w:val="19"/>
          <w:szCs w:val="19"/>
          <w:color w:val="auto"/>
        </w:rPr>
        <w:t>” means the principal investigator at each Site.</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Trial Registries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3.11</w:t>
      </w:r>
      <w:r>
        <w:rPr>
          <w:rFonts w:ascii="Arial" w:cs="Arial" w:eastAsia="Arial" w:hAnsi="Arial"/>
          <w:sz w:val="19"/>
          <w:szCs w:val="19"/>
          <w:color w:val="auto"/>
        </w:rPr>
        <w:t>.</w:t>
      </w:r>
    </w:p>
    <w:p>
      <w:pPr>
        <w:spacing w:after="0" w:line="206" w:lineRule="exact"/>
        <w:rPr>
          <w:sz w:val="20"/>
          <w:szCs w:val="20"/>
          <w:color w:val="auto"/>
        </w:rPr>
      </w:pPr>
    </w:p>
    <w:p>
      <w:pPr>
        <w:ind w:right="680" w:firstLine="1620"/>
        <w:spacing w:after="0" w:line="251" w:lineRule="auto"/>
        <w:rPr>
          <w:sz w:val="20"/>
          <w:szCs w:val="20"/>
          <w:color w:val="auto"/>
        </w:rPr>
      </w:pPr>
      <w:r>
        <w:rPr>
          <w:rFonts w:ascii="Arial" w:cs="Arial" w:eastAsia="Arial" w:hAnsi="Arial"/>
          <w:sz w:val="22"/>
          <w:szCs w:val="22"/>
          <w:color w:val="auto"/>
        </w:rPr>
        <w:t>1.1.24 “</w:t>
      </w:r>
      <w:r>
        <w:rPr>
          <w:rFonts w:ascii="Arial" w:cs="Arial" w:eastAsia="Arial" w:hAnsi="Arial"/>
          <w:sz w:val="22"/>
          <w:szCs w:val="22"/>
          <w:u w:val="single" w:color="auto"/>
          <w:color w:val="auto"/>
        </w:rPr>
        <w:t>CMC Information</w:t>
      </w:r>
      <w:r>
        <w:rPr>
          <w:rFonts w:ascii="Arial" w:cs="Arial" w:eastAsia="Arial" w:hAnsi="Arial"/>
          <w:sz w:val="22"/>
          <w:szCs w:val="22"/>
          <w:color w:val="auto"/>
        </w:rPr>
        <w:t>” means the chemistry, manufacturing and control information intended or required for the submission of a CTA.</w:t>
      </w:r>
    </w:p>
    <w:p>
      <w:pPr>
        <w:spacing w:after="0" w:line="14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8" w:right="239" w:bottom="1440" w:gutter="0" w:footer="0" w:header="0"/>
        </w:sectPr>
      </w:pPr>
    </w:p>
    <w:bookmarkStart w:id="70" w:name="page71"/>
    <w:bookmarkEnd w:id="70"/>
    <w:p>
      <w:pPr>
        <w:ind w:right="80" w:firstLine="1620"/>
        <w:spacing w:after="0" w:line="274" w:lineRule="auto"/>
        <w:rPr>
          <w:sz w:val="20"/>
          <w:szCs w:val="20"/>
          <w:color w:val="auto"/>
        </w:rPr>
      </w:pPr>
      <w:r>
        <w:rPr>
          <w:rFonts w:ascii="Arial" w:cs="Arial" w:eastAsia="Arial" w:hAnsi="Arial"/>
          <w:sz w:val="21"/>
          <w:szCs w:val="21"/>
          <w:color w:val="auto"/>
        </w:rPr>
        <w:t>1.1.25 “</w:t>
      </w:r>
      <w:r>
        <w:rPr>
          <w:rFonts w:ascii="Arial" w:cs="Arial" w:eastAsia="Arial" w:hAnsi="Arial"/>
          <w:sz w:val="21"/>
          <w:szCs w:val="21"/>
          <w:u w:val="single" w:color="auto"/>
          <w:color w:val="auto"/>
        </w:rPr>
        <w:t>Commercial Launch</w:t>
      </w:r>
      <w:r>
        <w:rPr>
          <w:rFonts w:ascii="Arial" w:cs="Arial" w:eastAsia="Arial" w:hAnsi="Arial"/>
          <w:sz w:val="21"/>
          <w:szCs w:val="21"/>
          <w:color w:val="auto"/>
        </w:rPr>
        <w:t>” means, with respect to the Product and a country in the Territory, the first sale to a Third Party of such Product in such country after Regulatory Approval in such country.</w:t>
      </w:r>
    </w:p>
    <w:p>
      <w:pPr>
        <w:spacing w:after="0" w:line="151" w:lineRule="exact"/>
        <w:rPr>
          <w:sz w:val="20"/>
          <w:szCs w:val="20"/>
          <w:color w:val="auto"/>
        </w:rPr>
      </w:pPr>
    </w:p>
    <w:p>
      <w:pPr>
        <w:ind w:right="520" w:firstLine="1620"/>
        <w:spacing w:after="0"/>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Commercialize</w:t>
      </w:r>
      <w:r>
        <w:rPr>
          <w:rFonts w:ascii="Arial" w:cs="Arial" w:eastAsia="Arial" w:hAnsi="Arial"/>
          <w:sz w:val="22"/>
          <w:szCs w:val="22"/>
          <w:color w:val="auto"/>
        </w:rPr>
        <w:t>” means the commercial manufacture, marketing, promotion, sale and/or distribution of the Product. For clarity, Commercialization excludes all activities associated with development and seeking Regulatory Approval for the Product.</w:t>
      </w:r>
    </w:p>
    <w:p>
      <w:pPr>
        <w:spacing w:after="0" w:line="186" w:lineRule="exact"/>
        <w:rPr>
          <w:sz w:val="20"/>
          <w:szCs w:val="20"/>
          <w:color w:val="auto"/>
        </w:rPr>
      </w:pPr>
    </w:p>
    <w:p>
      <w:pPr>
        <w:ind w:right="120" w:firstLine="1620"/>
        <w:spacing w:after="0" w:line="269" w:lineRule="auto"/>
        <w:rPr>
          <w:sz w:val="20"/>
          <w:szCs w:val="20"/>
          <w:color w:val="auto"/>
        </w:rPr>
      </w:pPr>
      <w:r>
        <w:rPr>
          <w:rFonts w:ascii="Arial" w:cs="Arial" w:eastAsia="Arial" w:hAnsi="Arial"/>
          <w:sz w:val="19"/>
          <w:szCs w:val="19"/>
          <w:color w:val="auto"/>
        </w:rPr>
        <w:t>1.1.27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means with respect to the performance of activities under this Agreement by Apellis: reasonable, diligent, good-faith efforts to accomplish such objective as Apellis would normally use (and which are consistent with industry standards for companies of comparable size as that of Apellis) to accomplish a similar objective under similar circumstances for compounds or products owned by Apellis, or to which it has rights at similar stages in development or product life, and having similar commercial potential. "Commercially Reasonable Efforts" requires, with respect to a particular task or activity in making, using, selling, offering for sale, importing, exporting, developing (including seeking regulatory approvals or applicable pricing or reimbursement approvals) or otherwise commercializing the product, that Apellis: (i) promptly assign responsibility for such task or activity to specific employee(s) who are held accountable for progress and monitor such progress on an on-going basis;</w:t>
      </w:r>
    </w:p>
    <w:p>
      <w:pPr>
        <w:spacing w:after="0" w:line="2" w:lineRule="exact"/>
        <w:rPr>
          <w:sz w:val="20"/>
          <w:szCs w:val="20"/>
          <w:color w:val="auto"/>
        </w:rPr>
      </w:pPr>
    </w:p>
    <w:p>
      <w:pPr>
        <w:ind w:right="60" w:firstLine="5"/>
        <w:spacing w:after="0" w:line="244" w:lineRule="auto"/>
        <w:tabs>
          <w:tab w:leader="none" w:pos="318" w:val="left"/>
        </w:tabs>
        <w:numPr>
          <w:ilvl w:val="0"/>
          <w:numId w:val="32"/>
        </w:numPr>
        <w:rPr>
          <w:rFonts w:ascii="Arial" w:cs="Arial" w:eastAsia="Arial" w:hAnsi="Arial"/>
          <w:sz w:val="21"/>
          <w:szCs w:val="21"/>
          <w:color w:val="auto"/>
        </w:rPr>
      </w:pPr>
      <w:r>
        <w:rPr>
          <w:rFonts w:ascii="Arial" w:cs="Arial" w:eastAsia="Arial" w:hAnsi="Arial"/>
          <w:sz w:val="21"/>
          <w:szCs w:val="21"/>
          <w:color w:val="auto"/>
        </w:rPr>
        <w:t>set and consistently seek to achieve specific and meaningful objectives for carrying out such task or activity; and (iii) make and implement decisions and allocate resources designed to advance progress with respect to such objectives in accordance with established timelines; provided however that, to the extent that the performance of Apellis’ obligations hereunder is adversely affected by SFJ’s failure to perform its obligations hereunder, the impact on Apellis of such performance failure will be taken into account in determining whether Apellis has used its Commercially Reasonable Efforts to perform any such affected obligations.</w:t>
      </w:r>
    </w:p>
    <w:p>
      <w:pPr>
        <w:spacing w:after="0" w:line="184" w:lineRule="exact"/>
        <w:rPr>
          <w:sz w:val="20"/>
          <w:szCs w:val="20"/>
          <w:color w:val="auto"/>
        </w:rPr>
      </w:pPr>
    </w:p>
    <w:p>
      <w:pPr>
        <w:ind w:right="540" w:firstLine="1620"/>
        <w:spacing w:after="0" w:line="251" w:lineRule="auto"/>
        <w:rPr>
          <w:sz w:val="20"/>
          <w:szCs w:val="20"/>
          <w:color w:val="auto"/>
        </w:rPr>
      </w:pPr>
      <w:r>
        <w:rPr>
          <w:rFonts w:ascii="Arial" w:cs="Arial" w:eastAsia="Arial" w:hAnsi="Arial"/>
          <w:sz w:val="22"/>
          <w:szCs w:val="22"/>
          <w:color w:val="auto"/>
        </w:rPr>
        <w:t>1.1.28 “</w:t>
      </w:r>
      <w:r>
        <w:rPr>
          <w:rFonts w:ascii="Arial" w:cs="Arial" w:eastAsia="Arial" w:hAnsi="Arial"/>
          <w:sz w:val="22"/>
          <w:szCs w:val="22"/>
          <w:u w:val="single" w:color="auto"/>
          <w:color w:val="auto"/>
        </w:rPr>
        <w:t>Comparator</w:t>
      </w:r>
      <w:r>
        <w:rPr>
          <w:rFonts w:ascii="Arial" w:cs="Arial" w:eastAsia="Arial" w:hAnsi="Arial"/>
          <w:sz w:val="22"/>
          <w:szCs w:val="22"/>
          <w:color w:val="auto"/>
        </w:rPr>
        <w:t>” means Soliris® (eculizumab) in the case of the PEGASUS Trial and “standard of care” in the case of the PRINCE Trial.</w:t>
      </w:r>
    </w:p>
    <w:p>
      <w:pPr>
        <w:spacing w:after="0" w:line="173" w:lineRule="exact"/>
        <w:rPr>
          <w:sz w:val="20"/>
          <w:szCs w:val="20"/>
          <w:color w:val="auto"/>
        </w:rPr>
      </w:pPr>
    </w:p>
    <w:p>
      <w:pPr>
        <w:ind w:right="60" w:firstLine="1620"/>
        <w:spacing w:after="0"/>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Completion Date</w:t>
      </w:r>
      <w:r>
        <w:rPr>
          <w:rFonts w:ascii="Arial" w:cs="Arial" w:eastAsia="Arial" w:hAnsi="Arial"/>
          <w:sz w:val="22"/>
          <w:szCs w:val="22"/>
          <w:color w:val="auto"/>
        </w:rPr>
        <w:t>” means, as to the PEGASUS Trial or the PRINCE Trial, the earlier of the date upon which (i) the applicable final CSR has been prepared or (ii) such clinical trial or this Agreement has been terminated.</w:t>
      </w:r>
    </w:p>
    <w:p>
      <w:pPr>
        <w:spacing w:after="0" w:line="186" w:lineRule="exact"/>
        <w:rPr>
          <w:sz w:val="20"/>
          <w:szCs w:val="20"/>
          <w:color w:val="auto"/>
        </w:rPr>
      </w:pPr>
    </w:p>
    <w:p>
      <w:pPr>
        <w:ind w:firstLine="1620"/>
        <w:spacing w:after="0" w:line="246" w:lineRule="auto"/>
        <w:rPr>
          <w:sz w:val="20"/>
          <w:szCs w:val="20"/>
          <w:color w:val="auto"/>
        </w:rPr>
      </w:pPr>
      <w:r>
        <w:rPr>
          <w:rFonts w:ascii="Arial" w:cs="Arial" w:eastAsia="Arial" w:hAnsi="Arial"/>
          <w:sz w:val="21"/>
          <w:szCs w:val="21"/>
          <w:color w:val="auto"/>
        </w:rPr>
        <w:t>1.1.30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all information and materials provided and/or disclosed (including in written form, electronic form or otherwise) by, or on behalf of, either Party or its Affiliates, agents or representatives to the other Party, its Affiliates, agents or representatives in connection with this Agreement, including, technical, scientific, regulatory and other information, results, knowledge, techniques, data, analyses, inventions, invention disclosures, plans, processes, methods, know-how, ideas, concepts, test data (including pharmacological, toxicological and clinical test data), analytical and quality control data, formulae, specifications, marketing, pricing, distribution, cost, sales, and manufacturing data and descriptions, as well as the terms and conditions of this Agreement which terms and conditions shall be deemed to be both SFJ</w:t>
      </w:r>
    </w:p>
    <w:p>
      <w:pPr>
        <w:spacing w:after="0" w:line="15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71" w:name="page72"/>
    <w:bookmarkEnd w:id="71"/>
    <w:p>
      <w:pPr>
        <w:ind w:right="560"/>
        <w:spacing w:after="0" w:line="251" w:lineRule="auto"/>
        <w:rPr>
          <w:sz w:val="20"/>
          <w:szCs w:val="20"/>
          <w:color w:val="auto"/>
        </w:rPr>
      </w:pPr>
      <w:r>
        <w:rPr>
          <w:rFonts w:ascii="Arial" w:cs="Arial" w:eastAsia="Arial" w:hAnsi="Arial"/>
          <w:sz w:val="22"/>
          <w:szCs w:val="22"/>
          <w:color w:val="auto"/>
        </w:rPr>
        <w:t>Confidential Information and Apellis Confidential Information. For clarity, Confidential Information includes SFJ Confidential Information and Apellis Confidential Information.</w:t>
      </w:r>
    </w:p>
    <w:p>
      <w:pPr>
        <w:spacing w:after="0" w:line="173" w:lineRule="exact"/>
        <w:rPr>
          <w:sz w:val="20"/>
          <w:szCs w:val="20"/>
          <w:color w:val="auto"/>
        </w:rPr>
      </w:pPr>
    </w:p>
    <w:p>
      <w:pPr>
        <w:ind w:right="200" w:firstLine="1620"/>
        <w:spacing w:after="0" w:line="279" w:lineRule="auto"/>
        <w:rPr>
          <w:sz w:val="20"/>
          <w:szCs w:val="20"/>
          <w:color w:val="auto"/>
        </w:rPr>
      </w:pPr>
      <w:r>
        <w:rPr>
          <w:rFonts w:ascii="Arial" w:cs="Arial" w:eastAsia="Arial" w:hAnsi="Arial"/>
          <w:sz w:val="19"/>
          <w:szCs w:val="19"/>
          <w:color w:val="auto"/>
        </w:rPr>
        <w:t>1.1.31 “</w:t>
      </w:r>
      <w:r>
        <w:rPr>
          <w:rFonts w:ascii="Arial" w:cs="Arial" w:eastAsia="Arial" w:hAnsi="Arial"/>
          <w:sz w:val="19"/>
          <w:szCs w:val="19"/>
          <w:u w:val="single" w:color="auto"/>
          <w:color w:val="auto"/>
        </w:rPr>
        <w:t>Control</w:t>
      </w:r>
      <w:r>
        <w:rPr>
          <w:rFonts w:ascii="Arial" w:cs="Arial" w:eastAsia="Arial" w:hAnsi="Arial"/>
          <w:sz w:val="19"/>
          <w:szCs w:val="19"/>
          <w:color w:val="auto"/>
        </w:rPr>
        <w:t>” or “</w:t>
      </w:r>
      <w:r>
        <w:rPr>
          <w:rFonts w:ascii="Arial" w:cs="Arial" w:eastAsia="Arial" w:hAnsi="Arial"/>
          <w:sz w:val="19"/>
          <w:szCs w:val="19"/>
          <w:u w:val="single" w:color="auto"/>
          <w:color w:val="auto"/>
        </w:rPr>
        <w:t>Controlled</w:t>
      </w:r>
      <w:r>
        <w:rPr>
          <w:rFonts w:ascii="Arial" w:cs="Arial" w:eastAsia="Arial" w:hAnsi="Arial"/>
          <w:sz w:val="19"/>
          <w:szCs w:val="19"/>
          <w:color w:val="auto"/>
        </w:rPr>
        <w:t>” means (a) for Intellectual Property, a Party’s ability to grant applicable licenses, sublicenses and/or other rights thereunder and (b) for materials and documents, a Party’s ability to provide, or provide access to, such materials and/or documents, each without violating any contractual obligations to a Third Party. For clarity, if a Party only can grant a license or sublicense and/or provide rights and/or access of limited scope, for a specific purpose or under certain conditions due to an encumbrance, “Control” or “Controlled” will be construed to so limit such license, sublicense, provision of rights and/or access.</w:t>
      </w:r>
    </w:p>
    <w:p>
      <w:pPr>
        <w:spacing w:after="0" w:line="151" w:lineRule="exact"/>
        <w:rPr>
          <w:sz w:val="20"/>
          <w:szCs w:val="20"/>
          <w:color w:val="auto"/>
        </w:rPr>
      </w:pPr>
    </w:p>
    <w:p>
      <w:pPr>
        <w:jc w:val="both"/>
        <w:ind w:right="80" w:firstLine="1620"/>
        <w:spacing w:after="0"/>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Copyrights</w:t>
      </w:r>
      <w:r>
        <w:rPr>
          <w:rFonts w:ascii="Arial" w:cs="Arial" w:eastAsia="Arial" w:hAnsi="Arial"/>
          <w:sz w:val="22"/>
          <w:szCs w:val="22"/>
          <w:color w:val="auto"/>
        </w:rPr>
        <w:t>” means, collectively, all works of authorship, mask works and any and all other registered and unregistered copyrights and copyrightable works, and all applications, registrations, extensions, and renewals thereof.</w:t>
      </w:r>
    </w:p>
    <w:p>
      <w:pPr>
        <w:spacing w:after="0" w:line="18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CMC</w:t>
      </w:r>
      <w:r>
        <w:rPr>
          <w:rFonts w:ascii="Arial" w:cs="Arial" w:eastAsia="Arial" w:hAnsi="Arial"/>
          <w:sz w:val="19"/>
          <w:szCs w:val="19"/>
          <w:color w:val="auto"/>
        </w:rPr>
        <w:t>” means chemistry, manufacturing and controls.</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CMO</w:t>
      </w:r>
      <w:r>
        <w:rPr>
          <w:rFonts w:ascii="Arial" w:cs="Arial" w:eastAsia="Arial" w:hAnsi="Arial"/>
          <w:sz w:val="19"/>
          <w:szCs w:val="19"/>
          <w:color w:val="auto"/>
        </w:rPr>
        <w:t>” means contract manufacturing organization.</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CRO</w:t>
      </w:r>
      <w:r>
        <w:rPr>
          <w:rFonts w:ascii="Arial" w:cs="Arial" w:eastAsia="Arial" w:hAnsi="Arial"/>
          <w:sz w:val="19"/>
          <w:szCs w:val="19"/>
          <w:color w:val="auto"/>
        </w:rPr>
        <w:t>” means contract research organization.</w:t>
      </w:r>
    </w:p>
    <w:p>
      <w:pPr>
        <w:spacing w:after="0" w:line="206" w:lineRule="exact"/>
        <w:rPr>
          <w:sz w:val="20"/>
          <w:szCs w:val="20"/>
          <w:color w:val="auto"/>
        </w:rPr>
      </w:pPr>
    </w:p>
    <w:p>
      <w:pPr>
        <w:ind w:right="120" w:firstLine="1620"/>
        <w:spacing w:after="0" w:line="236" w:lineRule="auto"/>
        <w:rPr>
          <w:sz w:val="20"/>
          <w:szCs w:val="20"/>
          <w:color w:val="auto"/>
        </w:rPr>
      </w:pPr>
      <w:r>
        <w:rPr>
          <w:rFonts w:ascii="Arial" w:cs="Arial" w:eastAsia="Arial" w:hAnsi="Arial"/>
          <w:sz w:val="22"/>
          <w:szCs w:val="22"/>
          <w:color w:val="auto"/>
        </w:rPr>
        <w:t>1.1.36 “</w:t>
      </w:r>
      <w:r>
        <w:rPr>
          <w:rFonts w:ascii="Arial" w:cs="Arial" w:eastAsia="Arial" w:hAnsi="Arial"/>
          <w:sz w:val="22"/>
          <w:szCs w:val="22"/>
          <w:u w:val="single" w:color="auto"/>
          <w:color w:val="auto"/>
        </w:rPr>
        <w:t>CSR</w:t>
      </w:r>
      <w:r>
        <w:rPr>
          <w:rFonts w:ascii="Arial" w:cs="Arial" w:eastAsia="Arial" w:hAnsi="Arial"/>
          <w:sz w:val="22"/>
          <w:szCs w:val="22"/>
          <w:color w:val="auto"/>
        </w:rPr>
        <w:t>” means clinical study report, or other equivalent document or series of materials, constituting a summary report of the clinical and medical data resulting from a clinical trial comprised by the Trial and prepared for incorporation into submissions seeking Regulatory Approval for the Product, and includes all statistical analyses per Apellis’ statistical analysis plan. Supplements to the CSR, including safety updates, may be prepared at a later stage, following Apellis’ instructions.</w:t>
      </w:r>
    </w:p>
    <w:p>
      <w:pPr>
        <w:spacing w:after="0" w:line="188" w:lineRule="exact"/>
        <w:rPr>
          <w:sz w:val="20"/>
          <w:szCs w:val="20"/>
          <w:color w:val="auto"/>
        </w:rPr>
      </w:pPr>
    </w:p>
    <w:p>
      <w:pPr>
        <w:jc w:val="both"/>
        <w:ind w:right="100" w:firstLine="1620"/>
        <w:spacing w:after="0"/>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CTA</w:t>
      </w:r>
      <w:r>
        <w:rPr>
          <w:rFonts w:ascii="Arial" w:cs="Arial" w:eastAsia="Arial" w:hAnsi="Arial"/>
          <w:sz w:val="22"/>
          <w:szCs w:val="22"/>
          <w:color w:val="auto"/>
        </w:rPr>
        <w:t>” means a clinical trial application submitted to a Regulatory Authority, including an investigational new drug applications submitted to FDA, the submission of which is necessary to initiate or conduct clinical testing of a pharmaceutical product in humans in an applicable jurisdiction.</w:t>
      </w:r>
    </w:p>
    <w:p>
      <w:pPr>
        <w:spacing w:after="0" w:line="186" w:lineRule="exact"/>
        <w:rPr>
          <w:sz w:val="20"/>
          <w:szCs w:val="20"/>
          <w:color w:val="auto"/>
        </w:rPr>
      </w:pPr>
    </w:p>
    <w:p>
      <w:pPr>
        <w:ind w:right="480" w:firstLine="1620"/>
        <w:spacing w:after="0" w:line="251" w:lineRule="auto"/>
        <w:rPr>
          <w:sz w:val="20"/>
          <w:szCs w:val="20"/>
          <w:color w:val="auto"/>
        </w:rPr>
      </w:pPr>
      <w:r>
        <w:rPr>
          <w:rFonts w:ascii="Arial" w:cs="Arial" w:eastAsia="Arial" w:hAnsi="Arial"/>
          <w:sz w:val="22"/>
          <w:szCs w:val="22"/>
          <w:color w:val="auto"/>
        </w:rPr>
        <w:t>1.1.38 “</w:t>
      </w:r>
      <w:r>
        <w:rPr>
          <w:rFonts w:ascii="Arial" w:cs="Arial" w:eastAsia="Arial" w:hAnsi="Arial"/>
          <w:sz w:val="22"/>
          <w:szCs w:val="22"/>
          <w:u w:val="single" w:color="auto"/>
          <w:color w:val="auto"/>
        </w:rPr>
        <w:t>Data Room</w:t>
      </w:r>
      <w:r>
        <w:rPr>
          <w:rFonts w:ascii="Arial" w:cs="Arial" w:eastAsia="Arial" w:hAnsi="Arial"/>
          <w:sz w:val="22"/>
          <w:szCs w:val="22"/>
          <w:color w:val="auto"/>
        </w:rPr>
        <w:t>” means that certain electronic data room established by Apellis and to which SFJ and/or its advisors were granted access.</w:t>
      </w:r>
    </w:p>
    <w:p>
      <w:pPr>
        <w:spacing w:after="0" w:line="173"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Designated European Countries</w:t>
      </w:r>
      <w:r>
        <w:rPr>
          <w:rFonts w:ascii="Arial" w:cs="Arial" w:eastAsia="Arial" w:hAnsi="Arial"/>
          <w:sz w:val="19"/>
          <w:szCs w:val="19"/>
          <w:color w:val="auto"/>
        </w:rPr>
        <w:t>” means [**].</w:t>
      </w:r>
    </w:p>
    <w:p>
      <w:pPr>
        <w:spacing w:after="0" w:line="206" w:lineRule="exact"/>
        <w:rPr>
          <w:sz w:val="20"/>
          <w:szCs w:val="20"/>
          <w:color w:val="auto"/>
        </w:rPr>
      </w:pPr>
    </w:p>
    <w:p>
      <w:pPr>
        <w:ind w:firstLine="1620"/>
        <w:spacing w:after="0"/>
        <w:rPr>
          <w:sz w:val="20"/>
          <w:szCs w:val="20"/>
          <w:color w:val="auto"/>
        </w:rPr>
      </w:pPr>
      <w:r>
        <w:rPr>
          <w:rFonts w:ascii="Arial" w:cs="Arial" w:eastAsia="Arial" w:hAnsi="Arial"/>
          <w:sz w:val="22"/>
          <w:szCs w:val="22"/>
          <w:color w:val="auto"/>
        </w:rPr>
        <w:t>1.1.40 “</w:t>
      </w:r>
      <w:r>
        <w:rPr>
          <w:rFonts w:ascii="Arial" w:cs="Arial" w:eastAsia="Arial" w:hAnsi="Arial"/>
          <w:sz w:val="22"/>
          <w:szCs w:val="22"/>
          <w:u w:val="single" w:color="auto"/>
          <w:color w:val="auto"/>
        </w:rPr>
        <w:t>Development Program</w:t>
      </w:r>
      <w:r>
        <w:rPr>
          <w:rFonts w:ascii="Arial" w:cs="Arial" w:eastAsia="Arial" w:hAnsi="Arial"/>
          <w:sz w:val="22"/>
          <w:szCs w:val="22"/>
          <w:color w:val="auto"/>
        </w:rPr>
        <w:t xml:space="preserve">” means a CMC, clinical and regulatory development program to be undertaken by Apellis to develop the Product for PNH, carry out the Trial and seek Regulatory Approval for the Product as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86" w:lineRule="exact"/>
        <w:rPr>
          <w:sz w:val="20"/>
          <w:szCs w:val="20"/>
          <w:color w:val="auto"/>
        </w:rPr>
      </w:pPr>
    </w:p>
    <w:p>
      <w:pPr>
        <w:ind w:right="60" w:firstLine="1620"/>
        <w:spacing w:after="0" w:line="258" w:lineRule="auto"/>
        <w:rPr>
          <w:sz w:val="20"/>
          <w:szCs w:val="20"/>
          <w:color w:val="auto"/>
        </w:rPr>
      </w:pPr>
      <w:r>
        <w:rPr>
          <w:rFonts w:ascii="Arial" w:cs="Arial" w:eastAsia="Arial" w:hAnsi="Arial"/>
          <w:sz w:val="21"/>
          <w:szCs w:val="21"/>
          <w:color w:val="auto"/>
        </w:rPr>
        <w:t>1.1.41 “</w:t>
      </w:r>
      <w:r>
        <w:rPr>
          <w:rFonts w:ascii="Arial" w:cs="Arial" w:eastAsia="Arial" w:hAnsi="Arial"/>
          <w:sz w:val="21"/>
          <w:szCs w:val="21"/>
          <w:u w:val="single" w:color="auto"/>
          <w:color w:val="auto"/>
        </w:rPr>
        <w:t>Development Term</w:t>
      </w:r>
      <w:r>
        <w:rPr>
          <w:rFonts w:ascii="Arial" w:cs="Arial" w:eastAsia="Arial" w:hAnsi="Arial"/>
          <w:sz w:val="21"/>
          <w:szCs w:val="21"/>
          <w:color w:val="auto"/>
        </w:rPr>
        <w:t>” means the period commencing on the Effective Date and ending on the latest of (a) the Completion Date of the PEGASUS Trial, (b) the Completion Date of the PRINCE Trial, or (c) the date on which all efforts in pursuit of Regulatory Approval of the Product for PNH have been concluded.</w:t>
      </w:r>
    </w:p>
    <w:p>
      <w:pPr>
        <w:spacing w:after="0" w:line="14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80"/>
          </w:cols>
          <w:pgMar w:left="1120" w:top="348" w:right="299" w:bottom="1440" w:gutter="0" w:footer="0" w:header="0"/>
        </w:sectPr>
      </w:pPr>
    </w:p>
    <w:bookmarkStart w:id="72" w:name="page73"/>
    <w:bookmarkEnd w:id="72"/>
    <w:p>
      <w:pPr>
        <w:ind w:left="1620"/>
        <w:spacing w:after="0"/>
        <w:tabs>
          <w:tab w:leader="none" w:pos="2800" w:val="left"/>
        </w:tabs>
        <w:rPr>
          <w:sz w:val="20"/>
          <w:szCs w:val="20"/>
          <w:color w:val="auto"/>
        </w:rPr>
      </w:pPr>
      <w:r>
        <w:rPr>
          <w:rFonts w:ascii="Arial" w:cs="Arial" w:eastAsia="Arial" w:hAnsi="Arial"/>
          <w:sz w:val="22"/>
          <w:szCs w:val="22"/>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Disclosing Party</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Dispute</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15.10</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has the meaning ascribed to such term in the Preamble.</w:t>
      </w:r>
    </w:p>
    <w:p>
      <w:pPr>
        <w:spacing w:after="0" w:line="206" w:lineRule="exact"/>
        <w:rPr>
          <w:sz w:val="20"/>
          <w:szCs w:val="20"/>
          <w:color w:val="auto"/>
        </w:rPr>
      </w:pPr>
    </w:p>
    <w:p>
      <w:pPr>
        <w:ind w:right="40" w:firstLine="1620"/>
        <w:spacing w:after="0" w:line="235" w:lineRule="auto"/>
        <w:rPr>
          <w:sz w:val="20"/>
          <w:szCs w:val="20"/>
          <w:color w:val="auto"/>
        </w:rPr>
      </w:pPr>
      <w:r>
        <w:rPr>
          <w:rFonts w:ascii="Arial" w:cs="Arial" w:eastAsia="Arial" w:hAnsi="Arial"/>
          <w:sz w:val="22"/>
          <w:szCs w:val="22"/>
          <w:color w:val="auto"/>
        </w:rPr>
        <w:t>1.1.45 “</w:t>
      </w:r>
      <w:r>
        <w:rPr>
          <w:rFonts w:ascii="Arial" w:cs="Arial" w:eastAsia="Arial" w:hAnsi="Arial"/>
          <w:sz w:val="22"/>
          <w:szCs w:val="22"/>
          <w:u w:val="single" w:color="auto"/>
          <w:color w:val="auto"/>
        </w:rPr>
        <w:t>EMA</w:t>
      </w:r>
      <w:r>
        <w:rPr>
          <w:rFonts w:ascii="Arial" w:cs="Arial" w:eastAsia="Arial" w:hAnsi="Arial"/>
          <w:sz w:val="22"/>
          <w:szCs w:val="22"/>
          <w:color w:val="auto"/>
        </w:rPr>
        <w:t xml:space="preserve">” means the European Medicines Agency; </w:t>
      </w:r>
      <w:r>
        <w:rPr>
          <w:rFonts w:ascii="Arial" w:cs="Arial" w:eastAsia="Arial" w:hAnsi="Arial"/>
          <w:sz w:val="22"/>
          <w:szCs w:val="22"/>
          <w:u w:val="single" w:color="auto"/>
          <w:color w:val="auto"/>
        </w:rPr>
        <w:t>provided that</w:t>
      </w:r>
      <w:r>
        <w:rPr>
          <w:rFonts w:ascii="Arial" w:cs="Arial" w:eastAsia="Arial" w:hAnsi="Arial"/>
          <w:sz w:val="22"/>
          <w:szCs w:val="22"/>
          <w:color w:val="auto"/>
        </w:rPr>
        <w:t>, if Apellis in its sole discretion elects to seek Regulatory Approval from a local Regulatory Authority in any Designated European Country, references in this Agreement to “EMA” shall be deemed to include references to such local Regulatory Authority, it being acknowledged that Apellis does not as of the Effective Date intend, and Apellis does not have any obligation under this Agreement, to seek Regulatory Approval in any Designated European Country from any Regulatory Authority other than the European Medicines Agency.</w:t>
      </w:r>
    </w:p>
    <w:p>
      <w:pPr>
        <w:spacing w:after="0" w:line="18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EU Approval Payments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6" w:lineRule="exact"/>
        <w:rPr>
          <w:sz w:val="20"/>
          <w:szCs w:val="20"/>
          <w:color w:val="auto"/>
        </w:rPr>
      </w:pPr>
    </w:p>
    <w:p>
      <w:pPr>
        <w:ind w:firstLine="1620"/>
        <w:spacing w:after="0" w:line="270" w:lineRule="auto"/>
        <w:rPr>
          <w:sz w:val="20"/>
          <w:szCs w:val="20"/>
          <w:color w:val="auto"/>
        </w:rPr>
      </w:pPr>
      <w:r>
        <w:rPr>
          <w:rFonts w:ascii="Arial" w:cs="Arial" w:eastAsia="Arial" w:hAnsi="Arial"/>
          <w:sz w:val="19"/>
          <w:szCs w:val="19"/>
          <w:color w:val="auto"/>
        </w:rPr>
        <w:t>1.1.47 “</w:t>
      </w:r>
      <w:r>
        <w:rPr>
          <w:rFonts w:ascii="Arial" w:cs="Arial" w:eastAsia="Arial" w:hAnsi="Arial"/>
          <w:sz w:val="19"/>
          <w:szCs w:val="19"/>
          <w:u w:val="single" w:color="auto"/>
          <w:color w:val="auto"/>
        </w:rPr>
        <w:t>Excluded Licensing Transaction</w:t>
      </w:r>
      <w:r>
        <w:rPr>
          <w:rFonts w:ascii="Arial" w:cs="Arial" w:eastAsia="Arial" w:hAnsi="Arial"/>
          <w:sz w:val="19"/>
          <w:szCs w:val="19"/>
          <w:color w:val="auto"/>
        </w:rPr>
        <w:t>” means (i) a license or sublicense granted to an academic collaborator, service provider, contract research organization, contract manufacturer or similar Third Party that does not grant to such Third Party commercialization rights with respect to the Product, (ii) a license or sublicense not involving a grant of rights to the Product and that, prior to such time as Apellis has filed applications for Regulatory Approval with both FDA and EMA, does not grant a Third Party licensee commercialization rights for a product for PNH or (iii) a Licensing Transaction involving the grant of rights to the Product solely for use in the treatment of ophthalmic indications and where such Licensing Transaction under this clause (iii) will be structured to provide for (a) at least a [**]% profit split for Apellis or an effective royalty rate (disregarding customary contingencies for reductions to royalties due to royalties owed to Third Parties, patent expiration and generic competition) payable to Apellis of at least [**]% of net product sales or (b) payments to Apellis, including upfront payments, research and development funding, payments for equity and development and regulatory milestone payments, of at least $[**], which (in the case of (a) or (b)) would provide payments to Apellis that, together with the cash Apellis in good faith projects as of the execution date of such Licensing Transaction will otherwise have available to contribute to such development costs, would total an amount which equals or exceeds the then-remaining aggregate development costs anticipated to be incurred by Apellis as of the execution date of such Licensing Transaction for the completion of Apellis’ DERBY and OAKS clinical trials and CMC activities in order to obtain regulatory approval of Apellis’ product for the treatment of geographic atrophy by the FDA in the US and by the EMA in Europe, which good faith financial projections at the time of such Licensing Transaction are consistent with the latest of either (A) Apellis’ then-most-recent financial projections presented to the Board of Directors of Apellis or (B) Apellis’ then-most-recent publicly announced financial projections.</w:t>
      </w:r>
    </w:p>
    <w:p>
      <w:pPr>
        <w:spacing w:after="0" w:line="13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8" w:right="239" w:bottom="1440" w:gutter="0" w:footer="0" w:header="0"/>
        </w:sectPr>
      </w:pPr>
    </w:p>
    <w:bookmarkStart w:id="73" w:name="page74"/>
    <w:bookmarkEnd w:id="73"/>
    <w:p>
      <w:pPr>
        <w:ind w:left="1620"/>
        <w:spacing w:after="0"/>
        <w:tabs>
          <w:tab w:leader="none" w:pos="2800" w:val="left"/>
        </w:tabs>
        <w:rPr>
          <w:sz w:val="20"/>
          <w:szCs w:val="20"/>
          <w:color w:val="auto"/>
        </w:rPr>
      </w:pPr>
      <w:r>
        <w:rPr>
          <w:rFonts w:ascii="Arial" w:cs="Arial" w:eastAsia="Arial" w:hAnsi="Arial"/>
          <w:sz w:val="22"/>
          <w:szCs w:val="22"/>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Executive Officers</w:t>
      </w:r>
      <w:r>
        <w:rPr>
          <w:rFonts w:ascii="Arial" w:cs="Arial" w:eastAsia="Arial" w:hAnsi="Arial"/>
          <w:sz w:val="19"/>
          <w:szCs w:val="19"/>
          <w:color w:val="auto"/>
        </w:rPr>
        <w:t>” means the executive officers of each of Apellis and SFJ identified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on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8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US Food and Drug Administration and any successor agency thereto.</w:t>
      </w:r>
    </w:p>
    <w:p>
      <w:pPr>
        <w:spacing w:after="0" w:line="206" w:lineRule="exact"/>
        <w:rPr>
          <w:sz w:val="20"/>
          <w:szCs w:val="20"/>
          <w:color w:val="auto"/>
        </w:rPr>
      </w:pPr>
    </w:p>
    <w:p>
      <w:pPr>
        <w:ind w:firstLine="1620"/>
        <w:spacing w:after="0" w:line="271" w:lineRule="auto"/>
        <w:rPr>
          <w:sz w:val="20"/>
          <w:szCs w:val="20"/>
          <w:color w:val="auto"/>
        </w:rPr>
      </w:pPr>
      <w:r>
        <w:rPr>
          <w:rFonts w:ascii="Arial" w:cs="Arial" w:eastAsia="Arial" w:hAnsi="Arial"/>
          <w:sz w:val="19"/>
          <w:szCs w:val="19"/>
          <w:color w:val="auto"/>
        </w:rPr>
        <w:t>1.1.50 “</w:t>
      </w:r>
      <w:r>
        <w:rPr>
          <w:rFonts w:ascii="Arial" w:cs="Arial" w:eastAsia="Arial" w:hAnsi="Arial"/>
          <w:sz w:val="19"/>
          <w:szCs w:val="19"/>
          <w:u w:val="single" w:color="auto"/>
          <w:color w:val="auto"/>
        </w:rPr>
        <w:t>Fundamental Breach by Apellis</w:t>
      </w:r>
      <w:r>
        <w:rPr>
          <w:rFonts w:ascii="Arial" w:cs="Arial" w:eastAsia="Arial" w:hAnsi="Arial"/>
          <w:sz w:val="19"/>
          <w:szCs w:val="19"/>
          <w:color w:val="auto"/>
        </w:rPr>
        <w:t>” shall mean Apellis’ (a) failure to use Commercially Reasonable Efforts to conduct its obligations under the Development Program and to complete the Trial, (b) failure to bear all Apellis Development Costs in excess of the Maximum SFJ Development Costs (and, if applicable, the Additional SFJ Funding), provided that Apellis’ ability to bear such Apellis Development Costs has not been materially adversely affected by SFJ’s failure to perform its obligations as set forth herein, (c) failure, following Trial Success, to use Commercially Reasonable Efforts (i) to file an application for Regulatory Approval with the FDA within [**] after the later of the date of the final database lock for the PEGASUS Trial or the date of the final database lock for the PRINCE Trial, and to file an application for Regulatory Approval with the EMA within [**] after the later of the date of the final database lock for the PEGASUS Trial or the date of the final database lock for the PRINCE Trial or (ii) following any such filing, to seek Regulatory Approval from FDA or EMA,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Apellis’ failure to achieve the events listed in (a) and (c) shall not be deemed to be a Fundamental Breach by Apellis in the event that such failure is due to Program Failure, unless such Program Failure is due to gross negligence on the part of Apellis), or (d) material breach or default under the Penn Other Fields License that is not cured in a timely manner as set forth in the Penn Other Fields License and that has a material adverse effect on Apellis’ ability to satisfy its obligations under this Agreement.</w:t>
      </w:r>
    </w:p>
    <w:p>
      <w:pPr>
        <w:spacing w:after="0" w:line="165"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Funding Date</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206" w:lineRule="exact"/>
        <w:rPr>
          <w:sz w:val="20"/>
          <w:szCs w:val="20"/>
          <w:color w:val="auto"/>
        </w:rPr>
      </w:pPr>
    </w:p>
    <w:p>
      <w:pPr>
        <w:ind w:right="520" w:firstLine="1620"/>
        <w:spacing w:after="0" w:line="251" w:lineRule="auto"/>
        <w:rPr>
          <w:sz w:val="20"/>
          <w:szCs w:val="20"/>
          <w:color w:val="auto"/>
        </w:rPr>
      </w:pPr>
      <w:r>
        <w:rPr>
          <w:rFonts w:ascii="Arial" w:cs="Arial" w:eastAsia="Arial" w:hAnsi="Arial"/>
          <w:sz w:val="22"/>
          <w:szCs w:val="22"/>
          <w:color w:val="auto"/>
        </w:rPr>
        <w:t>1.1.52 “</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US, as consistently applied by the applicable Party.</w:t>
      </w:r>
    </w:p>
    <w:p>
      <w:pPr>
        <w:spacing w:after="0" w:line="173" w:lineRule="exact"/>
        <w:rPr>
          <w:sz w:val="20"/>
          <w:szCs w:val="20"/>
          <w:color w:val="auto"/>
        </w:rPr>
      </w:pPr>
    </w:p>
    <w:p>
      <w:pPr>
        <w:ind w:right="560" w:firstLine="1620"/>
        <w:spacing w:after="0" w:line="251" w:lineRule="auto"/>
        <w:rPr>
          <w:sz w:val="20"/>
          <w:szCs w:val="20"/>
          <w:color w:val="auto"/>
        </w:rPr>
      </w:pPr>
      <w:r>
        <w:rPr>
          <w:rFonts w:ascii="Arial" w:cs="Arial" w:eastAsia="Arial" w:hAnsi="Arial"/>
          <w:sz w:val="22"/>
          <w:szCs w:val="22"/>
          <w:color w:val="auto"/>
        </w:rPr>
        <w:t>1.1.53 “</w:t>
      </w:r>
      <w:r>
        <w:rPr>
          <w:rFonts w:ascii="Arial" w:cs="Arial" w:eastAsia="Arial" w:hAnsi="Arial"/>
          <w:sz w:val="22"/>
          <w:szCs w:val="22"/>
          <w:u w:val="single" w:color="auto"/>
          <w:color w:val="auto"/>
        </w:rPr>
        <w:t>GDP Note</w:t>
      </w:r>
      <w:r>
        <w:rPr>
          <w:rFonts w:ascii="Arial" w:cs="Arial" w:eastAsia="Arial" w:hAnsi="Arial"/>
          <w:sz w:val="22"/>
          <w:szCs w:val="22"/>
          <w:color w:val="auto"/>
        </w:rPr>
        <w:t>” means that certain $7,000,000 Promissory Note of Apellis dated as of October 19, 2017 in favor of Golda Darty Partners Société Anonyme.</w:t>
      </w:r>
    </w:p>
    <w:p>
      <w:pPr>
        <w:spacing w:after="0" w:line="173" w:lineRule="exact"/>
        <w:rPr>
          <w:sz w:val="20"/>
          <w:szCs w:val="20"/>
          <w:color w:val="auto"/>
        </w:rPr>
      </w:pPr>
    </w:p>
    <w:p>
      <w:pPr>
        <w:ind w:right="80" w:firstLine="1620"/>
        <w:spacing w:after="0" w:line="233" w:lineRule="auto"/>
        <w:rPr>
          <w:sz w:val="20"/>
          <w:szCs w:val="20"/>
          <w:color w:val="auto"/>
        </w:rPr>
      </w:pPr>
      <w:r>
        <w:rPr>
          <w:rFonts w:ascii="Arial" w:cs="Arial" w:eastAsia="Arial" w:hAnsi="Arial"/>
          <w:sz w:val="22"/>
          <w:szCs w:val="22"/>
          <w:color w:val="auto"/>
        </w:rPr>
        <w:t>1.1.54 “</w:t>
      </w:r>
      <w:r>
        <w:rPr>
          <w:rFonts w:ascii="Arial" w:cs="Arial" w:eastAsia="Arial" w:hAnsi="Arial"/>
          <w:sz w:val="22"/>
          <w:szCs w:val="22"/>
          <w:u w:val="single" w:color="auto"/>
          <w:color w:val="auto"/>
        </w:rPr>
        <w:t>Good Clinical Practices</w:t>
      </w:r>
      <w:r>
        <w:rPr>
          <w:rFonts w:ascii="Arial" w:cs="Arial" w:eastAsia="Arial" w:hAnsi="Arial"/>
          <w:sz w:val="22"/>
          <w:szCs w:val="22"/>
          <w:color w:val="auto"/>
        </w:rPr>
        <w:t>” or “</w:t>
      </w:r>
      <w:r>
        <w:rPr>
          <w:rFonts w:ascii="Arial" w:cs="Arial" w:eastAsia="Arial" w:hAnsi="Arial"/>
          <w:sz w:val="22"/>
          <w:szCs w:val="22"/>
          <w:u w:val="single" w:color="auto"/>
          <w:color w:val="auto"/>
        </w:rPr>
        <w:t>GCP</w:t>
      </w:r>
      <w:r>
        <w:rPr>
          <w:rFonts w:ascii="Arial" w:cs="Arial" w:eastAsia="Arial" w:hAnsi="Arial"/>
          <w:sz w:val="22"/>
          <w:szCs w:val="22"/>
          <w:color w:val="auto"/>
        </w:rPr>
        <w:t>” means all applicable good clinical practice standards for the design, conduct, performance, monitoring, auditing, recording, analyses and reporting of clinical trials, including, as applicable, (a) the International Conference on Harmonisation of Technical Requirements for Registration of Pharmaceuticals for Human Use (“</w:t>
      </w:r>
      <w:r>
        <w:rPr>
          <w:rFonts w:ascii="Arial" w:cs="Arial" w:eastAsia="Arial" w:hAnsi="Arial"/>
          <w:sz w:val="22"/>
          <w:szCs w:val="22"/>
          <w:u w:val="single" w:color="auto"/>
          <w:color w:val="auto"/>
        </w:rPr>
        <w:t>ICH</w:t>
      </w:r>
      <w:r>
        <w:rPr>
          <w:rFonts w:ascii="Arial" w:cs="Arial" w:eastAsia="Arial" w:hAnsi="Arial"/>
          <w:sz w:val="22"/>
          <w:szCs w:val="22"/>
          <w:color w:val="auto"/>
        </w:rPr>
        <w:t>”) Harmonised Tripartite Guideline for Good Clinical Practice (CPMP/ICH/135/95) and any other guidelines for good clinical practice for clinical trials on medicinal products in the EU; (b) the Declaration of Helsinki (2004) as last amended at the 52nd World Medical Association in October 2000 and any further amendments or clarifications thereto; and (c) the equivalent Applicable Laws in any relevant country, each as may be amended and applicable from time to time and in each case, that provide for, among other things, assurance that the clinical data and reported</w:t>
      </w:r>
    </w:p>
    <w:p>
      <w:pPr>
        <w:spacing w:after="0" w:line="16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8"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results are credible and accurate and protect the rights, integrity, and confidentiality of trial Subjects.</w:t>
      </w:r>
    </w:p>
    <w:p>
      <w:pPr>
        <w:spacing w:after="0" w:line="206" w:lineRule="exact"/>
        <w:rPr>
          <w:sz w:val="20"/>
          <w:szCs w:val="20"/>
          <w:color w:val="auto"/>
        </w:rPr>
      </w:pPr>
    </w:p>
    <w:p>
      <w:pPr>
        <w:ind w:right="80" w:firstLine="1620"/>
        <w:spacing w:after="0" w:line="271" w:lineRule="auto"/>
        <w:rPr>
          <w:sz w:val="20"/>
          <w:szCs w:val="20"/>
          <w:color w:val="auto"/>
        </w:rPr>
      </w:pPr>
      <w:r>
        <w:rPr>
          <w:rFonts w:ascii="Arial" w:cs="Arial" w:eastAsia="Arial" w:hAnsi="Arial"/>
          <w:sz w:val="19"/>
          <w:szCs w:val="19"/>
          <w:color w:val="auto"/>
        </w:rPr>
        <w:t>1.1.55 “</w:t>
      </w:r>
      <w:r>
        <w:rPr>
          <w:rFonts w:ascii="Arial" w:cs="Arial" w:eastAsia="Arial" w:hAnsi="Arial"/>
          <w:sz w:val="19"/>
          <w:szCs w:val="19"/>
          <w:u w:val="single" w:color="auto"/>
          <w:color w:val="auto"/>
        </w:rPr>
        <w:t>Good Manufacturing Practices</w:t>
      </w:r>
      <w:r>
        <w:rPr>
          <w:rFonts w:ascii="Arial" w:cs="Arial" w:eastAsia="Arial" w:hAnsi="Arial"/>
          <w:sz w:val="19"/>
          <w:szCs w:val="19"/>
          <w:color w:val="auto"/>
        </w:rPr>
        <w:t>” or “</w:t>
      </w:r>
      <w:r>
        <w:rPr>
          <w:rFonts w:ascii="Arial" w:cs="Arial" w:eastAsia="Arial" w:hAnsi="Arial"/>
          <w:sz w:val="19"/>
          <w:szCs w:val="19"/>
          <w:u w:val="single" w:color="auto"/>
          <w:color w:val="auto"/>
        </w:rPr>
        <w:t>GMP</w:t>
      </w:r>
      <w:r>
        <w:rPr>
          <w:rFonts w:ascii="Arial" w:cs="Arial" w:eastAsia="Arial" w:hAnsi="Arial"/>
          <w:sz w:val="19"/>
          <w:szCs w:val="19"/>
          <w:color w:val="auto"/>
        </w:rPr>
        <w:t>” means all applicable good manufacturing practices including, as applicable, (a) the applicable part of quality assurance to ensure that products are consistently produced and controlled in accordance with the quality standards appropriate for their intended use, as defined in European Commission Directive 2003/94/EC laying down the principals and guidelines of good manufacturing practice;</w:t>
      </w:r>
    </w:p>
    <w:p>
      <w:pPr>
        <w:spacing w:after="0" w:line="4" w:lineRule="exact"/>
        <w:rPr>
          <w:sz w:val="20"/>
          <w:szCs w:val="20"/>
          <w:color w:val="auto"/>
        </w:rPr>
      </w:pPr>
    </w:p>
    <w:p>
      <w:pPr>
        <w:ind w:right="100" w:firstLine="5"/>
        <w:spacing w:after="0" w:line="246" w:lineRule="auto"/>
        <w:tabs>
          <w:tab w:leader="none" w:pos="306"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principles detailed in the US Current Good Manufacturing Practices, 21 CFR Sections 210, 211, 601 and 610; (c) the Rules Governing Medicinal Product in the European Community, Volume IV Good Manufacturing Practice for Medicinal Product; (d) the principles detailed in the ICH Q7A guidelines; and (e) the equivalent Applicable Laws in any relevant country, each as may be amended and applicable from time to time.</w:t>
      </w:r>
    </w:p>
    <w:p>
      <w:pPr>
        <w:spacing w:after="0" w:line="180" w:lineRule="exact"/>
        <w:rPr>
          <w:sz w:val="20"/>
          <w:szCs w:val="20"/>
          <w:color w:val="auto"/>
        </w:rPr>
      </w:pPr>
    </w:p>
    <w:p>
      <w:pPr>
        <w:ind w:firstLine="1620"/>
        <w:spacing w:after="0" w:line="246" w:lineRule="auto"/>
        <w:rPr>
          <w:sz w:val="20"/>
          <w:szCs w:val="20"/>
          <w:color w:val="auto"/>
        </w:rPr>
      </w:pPr>
      <w:r>
        <w:rPr>
          <w:rFonts w:ascii="Arial" w:cs="Arial" w:eastAsia="Arial" w:hAnsi="Arial"/>
          <w:sz w:val="21"/>
          <w:szCs w:val="21"/>
          <w:color w:val="auto"/>
        </w:rPr>
        <w:t>1.1.56 “</w:t>
      </w:r>
      <w:r>
        <w:rPr>
          <w:rFonts w:ascii="Arial" w:cs="Arial" w:eastAsia="Arial" w:hAnsi="Arial"/>
          <w:sz w:val="21"/>
          <w:szCs w:val="21"/>
          <w:u w:val="single" w:color="auto"/>
          <w:color w:val="auto"/>
        </w:rPr>
        <w:t>Government Official</w:t>
      </w:r>
      <w:r>
        <w:rPr>
          <w:rFonts w:ascii="Arial" w:cs="Arial" w:eastAsia="Arial" w:hAnsi="Arial"/>
          <w:sz w:val="21"/>
          <w:szCs w:val="21"/>
          <w:color w:val="auto"/>
        </w:rPr>
        <w:t>” is broadly defined as and includes: (a) any elected or appointed government official (</w:t>
      </w:r>
      <w:r>
        <w:rPr>
          <w:rFonts w:ascii="Arial" w:cs="Arial" w:eastAsia="Arial" w:hAnsi="Arial"/>
          <w:sz w:val="21"/>
          <w:szCs w:val="21"/>
          <w:u w:val="single" w:color="auto"/>
          <w:color w:val="auto"/>
        </w:rPr>
        <w:t>e.g.</w:t>
      </w:r>
      <w:r>
        <w:rPr>
          <w:rFonts w:ascii="Arial" w:cs="Arial" w:eastAsia="Arial" w:hAnsi="Arial"/>
          <w:sz w:val="21"/>
          <w:szCs w:val="21"/>
          <w:color w:val="auto"/>
        </w:rPr>
        <w:t>, a member of a ministry of health); (b) any employee or person acting for or on behalf of a government official, agency, or enterprise performing a governmental function; (c) any non-US political party officer, employee, or person acting for or on behalf of a non-US political party or candidate for public office; (d) any employee or person acting for or on behalf of a public international organization; (e) all government employees and employees of state-owned enterprises; or (f) any person otherwise categorized as a government official under local law; where “government” is meant to include all levels and subdivisions of non-US governments (</w:t>
      </w:r>
      <w:r>
        <w:rPr>
          <w:rFonts w:ascii="Arial" w:cs="Arial" w:eastAsia="Arial" w:hAnsi="Arial"/>
          <w:sz w:val="21"/>
          <w:szCs w:val="21"/>
          <w:u w:val="single" w:color="auto"/>
          <w:color w:val="auto"/>
        </w:rPr>
        <w:t>i.e.</w:t>
      </w:r>
      <w:r>
        <w:rPr>
          <w:rFonts w:ascii="Arial" w:cs="Arial" w:eastAsia="Arial" w:hAnsi="Arial"/>
          <w:sz w:val="21"/>
          <w:szCs w:val="21"/>
          <w:color w:val="auto"/>
        </w:rPr>
        <w:t>, local, regional, or national and administrative, legislative, or executive).</w:t>
      </w:r>
    </w:p>
    <w:p>
      <w:pPr>
        <w:spacing w:after="0" w:line="181" w:lineRule="exact"/>
        <w:rPr>
          <w:sz w:val="20"/>
          <w:szCs w:val="20"/>
          <w:color w:val="auto"/>
        </w:rPr>
      </w:pPr>
    </w:p>
    <w:p>
      <w:pPr>
        <w:ind w:right="460" w:firstLine="1620"/>
        <w:spacing w:after="0" w:line="251" w:lineRule="auto"/>
        <w:rPr>
          <w:sz w:val="20"/>
          <w:szCs w:val="20"/>
          <w:color w:val="auto"/>
        </w:rPr>
      </w:pPr>
      <w:r>
        <w:rPr>
          <w:rFonts w:ascii="Arial" w:cs="Arial" w:eastAsia="Arial" w:hAnsi="Arial"/>
          <w:sz w:val="22"/>
          <w:szCs w:val="22"/>
          <w:color w:val="auto"/>
        </w:rPr>
        <w:t>1.1.57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supranational, federal, national, state or local court, agency, authority, department, regulatory body or other governmental instrumentality.</w:t>
      </w:r>
    </w:p>
    <w:p>
      <w:pPr>
        <w:spacing w:after="0" w:line="173"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ICH</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1.1.54</w:t>
      </w:r>
      <w:r>
        <w:rPr>
          <w:rFonts w:ascii="Arial" w:cs="Arial" w:eastAsia="Arial" w:hAnsi="Arial"/>
          <w:sz w:val="19"/>
          <w:szCs w:val="19"/>
          <w:color w:val="auto"/>
        </w:rPr>
        <w:t>.</w:t>
      </w:r>
    </w:p>
    <w:p>
      <w:pPr>
        <w:spacing w:after="0" w:line="206" w:lineRule="exact"/>
        <w:rPr>
          <w:sz w:val="20"/>
          <w:szCs w:val="20"/>
          <w:color w:val="auto"/>
        </w:rPr>
      </w:pPr>
    </w:p>
    <w:p>
      <w:pPr>
        <w:jc w:val="right"/>
        <w:spacing w:after="0"/>
        <w:tabs>
          <w:tab w:leader="none" w:pos="7680" w:val="left"/>
        </w:tabs>
        <w:rPr>
          <w:sz w:val="20"/>
          <w:szCs w:val="20"/>
          <w:color w:val="auto"/>
        </w:rPr>
      </w:pPr>
      <w:r>
        <w:rPr>
          <w:rFonts w:ascii="Arial" w:cs="Arial" w:eastAsia="Arial" w:hAnsi="Arial"/>
          <w:sz w:val="22"/>
          <w:szCs w:val="22"/>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Indemnification Claim Notice</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12.2.1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12.2.1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12.2.1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EU Payment</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Funding Date</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4.2.</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75" w:name="page76"/>
    <w:bookmarkEnd w:id="75"/>
    <w:p>
      <w:pPr>
        <w:ind w:left="1620"/>
        <w:spacing w:after="0"/>
        <w:tabs>
          <w:tab w:leader="none" w:pos="2800" w:val="left"/>
        </w:tabs>
        <w:rPr>
          <w:sz w:val="20"/>
          <w:szCs w:val="20"/>
          <w:color w:val="auto"/>
        </w:rPr>
      </w:pPr>
      <w:r>
        <w:rPr>
          <w:rFonts w:ascii="Arial" w:cs="Arial" w:eastAsia="Arial" w:hAnsi="Arial"/>
          <w:sz w:val="22"/>
          <w:szCs w:val="22"/>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US Payment</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6" w:lineRule="exact"/>
        <w:rPr>
          <w:sz w:val="20"/>
          <w:szCs w:val="20"/>
          <w:color w:val="auto"/>
        </w:rPr>
      </w:pPr>
    </w:p>
    <w:p>
      <w:pPr>
        <w:ind w:firstLine="1620"/>
        <w:spacing w:after="0" w:line="234" w:lineRule="auto"/>
        <w:rPr>
          <w:sz w:val="20"/>
          <w:szCs w:val="20"/>
          <w:color w:val="auto"/>
        </w:rPr>
      </w:pPr>
      <w:r>
        <w:rPr>
          <w:rFonts w:ascii="Arial" w:cs="Arial" w:eastAsia="Arial" w:hAnsi="Arial"/>
          <w:sz w:val="22"/>
          <w:szCs w:val="22"/>
          <w:color w:val="auto"/>
        </w:rPr>
        <w:t>1.1.65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intellectual property and industrial property rights of any kind or nature throughout the world, including all US and foreign, (a) Patents; (b) Trademarks; (c) Copyrights; (d) rights in computer programs (whether in source code, object code, or other form), algorithms, databases, compilations and data, technology supporting the foregoing, and all documentation, including user manuals and training materials, related to any of the foregoing; (e) trade secrets and all other confidential information, know-how, inventions, proprietary processes, formulae, models, and methodologies; (f) rights of publicity, privacy, and rights to personal information; (g) all rights in the foregoing and in other similar intangible assets; and (h) all applications and registrations for the foregoing.</w:t>
      </w:r>
    </w:p>
    <w:p>
      <w:pPr>
        <w:spacing w:after="0" w:line="18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IRB</w:t>
      </w:r>
      <w:r>
        <w:rPr>
          <w:rFonts w:ascii="Arial" w:cs="Arial" w:eastAsia="Arial" w:hAnsi="Arial"/>
          <w:sz w:val="19"/>
          <w:szCs w:val="19"/>
          <w:color w:val="auto"/>
        </w:rPr>
        <w:t>” means institutional review board, or its equivalent.</w:t>
      </w:r>
    </w:p>
    <w:p>
      <w:pPr>
        <w:spacing w:after="0" w:line="206" w:lineRule="exact"/>
        <w:rPr>
          <w:sz w:val="20"/>
          <w:szCs w:val="20"/>
          <w:color w:val="auto"/>
        </w:rPr>
      </w:pPr>
    </w:p>
    <w:p>
      <w:pPr>
        <w:ind w:right="760" w:firstLine="1620"/>
        <w:spacing w:after="0" w:line="251" w:lineRule="auto"/>
        <w:rPr>
          <w:sz w:val="20"/>
          <w:szCs w:val="20"/>
          <w:color w:val="auto"/>
        </w:rPr>
      </w:pPr>
      <w:r>
        <w:rPr>
          <w:rFonts w:ascii="Arial" w:cs="Arial" w:eastAsia="Arial" w:hAnsi="Arial"/>
          <w:sz w:val="22"/>
          <w:szCs w:val="22"/>
          <w:color w:val="auto"/>
        </w:rPr>
        <w:t>1.1.67 “</w:t>
      </w:r>
      <w:r>
        <w:rPr>
          <w:rFonts w:ascii="Arial" w:cs="Arial" w:eastAsia="Arial" w:hAnsi="Arial"/>
          <w:sz w:val="22"/>
          <w:szCs w:val="22"/>
          <w:u w:val="single" w:color="auto"/>
          <w:color w:val="auto"/>
        </w:rPr>
        <w:t>IRC</w:t>
      </w:r>
      <w:r>
        <w:rPr>
          <w:rFonts w:ascii="Arial" w:cs="Arial" w:eastAsia="Arial" w:hAnsi="Arial"/>
          <w:sz w:val="22"/>
          <w:szCs w:val="22"/>
          <w:color w:val="auto"/>
        </w:rPr>
        <w:t>” means the Internal Revenue Code of 1986, as amended, and the Treasury Regulations adopted thereunder.</w:t>
      </w:r>
    </w:p>
    <w:p>
      <w:pPr>
        <w:spacing w:after="0" w:line="173"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JSC Chairperson</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JSC Representative(s)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1.1.70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JSC</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spacing w:after="0" w:line="206" w:lineRule="exact"/>
        <w:rPr>
          <w:sz w:val="20"/>
          <w:szCs w:val="20"/>
          <w:color w:val="auto"/>
        </w:rPr>
      </w:pPr>
    </w:p>
    <w:p>
      <w:pPr>
        <w:ind w:right="580" w:firstLine="1620"/>
        <w:spacing w:after="0" w:line="287" w:lineRule="auto"/>
        <w:rPr>
          <w:sz w:val="20"/>
          <w:szCs w:val="20"/>
          <w:color w:val="auto"/>
        </w:rPr>
      </w:pPr>
      <w:r>
        <w:rPr>
          <w:rFonts w:ascii="Arial" w:cs="Arial" w:eastAsia="Arial" w:hAnsi="Arial"/>
          <w:sz w:val="19"/>
          <w:szCs w:val="19"/>
          <w:color w:val="auto"/>
        </w:rPr>
        <w:t>1.1.71 “</w:t>
      </w:r>
      <w:r>
        <w:rPr>
          <w:rFonts w:ascii="Arial" w:cs="Arial" w:eastAsia="Arial" w:hAnsi="Arial"/>
          <w:sz w:val="19"/>
          <w:szCs w:val="19"/>
          <w:u w:val="single" w:color="auto"/>
          <w:color w:val="auto"/>
        </w:rPr>
        <w:t>Licensing Transaction</w:t>
      </w:r>
      <w:r>
        <w:rPr>
          <w:rFonts w:ascii="Arial" w:cs="Arial" w:eastAsia="Arial" w:hAnsi="Arial"/>
          <w:sz w:val="19"/>
          <w:szCs w:val="19"/>
          <w:color w:val="auto"/>
        </w:rPr>
        <w:t>” means (a) a license to a Third Party of any of the APL Restricted Intellectual Property in the US or Europe, (b) a sublicense to a Third Party of any of the APL Restricted Intellectual Property in the US or Europe or (c) a sale or transfer to a Third Party of any of the APL Restricted Intellectual Property in the US or Europe or an assignment of either of the Penn Licenses to a Third Party.</w:t>
      </w:r>
    </w:p>
    <w:p>
      <w:pPr>
        <w:spacing w:after="0" w:line="143" w:lineRule="exact"/>
        <w:rPr>
          <w:sz w:val="20"/>
          <w:szCs w:val="20"/>
          <w:color w:val="auto"/>
        </w:rPr>
      </w:pPr>
    </w:p>
    <w:p>
      <w:pPr>
        <w:ind w:right="580" w:firstLine="1620"/>
        <w:spacing w:after="0" w:line="251" w:lineRule="auto"/>
        <w:rPr>
          <w:sz w:val="20"/>
          <w:szCs w:val="20"/>
          <w:color w:val="auto"/>
        </w:rPr>
      </w:pPr>
      <w:r>
        <w:rPr>
          <w:rFonts w:ascii="Arial" w:cs="Arial" w:eastAsia="Arial" w:hAnsi="Arial"/>
          <w:sz w:val="22"/>
          <w:szCs w:val="22"/>
          <w:color w:val="auto"/>
        </w:rPr>
        <w:t>1.1.72 “</w:t>
      </w:r>
      <w:r>
        <w:rPr>
          <w:rFonts w:ascii="Arial" w:cs="Arial" w:eastAsia="Arial" w:hAnsi="Arial"/>
          <w:sz w:val="22"/>
          <w:szCs w:val="22"/>
          <w:u w:val="single" w:color="auto"/>
          <w:color w:val="auto"/>
        </w:rPr>
        <w:t>Losses</w:t>
      </w:r>
      <w:r>
        <w:rPr>
          <w:rFonts w:ascii="Arial" w:cs="Arial" w:eastAsia="Arial" w:hAnsi="Arial"/>
          <w:sz w:val="22"/>
          <w:szCs w:val="22"/>
          <w:color w:val="auto"/>
        </w:rPr>
        <w:t>” means liabilities, losses, costs, damages, fees and/or expenses (including reasonable legal expenses and attorneys’ fees) payable to a Third Party.</w:t>
      </w:r>
    </w:p>
    <w:p>
      <w:pPr>
        <w:spacing w:after="0" w:line="173"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Manufacturing Dossier</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3.9</w:t>
      </w:r>
      <w:r>
        <w:rPr>
          <w:rFonts w:ascii="Arial" w:cs="Arial" w:eastAsia="Arial" w:hAnsi="Arial"/>
          <w:sz w:val="19"/>
          <w:szCs w:val="19"/>
          <w:color w:val="auto"/>
        </w:rPr>
        <w:t>.</w:t>
      </w:r>
    </w:p>
    <w:p>
      <w:pPr>
        <w:spacing w:after="0" w:line="206" w:lineRule="exact"/>
        <w:rPr>
          <w:sz w:val="20"/>
          <w:szCs w:val="20"/>
          <w:color w:val="auto"/>
        </w:rPr>
      </w:pPr>
    </w:p>
    <w:p>
      <w:pPr>
        <w:ind w:right="120" w:firstLine="1620"/>
        <w:spacing w:after="0" w:line="276" w:lineRule="auto"/>
        <w:rPr>
          <w:sz w:val="20"/>
          <w:szCs w:val="20"/>
          <w:color w:val="auto"/>
        </w:rPr>
      </w:pPr>
      <w:r>
        <w:rPr>
          <w:rFonts w:ascii="Arial" w:cs="Arial" w:eastAsia="Arial" w:hAnsi="Arial"/>
          <w:sz w:val="19"/>
          <w:szCs w:val="19"/>
          <w:color w:val="auto"/>
        </w:rPr>
        <w:t>1.1.74 “</w:t>
      </w:r>
      <w:r>
        <w:rPr>
          <w:rFonts w:ascii="Arial" w:cs="Arial" w:eastAsia="Arial" w:hAnsi="Arial"/>
          <w:sz w:val="19"/>
          <w:szCs w:val="19"/>
          <w:u w:val="single" w:color="auto"/>
          <w:color w:val="auto"/>
        </w:rPr>
        <w:t>Material Adverse Event</w:t>
      </w:r>
      <w:r>
        <w:rPr>
          <w:rFonts w:ascii="Arial" w:cs="Arial" w:eastAsia="Arial" w:hAnsi="Arial"/>
          <w:sz w:val="19"/>
          <w:szCs w:val="19"/>
          <w:color w:val="auto"/>
        </w:rPr>
        <w:t>” means a change that has a material adverse effect on (i) the business, operations, or financial condition of Apellis, (ii) prospect of payment of the Approval Payments by Apellis, or</w:t>
      </w:r>
    </w:p>
    <w:p>
      <w:pPr>
        <w:spacing w:after="0" w:line="2" w:lineRule="exact"/>
        <w:rPr>
          <w:sz w:val="20"/>
          <w:szCs w:val="20"/>
          <w:color w:val="auto"/>
        </w:rPr>
      </w:pPr>
    </w:p>
    <w:p>
      <w:pPr>
        <w:ind w:right="140" w:firstLine="5"/>
        <w:spacing w:after="0" w:line="267" w:lineRule="auto"/>
        <w:tabs>
          <w:tab w:leader="none" w:pos="378"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development of the Product for PNH or prospects for Regulatory Approval of the Product for PNH; provided, however, that none of the following shall constitute, or shall be considered in determining whether there has occurred, a Material Adverse Event: (a) changes in laws or regulations or in the interpretations or methods of enforcement thereof;</w:t>
      </w:r>
    </w:p>
    <w:p>
      <w:pPr>
        <w:ind w:left="320" w:hanging="315"/>
        <w:spacing w:after="0"/>
        <w:tabs>
          <w:tab w:leader="none" w:pos="3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changes in the</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48" w:right="279" w:bottom="1440" w:gutter="0" w:footer="0" w:header="0"/>
        </w:sectPr>
      </w:pPr>
    </w:p>
    <w:bookmarkStart w:id="76" w:name="page77"/>
    <w:bookmarkEnd w:id="76"/>
    <w:p>
      <w:pPr>
        <w:spacing w:after="0" w:line="234" w:lineRule="auto"/>
        <w:rPr>
          <w:sz w:val="20"/>
          <w:szCs w:val="20"/>
          <w:color w:val="auto"/>
        </w:rPr>
      </w:pPr>
      <w:r>
        <w:rPr>
          <w:rFonts w:ascii="Arial" w:cs="Arial" w:eastAsia="Arial" w:hAnsi="Arial"/>
          <w:sz w:val="22"/>
          <w:szCs w:val="22"/>
          <w:color w:val="auto"/>
        </w:rPr>
        <w:t>pharmaceutical or biotechnology industries in general; (c) any earthquakes, hurricanes, tsunamis, tornadoes, floods, mudslides, wildfires or other natural disasters, weather conditions, sabotage, terrorism, military action or war (whether or not declared) or other force majeure events in the US or any other country or region in the world; or (d) any changes with respect to any product or product candidate of any Third Party or with respect to any product candidate of Apellis for any indication other than the Product for PNH and ophthalmology, which, in each case, does not have a materially disproportionate impact on Apellis compared to similarly situated competitors operating in the pharmaceutical or biotechnology industries.</w:t>
      </w:r>
    </w:p>
    <w:p>
      <w:pPr>
        <w:spacing w:after="0" w:line="191"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Maximum SFJ Development Costs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4.1.1</w:t>
      </w:r>
      <w:r>
        <w:rPr>
          <w:rFonts w:ascii="Arial" w:cs="Arial" w:eastAsia="Arial" w:hAnsi="Arial"/>
          <w:sz w:val="22"/>
          <w:szCs w:val="22"/>
          <w:color w:val="auto"/>
        </w:rPr>
        <w:t>.</w:t>
      </w:r>
    </w:p>
    <w:p>
      <w:pPr>
        <w:spacing w:after="0" w:line="188" w:lineRule="exact"/>
        <w:rPr>
          <w:sz w:val="20"/>
          <w:szCs w:val="20"/>
          <w:color w:val="auto"/>
        </w:rPr>
      </w:pPr>
    </w:p>
    <w:p>
      <w:pPr>
        <w:ind w:right="260" w:firstLine="1620"/>
        <w:spacing w:after="0" w:line="251" w:lineRule="auto"/>
        <w:rPr>
          <w:sz w:val="20"/>
          <w:szCs w:val="20"/>
          <w:color w:val="auto"/>
        </w:rPr>
      </w:pPr>
      <w:r>
        <w:rPr>
          <w:rFonts w:ascii="Arial" w:cs="Arial" w:eastAsia="Arial" w:hAnsi="Arial"/>
          <w:sz w:val="22"/>
          <w:szCs w:val="22"/>
          <w:color w:val="auto"/>
        </w:rPr>
        <w:t>1.1.76 “</w:t>
      </w:r>
      <w:r>
        <w:rPr>
          <w:rFonts w:ascii="Arial" w:cs="Arial" w:eastAsia="Arial" w:hAnsi="Arial"/>
          <w:sz w:val="22"/>
          <w:szCs w:val="22"/>
          <w:u w:val="single" w:color="auto"/>
          <w:color w:val="auto"/>
        </w:rPr>
        <w:t>NDA</w:t>
      </w:r>
      <w:r>
        <w:rPr>
          <w:rFonts w:ascii="Arial" w:cs="Arial" w:eastAsia="Arial" w:hAnsi="Arial"/>
          <w:sz w:val="22"/>
          <w:szCs w:val="22"/>
          <w:color w:val="auto"/>
        </w:rPr>
        <w:t>” means a new drug application or similar application submitted to FDA for the purpose of obtaining Regulatory Approval to market and sell a pharmaceutical product in the US.</w:t>
      </w:r>
    </w:p>
    <w:p>
      <w:pPr>
        <w:spacing w:after="0" w:line="173"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has the meaning ascribed to such term in the Preamble.</w:t>
      </w:r>
    </w:p>
    <w:p>
      <w:pPr>
        <w:spacing w:after="0" w:line="206" w:lineRule="exact"/>
        <w:rPr>
          <w:sz w:val="20"/>
          <w:szCs w:val="20"/>
          <w:color w:val="auto"/>
        </w:rPr>
      </w:pPr>
    </w:p>
    <w:p>
      <w:pPr>
        <w:ind w:right="660" w:firstLine="1620"/>
        <w:spacing w:after="0" w:line="328" w:lineRule="auto"/>
        <w:rPr>
          <w:sz w:val="20"/>
          <w:szCs w:val="20"/>
          <w:color w:val="auto"/>
        </w:rPr>
      </w:pPr>
      <w:r>
        <w:rPr>
          <w:rFonts w:ascii="Arial" w:cs="Arial" w:eastAsia="Arial" w:hAnsi="Arial"/>
          <w:sz w:val="19"/>
          <w:szCs w:val="19"/>
          <w:color w:val="auto"/>
        </w:rPr>
        <w:t>1.1.78 “</w:t>
      </w:r>
      <w:r>
        <w:rPr>
          <w:rFonts w:ascii="Arial" w:cs="Arial" w:eastAsia="Arial" w:hAnsi="Arial"/>
          <w:sz w:val="19"/>
          <w:szCs w:val="19"/>
          <w:u w:val="single" w:color="auto"/>
          <w:color w:val="auto"/>
        </w:rPr>
        <w:t>Patent</w:t>
      </w:r>
      <w:r>
        <w:rPr>
          <w:rFonts w:ascii="Arial" w:cs="Arial" w:eastAsia="Arial" w:hAnsi="Arial"/>
          <w:sz w:val="19"/>
          <w:szCs w:val="19"/>
          <w:color w:val="auto"/>
        </w:rPr>
        <w:t>” will mean patents, patent applications, patent disclosures, and all related continuations, continuations-in-part, divisionals, reissues, re-examinations, substitutions, and extensions thereof.</w:t>
      </w:r>
    </w:p>
    <w:p>
      <w:pPr>
        <w:spacing w:after="0" w:line="105" w:lineRule="exact"/>
        <w:rPr>
          <w:sz w:val="20"/>
          <w:szCs w:val="20"/>
          <w:color w:val="auto"/>
        </w:rPr>
      </w:pPr>
    </w:p>
    <w:p>
      <w:pPr>
        <w:ind w:right="300" w:firstLine="1620"/>
        <w:spacing w:after="0" w:line="251" w:lineRule="auto"/>
        <w:rPr>
          <w:sz w:val="20"/>
          <w:szCs w:val="20"/>
          <w:color w:val="auto"/>
        </w:rPr>
      </w:pPr>
      <w:r>
        <w:rPr>
          <w:rFonts w:ascii="Arial" w:cs="Arial" w:eastAsia="Arial" w:hAnsi="Arial"/>
          <w:sz w:val="22"/>
          <w:szCs w:val="22"/>
          <w:color w:val="auto"/>
        </w:rPr>
        <w:t>1.1.79 “</w:t>
      </w:r>
      <w:r>
        <w:rPr>
          <w:rFonts w:ascii="Arial" w:cs="Arial" w:eastAsia="Arial" w:hAnsi="Arial"/>
          <w:sz w:val="22"/>
          <w:szCs w:val="22"/>
          <w:u w:val="single" w:color="auto"/>
          <w:color w:val="auto"/>
        </w:rPr>
        <w:t>PEGASUS Trial</w:t>
      </w:r>
      <w:r>
        <w:rPr>
          <w:rFonts w:ascii="Arial" w:cs="Arial" w:eastAsia="Arial" w:hAnsi="Arial"/>
          <w:sz w:val="22"/>
          <w:szCs w:val="22"/>
          <w:color w:val="auto"/>
        </w:rPr>
        <w:t>” means Apellis’ Phase 3 clinical trial of the Product for PNH as set forth on Exhibit N.</w:t>
      </w:r>
    </w:p>
    <w:p>
      <w:pPr>
        <w:spacing w:after="0" w:line="173" w:lineRule="exact"/>
        <w:rPr>
          <w:sz w:val="20"/>
          <w:szCs w:val="20"/>
          <w:color w:val="auto"/>
        </w:rPr>
      </w:pPr>
    </w:p>
    <w:p>
      <w:pPr>
        <w:ind w:right="140" w:firstLine="1620"/>
        <w:spacing w:after="0" w:line="282" w:lineRule="auto"/>
        <w:rPr>
          <w:sz w:val="20"/>
          <w:szCs w:val="20"/>
          <w:color w:val="auto"/>
        </w:rPr>
      </w:pPr>
      <w:r>
        <w:rPr>
          <w:rFonts w:ascii="Arial" w:cs="Arial" w:eastAsia="Arial" w:hAnsi="Arial"/>
          <w:sz w:val="19"/>
          <w:szCs w:val="19"/>
          <w:color w:val="auto"/>
        </w:rPr>
        <w:t>1.1.80 “</w:t>
      </w:r>
      <w:r>
        <w:rPr>
          <w:rFonts w:ascii="Arial" w:cs="Arial" w:eastAsia="Arial" w:hAnsi="Arial"/>
          <w:sz w:val="19"/>
          <w:szCs w:val="19"/>
          <w:u w:val="single" w:color="auto"/>
          <w:color w:val="auto"/>
        </w:rPr>
        <w:t>Penn Licenses</w:t>
      </w:r>
      <w:r>
        <w:rPr>
          <w:rFonts w:ascii="Arial" w:cs="Arial" w:eastAsia="Arial" w:hAnsi="Arial"/>
          <w:sz w:val="19"/>
          <w:szCs w:val="19"/>
          <w:color w:val="auto"/>
        </w:rPr>
        <w:t>” means, collectively, the Amended and Restated Patent License Agreement between Apellis (as successor to Potentia Pharmaceuticals, Inc.) and the University of Pennsylvania dated March 28, 2008, as amended on October 14, 2009 (the “</w:t>
      </w:r>
      <w:r>
        <w:rPr>
          <w:rFonts w:ascii="Arial" w:cs="Arial" w:eastAsia="Arial" w:hAnsi="Arial"/>
          <w:sz w:val="19"/>
          <w:szCs w:val="19"/>
          <w:u w:val="single" w:color="auto"/>
          <w:color w:val="auto"/>
        </w:rPr>
        <w:t>Penn Ophthalmic License</w:t>
      </w:r>
      <w:r>
        <w:rPr>
          <w:rFonts w:ascii="Arial" w:cs="Arial" w:eastAsia="Arial" w:hAnsi="Arial"/>
          <w:sz w:val="19"/>
          <w:szCs w:val="19"/>
          <w:color w:val="auto"/>
        </w:rPr>
        <w:t>”), and the Patent License Agreement dated as of March 28, 2008 by and between The Trustees of the University of Pennsylvania and Apellis (as successor to Apellis AG), as amended on September 11, 2009 (the “</w:t>
      </w:r>
      <w:r>
        <w:rPr>
          <w:rFonts w:ascii="Arial" w:cs="Arial" w:eastAsia="Arial" w:hAnsi="Arial"/>
          <w:sz w:val="19"/>
          <w:szCs w:val="19"/>
          <w:u w:val="single" w:color="auto"/>
          <w:color w:val="auto"/>
        </w:rPr>
        <w:t>Penn Other Fields License</w:t>
      </w:r>
      <w:r>
        <w:rPr>
          <w:rFonts w:ascii="Arial" w:cs="Arial" w:eastAsia="Arial" w:hAnsi="Arial"/>
          <w:sz w:val="19"/>
          <w:szCs w:val="19"/>
          <w:color w:val="auto"/>
        </w:rPr>
        <w:t>”).</w:t>
      </w:r>
    </w:p>
    <w:p>
      <w:pPr>
        <w:spacing w:after="0" w:line="148" w:lineRule="exact"/>
        <w:rPr>
          <w:sz w:val="20"/>
          <w:szCs w:val="20"/>
          <w:color w:val="auto"/>
        </w:rPr>
      </w:pPr>
    </w:p>
    <w:p>
      <w:pPr>
        <w:ind w:right="180" w:firstLine="1620"/>
        <w:spacing w:after="0" w:line="238" w:lineRule="auto"/>
        <w:rPr>
          <w:sz w:val="20"/>
          <w:szCs w:val="20"/>
          <w:color w:val="auto"/>
        </w:rPr>
      </w:pPr>
      <w:r>
        <w:rPr>
          <w:rFonts w:ascii="Arial" w:cs="Arial" w:eastAsia="Arial" w:hAnsi="Arial"/>
          <w:sz w:val="22"/>
          <w:szCs w:val="22"/>
          <w:color w:val="auto"/>
        </w:rPr>
        <w:t>1.1.81 “</w:t>
      </w:r>
      <w:r>
        <w:rPr>
          <w:rFonts w:ascii="Arial" w:cs="Arial" w:eastAsia="Arial" w:hAnsi="Arial"/>
          <w:sz w:val="22"/>
          <w:szCs w:val="22"/>
          <w:u w:val="single" w:color="auto"/>
          <w:color w:val="auto"/>
        </w:rPr>
        <w:t>Permitted Third Party</w:t>
      </w:r>
      <w:r>
        <w:rPr>
          <w:rFonts w:ascii="Arial" w:cs="Arial" w:eastAsia="Arial" w:hAnsi="Arial"/>
          <w:sz w:val="22"/>
          <w:szCs w:val="22"/>
          <w:color w:val="auto"/>
        </w:rPr>
        <w:t>” means any Affiliate, CRO, Site, Clinical Investigator and/or Vendor to whom Apellis has delegated responsibility or engaged in connection with the Trial. For clarity, Third Parties that have been delegated responsibility by or engaged by a Permitted Third Party will be considered Permitted Third Parties.</w:t>
      </w:r>
    </w:p>
    <w:p>
      <w:pPr>
        <w:spacing w:after="0" w:line="185" w:lineRule="exact"/>
        <w:rPr>
          <w:sz w:val="20"/>
          <w:szCs w:val="20"/>
          <w:color w:val="auto"/>
        </w:rPr>
      </w:pPr>
    </w:p>
    <w:p>
      <w:pPr>
        <w:jc w:val="both"/>
        <w:ind w:right="480" w:firstLine="1620"/>
        <w:spacing w:after="0"/>
        <w:rPr>
          <w:sz w:val="20"/>
          <w:szCs w:val="20"/>
          <w:color w:val="auto"/>
        </w:rPr>
      </w:pPr>
      <w:r>
        <w:rPr>
          <w:rFonts w:ascii="Arial" w:cs="Arial" w:eastAsia="Arial" w:hAnsi="Arial"/>
          <w:sz w:val="22"/>
          <w:szCs w:val="22"/>
          <w:color w:val="auto"/>
        </w:rPr>
        <w:t>1.1.82 “</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general or limited partnership, limited liability company, joint venture, estate, trust, association, organization, labor union, or other entity or Governmental Authority.</w:t>
      </w:r>
    </w:p>
    <w:p>
      <w:pPr>
        <w:spacing w:after="0" w:line="186" w:lineRule="exact"/>
        <w:rPr>
          <w:sz w:val="20"/>
          <w:szCs w:val="20"/>
          <w:color w:val="auto"/>
        </w:rPr>
      </w:pPr>
    </w:p>
    <w:p>
      <w:pPr>
        <w:ind w:right="40" w:firstLine="1620"/>
        <w:spacing w:after="0" w:line="251" w:lineRule="auto"/>
        <w:rPr>
          <w:sz w:val="20"/>
          <w:szCs w:val="20"/>
          <w:color w:val="auto"/>
        </w:rPr>
      </w:pPr>
      <w:r>
        <w:rPr>
          <w:rFonts w:ascii="Arial" w:cs="Arial" w:eastAsia="Arial" w:hAnsi="Arial"/>
          <w:sz w:val="22"/>
          <w:szCs w:val="22"/>
          <w:color w:val="auto"/>
        </w:rPr>
        <w:t>1.1.83 “</w:t>
      </w:r>
      <w:r>
        <w:rPr>
          <w:rFonts w:ascii="Arial" w:cs="Arial" w:eastAsia="Arial" w:hAnsi="Arial"/>
          <w:sz w:val="22"/>
          <w:szCs w:val="22"/>
          <w:u w:val="single" w:color="auto"/>
          <w:color w:val="auto"/>
        </w:rPr>
        <w:t>Personally Identifiable Information</w:t>
      </w:r>
      <w:r>
        <w:rPr>
          <w:rFonts w:ascii="Arial" w:cs="Arial" w:eastAsia="Arial" w:hAnsi="Arial"/>
          <w:sz w:val="22"/>
          <w:szCs w:val="22"/>
          <w:color w:val="auto"/>
        </w:rPr>
        <w:t>” means any information relating to an identified or, in combination with other information, identifiable person or</w:t>
      </w:r>
    </w:p>
    <w:p>
      <w:pPr>
        <w:spacing w:after="0" w:line="146"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47" w:right="279" w:bottom="1440" w:gutter="0" w:footer="0" w:header="0"/>
        </w:sectPr>
      </w:pPr>
    </w:p>
    <w:bookmarkStart w:id="77" w:name="page78"/>
    <w:bookmarkEnd w:id="77"/>
    <w:p>
      <w:pPr>
        <w:ind w:right="400"/>
        <w:spacing w:after="0" w:line="238" w:lineRule="auto"/>
        <w:rPr>
          <w:sz w:val="20"/>
          <w:szCs w:val="20"/>
          <w:color w:val="auto"/>
        </w:rPr>
      </w:pPr>
      <w:r>
        <w:rPr>
          <w:rFonts w:ascii="Arial" w:cs="Arial" w:eastAsia="Arial" w:hAnsi="Arial"/>
          <w:sz w:val="22"/>
          <w:szCs w:val="22"/>
          <w:color w:val="auto"/>
        </w:rPr>
        <w:t>persons captured in an electronic or hardcopy format, including such information as it relates to clinical trial subjects (including key-coded patient data), physicians, clinicians, healthcare professionals, consultants, or other persons participating in the Trial, and any equivalent definition in the Applicable Laws to the extent that such definition is broader than that provided here.</w:t>
      </w:r>
    </w:p>
    <w:p>
      <w:pPr>
        <w:spacing w:after="0" w:line="185" w:lineRule="exact"/>
        <w:rPr>
          <w:sz w:val="20"/>
          <w:szCs w:val="20"/>
          <w:color w:val="auto"/>
        </w:rPr>
      </w:pPr>
    </w:p>
    <w:p>
      <w:pPr>
        <w:ind w:right="500" w:firstLine="1620"/>
        <w:spacing w:after="0"/>
        <w:rPr>
          <w:sz w:val="20"/>
          <w:szCs w:val="20"/>
          <w:color w:val="auto"/>
        </w:rPr>
      </w:pPr>
      <w:r>
        <w:rPr>
          <w:rFonts w:ascii="Arial" w:cs="Arial" w:eastAsia="Arial" w:hAnsi="Arial"/>
          <w:sz w:val="22"/>
          <w:szCs w:val="22"/>
          <w:color w:val="auto"/>
        </w:rPr>
        <w:t>1.1.84 “</w:t>
      </w:r>
      <w:r>
        <w:rPr>
          <w:rFonts w:ascii="Arial" w:cs="Arial" w:eastAsia="Arial" w:hAnsi="Arial"/>
          <w:sz w:val="22"/>
          <w:szCs w:val="22"/>
          <w:u w:val="single" w:color="auto"/>
          <w:color w:val="auto"/>
        </w:rPr>
        <w:t>Phase 3 Milestone</w:t>
      </w:r>
      <w:r>
        <w:rPr>
          <w:rFonts w:ascii="Arial" w:cs="Arial" w:eastAsia="Arial" w:hAnsi="Arial"/>
          <w:sz w:val="22"/>
          <w:szCs w:val="22"/>
          <w:color w:val="auto"/>
        </w:rPr>
        <w:t>” shall mean that the pre-specified primary endpoint for the PEGASUS Trial has been achieved with statistical significance. The achievement of the Phase 3 Milestone shall be determined after the preparation of the final CSR for the PEGASUS Trial.</w:t>
      </w:r>
    </w:p>
    <w:p>
      <w:pPr>
        <w:spacing w:after="0" w:line="18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Pre-Approval Commercialization Activities</w:t>
      </w:r>
      <w:r>
        <w:rPr>
          <w:rFonts w:ascii="Arial" w:cs="Arial" w:eastAsia="Arial" w:hAnsi="Arial"/>
          <w:sz w:val="19"/>
          <w:szCs w:val="19"/>
          <w:color w:val="auto"/>
        </w:rPr>
        <w:t>” has the meaning ascribed to such term 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8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1.1.86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PRINCE-Only Royalty</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1.1.87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PRINCE Trial</w:t>
      </w:r>
      <w:r>
        <w:rPr>
          <w:rFonts w:ascii="Arial" w:cs="Arial" w:eastAsia="Arial" w:hAnsi="Arial"/>
          <w:sz w:val="19"/>
          <w:szCs w:val="19"/>
          <w:color w:val="auto"/>
        </w:rPr>
        <w:t>” means Apellis’ Phase 3 clinical trial of the Product for PNH as set forth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on Exhibit O.</w:t>
      </w:r>
    </w:p>
    <w:p>
      <w:pPr>
        <w:spacing w:after="0" w:line="18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w:t>
      </w:r>
      <w:r>
        <w:rPr>
          <w:rFonts w:ascii="Arial" w:cs="Arial" w:eastAsia="Arial" w:hAnsi="Arial"/>
          <w:sz w:val="19"/>
          <w:szCs w:val="19"/>
          <w:color w:val="auto"/>
        </w:rPr>
        <w:t xml:space="preserve">” means the product as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also known as APL-2.</w:t>
      </w:r>
    </w:p>
    <w:p>
      <w:pPr>
        <w:spacing w:after="0" w:line="206" w:lineRule="exact"/>
        <w:rPr>
          <w:sz w:val="20"/>
          <w:szCs w:val="20"/>
          <w:color w:val="auto"/>
        </w:rPr>
      </w:pPr>
    </w:p>
    <w:p>
      <w:pPr>
        <w:ind w:firstLine="1620"/>
        <w:spacing w:after="0" w:line="235" w:lineRule="auto"/>
        <w:rPr>
          <w:sz w:val="20"/>
          <w:szCs w:val="20"/>
          <w:color w:val="auto"/>
        </w:rPr>
      </w:pPr>
      <w:r>
        <w:rPr>
          <w:rFonts w:ascii="Arial" w:cs="Arial" w:eastAsia="Arial" w:hAnsi="Arial"/>
          <w:sz w:val="22"/>
          <w:szCs w:val="22"/>
          <w:color w:val="auto"/>
        </w:rPr>
        <w:t>1.1.89 “</w:t>
      </w:r>
      <w:r>
        <w:rPr>
          <w:rFonts w:ascii="Arial" w:cs="Arial" w:eastAsia="Arial" w:hAnsi="Arial"/>
          <w:sz w:val="22"/>
          <w:szCs w:val="22"/>
          <w:u w:val="single" w:color="auto"/>
          <w:color w:val="auto"/>
        </w:rPr>
        <w:t>Program Failure</w:t>
      </w:r>
      <w:r>
        <w:rPr>
          <w:rFonts w:ascii="Arial" w:cs="Arial" w:eastAsia="Arial" w:hAnsi="Arial"/>
          <w:sz w:val="22"/>
          <w:szCs w:val="22"/>
          <w:color w:val="auto"/>
        </w:rPr>
        <w:t>” means any of the following events: (a) the applicable Regulatory Authorities in both the US and the Designated European Countries (i) impose a clinical hold on further development of the Product, which clinical hold is not lifted or removed within [**] or (ii) recommend termination of the Trial and such recommendation is not lifted within [**]; or (b) the mutual agreement of the Parties that, based on data from the Trial, the Product has failed to achieve the Phase 3 Milestone and will not be able to achieve Regulatory Approval by either the FDA or the EMA.</w:t>
      </w:r>
    </w:p>
    <w:p>
      <w:pPr>
        <w:spacing w:after="0" w:line="188" w:lineRule="exact"/>
        <w:rPr>
          <w:sz w:val="20"/>
          <w:szCs w:val="20"/>
          <w:color w:val="auto"/>
        </w:rPr>
      </w:pPr>
    </w:p>
    <w:p>
      <w:pPr>
        <w:ind w:right="60" w:firstLine="1620"/>
        <w:spacing w:after="0" w:line="251" w:lineRule="auto"/>
        <w:rPr>
          <w:sz w:val="20"/>
          <w:szCs w:val="20"/>
          <w:color w:val="auto"/>
        </w:rPr>
      </w:pPr>
      <w:r>
        <w:rPr>
          <w:rFonts w:ascii="Arial" w:cs="Arial" w:eastAsia="Arial" w:hAnsi="Arial"/>
          <w:sz w:val="22"/>
          <w:szCs w:val="22"/>
          <w:color w:val="auto"/>
        </w:rPr>
        <w:t>1.1.90 “</w:t>
      </w:r>
      <w:r>
        <w:rPr>
          <w:rFonts w:ascii="Arial" w:cs="Arial" w:eastAsia="Arial" w:hAnsi="Arial"/>
          <w:sz w:val="22"/>
          <w:szCs w:val="22"/>
          <w:u w:val="single" w:color="auto"/>
          <w:color w:val="auto"/>
        </w:rPr>
        <w:t>Protocol</w:t>
      </w:r>
      <w:r>
        <w:rPr>
          <w:rFonts w:ascii="Arial" w:cs="Arial" w:eastAsia="Arial" w:hAnsi="Arial"/>
          <w:sz w:val="22"/>
          <w:szCs w:val="22"/>
          <w:color w:val="auto"/>
        </w:rPr>
        <w:t>” means the clinical trial protocols for a clinical trial comprised by the Trial, as may be modified from time to time as permitted hereunder.</w:t>
      </w:r>
    </w:p>
    <w:p>
      <w:pPr>
        <w:spacing w:after="0" w:line="173"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Receiving Party</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Regulatory Approval</w:t>
      </w:r>
      <w:r>
        <w:rPr>
          <w:rFonts w:ascii="Arial" w:cs="Arial" w:eastAsia="Arial" w:hAnsi="Arial"/>
          <w:sz w:val="19"/>
          <w:szCs w:val="19"/>
          <w:color w:val="auto"/>
        </w:rPr>
        <w:t>” means the approval (a) of an NDA or BLA by FDA in the US or</w:t>
      </w:r>
    </w:p>
    <w:p>
      <w:pPr>
        <w:spacing w:after="0" w:line="8" w:lineRule="exact"/>
        <w:rPr>
          <w:sz w:val="20"/>
          <w:szCs w:val="20"/>
          <w:color w:val="auto"/>
        </w:rPr>
      </w:pPr>
    </w:p>
    <w:p>
      <w:pPr>
        <w:ind w:right="280" w:firstLine="5"/>
        <w:spacing w:after="0" w:line="237" w:lineRule="auto"/>
        <w:tabs>
          <w:tab w:leader="none" w:pos="3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of a marketing approval application (MAA) by EMA, in each case ((a) and (b)) for the Product for the treatment of PNH.</w:t>
      </w:r>
    </w:p>
    <w:p>
      <w:pPr>
        <w:spacing w:after="0" w:line="185" w:lineRule="exact"/>
        <w:rPr>
          <w:sz w:val="20"/>
          <w:szCs w:val="20"/>
          <w:color w:val="auto"/>
        </w:rPr>
      </w:pPr>
    </w:p>
    <w:p>
      <w:pPr>
        <w:jc w:val="both"/>
        <w:ind w:right="200" w:firstLine="1620"/>
        <w:spacing w:after="0" w:line="238" w:lineRule="auto"/>
        <w:rPr>
          <w:sz w:val="20"/>
          <w:szCs w:val="20"/>
          <w:color w:val="auto"/>
        </w:rPr>
      </w:pPr>
      <w:r>
        <w:rPr>
          <w:rFonts w:ascii="Arial" w:cs="Arial" w:eastAsia="Arial" w:hAnsi="Arial"/>
          <w:sz w:val="22"/>
          <w:szCs w:val="22"/>
          <w:color w:val="auto"/>
        </w:rPr>
        <w:t>1.1.93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in a particular country or regulatory jurisdiction in the Territory, any applicable Governmental Authority involved in granting approval to initiate or conduct clinical testing in humans, for Regulatory Approval, including (a) FDA and (b) EMA and for each of (a) and (b), including any successor thereto.</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78" w:name="page79"/>
    <w:bookmarkEnd w:id="78"/>
    <w:p>
      <w:pPr>
        <w:jc w:val="both"/>
        <w:ind w:right="20" w:firstLine="1620"/>
        <w:spacing w:after="0" w:line="258" w:lineRule="auto"/>
        <w:rPr>
          <w:sz w:val="20"/>
          <w:szCs w:val="20"/>
          <w:color w:val="auto"/>
        </w:rPr>
      </w:pPr>
      <w:r>
        <w:rPr>
          <w:rFonts w:ascii="Arial" w:cs="Arial" w:eastAsia="Arial" w:hAnsi="Arial"/>
          <w:sz w:val="21"/>
          <w:szCs w:val="21"/>
          <w:color w:val="auto"/>
        </w:rPr>
        <w:t>1.1.94 “</w:t>
      </w:r>
      <w:r>
        <w:rPr>
          <w:rFonts w:ascii="Arial" w:cs="Arial" w:eastAsia="Arial" w:hAnsi="Arial"/>
          <w:sz w:val="21"/>
          <w:szCs w:val="21"/>
          <w:u w:val="single" w:color="auto"/>
          <w:color w:val="auto"/>
        </w:rPr>
        <w:t>Research Results</w:t>
      </w:r>
      <w:r>
        <w:rPr>
          <w:rFonts w:ascii="Arial" w:cs="Arial" w:eastAsia="Arial" w:hAnsi="Arial"/>
          <w:sz w:val="21"/>
          <w:szCs w:val="21"/>
          <w:color w:val="auto"/>
        </w:rPr>
        <w:t>” means all data, results, information, analyses, discoveries, inventions and know-how arising, or resulting from, the Trial and/or the CMC activities contemplated by the Development Program and/or the exercise by, or on behalf of, Apellis of its rights and obligations hereunder.</w:t>
      </w:r>
    </w:p>
    <w:p>
      <w:pPr>
        <w:spacing w:after="0" w:line="167" w:lineRule="exact"/>
        <w:rPr>
          <w:sz w:val="20"/>
          <w:szCs w:val="20"/>
          <w:color w:val="auto"/>
        </w:rPr>
      </w:pPr>
    </w:p>
    <w:p>
      <w:pPr>
        <w:ind w:right="380" w:firstLine="1620"/>
        <w:spacing w:after="0" w:line="236" w:lineRule="auto"/>
        <w:rPr>
          <w:sz w:val="20"/>
          <w:szCs w:val="20"/>
          <w:color w:val="auto"/>
        </w:rPr>
      </w:pPr>
      <w:r>
        <w:rPr>
          <w:rFonts w:ascii="Arial" w:cs="Arial" w:eastAsia="Arial" w:hAnsi="Arial"/>
          <w:sz w:val="22"/>
          <w:szCs w:val="22"/>
          <w:color w:val="auto"/>
        </w:rPr>
        <w:t>1.1.95 “</w:t>
      </w:r>
      <w:r>
        <w:rPr>
          <w:rFonts w:ascii="Arial" w:cs="Arial" w:eastAsia="Arial" w:hAnsi="Arial"/>
          <w:sz w:val="22"/>
          <w:szCs w:val="22"/>
          <w:u w:val="single" w:color="auto"/>
          <w:color w:val="auto"/>
        </w:rPr>
        <w:t>Serious Safety Issue</w:t>
      </w:r>
      <w:r>
        <w:rPr>
          <w:rFonts w:ascii="Arial" w:cs="Arial" w:eastAsia="Arial" w:hAnsi="Arial"/>
          <w:sz w:val="22"/>
          <w:szCs w:val="22"/>
          <w:color w:val="auto"/>
        </w:rPr>
        <w:t>” means any SUSAR or series of SUSARs directly related to or caused by the administration of the Product in the conduct of the Trial where such SUSAR or series of SUSARs substantially diminishes the probability of receiving Regulatory Approval for the Product, or results in a Regulatory Authority imposing a clinical hold on further development of the Product which clinical hold is not lifted or removed within [**].</w:t>
      </w:r>
    </w:p>
    <w:p>
      <w:pPr>
        <w:spacing w:after="0" w:line="188"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1.1.96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w:t>
      </w:r>
      <w:r>
        <w:rPr>
          <w:rFonts w:ascii="Arial" w:cs="Arial" w:eastAsia="Arial" w:hAnsi="Arial"/>
          <w:sz w:val="19"/>
          <w:szCs w:val="19"/>
          <w:color w:val="auto"/>
        </w:rPr>
        <w:t>” has the meaning ascribed to such term in the Preamble.</w:t>
      </w:r>
    </w:p>
    <w:p>
      <w:pPr>
        <w:spacing w:after="0" w:line="206" w:lineRule="exact"/>
        <w:rPr>
          <w:sz w:val="20"/>
          <w:szCs w:val="20"/>
          <w:color w:val="auto"/>
        </w:rPr>
      </w:pPr>
    </w:p>
    <w:p>
      <w:pPr>
        <w:ind w:right="440" w:firstLine="1620"/>
        <w:spacing w:after="0"/>
        <w:rPr>
          <w:sz w:val="20"/>
          <w:szCs w:val="20"/>
          <w:color w:val="auto"/>
        </w:rPr>
      </w:pPr>
      <w:r>
        <w:rPr>
          <w:rFonts w:ascii="Arial" w:cs="Arial" w:eastAsia="Arial" w:hAnsi="Arial"/>
          <w:sz w:val="22"/>
          <w:szCs w:val="22"/>
          <w:color w:val="auto"/>
        </w:rPr>
        <w:t>1.1.97 “</w:t>
      </w:r>
      <w:r>
        <w:rPr>
          <w:rFonts w:ascii="Arial" w:cs="Arial" w:eastAsia="Arial" w:hAnsi="Arial"/>
          <w:sz w:val="22"/>
          <w:szCs w:val="22"/>
          <w:u w:val="single" w:color="auto"/>
          <w:color w:val="auto"/>
        </w:rPr>
        <w:t>SFJ Confidential Information</w:t>
      </w:r>
      <w:r>
        <w:rPr>
          <w:rFonts w:ascii="Arial" w:cs="Arial" w:eastAsia="Arial" w:hAnsi="Arial"/>
          <w:sz w:val="22"/>
          <w:szCs w:val="22"/>
          <w:color w:val="auto"/>
        </w:rPr>
        <w:t>” means all Confidential Information provided and/or disclosed by, or on behalf of, SFJ or its Affiliates, agents or representatives to Apellis or its Affiliates, agents or representatives hereunder.</w:t>
      </w:r>
    </w:p>
    <w:p>
      <w:pPr>
        <w:spacing w:after="0" w:line="186" w:lineRule="exact"/>
        <w:rPr>
          <w:sz w:val="20"/>
          <w:szCs w:val="20"/>
          <w:color w:val="auto"/>
        </w:rPr>
      </w:pPr>
    </w:p>
    <w:p>
      <w:pPr>
        <w:ind w:left="1620"/>
        <w:spacing w:after="0"/>
        <w:tabs>
          <w:tab w:leader="none" w:pos="2800" w:val="left"/>
        </w:tabs>
        <w:rPr>
          <w:sz w:val="20"/>
          <w:szCs w:val="20"/>
          <w:color w:val="auto"/>
        </w:rPr>
      </w:pPr>
      <w:r>
        <w:rPr>
          <w:rFonts w:ascii="Arial" w:cs="Arial" w:eastAsia="Arial" w:hAnsi="Arial"/>
          <w:sz w:val="22"/>
          <w:szCs w:val="22"/>
          <w:color w:val="auto"/>
        </w:rPr>
        <w:t>1.1.98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 Development Costs</w:t>
      </w:r>
      <w:r>
        <w:rPr>
          <w:rFonts w:ascii="Arial" w:cs="Arial" w:eastAsia="Arial" w:hAnsi="Arial"/>
          <w:sz w:val="19"/>
          <w:szCs w:val="19"/>
          <w:color w:val="auto"/>
        </w:rPr>
        <w:t>” means the amount of funding paid to Apellis by SFJ</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1.1.99</w:t>
            </w:r>
          </w:p>
        </w:tc>
        <w:tc>
          <w:tcPr>
            <w:tcW w:w="7460" w:type="dxa"/>
            <w:vAlign w:val="bottom"/>
            <w:gridSpan w:val="8"/>
          </w:tcPr>
          <w:p>
            <w:pPr>
              <w:ind w:left="280"/>
              <w:spacing w:after="0"/>
              <w:rPr>
                <w:sz w:val="20"/>
                <w:szCs w:val="20"/>
                <w:color w:val="auto"/>
              </w:rPr>
            </w:pPr>
            <w:r>
              <w:rPr>
                <w:rFonts w:ascii="Arial" w:cs="Arial" w:eastAsia="Arial" w:hAnsi="Arial"/>
                <w:sz w:val="22"/>
                <w:szCs w:val="22"/>
                <w:color w:val="auto"/>
                <w:w w:val="88"/>
              </w:rPr>
              <w:t>“SFJ Indemnified Parties” has the meaning ascribed to such term in Section 12.1.2.</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Arial" w:cs="Arial" w:eastAsia="Arial" w:hAnsi="Arial"/>
                <w:sz w:val="22"/>
                <w:szCs w:val="22"/>
                <w:color w:val="auto"/>
              </w:rPr>
              <w:t>1.1.100</w:t>
            </w:r>
          </w:p>
        </w:tc>
        <w:tc>
          <w:tcPr>
            <w:tcW w:w="360" w:type="dxa"/>
            <w:vAlign w:val="bottom"/>
          </w:tcPr>
          <w:p>
            <w:pPr>
              <w:spacing w:after="0"/>
              <w:rPr>
                <w:sz w:val="24"/>
                <w:szCs w:val="24"/>
                <w:color w:val="auto"/>
              </w:rPr>
            </w:pPr>
          </w:p>
        </w:tc>
        <w:tc>
          <w:tcPr>
            <w:tcW w:w="7100" w:type="dxa"/>
            <w:vAlign w:val="bottom"/>
            <w:gridSpan w:val="7"/>
          </w:tcPr>
          <w:p>
            <w:pPr>
              <w:ind w:left="80"/>
              <w:spacing w:after="0"/>
              <w:rPr>
                <w:sz w:val="20"/>
                <w:szCs w:val="20"/>
                <w:color w:val="auto"/>
              </w:rPr>
            </w:pPr>
            <w:r>
              <w:rPr>
                <w:rFonts w:ascii="Arial" w:cs="Arial" w:eastAsia="Arial" w:hAnsi="Arial"/>
                <w:sz w:val="22"/>
                <w:szCs w:val="22"/>
                <w:color w:val="auto"/>
              </w:rPr>
              <w:t>“Site” means each clinical trial site for the Trial.</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Arial" w:cs="Arial" w:eastAsia="Arial" w:hAnsi="Arial"/>
                <w:sz w:val="22"/>
                <w:szCs w:val="22"/>
                <w:color w:val="auto"/>
              </w:rPr>
              <w:t>1.1.101</w:t>
            </w:r>
          </w:p>
        </w:tc>
        <w:tc>
          <w:tcPr>
            <w:tcW w:w="360" w:type="dxa"/>
            <w:vAlign w:val="bottom"/>
          </w:tcPr>
          <w:p>
            <w:pPr>
              <w:spacing w:after="0"/>
              <w:rPr>
                <w:sz w:val="24"/>
                <w:szCs w:val="24"/>
                <w:color w:val="auto"/>
              </w:rPr>
            </w:pPr>
          </w:p>
        </w:tc>
        <w:tc>
          <w:tcPr>
            <w:tcW w:w="7100" w:type="dxa"/>
            <w:vAlign w:val="bottom"/>
            <w:gridSpan w:val="7"/>
          </w:tcPr>
          <w:p>
            <w:pPr>
              <w:ind w:left="80"/>
              <w:spacing w:after="0"/>
              <w:rPr>
                <w:sz w:val="20"/>
                <w:szCs w:val="20"/>
                <w:color w:val="auto"/>
              </w:rPr>
            </w:pPr>
            <w:r>
              <w:rPr>
                <w:rFonts w:ascii="Arial" w:cs="Arial" w:eastAsia="Arial" w:hAnsi="Arial"/>
                <w:sz w:val="22"/>
                <w:szCs w:val="22"/>
                <w:color w:val="auto"/>
              </w:rPr>
              <w:t>“Subject” means a human subject participating in the Trial.</w:t>
            </w: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 w:firstLine="1620"/>
        <w:spacing w:after="0" w:line="249" w:lineRule="auto"/>
        <w:rPr>
          <w:sz w:val="20"/>
          <w:szCs w:val="20"/>
          <w:color w:val="auto"/>
        </w:rPr>
      </w:pPr>
      <w:r>
        <w:rPr>
          <w:rFonts w:ascii="Arial" w:cs="Arial" w:eastAsia="Arial" w:hAnsi="Arial"/>
          <w:sz w:val="21"/>
          <w:szCs w:val="21"/>
          <w:color w:val="auto"/>
        </w:rPr>
        <w:t>1.1.102 “</w:t>
      </w:r>
      <w:r>
        <w:rPr>
          <w:rFonts w:ascii="Arial" w:cs="Arial" w:eastAsia="Arial" w:hAnsi="Arial"/>
          <w:sz w:val="21"/>
          <w:szCs w:val="21"/>
          <w:u w:val="single" w:color="auto"/>
          <w:color w:val="auto"/>
        </w:rPr>
        <w:t>SUSAR</w:t>
      </w:r>
      <w:r>
        <w:rPr>
          <w:rFonts w:ascii="Arial" w:cs="Arial" w:eastAsia="Arial" w:hAnsi="Arial"/>
          <w:sz w:val="21"/>
          <w:szCs w:val="21"/>
          <w:color w:val="auto"/>
        </w:rPr>
        <w:t>” means a suspected unexpected serious adverse reaction, without regard to causality, that is life-threatening (i.e., causes an immediate risk of death) or that results in any of the following outcomes: death; in-patient hospitalization or prolongation of existing hospitalization; persistent or significant disability or incapacity (i.e., substantial disruption of the ability to conduct normal life functions); or a congenital anomaly or birth defect. For clarity, a planned medical or surgical procedure is not, in itself, a SUSAR.</w:t>
      </w:r>
    </w:p>
    <w:p>
      <w:pPr>
        <w:spacing w:after="0" w:line="17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22"/>
          <w:szCs w:val="22"/>
          <w:color w:val="auto"/>
        </w:rPr>
        <w:t>1.1.103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SVB Collateral</w:t>
      </w:r>
      <w:r>
        <w:rPr>
          <w:rFonts w:ascii="Arial" w:cs="Arial" w:eastAsia="Arial" w:hAnsi="Arial"/>
          <w:sz w:val="19"/>
          <w:szCs w:val="19"/>
          <w:color w:val="auto"/>
        </w:rPr>
        <w:t>” means “Collateral” as defined in the SVB Loan Agreement.</w:t>
      </w:r>
    </w:p>
    <w:p>
      <w:pPr>
        <w:spacing w:after="0" w:line="206" w:lineRule="exact"/>
        <w:rPr>
          <w:sz w:val="20"/>
          <w:szCs w:val="20"/>
          <w:color w:val="auto"/>
        </w:rPr>
      </w:pPr>
    </w:p>
    <w:p>
      <w:pPr>
        <w:ind w:right="200" w:firstLine="1620"/>
        <w:spacing w:after="0" w:line="251" w:lineRule="auto"/>
        <w:rPr>
          <w:sz w:val="20"/>
          <w:szCs w:val="20"/>
          <w:color w:val="auto"/>
        </w:rPr>
      </w:pPr>
      <w:r>
        <w:rPr>
          <w:rFonts w:ascii="Arial" w:cs="Arial" w:eastAsia="Arial" w:hAnsi="Arial"/>
          <w:sz w:val="22"/>
          <w:szCs w:val="22"/>
          <w:color w:val="auto"/>
        </w:rPr>
        <w:t>1.1.104 “</w:t>
      </w:r>
      <w:r>
        <w:rPr>
          <w:rFonts w:ascii="Arial" w:cs="Arial" w:eastAsia="Arial" w:hAnsi="Arial"/>
          <w:sz w:val="22"/>
          <w:szCs w:val="22"/>
          <w:u w:val="single" w:color="auto"/>
          <w:color w:val="auto"/>
        </w:rPr>
        <w:t>SVB Loan Agreement</w:t>
      </w:r>
      <w:r>
        <w:rPr>
          <w:rFonts w:ascii="Arial" w:cs="Arial" w:eastAsia="Arial" w:hAnsi="Arial"/>
          <w:sz w:val="22"/>
          <w:szCs w:val="22"/>
          <w:color w:val="auto"/>
        </w:rPr>
        <w:t>” means that certain Loan and Security Agreement dated as of October 20, 2017 between Silicon Valley Bank and Apellis.</w:t>
      </w:r>
    </w:p>
    <w:p>
      <w:pPr>
        <w:spacing w:after="0" w:line="173" w:lineRule="exact"/>
        <w:rPr>
          <w:sz w:val="20"/>
          <w:szCs w:val="20"/>
          <w:color w:val="auto"/>
        </w:rPr>
      </w:pPr>
    </w:p>
    <w:p>
      <w:pPr>
        <w:jc w:val="right"/>
        <w:spacing w:after="0"/>
        <w:tabs>
          <w:tab w:leader="none" w:pos="7580" w:val="left"/>
        </w:tabs>
        <w:rPr>
          <w:sz w:val="20"/>
          <w:szCs w:val="20"/>
          <w:color w:val="auto"/>
        </w:rPr>
      </w:pPr>
      <w:r>
        <w:rPr>
          <w:rFonts w:ascii="Arial" w:cs="Arial" w:eastAsia="Arial" w:hAnsi="Arial"/>
          <w:sz w:val="22"/>
          <w:szCs w:val="22"/>
          <w:color w:val="auto"/>
        </w:rPr>
        <w:t>1.1.105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SVB Loan</w:t>
      </w:r>
      <w:r>
        <w:rPr>
          <w:rFonts w:ascii="Arial" w:cs="Arial" w:eastAsia="Arial" w:hAnsi="Arial"/>
          <w:sz w:val="19"/>
          <w:szCs w:val="19"/>
          <w:color w:val="auto"/>
        </w:rPr>
        <w:t>” means the $20,000,000 term loan evidenced by the SVB Loan Agreement.</w:t>
      </w:r>
    </w:p>
    <w:p>
      <w:pPr>
        <w:spacing w:after="0" w:line="206"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22"/>
          <w:szCs w:val="22"/>
          <w:color w:val="auto"/>
        </w:rPr>
        <w:t>1.1.106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14.1</w:t>
      </w:r>
      <w:r>
        <w:rPr>
          <w:rFonts w:ascii="Arial" w:cs="Arial" w:eastAsia="Arial" w:hAnsi="Arial"/>
          <w:sz w:val="19"/>
          <w:szCs w:val="19"/>
          <w:color w:val="auto"/>
        </w:rPr>
        <w:t>.</w:t>
      </w:r>
    </w:p>
    <w:p>
      <w:pPr>
        <w:spacing w:after="0" w:line="179"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79" w:name="page80"/>
    <w:bookmarkEnd w:id="79"/>
    <w:p>
      <w:pPr>
        <w:ind w:left="1620"/>
        <w:spacing w:after="0"/>
        <w:tabs>
          <w:tab w:leader="none" w:pos="2900" w:val="left"/>
        </w:tabs>
        <w:rPr>
          <w:sz w:val="20"/>
          <w:szCs w:val="20"/>
          <w:color w:val="auto"/>
        </w:rPr>
      </w:pPr>
      <w:r>
        <w:rPr>
          <w:rFonts w:ascii="Arial" w:cs="Arial" w:eastAsia="Arial" w:hAnsi="Arial"/>
          <w:sz w:val="22"/>
          <w:szCs w:val="22"/>
          <w:color w:val="auto"/>
        </w:rPr>
        <w:t>1.1.107</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Territory</w:t>
      </w:r>
      <w:r>
        <w:rPr>
          <w:rFonts w:ascii="Arial" w:cs="Arial" w:eastAsia="Arial" w:hAnsi="Arial"/>
          <w:sz w:val="21"/>
          <w:szCs w:val="21"/>
          <w:color w:val="auto"/>
        </w:rPr>
        <w:t>” means [**].</w:t>
      </w:r>
    </w:p>
    <w:p>
      <w:pPr>
        <w:spacing w:after="0" w:line="206"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22"/>
          <w:szCs w:val="22"/>
          <w:color w:val="auto"/>
        </w:rPr>
        <w:t>1.1.108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Apellis, SFJ and their Affiliates.</w:t>
      </w:r>
    </w:p>
    <w:p>
      <w:pPr>
        <w:spacing w:after="0" w:line="206" w:lineRule="exact"/>
        <w:rPr>
          <w:sz w:val="20"/>
          <w:szCs w:val="20"/>
          <w:color w:val="auto"/>
        </w:rPr>
      </w:pPr>
    </w:p>
    <w:p>
      <w:pPr>
        <w:ind w:right="20" w:firstLine="1620"/>
        <w:spacing w:after="0"/>
        <w:rPr>
          <w:sz w:val="20"/>
          <w:szCs w:val="20"/>
          <w:color w:val="auto"/>
        </w:rPr>
      </w:pPr>
      <w:r>
        <w:rPr>
          <w:rFonts w:ascii="Arial" w:cs="Arial" w:eastAsia="Arial" w:hAnsi="Arial"/>
          <w:sz w:val="22"/>
          <w:szCs w:val="22"/>
          <w:color w:val="auto"/>
        </w:rPr>
        <w:t>1.1.109 “</w:t>
      </w:r>
      <w:r>
        <w:rPr>
          <w:rFonts w:ascii="Arial" w:cs="Arial" w:eastAsia="Arial" w:hAnsi="Arial"/>
          <w:sz w:val="22"/>
          <w:szCs w:val="22"/>
          <w:u w:val="single" w:color="auto"/>
          <w:color w:val="auto"/>
        </w:rPr>
        <w:t>Third Party Infringement</w:t>
      </w:r>
      <w:r>
        <w:rPr>
          <w:rFonts w:ascii="Arial" w:cs="Arial" w:eastAsia="Arial" w:hAnsi="Arial"/>
          <w:sz w:val="22"/>
          <w:szCs w:val="22"/>
          <w:color w:val="auto"/>
        </w:rPr>
        <w:t>” means any actual or threatened infringement, misappropriation, or other violation by a Third Party of any Intellectual Property Controlled by Apellis that relates to this Agreement and/or the Product, including the Trial Inventions.</w:t>
      </w:r>
    </w:p>
    <w:p>
      <w:pPr>
        <w:spacing w:after="0" w:line="186" w:lineRule="exact"/>
        <w:rPr>
          <w:sz w:val="20"/>
          <w:szCs w:val="20"/>
          <w:color w:val="auto"/>
        </w:rPr>
      </w:pPr>
    </w:p>
    <w:p>
      <w:pPr>
        <w:ind w:right="340" w:firstLine="1620"/>
        <w:spacing w:after="0" w:line="238" w:lineRule="auto"/>
        <w:rPr>
          <w:sz w:val="20"/>
          <w:szCs w:val="20"/>
          <w:color w:val="auto"/>
        </w:rPr>
      </w:pPr>
      <w:r>
        <w:rPr>
          <w:rFonts w:ascii="Arial" w:cs="Arial" w:eastAsia="Arial" w:hAnsi="Arial"/>
          <w:sz w:val="22"/>
          <w:szCs w:val="22"/>
          <w:color w:val="auto"/>
        </w:rPr>
        <w:t>1.1.110 “</w:t>
      </w:r>
      <w:r>
        <w:rPr>
          <w:rFonts w:ascii="Arial" w:cs="Arial" w:eastAsia="Arial" w:hAnsi="Arial"/>
          <w:sz w:val="22"/>
          <w:szCs w:val="22"/>
          <w:u w:val="single" w:color="auto"/>
          <w:color w:val="auto"/>
        </w:rPr>
        <w:t>Trademarks</w:t>
      </w:r>
      <w:r>
        <w:rPr>
          <w:rFonts w:ascii="Arial" w:cs="Arial" w:eastAsia="Arial" w:hAnsi="Arial"/>
          <w:sz w:val="22"/>
          <w:szCs w:val="22"/>
          <w:color w:val="auto"/>
        </w:rPr>
        <w:t>” means, collectively, all registered and unregistered marks, trade dress rights, logos, taglines, slogans, Internet domain names, web addresses, and other indicia of origin, together with the goodwill associated with any of the foregoing, and all applications, registrations, extensions and renewals thereof, selected for use on the Product.</w:t>
      </w:r>
    </w:p>
    <w:p>
      <w:pPr>
        <w:spacing w:after="0" w:line="185" w:lineRule="exact"/>
        <w:rPr>
          <w:sz w:val="20"/>
          <w:szCs w:val="20"/>
          <w:color w:val="auto"/>
        </w:rPr>
      </w:pPr>
    </w:p>
    <w:p>
      <w:pPr>
        <w:ind w:left="1620"/>
        <w:spacing w:after="0"/>
        <w:tabs>
          <w:tab w:leader="none" w:pos="2880" w:val="left"/>
        </w:tabs>
        <w:rPr>
          <w:sz w:val="20"/>
          <w:szCs w:val="20"/>
          <w:color w:val="auto"/>
        </w:rPr>
      </w:pPr>
      <w:r>
        <w:rPr>
          <w:rFonts w:ascii="Arial" w:cs="Arial" w:eastAsia="Arial" w:hAnsi="Arial"/>
          <w:sz w:val="22"/>
          <w:szCs w:val="22"/>
          <w:color w:val="auto"/>
        </w:rPr>
        <w:t>1.1.111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Trial</w:t>
      </w:r>
      <w:r>
        <w:rPr>
          <w:rFonts w:ascii="Arial" w:cs="Arial" w:eastAsia="Arial" w:hAnsi="Arial"/>
          <w:sz w:val="19"/>
          <w:szCs w:val="19"/>
          <w:color w:val="auto"/>
        </w:rPr>
        <w:t>” means, collectively, the PEGASUS Trial and the PRINCE Trial.</w:t>
      </w:r>
    </w:p>
    <w:p>
      <w:pPr>
        <w:spacing w:after="0" w:line="206"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22"/>
          <w:szCs w:val="22"/>
          <w:color w:val="auto"/>
        </w:rPr>
        <w:t>1.1.112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Trial Inventions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11.1.1.2</w:t>
      </w:r>
      <w:r>
        <w:rPr>
          <w:rFonts w:ascii="Arial" w:cs="Arial" w:eastAsia="Arial" w:hAnsi="Arial"/>
          <w:sz w:val="19"/>
          <w:szCs w:val="19"/>
          <w:color w:val="auto"/>
        </w:rPr>
        <w:t>.</w:t>
      </w:r>
    </w:p>
    <w:p>
      <w:pPr>
        <w:spacing w:after="0" w:line="206" w:lineRule="exact"/>
        <w:rPr>
          <w:sz w:val="20"/>
          <w:szCs w:val="20"/>
          <w:color w:val="auto"/>
        </w:rPr>
      </w:pPr>
    </w:p>
    <w:p>
      <w:pPr>
        <w:ind w:right="320" w:firstLine="1620"/>
        <w:spacing w:after="0" w:line="238" w:lineRule="auto"/>
        <w:rPr>
          <w:sz w:val="20"/>
          <w:szCs w:val="20"/>
          <w:color w:val="auto"/>
        </w:rPr>
      </w:pPr>
      <w:r>
        <w:rPr>
          <w:rFonts w:ascii="Arial" w:cs="Arial" w:eastAsia="Arial" w:hAnsi="Arial"/>
          <w:sz w:val="22"/>
          <w:szCs w:val="22"/>
          <w:color w:val="auto"/>
        </w:rPr>
        <w:t>1.1.113 “</w:t>
      </w:r>
      <w:r>
        <w:rPr>
          <w:rFonts w:ascii="Arial" w:cs="Arial" w:eastAsia="Arial" w:hAnsi="Arial"/>
          <w:sz w:val="22"/>
          <w:szCs w:val="22"/>
          <w:u w:val="single" w:color="auto"/>
          <w:color w:val="auto"/>
        </w:rPr>
        <w:t>Trial Success</w:t>
      </w:r>
      <w:r>
        <w:rPr>
          <w:rFonts w:ascii="Arial" w:cs="Arial" w:eastAsia="Arial" w:hAnsi="Arial"/>
          <w:sz w:val="22"/>
          <w:szCs w:val="22"/>
          <w:color w:val="auto"/>
        </w:rPr>
        <w:t>” shall mean (a) the achievement of the Phase 3 Milestone in the PEGASUS Trial and (b) the absence of any Serious Safety Issue in either of the PEGASUS Trial or the PRINCE Trial that substantially diminishes the probability of receiving Regulatory Approval in both the US and the Designated European Countries.</w:t>
      </w:r>
    </w:p>
    <w:p>
      <w:pPr>
        <w:spacing w:after="0" w:line="185" w:lineRule="exact"/>
        <w:rPr>
          <w:sz w:val="20"/>
          <w:szCs w:val="20"/>
          <w:color w:val="auto"/>
        </w:rPr>
      </w:pPr>
    </w:p>
    <w:p>
      <w:pPr>
        <w:ind w:firstLine="1620"/>
        <w:spacing w:after="0" w:line="245" w:lineRule="auto"/>
        <w:rPr>
          <w:sz w:val="20"/>
          <w:szCs w:val="20"/>
          <w:color w:val="auto"/>
        </w:rPr>
      </w:pPr>
      <w:r>
        <w:rPr>
          <w:rFonts w:ascii="Arial" w:cs="Arial" w:eastAsia="Arial" w:hAnsi="Arial"/>
          <w:sz w:val="21"/>
          <w:szCs w:val="21"/>
          <w:color w:val="auto"/>
        </w:rPr>
        <w:t>1.1.114 “</w:t>
      </w:r>
      <w:r>
        <w:rPr>
          <w:rFonts w:ascii="Arial" w:cs="Arial" w:eastAsia="Arial" w:hAnsi="Arial"/>
          <w:sz w:val="21"/>
          <w:szCs w:val="21"/>
          <w:u w:val="single" w:color="auto"/>
          <w:color w:val="auto"/>
        </w:rPr>
        <w:t>UCC</w:t>
      </w:r>
      <w:r>
        <w:rPr>
          <w:rFonts w:ascii="Arial" w:cs="Arial" w:eastAsia="Arial" w:hAnsi="Arial"/>
          <w:sz w:val="21"/>
          <w:szCs w:val="21"/>
          <w:color w:val="auto"/>
        </w:rPr>
        <w:t xml:space="preserve">” means the Uniform Commercial Code, as the same may, from time to time, be enacted and in effect in the State of Delaware;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the UCC is used to define any term herein and such term is defined differently in different Articles or Divisions of the UCC, the definition of such term contained in Article or Division 9 shall govern;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in the event that, by reason of mandatory provisions of law, any or all of the attachment, perfection or priority of, or remedies with respect to, the SFJ Security Interest on any SFJ Collateral is governed by the Uniform Commercial Code in effect in a jurisdiction other than the State of Delaware, the term “</w:t>
      </w:r>
      <w:r>
        <w:rPr>
          <w:rFonts w:ascii="Arial" w:cs="Arial" w:eastAsia="Arial" w:hAnsi="Arial"/>
          <w:sz w:val="21"/>
          <w:szCs w:val="21"/>
          <w:u w:val="single" w:color="auto"/>
          <w:color w:val="auto"/>
        </w:rPr>
        <w:t>UCC</w:t>
      </w:r>
      <w:r>
        <w:rPr>
          <w:rFonts w:ascii="Arial" w:cs="Arial" w:eastAsia="Arial" w:hAnsi="Arial"/>
          <w:sz w:val="21"/>
          <w:szCs w:val="21"/>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5"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22"/>
          <w:szCs w:val="22"/>
          <w:color w:val="auto"/>
        </w:rPr>
        <w:t>1.1.115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US Approval Payments</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22"/>
          <w:szCs w:val="22"/>
          <w:color w:val="auto"/>
        </w:rPr>
        <w:t>1.1.116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US</w:t>
      </w:r>
      <w:r>
        <w:rPr>
          <w:rFonts w:ascii="Arial" w:cs="Arial" w:eastAsia="Arial" w:hAnsi="Arial"/>
          <w:sz w:val="19"/>
          <w:szCs w:val="19"/>
          <w:color w:val="auto"/>
        </w:rPr>
        <w:t>” or “</w:t>
      </w:r>
      <w:r>
        <w:rPr>
          <w:rFonts w:ascii="Arial" w:cs="Arial" w:eastAsia="Arial" w:hAnsi="Arial"/>
          <w:sz w:val="19"/>
          <w:szCs w:val="19"/>
          <w:u w:val="single" w:color="auto"/>
          <w:color w:val="auto"/>
        </w:rPr>
        <w:t>USA</w:t>
      </w:r>
      <w:r>
        <w:rPr>
          <w:rFonts w:ascii="Arial" w:cs="Arial" w:eastAsia="Arial" w:hAnsi="Arial"/>
          <w:sz w:val="19"/>
          <w:szCs w:val="19"/>
          <w:color w:val="auto"/>
        </w:rPr>
        <w:t>” means the US of America, its territories and possessions, including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Puerto Rico.</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80" w:name="page81"/>
    <w:bookmarkEnd w:id="80"/>
    <w:p>
      <w:pPr>
        <w:ind w:left="2500"/>
        <w:spacing w:after="0"/>
        <w:tabs>
          <w:tab w:leader="none" w:pos="3780" w:val="left"/>
        </w:tabs>
        <w:rPr>
          <w:sz w:val="20"/>
          <w:szCs w:val="20"/>
          <w:color w:val="auto"/>
        </w:rPr>
      </w:pPr>
      <w:r>
        <w:rPr>
          <w:rFonts w:ascii="Arial" w:cs="Arial" w:eastAsia="Arial" w:hAnsi="Arial"/>
          <w:sz w:val="22"/>
          <w:szCs w:val="22"/>
          <w:color w:val="auto"/>
        </w:rPr>
        <w:t>1.1.117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Vendor</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 2.4.2</w:t>
      </w:r>
      <w:r>
        <w:rPr>
          <w:rFonts w:ascii="Arial" w:cs="Arial" w:eastAsia="Arial" w:hAnsi="Arial"/>
          <w:sz w:val="19"/>
          <w:szCs w:val="19"/>
          <w:color w:val="auto"/>
        </w:rPr>
        <w:t>.</w:t>
      </w:r>
    </w:p>
    <w:p>
      <w:pPr>
        <w:spacing w:after="0" w:line="206" w:lineRule="exact"/>
        <w:rPr>
          <w:sz w:val="20"/>
          <w:szCs w:val="20"/>
          <w:color w:val="auto"/>
        </w:rPr>
      </w:pPr>
    </w:p>
    <w:p>
      <w:pPr>
        <w:ind w:right="80" w:firstLine="877"/>
        <w:spacing w:after="0" w:line="23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For purposes of this Agreement: (1) words in the singular will be held to include the plural and vice versa as the context requires; (2) the words “including” and “include” will mean “including, without limitation,” unless otherwise specified; (3) the terms “hereof,” “herein,” “herewith,” and “hereunder,” and words of similar import will, unless otherwise stated, be construed to refer to this Agreement as a whole and not to any particular provision of this Agreement; and (4) all references to “Section” and “Exhibit,” unless otherwise specified, are intended to refer to a Section or Exhibit of or to this Agreement.</w:t>
      </w:r>
    </w:p>
    <w:p>
      <w:pPr>
        <w:spacing w:after="0" w:line="188" w:lineRule="exact"/>
        <w:rPr>
          <w:sz w:val="20"/>
          <w:szCs w:val="20"/>
          <w:color w:val="auto"/>
        </w:rPr>
      </w:pPr>
    </w:p>
    <w:p>
      <w:pPr>
        <w:ind w:right="240" w:firstLine="877"/>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Conflicts</w:t>
      </w:r>
      <w:r>
        <w:rPr>
          <w:rFonts w:ascii="Arial" w:cs="Arial" w:eastAsia="Arial" w:hAnsi="Arial"/>
          <w:sz w:val="22"/>
          <w:szCs w:val="22"/>
          <w:color w:val="auto"/>
        </w:rPr>
        <w:t>. In the event of any conflict between the terms of this Agreement, the Protocol and/or any other Exhibit, the Protocol will control (as applicable), followed by the terms of this Agreement, and followed by any applicable other Exhibit.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THE DEVELOPMENT PROGRAM</w:t>
      </w:r>
    </w:p>
    <w:p>
      <w:pPr>
        <w:spacing w:after="0" w:line="21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The Development Program</w:t>
      </w:r>
      <w:r>
        <w:rPr>
          <w:rFonts w:ascii="Arial" w:cs="Arial" w:eastAsia="Arial" w:hAnsi="Arial"/>
          <w:sz w:val="19"/>
          <w:szCs w:val="19"/>
          <w:color w:val="auto"/>
        </w:rPr>
        <w:t>.</w:t>
      </w:r>
    </w:p>
    <w:p>
      <w:pPr>
        <w:spacing w:after="0" w:line="206" w:lineRule="exact"/>
        <w:rPr>
          <w:sz w:val="20"/>
          <w:szCs w:val="20"/>
          <w:color w:val="auto"/>
        </w:rPr>
      </w:pPr>
    </w:p>
    <w:p>
      <w:pPr>
        <w:jc w:val="both"/>
        <w:ind w:left="880" w:right="200" w:firstLine="1620"/>
        <w:spacing w:after="0"/>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Efforts</w:t>
      </w:r>
      <w:r>
        <w:rPr>
          <w:rFonts w:ascii="Arial" w:cs="Arial" w:eastAsia="Arial" w:hAnsi="Arial"/>
          <w:sz w:val="22"/>
          <w:szCs w:val="22"/>
          <w:color w:val="auto"/>
        </w:rPr>
        <w:t>. Apellis will use Commercially Reasonable Efforts to conduct and complete the Development Program in the Territory at its expense in accordance with this Agreement (subject to SFJ performing its obligations as set forth herein).</w:t>
      </w:r>
    </w:p>
    <w:p>
      <w:pPr>
        <w:spacing w:after="0" w:line="186" w:lineRule="exact"/>
        <w:rPr>
          <w:sz w:val="20"/>
          <w:szCs w:val="20"/>
          <w:color w:val="auto"/>
        </w:rPr>
      </w:pPr>
    </w:p>
    <w:p>
      <w:pPr>
        <w:ind w:left="880" w:right="360" w:firstLine="1620"/>
        <w:spacing w:after="0" w:line="251"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Apellis shall perform its development obligations in material compliance with all Applicable Laws.</w:t>
      </w:r>
    </w:p>
    <w:p>
      <w:pPr>
        <w:spacing w:after="0" w:line="173" w:lineRule="exact"/>
        <w:rPr>
          <w:sz w:val="20"/>
          <w:szCs w:val="20"/>
          <w:color w:val="auto"/>
        </w:rPr>
      </w:pPr>
    </w:p>
    <w:p>
      <w:pPr>
        <w:ind w:firstLine="877"/>
        <w:spacing w:after="0" w:line="27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Changes to the Development Program</w:t>
      </w:r>
      <w:r>
        <w:rPr>
          <w:rFonts w:ascii="Arial" w:cs="Arial" w:eastAsia="Arial" w:hAnsi="Arial"/>
          <w:sz w:val="19"/>
          <w:szCs w:val="19"/>
          <w:color w:val="auto"/>
        </w:rPr>
        <w:t xml:space="preserve">. The Development Program may be updated from time-to-time as reasonably determined by Apellis to be necessary or desirable, provided that in no event may Apellis amend or change the Protocol Specifications set forth on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without the written consent of SFJ in its sole discretion. Apellis will give reasonable consideration to SFJ’s suggestions relating to the development of the Product, including suggestions for changes to the Development Program. Apellis will provide the JSC with summaries of material changes to the Development Program at JSC meetings as described in Article 5. Notwithstanding the foregoing, any changes to the Development Program requiring the approval of the JSC pursuant to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shall be subject to approval by the JSC pursuant to such Section.</w:t>
      </w:r>
    </w:p>
    <w:p>
      <w:pPr>
        <w:spacing w:after="0" w:line="153" w:lineRule="exact"/>
        <w:rPr>
          <w:sz w:val="20"/>
          <w:szCs w:val="20"/>
          <w:color w:val="auto"/>
        </w:rPr>
      </w:pPr>
    </w:p>
    <w:p>
      <w:pPr>
        <w:ind w:right="80" w:firstLine="877"/>
        <w:spacing w:after="0" w:line="252"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Compliance</w:t>
      </w:r>
      <w:r>
        <w:rPr>
          <w:rFonts w:ascii="Arial" w:cs="Arial" w:eastAsia="Arial" w:hAnsi="Arial"/>
          <w:sz w:val="21"/>
          <w:szCs w:val="21"/>
          <w:color w:val="auto"/>
        </w:rPr>
        <w:t>. Apellis represents and warrants that, prior to the Effective Date, (a) it has conducted all preclinical and clinical activities related to the development of the Product for PNH in material compliance with Applicable Laws, and (b) to Apellis’ knowledge, all Third Parties utilized by Apellis to perform any portion of the preclinical and clinical activities have conducted such portion of such preclinical activities in material compliance with Applicable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81" w:name="page82"/>
    <w:bookmarkEnd w:id="81"/>
    <w:p>
      <w:pPr>
        <w:spacing w:after="0" w:line="251" w:lineRule="auto"/>
        <w:rPr>
          <w:sz w:val="20"/>
          <w:szCs w:val="20"/>
          <w:color w:val="auto"/>
        </w:rPr>
      </w:pPr>
      <w:r>
        <w:rPr>
          <w:rFonts w:ascii="Arial" w:cs="Arial" w:eastAsia="Arial" w:hAnsi="Arial"/>
          <w:sz w:val="22"/>
          <w:szCs w:val="22"/>
          <w:color w:val="auto"/>
        </w:rPr>
        <w:t>Laws. Apellis will conduct the Development Program and perform all other responsibilities hereunder in material compliance with all Applicable Laws.</w:t>
      </w:r>
    </w:p>
    <w:p>
      <w:pPr>
        <w:spacing w:after="0" w:line="17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CROs and Vendors</w:t>
      </w:r>
      <w:r>
        <w:rPr>
          <w:rFonts w:ascii="Arial" w:cs="Arial" w:eastAsia="Arial" w:hAnsi="Arial"/>
          <w:sz w:val="19"/>
          <w:szCs w:val="19"/>
          <w:color w:val="auto"/>
        </w:rPr>
        <w:t>.</w:t>
      </w:r>
    </w:p>
    <w:p>
      <w:pPr>
        <w:spacing w:after="0" w:line="206" w:lineRule="exact"/>
        <w:rPr>
          <w:sz w:val="20"/>
          <w:szCs w:val="20"/>
          <w:color w:val="auto"/>
        </w:rPr>
      </w:pPr>
    </w:p>
    <w:p>
      <w:pPr>
        <w:jc w:val="both"/>
        <w:ind w:left="880" w:right="100" w:firstLine="1620"/>
        <w:spacing w:after="0"/>
        <w:rPr>
          <w:sz w:val="20"/>
          <w:szCs w:val="20"/>
          <w:color w:val="auto"/>
        </w:rPr>
      </w:pPr>
      <w:r>
        <w:rPr>
          <w:rFonts w:ascii="Arial" w:cs="Arial" w:eastAsia="Arial" w:hAnsi="Arial"/>
          <w:sz w:val="22"/>
          <w:szCs w:val="22"/>
          <w:color w:val="auto"/>
        </w:rPr>
        <w:t xml:space="preserve">2.4.1 </w:t>
      </w:r>
      <w:r>
        <w:rPr>
          <w:rFonts w:ascii="Arial" w:cs="Arial" w:eastAsia="Arial" w:hAnsi="Arial"/>
          <w:sz w:val="22"/>
          <w:szCs w:val="22"/>
          <w:u w:val="single" w:color="auto"/>
          <w:color w:val="auto"/>
        </w:rPr>
        <w:t>CROs</w:t>
      </w:r>
      <w:r>
        <w:rPr>
          <w:rFonts w:ascii="Arial" w:cs="Arial" w:eastAsia="Arial" w:hAnsi="Arial"/>
          <w:sz w:val="22"/>
          <w:szCs w:val="22"/>
          <w:color w:val="auto"/>
        </w:rPr>
        <w:t xml:space="preserve">. Apellis may delegate any of its responsibilities to its Affiliates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15.1</w:t>
      </w:r>
      <w:r>
        <w:rPr>
          <w:rFonts w:ascii="Arial" w:cs="Arial" w:eastAsia="Arial" w:hAnsi="Arial"/>
          <w:sz w:val="22"/>
          <w:szCs w:val="22"/>
          <w:color w:val="auto"/>
        </w:rPr>
        <w:t xml:space="preserve">) and/or one (1) or more CROs. CROs performing any material aspect of the Trial as of the Effective Date are listed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86" w:lineRule="exact"/>
        <w:rPr>
          <w:sz w:val="20"/>
          <w:szCs w:val="20"/>
          <w:color w:val="auto"/>
        </w:rPr>
      </w:pPr>
    </w:p>
    <w:p>
      <w:pPr>
        <w:ind w:left="880" w:right="200" w:firstLine="1620"/>
        <w:spacing w:after="0" w:line="238" w:lineRule="auto"/>
        <w:rPr>
          <w:sz w:val="20"/>
          <w:szCs w:val="20"/>
          <w:color w:val="auto"/>
        </w:rPr>
      </w:pPr>
      <w:r>
        <w:rPr>
          <w:rFonts w:ascii="Arial" w:cs="Arial" w:eastAsia="Arial" w:hAnsi="Arial"/>
          <w:sz w:val="22"/>
          <w:szCs w:val="22"/>
          <w:color w:val="auto"/>
        </w:rPr>
        <w:t xml:space="preserve">2.4.2 </w:t>
      </w:r>
      <w:r>
        <w:rPr>
          <w:rFonts w:ascii="Arial" w:cs="Arial" w:eastAsia="Arial" w:hAnsi="Arial"/>
          <w:sz w:val="22"/>
          <w:szCs w:val="22"/>
          <w:u w:val="single" w:color="auto"/>
          <w:color w:val="auto"/>
        </w:rPr>
        <w:t>Vendors</w:t>
      </w:r>
      <w:r>
        <w:rPr>
          <w:rFonts w:ascii="Arial" w:cs="Arial" w:eastAsia="Arial" w:hAnsi="Arial"/>
          <w:sz w:val="22"/>
          <w:szCs w:val="22"/>
          <w:color w:val="auto"/>
        </w:rPr>
        <w:t>. Apellis may use any of its Affiliates, CMOs or other Third Party providers to provide the services, equipment, tools, materials and supplies required for the Trial or to obtain Regulatory Approval (each, a “</w:t>
      </w:r>
      <w:r>
        <w:rPr>
          <w:rFonts w:ascii="Arial" w:cs="Arial" w:eastAsia="Arial" w:hAnsi="Arial"/>
          <w:sz w:val="22"/>
          <w:szCs w:val="22"/>
          <w:u w:val="single" w:color="auto"/>
          <w:color w:val="auto"/>
        </w:rPr>
        <w:t>Vendor</w:t>
      </w:r>
      <w:r>
        <w:rPr>
          <w:rFonts w:ascii="Arial" w:cs="Arial" w:eastAsia="Arial" w:hAnsi="Arial"/>
          <w:sz w:val="22"/>
          <w:szCs w:val="22"/>
          <w:color w:val="auto"/>
        </w:rPr>
        <w:t xml:space="preserve">”). Vendors providing material services, equipment, tools, materials and supplies for the Trial as of the Effective Date are listed in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85" w:lineRule="exact"/>
        <w:rPr>
          <w:sz w:val="20"/>
          <w:szCs w:val="20"/>
          <w:color w:val="auto"/>
        </w:rPr>
      </w:pPr>
    </w:p>
    <w:p>
      <w:pPr>
        <w:ind w:left="880" w:right="200" w:firstLine="1620"/>
        <w:spacing w:after="0" w:line="238" w:lineRule="auto"/>
        <w:rPr>
          <w:sz w:val="20"/>
          <w:szCs w:val="20"/>
          <w:color w:val="auto"/>
        </w:rPr>
      </w:pPr>
      <w:r>
        <w:rPr>
          <w:rFonts w:ascii="Arial" w:cs="Arial" w:eastAsia="Arial" w:hAnsi="Arial"/>
          <w:sz w:val="22"/>
          <w:szCs w:val="22"/>
          <w:color w:val="auto"/>
        </w:rPr>
        <w:t xml:space="preserve">2.4.3 </w:t>
      </w:r>
      <w:r>
        <w:rPr>
          <w:rFonts w:ascii="Arial" w:cs="Arial" w:eastAsia="Arial" w:hAnsi="Arial"/>
          <w:sz w:val="22"/>
          <w:szCs w:val="22"/>
          <w:u w:val="single" w:color="auto"/>
          <w:color w:val="auto"/>
        </w:rPr>
        <w:t>Responsibility</w:t>
      </w:r>
      <w:r>
        <w:rPr>
          <w:rFonts w:ascii="Arial" w:cs="Arial" w:eastAsia="Arial" w:hAnsi="Arial"/>
          <w:sz w:val="22"/>
          <w:szCs w:val="22"/>
          <w:color w:val="auto"/>
        </w:rPr>
        <w:t>. Apellis shall use Commercially Reasonable Efforts to oversee the activities of its Vendors. For clarity, Apellis will remain primarily responsible for all its obligations under this Agreement, notwithstanding any delegation to an Affiliate or a CRO and/or contracting with a Vendor, as if Apellis had not so delegated and/or contracted with respect to such responsibilities.</w:t>
      </w:r>
    </w:p>
    <w:p>
      <w:pPr>
        <w:spacing w:after="0" w:line="185" w:lineRule="exact"/>
        <w:rPr>
          <w:sz w:val="20"/>
          <w:szCs w:val="20"/>
          <w:color w:val="auto"/>
        </w:rPr>
      </w:pPr>
    </w:p>
    <w:p>
      <w:pPr>
        <w:ind w:right="220" w:firstLine="877"/>
        <w:spacing w:after="0" w:line="234"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Background Materials</w:t>
      </w:r>
      <w:r>
        <w:rPr>
          <w:rFonts w:ascii="Arial" w:cs="Arial" w:eastAsia="Arial" w:hAnsi="Arial"/>
          <w:sz w:val="22"/>
          <w:szCs w:val="22"/>
          <w:color w:val="auto"/>
        </w:rPr>
        <w:t>. During the Development Term, Apellis will reasonably promptly provide SFJ with copies of material documents, data and information Controlled by Apellis which are reasonably requested by SFJ and reasonably useful or necessary for SFJ to evaluate the Product and Development Program (the “</w:t>
      </w:r>
      <w:r>
        <w:rPr>
          <w:rFonts w:ascii="Arial" w:cs="Arial" w:eastAsia="Arial" w:hAnsi="Arial"/>
          <w:sz w:val="22"/>
          <w:szCs w:val="22"/>
          <w:u w:val="single" w:color="auto"/>
          <w:color w:val="auto"/>
        </w:rPr>
        <w:t>Background Materials</w:t>
      </w:r>
      <w:r>
        <w:rPr>
          <w:rFonts w:ascii="Arial" w:cs="Arial" w:eastAsia="Arial" w:hAnsi="Arial"/>
          <w:sz w:val="22"/>
          <w:szCs w:val="22"/>
          <w:color w:val="auto"/>
        </w:rPr>
        <w:t xml:space="preserve">”). For clarity, Apellis will remain the sole owner of, and will retain all right, title and interest in, to and under all Background Materials, including all Intellectual Property related thereto, and subject to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the Background Materials will be Apellis Confidential Information. For the avoidance of doubt, Background Materials shall be Confidential Information of Apellis and subject to the restrictions set forth in </w:t>
      </w:r>
      <w:r>
        <w:rPr>
          <w:rFonts w:ascii="Arial" w:cs="Arial" w:eastAsia="Arial" w:hAnsi="Arial"/>
          <w:sz w:val="22"/>
          <w:szCs w:val="22"/>
          <w:u w:val="single" w:color="auto"/>
          <w:color w:val="auto"/>
        </w:rPr>
        <w:t>Article 11</w:t>
      </w:r>
      <w:r>
        <w:rPr>
          <w:rFonts w:ascii="Arial" w:cs="Arial" w:eastAsia="Arial" w:hAnsi="Arial"/>
          <w:sz w:val="22"/>
          <w:szCs w:val="22"/>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DEVELOPMENT PROGRAM RESPONSIBILITIES</w:t>
      </w:r>
    </w:p>
    <w:p>
      <w:pPr>
        <w:spacing w:after="0" w:line="212" w:lineRule="exact"/>
        <w:rPr>
          <w:sz w:val="20"/>
          <w:szCs w:val="20"/>
          <w:color w:val="auto"/>
        </w:rPr>
      </w:pPr>
    </w:p>
    <w:p>
      <w:pPr>
        <w:ind w:right="80" w:firstLine="877"/>
        <w:spacing w:after="0" w:line="251"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Oversight of Third Parties</w:t>
      </w:r>
      <w:r>
        <w:rPr>
          <w:rFonts w:ascii="Arial" w:cs="Arial" w:eastAsia="Arial" w:hAnsi="Arial"/>
          <w:sz w:val="22"/>
          <w:szCs w:val="22"/>
          <w:color w:val="auto"/>
        </w:rPr>
        <w:t>. During the Development Term, Apellis will use Commercially Reasonable Efforts to oversee the manufacture of the Product and other services of the Permitted Third Parties.</w:t>
      </w:r>
    </w:p>
    <w:p>
      <w:pPr>
        <w:spacing w:after="0" w:line="17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IRBs and Ethics Committees</w:t>
      </w:r>
      <w:r>
        <w:rPr>
          <w:rFonts w:ascii="Arial" w:cs="Arial" w:eastAsia="Arial" w:hAnsi="Arial"/>
          <w:sz w:val="19"/>
          <w:szCs w:val="19"/>
          <w:color w:val="auto"/>
        </w:rPr>
        <w:t>.</w:t>
      </w:r>
    </w:p>
    <w:p>
      <w:pPr>
        <w:spacing w:after="0" w:line="206" w:lineRule="exact"/>
        <w:rPr>
          <w:sz w:val="20"/>
          <w:szCs w:val="20"/>
          <w:color w:val="auto"/>
        </w:rPr>
      </w:pPr>
    </w:p>
    <w:p>
      <w:pPr>
        <w:ind w:left="880" w:right="160" w:firstLine="1620"/>
        <w:spacing w:after="0"/>
        <w:rPr>
          <w:sz w:val="20"/>
          <w:szCs w:val="20"/>
          <w:color w:val="auto"/>
        </w:rPr>
      </w:pPr>
      <w:r>
        <w:rPr>
          <w:rFonts w:ascii="Arial" w:cs="Arial" w:eastAsia="Arial" w:hAnsi="Arial"/>
          <w:sz w:val="22"/>
          <w:szCs w:val="22"/>
          <w:color w:val="auto"/>
        </w:rPr>
        <w:t>3.2.1 Apellis will use Commercially Reasonable Efforts to obtain required approvals of Protocol amendments and informed consent document revisions from the applicable IRBs and ethics committees during the Trial.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82" w:name="page83"/>
    <w:bookmarkEnd w:id="82"/>
    <w:p>
      <w:pPr>
        <w:ind w:left="880" w:firstLine="1620"/>
        <w:spacing w:after="0" w:line="251" w:lineRule="auto"/>
        <w:rPr>
          <w:sz w:val="20"/>
          <w:szCs w:val="20"/>
          <w:color w:val="auto"/>
        </w:rPr>
      </w:pPr>
      <w:r>
        <w:rPr>
          <w:rFonts w:ascii="Arial" w:cs="Arial" w:eastAsia="Arial" w:hAnsi="Arial"/>
          <w:sz w:val="22"/>
          <w:szCs w:val="22"/>
          <w:color w:val="auto"/>
        </w:rPr>
        <w:t>3.2.2 Apellis will provide all ethics committees, including all IRBs, and Regulatory Authorities, with all necessary documentation during the course of the Trial as required by Applicable Law.</w:t>
      </w:r>
    </w:p>
    <w:p>
      <w:pPr>
        <w:spacing w:after="0" w:line="173" w:lineRule="exact"/>
        <w:rPr>
          <w:sz w:val="20"/>
          <w:szCs w:val="20"/>
          <w:color w:val="auto"/>
        </w:rPr>
      </w:pPr>
    </w:p>
    <w:p>
      <w:pPr>
        <w:ind w:left="880" w:right="280" w:firstLine="1620"/>
        <w:spacing w:after="0"/>
        <w:rPr>
          <w:sz w:val="20"/>
          <w:szCs w:val="20"/>
          <w:color w:val="auto"/>
        </w:rPr>
      </w:pPr>
      <w:r>
        <w:rPr>
          <w:rFonts w:ascii="Arial" w:cs="Arial" w:eastAsia="Arial" w:hAnsi="Arial"/>
          <w:sz w:val="22"/>
          <w:szCs w:val="22"/>
          <w:color w:val="auto"/>
        </w:rPr>
        <w:t>3.2.3 Apellis will be solely responsible for responding to all queries from the IRBs and other ethics committees. Apellis will prepare the applicable response and provide the JSC with a copy thereof if it has a material impact on the conduct of the Trial.</w:t>
      </w:r>
    </w:p>
    <w:p>
      <w:pPr>
        <w:spacing w:after="0" w:line="186" w:lineRule="exact"/>
        <w:rPr>
          <w:sz w:val="20"/>
          <w:szCs w:val="20"/>
          <w:color w:val="auto"/>
        </w:rPr>
      </w:pPr>
    </w:p>
    <w:p>
      <w:pPr>
        <w:ind w:left="880" w:right="40" w:firstLine="1620"/>
        <w:spacing w:after="0" w:line="251"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Trial Oversight and Committees</w:t>
      </w:r>
      <w:r>
        <w:rPr>
          <w:rFonts w:ascii="Arial" w:cs="Arial" w:eastAsia="Arial" w:hAnsi="Arial"/>
          <w:sz w:val="22"/>
          <w:szCs w:val="22"/>
          <w:color w:val="auto"/>
        </w:rPr>
        <w:t>. Apellis, with the support of the designated CRO(s), will use Commercially Reasonable Efforts to manage and oversee the Trial.</w:t>
      </w:r>
    </w:p>
    <w:p>
      <w:pPr>
        <w:spacing w:after="0" w:line="173" w:lineRule="exact"/>
        <w:rPr>
          <w:sz w:val="20"/>
          <w:szCs w:val="20"/>
          <w:color w:val="auto"/>
        </w:rPr>
      </w:pPr>
    </w:p>
    <w:p>
      <w:pPr>
        <w:ind w:firstLine="877"/>
        <w:spacing w:after="0" w:line="252"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Final Clinical Study Report</w:t>
      </w:r>
      <w:r>
        <w:rPr>
          <w:rFonts w:ascii="Arial" w:cs="Arial" w:eastAsia="Arial" w:hAnsi="Arial"/>
          <w:sz w:val="21"/>
          <w:szCs w:val="21"/>
          <w:color w:val="auto"/>
        </w:rPr>
        <w:t>. Apellis will use Commercially Reasonable Efforts to prepare the final CSRs for the Trial. The final CSRs will be prepared by Apellis in material compliance with Applicable Laws, including ICH E3 guidelines, to ensure that the final CSRs meet, in all material respects, applicable standards to enable submission of applications for Regulatory Approval of the Product to FDA and EMA. The final CSRs will be promptly provided to the JSC.</w:t>
      </w:r>
    </w:p>
    <w:p>
      <w:pPr>
        <w:spacing w:after="0" w:line="174" w:lineRule="exact"/>
        <w:rPr>
          <w:sz w:val="20"/>
          <w:szCs w:val="20"/>
          <w:color w:val="auto"/>
        </w:rPr>
      </w:pPr>
    </w:p>
    <w:p>
      <w:pPr>
        <w:ind w:right="260" w:firstLine="877"/>
        <w:spacing w:after="0" w:line="251"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Completion of the Trial</w:t>
      </w:r>
      <w:r>
        <w:rPr>
          <w:rFonts w:ascii="Arial" w:cs="Arial" w:eastAsia="Arial" w:hAnsi="Arial"/>
          <w:sz w:val="22"/>
          <w:szCs w:val="22"/>
          <w:color w:val="auto"/>
        </w:rPr>
        <w:t>. Apellis will use Commercially Reasonable Efforts to keep the Sites operational, as reasonably necessary or desirable in order to complete the Development Program.</w:t>
      </w:r>
    </w:p>
    <w:p>
      <w:pPr>
        <w:spacing w:after="0" w:line="173" w:lineRule="exact"/>
        <w:rPr>
          <w:sz w:val="20"/>
          <w:szCs w:val="20"/>
          <w:color w:val="auto"/>
        </w:rPr>
      </w:pPr>
    </w:p>
    <w:p>
      <w:pPr>
        <w:ind w:firstLine="877"/>
        <w:spacing w:after="0" w:line="247"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Apellis Efforts to Obtain Regulatory Approval</w:t>
      </w:r>
      <w:r>
        <w:rPr>
          <w:rFonts w:ascii="Arial" w:cs="Arial" w:eastAsia="Arial" w:hAnsi="Arial"/>
          <w:sz w:val="21"/>
          <w:szCs w:val="21"/>
          <w:color w:val="auto"/>
        </w:rPr>
        <w:t>. Apellis will inform the JSC at JSC meetings of substantial matters pertaining to the Development Program, including summaries of Research Results and material communications with Regulatory Authorities. Apellis will use Commercially Reasonable Efforts (a) to file an application for Regulatory Approval with the FDA within [**] after the later of the date of the final database lock for the PEGASUS Trial or the date of the final database lock for the PRINCE Trial and to file an application for Regulatory Approval with the EMA within [**] after the later of the date of the final database lock for the PEGASUS Trial or the date of the final database lock for the PRINCE Trial and (b) following any such filing, to seek Regulatory Approval from FDA or EMA.</w:t>
      </w:r>
    </w:p>
    <w:p>
      <w:pPr>
        <w:spacing w:after="0" w:line="178" w:lineRule="exact"/>
        <w:rPr>
          <w:sz w:val="20"/>
          <w:szCs w:val="20"/>
          <w:color w:val="auto"/>
        </w:rPr>
      </w:pPr>
    </w:p>
    <w:p>
      <w:pPr>
        <w:ind w:right="260" w:firstLine="877"/>
        <w:spacing w:after="0" w:line="258"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Safety Information Exchange</w:t>
      </w:r>
      <w:r>
        <w:rPr>
          <w:rFonts w:ascii="Arial" w:cs="Arial" w:eastAsia="Arial" w:hAnsi="Arial"/>
          <w:sz w:val="21"/>
          <w:szCs w:val="21"/>
          <w:color w:val="auto"/>
        </w:rPr>
        <w:t>. Apellis will report to the JSC any Serious Safety Issue for which reporting is required under this provision. Such Serious Safety Issues are to be reported for (i) Subjects who receive the Product or (ii) individuals otherwise exposed to the Product. Apellis shall promptly report Serious Safety Issues to the JSC.</w:t>
      </w:r>
    </w:p>
    <w:p>
      <w:pPr>
        <w:spacing w:after="0" w:line="16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Product</w:t>
      </w:r>
      <w:r>
        <w:rPr>
          <w:rFonts w:ascii="Arial" w:cs="Arial" w:eastAsia="Arial" w:hAnsi="Arial"/>
          <w:sz w:val="19"/>
          <w:szCs w:val="19"/>
          <w:color w:val="auto"/>
        </w:rPr>
        <w:t>.</w:t>
      </w:r>
    </w:p>
    <w:p>
      <w:pPr>
        <w:spacing w:after="0" w:line="206" w:lineRule="exact"/>
        <w:rPr>
          <w:sz w:val="20"/>
          <w:szCs w:val="20"/>
          <w:color w:val="auto"/>
        </w:rPr>
      </w:pPr>
    </w:p>
    <w:p>
      <w:pPr>
        <w:ind w:left="880" w:right="160" w:firstLine="1620"/>
        <w:spacing w:after="0" w:line="238" w:lineRule="auto"/>
        <w:rPr>
          <w:sz w:val="20"/>
          <w:szCs w:val="20"/>
          <w:color w:val="auto"/>
        </w:rPr>
      </w:pPr>
      <w:r>
        <w:rPr>
          <w:rFonts w:ascii="Arial" w:cs="Arial" w:eastAsia="Arial" w:hAnsi="Arial"/>
          <w:sz w:val="22"/>
          <w:szCs w:val="22"/>
          <w:color w:val="auto"/>
        </w:rPr>
        <w:t xml:space="preserve">3.7.1 </w:t>
      </w:r>
      <w:r>
        <w:rPr>
          <w:rFonts w:ascii="Arial" w:cs="Arial" w:eastAsia="Arial" w:hAnsi="Arial"/>
          <w:sz w:val="22"/>
          <w:szCs w:val="22"/>
          <w:u w:val="single" w:color="auto"/>
          <w:color w:val="auto"/>
        </w:rPr>
        <w:t>Supply of the Product</w:t>
      </w:r>
      <w:r>
        <w:rPr>
          <w:rFonts w:ascii="Arial" w:cs="Arial" w:eastAsia="Arial" w:hAnsi="Arial"/>
          <w:sz w:val="22"/>
          <w:szCs w:val="22"/>
          <w:color w:val="auto"/>
        </w:rPr>
        <w:t>. Apellis will use Commercially Reasonable Efforts to supply or have supplied such quantities of the Product that conform in all material respects to the applicable release specifications that are necessary to conduct the Trial. The current manufacturer of the Product is set forth on Exhibit L (the “Manufacturer”).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83" w:name="page84"/>
    <w:bookmarkEnd w:id="83"/>
    <w:p>
      <w:pPr>
        <w:ind w:left="880" w:right="120" w:firstLine="1620"/>
        <w:spacing w:after="0" w:line="274" w:lineRule="auto"/>
        <w:rPr>
          <w:sz w:val="20"/>
          <w:szCs w:val="20"/>
          <w:color w:val="auto"/>
        </w:rPr>
      </w:pPr>
      <w:r>
        <w:rPr>
          <w:rFonts w:ascii="Arial" w:cs="Arial" w:eastAsia="Arial" w:hAnsi="Arial"/>
          <w:sz w:val="21"/>
          <w:szCs w:val="21"/>
          <w:color w:val="auto"/>
        </w:rPr>
        <w:t xml:space="preserve">3.7.2 </w:t>
      </w:r>
      <w:r>
        <w:rPr>
          <w:rFonts w:ascii="Arial" w:cs="Arial" w:eastAsia="Arial" w:hAnsi="Arial"/>
          <w:sz w:val="21"/>
          <w:szCs w:val="21"/>
          <w:u w:val="single" w:color="auto"/>
          <w:color w:val="auto"/>
        </w:rPr>
        <w:t>Supply of Comparator</w:t>
      </w:r>
      <w:r>
        <w:rPr>
          <w:rFonts w:ascii="Arial" w:cs="Arial" w:eastAsia="Arial" w:hAnsi="Arial"/>
          <w:sz w:val="21"/>
          <w:szCs w:val="21"/>
          <w:color w:val="auto"/>
        </w:rPr>
        <w:t>. Apellis will use Commercially Reasonable Efforts to obtain, in a timely manner, all quantities of Comparator required to conduct the Trial in accordance with Section 2.1.1.</w:t>
      </w:r>
    </w:p>
    <w:p>
      <w:pPr>
        <w:spacing w:after="0" w:line="151" w:lineRule="exact"/>
        <w:rPr>
          <w:sz w:val="20"/>
          <w:szCs w:val="20"/>
          <w:color w:val="auto"/>
        </w:rPr>
      </w:pPr>
    </w:p>
    <w:p>
      <w:pPr>
        <w:ind w:left="880" w:right="100" w:firstLine="1620"/>
        <w:spacing w:after="0" w:line="251" w:lineRule="auto"/>
        <w:rPr>
          <w:sz w:val="20"/>
          <w:szCs w:val="20"/>
          <w:color w:val="auto"/>
        </w:rPr>
      </w:pPr>
      <w:r>
        <w:rPr>
          <w:rFonts w:ascii="Arial" w:cs="Arial" w:eastAsia="Arial" w:hAnsi="Arial"/>
          <w:sz w:val="22"/>
          <w:szCs w:val="22"/>
          <w:color w:val="auto"/>
        </w:rPr>
        <w:t xml:space="preserve">3.7.3 </w:t>
      </w:r>
      <w:r>
        <w:rPr>
          <w:rFonts w:ascii="Arial" w:cs="Arial" w:eastAsia="Arial" w:hAnsi="Arial"/>
          <w:sz w:val="22"/>
          <w:szCs w:val="22"/>
          <w:u w:val="single" w:color="auto"/>
          <w:color w:val="auto"/>
        </w:rPr>
        <w:t>Complaints Related to the Product</w:t>
      </w:r>
      <w:r>
        <w:rPr>
          <w:rFonts w:ascii="Arial" w:cs="Arial" w:eastAsia="Arial" w:hAnsi="Arial"/>
          <w:sz w:val="22"/>
          <w:szCs w:val="22"/>
          <w:color w:val="auto"/>
        </w:rPr>
        <w:t>. Apellis will use Commercially Reasonable Efforts to investigate and resolve complaints that it receives related to the Product.</w:t>
      </w:r>
    </w:p>
    <w:p>
      <w:pPr>
        <w:spacing w:after="0" w:line="173" w:lineRule="exact"/>
        <w:rPr>
          <w:sz w:val="20"/>
          <w:szCs w:val="20"/>
          <w:color w:val="auto"/>
        </w:rPr>
      </w:pPr>
    </w:p>
    <w:p>
      <w:pPr>
        <w:ind w:left="880" w:right="20" w:firstLine="1620"/>
        <w:spacing w:after="0" w:line="238" w:lineRule="auto"/>
        <w:rPr>
          <w:sz w:val="20"/>
          <w:szCs w:val="20"/>
          <w:color w:val="auto"/>
        </w:rPr>
      </w:pPr>
      <w:r>
        <w:rPr>
          <w:rFonts w:ascii="Arial" w:cs="Arial" w:eastAsia="Arial" w:hAnsi="Arial"/>
          <w:sz w:val="22"/>
          <w:szCs w:val="22"/>
          <w:color w:val="auto"/>
        </w:rPr>
        <w:t xml:space="preserve">3.7.4 </w:t>
      </w:r>
      <w:r>
        <w:rPr>
          <w:rFonts w:ascii="Arial" w:cs="Arial" w:eastAsia="Arial" w:hAnsi="Arial"/>
          <w:sz w:val="22"/>
          <w:szCs w:val="22"/>
          <w:u w:val="single" w:color="auto"/>
          <w:color w:val="auto"/>
        </w:rPr>
        <w:t>Recall of the Product in Connection with Trial Prior to Approval</w:t>
      </w:r>
      <w:r>
        <w:rPr>
          <w:rFonts w:ascii="Arial" w:cs="Arial" w:eastAsia="Arial" w:hAnsi="Arial"/>
          <w:sz w:val="22"/>
          <w:szCs w:val="22"/>
          <w:color w:val="auto"/>
        </w:rPr>
        <w:t>. If the Product is recalled after commencement of the Trial and prior to the first Regulatory Approval from FDA and EMA, Apellis will be responsible for the operational execution of such recall in connection with the Trial. The costs for such a recall will be at Apellis’ expense.</w:t>
      </w:r>
    </w:p>
    <w:p>
      <w:pPr>
        <w:spacing w:after="0" w:line="185" w:lineRule="exact"/>
        <w:rPr>
          <w:sz w:val="20"/>
          <w:szCs w:val="20"/>
          <w:color w:val="auto"/>
        </w:rPr>
      </w:pPr>
    </w:p>
    <w:p>
      <w:pPr>
        <w:ind w:right="200" w:firstLine="877"/>
        <w:spacing w:after="0" w:line="258"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For clarity, with respect to the Product and/or Comparator (as applicable), Apellis will materially comply, and Apellis will require that all Permitted Third Parties materially comply, with all Applicable Laws with respect to the analysis, storage, handling, disposal and transfer of the Product and/or Comparator (as applicable).</w:t>
      </w:r>
    </w:p>
    <w:p>
      <w:pPr>
        <w:spacing w:after="0" w:line="167" w:lineRule="exact"/>
        <w:rPr>
          <w:sz w:val="20"/>
          <w:szCs w:val="20"/>
          <w:color w:val="auto"/>
        </w:rPr>
      </w:pPr>
    </w:p>
    <w:p>
      <w:pPr>
        <w:ind w:right="160" w:firstLine="877"/>
        <w:spacing w:after="0" w:line="238"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CTAs and Manufacturing Dossiers</w:t>
      </w:r>
      <w:r>
        <w:rPr>
          <w:rFonts w:ascii="Arial" w:cs="Arial" w:eastAsia="Arial" w:hAnsi="Arial"/>
          <w:sz w:val="22"/>
          <w:szCs w:val="22"/>
          <w:color w:val="auto"/>
        </w:rPr>
        <w:t>. Apellis will be responsible for preparing and submitting any CTA and amendment thereto to Regulatory Authorities as required by Applicable Laws in the countries for which Sites have been selected. Apellis will prepare the CMC Information (the “</w:t>
      </w:r>
      <w:r>
        <w:rPr>
          <w:rFonts w:ascii="Arial" w:cs="Arial" w:eastAsia="Arial" w:hAnsi="Arial"/>
          <w:sz w:val="22"/>
          <w:szCs w:val="22"/>
          <w:u w:val="single" w:color="auto"/>
          <w:color w:val="auto"/>
        </w:rPr>
        <w:t>Manufacturing Dossier</w:t>
      </w:r>
      <w:r>
        <w:rPr>
          <w:rFonts w:ascii="Arial" w:cs="Arial" w:eastAsia="Arial" w:hAnsi="Arial"/>
          <w:sz w:val="22"/>
          <w:szCs w:val="22"/>
          <w:color w:val="auto"/>
        </w:rPr>
        <w:t>”) and any updates to this information and submit it to the applicable Regulatory Authority as required by Applicable Laws.</w:t>
      </w:r>
    </w:p>
    <w:p>
      <w:pPr>
        <w:spacing w:after="0" w:line="185" w:lineRule="exact"/>
        <w:rPr>
          <w:sz w:val="20"/>
          <w:szCs w:val="20"/>
          <w:color w:val="auto"/>
        </w:rPr>
      </w:pPr>
    </w:p>
    <w:p>
      <w:pPr>
        <w:ind w:right="60" w:firstLine="877"/>
        <w:spacing w:after="0" w:line="279"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Communications with Regulatory Authorities</w:t>
      </w:r>
      <w:r>
        <w:rPr>
          <w:rFonts w:ascii="Arial" w:cs="Arial" w:eastAsia="Arial" w:hAnsi="Arial"/>
          <w:sz w:val="19"/>
          <w:szCs w:val="19"/>
          <w:color w:val="auto"/>
        </w:rPr>
        <w:t>. Apellis will have sole responsibility for all communications with Regulatory Authorities with respect to the Trial and SFJ will not communicate with Regulatory Authorities. Notwithstanding the foregoing, or anything else contained herein to the contrary, Apellis agrees that the CEO or the CMO of SFJ shall be entitled to participate on a silent basis in all meetings with the FDA and the EMA during the Term and, to the extent practicable, SFJ shall be given the opportunity to review pre-meeting briefing materials. Apellis will provide the JSC and SFJ with copies of the minutes of all of the aforementioned meetings within [**] after Apellis receives the final minutes from the applicable Regulatory Authority.</w:t>
      </w:r>
    </w:p>
    <w:p>
      <w:pPr>
        <w:spacing w:after="0" w:line="151" w:lineRule="exact"/>
        <w:rPr>
          <w:sz w:val="20"/>
          <w:szCs w:val="20"/>
          <w:color w:val="auto"/>
        </w:rPr>
      </w:pPr>
    </w:p>
    <w:p>
      <w:pPr>
        <w:ind w:right="140" w:firstLine="877"/>
        <w:spacing w:after="0"/>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Clinical Trial Registries</w:t>
      </w:r>
      <w:r>
        <w:rPr>
          <w:rFonts w:ascii="Arial" w:cs="Arial" w:eastAsia="Arial" w:hAnsi="Arial"/>
          <w:sz w:val="22"/>
          <w:szCs w:val="22"/>
          <w:color w:val="auto"/>
        </w:rPr>
        <w:t>. Apellis will be responsible for registering, maintaining and updating any registries pertaining to the Trial to the extent required by any Applicable Laws, including www.clinicaltrials.gov, www.clinicalstudyresults.org, and the PhRMA Website Synopsis (collectively, the “</w:t>
      </w:r>
      <w:r>
        <w:rPr>
          <w:rFonts w:ascii="Arial" w:cs="Arial" w:eastAsia="Arial" w:hAnsi="Arial"/>
          <w:sz w:val="22"/>
          <w:szCs w:val="22"/>
          <w:u w:val="single" w:color="auto"/>
          <w:color w:val="auto"/>
        </w:rPr>
        <w:t>Clinical Trial Registries</w:t>
      </w:r>
      <w:r>
        <w:rPr>
          <w:rFonts w:ascii="Arial" w:cs="Arial" w:eastAsia="Arial" w:hAnsi="Arial"/>
          <w:sz w:val="22"/>
          <w:szCs w:val="22"/>
          <w:color w:val="auto"/>
        </w:rPr>
        <w:t>”).</w:t>
      </w:r>
    </w:p>
    <w:p>
      <w:pPr>
        <w:spacing w:after="0" w:line="186"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Disclosures by Apellis.</w:t>
      </w:r>
      <w:r>
        <w:rPr>
          <w:rFonts w:ascii="Arial" w:cs="Arial" w:eastAsia="Arial" w:hAnsi="Arial"/>
          <w:sz w:val="22"/>
          <w:szCs w:val="22"/>
          <w:color w:val="auto"/>
        </w:rPr>
        <w:t xml:space="preserve"> During the Development Term, Apellis shall provide SFJ at meetings of the JSC (or in advance of such meetings as part of the information that may be distributed to JSC members prior to such meetings or, if no such meeting is held in a [**], directly to SFJ) at least [**] with summaries of all data known to Apellis material to obtaining Regulatory Approval, and material Product safety data in all indications (including but not limited to Serious Safety Issues), including such material data relating to efficacy, clinical sites, patient enrollment and drop-out rates, CMC and other material manufacturing data, material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84" w:name="page85"/>
    <w:bookmarkEnd w:id="84"/>
    <w:p>
      <w:pPr>
        <w:ind w:right="140"/>
        <w:spacing w:after="0" w:line="277" w:lineRule="auto"/>
        <w:rPr>
          <w:sz w:val="20"/>
          <w:szCs w:val="20"/>
          <w:color w:val="auto"/>
        </w:rPr>
      </w:pPr>
      <w:r>
        <w:rPr>
          <w:rFonts w:ascii="Arial" w:cs="Arial" w:eastAsia="Arial" w:hAnsi="Arial"/>
          <w:sz w:val="19"/>
          <w:szCs w:val="19"/>
          <w:color w:val="auto"/>
        </w:rPr>
        <w:t>communications with regulatory authorities, and summaries of APL Intellectual Property with regard to the Product for the treatment of PNH (“</w:t>
      </w:r>
      <w:r>
        <w:rPr>
          <w:rFonts w:ascii="Arial" w:cs="Arial" w:eastAsia="Arial" w:hAnsi="Arial"/>
          <w:sz w:val="19"/>
          <w:szCs w:val="19"/>
          <w:u w:val="single" w:color="auto"/>
          <w:color w:val="auto"/>
        </w:rPr>
        <w:t>APL-2 Data</w:t>
      </w:r>
      <w:r>
        <w:rPr>
          <w:rFonts w:ascii="Arial" w:cs="Arial" w:eastAsia="Arial" w:hAnsi="Arial"/>
          <w:sz w:val="19"/>
          <w:szCs w:val="19"/>
          <w:color w:val="auto"/>
        </w:rPr>
        <w:t xml:space="preserve">”). In addition, Apellis shall (a) provide SFJ with the Apellis Disclosure Materials as set forth in </w:t>
      </w:r>
      <w:r>
        <w:rPr>
          <w:rFonts w:ascii="Arial" w:cs="Arial" w:eastAsia="Arial" w:hAnsi="Arial"/>
          <w:sz w:val="19"/>
          <w:szCs w:val="19"/>
          <w:u w:val="single" w:color="auto"/>
          <w:color w:val="auto"/>
        </w:rPr>
        <w:t>Exhibit J</w:t>
      </w:r>
      <w:r>
        <w:rPr>
          <w:rFonts w:ascii="Arial" w:cs="Arial" w:eastAsia="Arial" w:hAnsi="Arial"/>
          <w:sz w:val="19"/>
          <w:szCs w:val="19"/>
          <w:color w:val="auto"/>
        </w:rPr>
        <w:t>, (b) promptly notify SFJ of Trial Success following achievement thereof and (c) on or prior to the date that is [**] before each Funding Date subsequent to the Initial Funding Date, certify to SFJ in writing that, except as may otherwise be set forth in such writing, Apellis does not have data or information that Apellis reasonably believes evidences the occurrence of a Material Adverse Event since the immediately prior Funding Date. At least [**] during the Term, upon SFJ’s request, Executive Officers of Apellis shall meet with Executive Officers of SFJ to review and discuss Apellis’ financial condition and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APELLIS DEVELOPMENT COSTS</w:t>
      </w:r>
    </w:p>
    <w:p>
      <w:pPr>
        <w:spacing w:after="0" w:line="21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Development Costs</w:t>
      </w:r>
      <w:r>
        <w:rPr>
          <w:rFonts w:ascii="Arial" w:cs="Arial" w:eastAsia="Arial" w:hAnsi="Arial"/>
          <w:sz w:val="19"/>
          <w:szCs w:val="19"/>
          <w:color w:val="auto"/>
        </w:rPr>
        <w:t>.</w:t>
      </w:r>
    </w:p>
    <w:p>
      <w:pPr>
        <w:spacing w:after="0" w:line="206" w:lineRule="exact"/>
        <w:rPr>
          <w:sz w:val="20"/>
          <w:szCs w:val="20"/>
          <w:color w:val="auto"/>
        </w:rPr>
      </w:pPr>
    </w:p>
    <w:p>
      <w:pPr>
        <w:ind w:left="880" w:firstLine="1620"/>
        <w:spacing w:after="0" w:line="238" w:lineRule="auto"/>
        <w:rPr>
          <w:sz w:val="20"/>
          <w:szCs w:val="20"/>
          <w:color w:val="auto"/>
        </w:rPr>
      </w:pPr>
      <w:r>
        <w:rPr>
          <w:rFonts w:ascii="Arial" w:cs="Arial" w:eastAsia="Arial" w:hAnsi="Arial"/>
          <w:sz w:val="22"/>
          <w:szCs w:val="22"/>
          <w:color w:val="auto"/>
        </w:rPr>
        <w:t>4.1.1 SFJ will be obligated to pay One Hundred Twenty Million U.S. Dollars ($120,000,000.00) (“</w:t>
      </w:r>
      <w:r>
        <w:rPr>
          <w:rFonts w:ascii="Arial" w:cs="Arial" w:eastAsia="Arial" w:hAnsi="Arial"/>
          <w:sz w:val="22"/>
          <w:szCs w:val="22"/>
          <w:u w:val="single" w:color="auto"/>
          <w:color w:val="auto"/>
        </w:rPr>
        <w:t>Maximum SFJ Development Costs</w:t>
      </w:r>
      <w:r>
        <w:rPr>
          <w:rFonts w:ascii="Arial" w:cs="Arial" w:eastAsia="Arial" w:hAnsi="Arial"/>
          <w:sz w:val="22"/>
          <w:szCs w:val="22"/>
          <w:color w:val="auto"/>
        </w:rPr>
        <w:t xml:space="preserve">”) to Apellis in accordance with the funding schedule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Subject to Section 4.3, any Apellis Development Costs in excess of the Maximum SFJ Development Costs will be borne by Apellis.</w:t>
      </w:r>
    </w:p>
    <w:p>
      <w:pPr>
        <w:spacing w:after="0" w:line="185" w:lineRule="exact"/>
        <w:rPr>
          <w:sz w:val="20"/>
          <w:szCs w:val="20"/>
          <w:color w:val="auto"/>
        </w:rPr>
      </w:pPr>
    </w:p>
    <w:p>
      <w:pPr>
        <w:ind w:left="880" w:right="40" w:firstLine="1620"/>
        <w:spacing w:after="0" w:line="246" w:lineRule="auto"/>
        <w:rPr>
          <w:sz w:val="20"/>
          <w:szCs w:val="20"/>
          <w:color w:val="auto"/>
        </w:rPr>
      </w:pPr>
      <w:r>
        <w:rPr>
          <w:rFonts w:ascii="Arial" w:cs="Arial" w:eastAsia="Arial" w:hAnsi="Arial"/>
          <w:sz w:val="21"/>
          <w:szCs w:val="21"/>
          <w:color w:val="auto"/>
        </w:rPr>
        <w:t>4.1.2 Notwithstanding anything else in this Agreement to the contrary, in no event shall SFJ be obligated to make any payment (other than the initial payment of Sixty Million U.S. Dollars ($60,000,000.00)) to Apellis until such time (and without including the amount of such payment) as Apellis shall have cash balances (excluding restricted cash balances that are not available for such use) that equal or exceed the cash requirements of Apellis to conduct normal operations and fund on-going clinical trials (including its obligations to conduct clinical trials hereunder) from the time such funding will be paid for the following ten (10) months in accordance with Apellis’ cash flow financial projections prepared at such time in good faith and consistent with Apellis’ then-most-recent financial projections presented to the Board of Directors of Apellis.</w:t>
      </w:r>
    </w:p>
    <w:p>
      <w:pPr>
        <w:spacing w:after="0" w:line="181" w:lineRule="exact"/>
        <w:rPr>
          <w:sz w:val="20"/>
          <w:szCs w:val="20"/>
          <w:color w:val="auto"/>
        </w:rPr>
      </w:pPr>
    </w:p>
    <w:p>
      <w:pPr>
        <w:ind w:right="60" w:firstLine="877"/>
        <w:spacing w:after="0" w:line="28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Funding Schedule</w:t>
      </w:r>
      <w:r>
        <w:rPr>
          <w:rFonts w:ascii="Arial" w:cs="Arial" w:eastAsia="Arial" w:hAnsi="Arial"/>
          <w:sz w:val="19"/>
          <w:szCs w:val="19"/>
          <w:color w:val="auto"/>
        </w:rPr>
        <w:t>. SFJ will pay to Apellis the amounts of Apellis Development Costs set forth in the table below on or before (but not earlier than [**] before) the corresponding funding dates (each, a “</w:t>
      </w:r>
      <w:r>
        <w:rPr>
          <w:rFonts w:ascii="Arial" w:cs="Arial" w:eastAsia="Arial" w:hAnsi="Arial"/>
          <w:sz w:val="19"/>
          <w:szCs w:val="19"/>
          <w:u w:val="single" w:color="auto"/>
          <w:color w:val="auto"/>
        </w:rPr>
        <w:t>Funding Date</w:t>
      </w:r>
      <w:r>
        <w:rPr>
          <w:rFonts w:ascii="Arial" w:cs="Arial" w:eastAsia="Arial" w:hAnsi="Arial"/>
          <w:sz w:val="19"/>
          <w:szCs w:val="19"/>
          <w:color w:val="auto"/>
        </w:rPr>
        <w:t>”) set forth in the table below. Notwithstanding the foregoing, in no event shall SFJ be obligated to pay to Apellis the Apellis Development Costs for a Funding Date as set forth below until [**] after the date Apellis shall have notified SFJ that Apellis has achieved the corresponding milestone listed on Exhibit M (if any) for such Funding Date and all preceding Funding Dates.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Funding Schedule:</w:t>
      </w:r>
    </w:p>
    <w:p>
      <w:pPr>
        <w:spacing w:after="0" w:line="227" w:lineRule="exact"/>
        <w:rPr>
          <w:sz w:val="20"/>
          <w:szCs w:val="20"/>
          <w:color w:val="auto"/>
        </w:rPr>
      </w:pPr>
    </w:p>
    <w:tbl>
      <w:tblPr>
        <w:tblLayout w:type="fixed"/>
        <w:tblInd w:w="150" w:type="dxa"/>
        <w:tblCellMar>
          <w:top w:w="0" w:type="dxa"/>
          <w:left w:w="0" w:type="dxa"/>
          <w:bottom w:w="0" w:type="dxa"/>
          <w:right w:w="0" w:type="dxa"/>
        </w:tblCellMar>
      </w:tblPr>
      <w:tr>
        <w:trPr>
          <w:trHeight w:val="229"/>
        </w:trPr>
        <w:tc>
          <w:tcPr>
            <w:tcW w:w="1800" w:type="dxa"/>
            <w:vAlign w:val="bottom"/>
            <w:tcBorders>
              <w:top w:val="single" w:sz="8" w:color="auto"/>
              <w:left w:val="single" w:sz="8" w:color="auto"/>
              <w:right w:val="single" w:sz="8" w:color="auto"/>
            </w:tcBorders>
          </w:tcPr>
          <w:p>
            <w:pPr>
              <w:ind w:left="20"/>
              <w:spacing w:after="0" w:line="229" w:lineRule="exact"/>
              <w:rPr>
                <w:sz w:val="20"/>
                <w:szCs w:val="20"/>
                <w:color w:val="auto"/>
              </w:rPr>
            </w:pPr>
            <w:r>
              <w:rPr>
                <w:rFonts w:ascii="Arial" w:cs="Arial" w:eastAsia="Arial" w:hAnsi="Arial"/>
                <w:sz w:val="22"/>
                <w:szCs w:val="22"/>
                <w:b w:val="1"/>
                <w:bCs w:val="1"/>
                <w:color w:val="auto"/>
              </w:rPr>
              <w:t>To be paid on or</w:t>
            </w:r>
          </w:p>
        </w:tc>
        <w:tc>
          <w:tcPr>
            <w:tcW w:w="1760" w:type="dxa"/>
            <w:vAlign w:val="bottom"/>
            <w:tcBorders>
              <w:top w:val="single" w:sz="8" w:color="auto"/>
              <w:right w:val="single" w:sz="8" w:color="auto"/>
            </w:tcBorders>
          </w:tcPr>
          <w:p>
            <w:pPr>
              <w:spacing w:after="0" w:line="229" w:lineRule="exact"/>
              <w:rPr>
                <w:sz w:val="20"/>
                <w:szCs w:val="20"/>
                <w:color w:val="auto"/>
              </w:rPr>
            </w:pPr>
            <w:r>
              <w:rPr>
                <w:rFonts w:ascii="Arial" w:cs="Arial" w:eastAsia="Arial" w:hAnsi="Arial"/>
                <w:sz w:val="22"/>
                <w:szCs w:val="22"/>
                <w:b w:val="1"/>
                <w:bCs w:val="1"/>
                <w:color w:val="auto"/>
              </w:rPr>
              <w:t>To be paid on or</w:t>
            </w:r>
          </w:p>
        </w:tc>
        <w:tc>
          <w:tcPr>
            <w:tcW w:w="1780" w:type="dxa"/>
            <w:vAlign w:val="bottom"/>
            <w:tcBorders>
              <w:top w:val="single" w:sz="8" w:color="auto"/>
              <w:right w:val="single" w:sz="8" w:color="auto"/>
            </w:tcBorders>
          </w:tcPr>
          <w:p>
            <w:pPr>
              <w:spacing w:after="0" w:line="229" w:lineRule="exact"/>
              <w:rPr>
                <w:sz w:val="20"/>
                <w:szCs w:val="20"/>
                <w:color w:val="auto"/>
              </w:rPr>
            </w:pPr>
            <w:r>
              <w:rPr>
                <w:rFonts w:ascii="Arial" w:cs="Arial" w:eastAsia="Arial" w:hAnsi="Arial"/>
                <w:sz w:val="22"/>
                <w:szCs w:val="22"/>
                <w:b w:val="1"/>
                <w:bCs w:val="1"/>
                <w:color w:val="auto"/>
              </w:rPr>
              <w:t>To be paid on or</w:t>
            </w:r>
          </w:p>
        </w:tc>
        <w:tc>
          <w:tcPr>
            <w:tcW w:w="1760" w:type="dxa"/>
            <w:vAlign w:val="bottom"/>
            <w:tcBorders>
              <w:top w:val="single" w:sz="8" w:color="auto"/>
              <w:right w:val="single" w:sz="8" w:color="auto"/>
            </w:tcBorders>
          </w:tcPr>
          <w:p>
            <w:pPr>
              <w:spacing w:after="0" w:line="229" w:lineRule="exact"/>
              <w:rPr>
                <w:sz w:val="20"/>
                <w:szCs w:val="20"/>
                <w:color w:val="auto"/>
              </w:rPr>
            </w:pPr>
            <w:r>
              <w:rPr>
                <w:rFonts w:ascii="Arial" w:cs="Arial" w:eastAsia="Arial" w:hAnsi="Arial"/>
                <w:sz w:val="22"/>
                <w:szCs w:val="22"/>
                <w:b w:val="1"/>
                <w:bCs w:val="1"/>
                <w:color w:val="auto"/>
              </w:rPr>
              <w:t>To be paid on or</w:t>
            </w:r>
          </w:p>
        </w:tc>
        <w:tc>
          <w:tcPr>
            <w:tcW w:w="1780" w:type="dxa"/>
            <w:vAlign w:val="bottom"/>
            <w:tcBorders>
              <w:top w:val="single" w:sz="8" w:color="auto"/>
              <w:right w:val="single" w:sz="8" w:color="auto"/>
            </w:tcBorders>
          </w:tcPr>
          <w:p>
            <w:pPr>
              <w:spacing w:after="0" w:line="229" w:lineRule="exact"/>
              <w:rPr>
                <w:sz w:val="20"/>
                <w:szCs w:val="20"/>
                <w:color w:val="auto"/>
              </w:rPr>
            </w:pPr>
            <w:r>
              <w:rPr>
                <w:rFonts w:ascii="Arial" w:cs="Arial" w:eastAsia="Arial" w:hAnsi="Arial"/>
                <w:sz w:val="22"/>
                <w:szCs w:val="22"/>
                <w:b w:val="1"/>
                <w:bCs w:val="1"/>
                <w:color w:val="auto"/>
              </w:rPr>
              <w:t>Total</w:t>
            </w:r>
          </w:p>
        </w:tc>
      </w:tr>
      <w:tr>
        <w:trPr>
          <w:trHeight w:val="243"/>
        </w:trPr>
        <w:tc>
          <w:tcPr>
            <w:tcW w:w="1800" w:type="dxa"/>
            <w:vAlign w:val="bottom"/>
            <w:tcBorders>
              <w:left w:val="single" w:sz="8" w:color="auto"/>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before</w:t>
            </w:r>
          </w:p>
        </w:tc>
        <w:tc>
          <w:tcPr>
            <w:tcW w:w="17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b w:val="1"/>
                <w:bCs w:val="1"/>
                <w:color w:val="auto"/>
              </w:rPr>
              <w:t>before [**]</w:t>
            </w:r>
          </w:p>
        </w:tc>
        <w:tc>
          <w:tcPr>
            <w:tcW w:w="178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b w:val="1"/>
                <w:bCs w:val="1"/>
                <w:color w:val="auto"/>
              </w:rPr>
              <w:t>before [**]</w:t>
            </w:r>
          </w:p>
        </w:tc>
        <w:tc>
          <w:tcPr>
            <w:tcW w:w="17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b w:val="1"/>
                <w:bCs w:val="1"/>
                <w:color w:val="auto"/>
              </w:rPr>
              <w:t>before [**]</w:t>
            </w:r>
          </w:p>
        </w:tc>
        <w:tc>
          <w:tcPr>
            <w:tcW w:w="1780" w:type="dxa"/>
            <w:vAlign w:val="bottom"/>
            <w:tcBorders>
              <w:right w:val="single" w:sz="8" w:color="auto"/>
            </w:tcBorders>
          </w:tcPr>
          <w:p>
            <w:pPr>
              <w:spacing w:after="0"/>
              <w:rPr>
                <w:sz w:val="21"/>
                <w:szCs w:val="21"/>
                <w:color w:val="auto"/>
              </w:rPr>
            </w:pPr>
          </w:p>
        </w:tc>
      </w:tr>
      <w:tr>
        <w:trPr>
          <w:trHeight w:val="243"/>
        </w:trPr>
        <w:tc>
          <w:tcPr>
            <w:tcW w:w="1800" w:type="dxa"/>
            <w:vAlign w:val="bottom"/>
            <w:tcBorders>
              <w:left w:val="single" w:sz="8" w:color="auto"/>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1"/>
              </w:rPr>
              <w:t>the Initial Funding</w:t>
            </w:r>
          </w:p>
        </w:tc>
        <w:tc>
          <w:tcPr>
            <w:tcW w:w="176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r>
      <w:tr>
        <w:trPr>
          <w:trHeight w:val="271"/>
        </w:trPr>
        <w:tc>
          <w:tcPr>
            <w:tcW w:w="1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Date</w:t>
            </w:r>
          </w:p>
        </w:tc>
        <w:tc>
          <w:tcPr>
            <w:tcW w:w="176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r>
      <w:tr>
        <w:trPr>
          <w:trHeight w:val="237"/>
        </w:trPr>
        <w:tc>
          <w:tcPr>
            <w:tcW w:w="18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$60 Million</w:t>
            </w:r>
          </w:p>
        </w:tc>
        <w:tc>
          <w:tcPr>
            <w:tcW w:w="17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$20 Million</w:t>
            </w:r>
          </w:p>
        </w:tc>
        <w:tc>
          <w:tcPr>
            <w:tcW w:w="17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$20 Million</w:t>
            </w:r>
          </w:p>
        </w:tc>
        <w:tc>
          <w:tcPr>
            <w:tcW w:w="17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$20 Million</w:t>
            </w:r>
          </w:p>
        </w:tc>
        <w:tc>
          <w:tcPr>
            <w:tcW w:w="17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$120 Million</w:t>
            </w:r>
          </w:p>
        </w:tc>
      </w:tr>
    </w:tbl>
    <w:p>
      <w:pPr>
        <w:spacing w:after="0" w:line="208" w:lineRule="exact"/>
        <w:rPr>
          <w:sz w:val="20"/>
          <w:szCs w:val="20"/>
          <w:color w:val="auto"/>
        </w:rPr>
      </w:pPr>
    </w:p>
    <w:p>
      <w:pPr>
        <w:ind w:right="40" w:firstLine="877"/>
        <w:spacing w:after="0" w:line="252" w:lineRule="auto"/>
        <w:rPr>
          <w:sz w:val="20"/>
          <w:szCs w:val="20"/>
          <w:color w:val="auto"/>
        </w:rPr>
      </w:pPr>
      <w:r>
        <w:rPr>
          <w:rFonts w:ascii="Arial" w:cs="Arial" w:eastAsia="Arial" w:hAnsi="Arial"/>
          <w:sz w:val="21"/>
          <w:szCs w:val="21"/>
          <w:color w:val="auto"/>
        </w:rPr>
        <w:t>The initial payment of Sixty Million U.S. Dollars ($60,000,000.00) set forth in the table above shall be payable on or before the date (the “</w:t>
      </w:r>
      <w:r>
        <w:rPr>
          <w:rFonts w:ascii="Arial" w:cs="Arial" w:eastAsia="Arial" w:hAnsi="Arial"/>
          <w:sz w:val="21"/>
          <w:szCs w:val="21"/>
          <w:u w:val="single" w:color="auto"/>
          <w:color w:val="auto"/>
        </w:rPr>
        <w:t>Initial Funding Date</w:t>
      </w:r>
      <w:r>
        <w:rPr>
          <w:rFonts w:ascii="Arial" w:cs="Arial" w:eastAsia="Arial" w:hAnsi="Arial"/>
          <w:sz w:val="21"/>
          <w:szCs w:val="21"/>
          <w:color w:val="auto"/>
        </w:rPr>
        <w:t xml:space="preserve">”) that is the latest of (i) [**], (ii) [**] after the date on which Apellis shall have notified SFJ of the date on which Apellis will, subject to SFJ’s concurrent payment of such funding payment, satisfy Apellis’ obligations in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or (iii) the date on which all of Apellis’ obligations in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are satisfied.</w:t>
      </w:r>
    </w:p>
    <w:p>
      <w:pPr>
        <w:spacing w:after="0" w:line="174"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 xml:space="preserve">For avoidance of doubt, if any of the amounts set forth in the table above is not paid as scheduled for the reason set forth in </w:t>
      </w:r>
      <w:r>
        <w:rPr>
          <w:rFonts w:ascii="Arial" w:cs="Arial" w:eastAsia="Arial" w:hAnsi="Arial"/>
          <w:sz w:val="22"/>
          <w:szCs w:val="22"/>
          <w:u w:val="single" w:color="auto"/>
          <w:color w:val="auto"/>
        </w:rPr>
        <w:t>Section 4.1.2</w:t>
      </w:r>
      <w:r>
        <w:rPr>
          <w:rFonts w:ascii="Arial" w:cs="Arial" w:eastAsia="Arial" w:hAnsi="Arial"/>
          <w:sz w:val="22"/>
          <w:szCs w:val="22"/>
          <w:color w:val="auto"/>
        </w:rPr>
        <w:t>, SFJ shall pay such amount to Apellis within [**] after Apellis notifies SFJ in writing that Apellis has met the condition for funding set forth in such provision.</w:t>
      </w:r>
    </w:p>
    <w:p>
      <w:pPr>
        <w:spacing w:after="0" w:line="186"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Additional SFJ Funding</w:t>
      </w:r>
      <w:r>
        <w:rPr>
          <w:rFonts w:ascii="Arial" w:cs="Arial" w:eastAsia="Arial" w:hAnsi="Arial"/>
          <w:sz w:val="22"/>
          <w:szCs w:val="22"/>
          <w:color w:val="auto"/>
        </w:rPr>
        <w:t>. Apellis may request, at any time after the earlier of (a) the earliest date as of which Apellis has reviewed the database containing the sixteen (16)-week interim data from the PEGASUS Trial and confirmed that no further changes will be made prior to conducting analyses of such Research Results and (b) March 31, 2020, that SFJ fund an additional Fifty Million Dollars ($50,000,000) of Apellis Development Costs (“</w:t>
      </w:r>
      <w:r>
        <w:rPr>
          <w:rFonts w:ascii="Arial" w:cs="Arial" w:eastAsia="Arial" w:hAnsi="Arial"/>
          <w:sz w:val="22"/>
          <w:szCs w:val="22"/>
          <w:u w:val="single" w:color="auto"/>
          <w:color w:val="auto"/>
        </w:rPr>
        <w:t>Additional SFJ Funding</w:t>
      </w:r>
      <w:r>
        <w:rPr>
          <w:rFonts w:ascii="Arial" w:cs="Arial" w:eastAsia="Arial" w:hAnsi="Arial"/>
          <w:sz w:val="22"/>
          <w:szCs w:val="22"/>
          <w:color w:val="auto"/>
        </w:rPr>
        <w:t>”), which SFJ may agree to fund or not in its sole discretion.</w:t>
      </w:r>
    </w:p>
    <w:p>
      <w:pPr>
        <w:spacing w:after="0" w:line="188" w:lineRule="exact"/>
        <w:rPr>
          <w:sz w:val="20"/>
          <w:szCs w:val="20"/>
          <w:color w:val="auto"/>
        </w:rPr>
      </w:pPr>
    </w:p>
    <w:p>
      <w:pPr>
        <w:ind w:firstLine="877"/>
        <w:spacing w:after="0" w:line="249" w:lineRule="exact"/>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Pre</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Commercialization Costs</w:t>
      </w:r>
      <w:r>
        <w:rPr>
          <w:rFonts w:ascii="Arial" w:cs="Arial" w:eastAsia="Arial" w:hAnsi="Arial"/>
          <w:sz w:val="22"/>
          <w:szCs w:val="22"/>
          <w:color w:val="auto"/>
        </w:rPr>
        <w:t>. During the Term, Apellis will be solely responsible at its own cost for performing those activities reasonably necessary to prepare for Commercial Launch of the Product in the Territory (the “</w:t>
      </w:r>
      <w:r>
        <w:rPr>
          <w:rFonts w:ascii="Arial" w:cs="Arial" w:eastAsia="Arial" w:hAnsi="Arial"/>
          <w:sz w:val="22"/>
          <w:szCs w:val="22"/>
          <w:u w:val="single" w:color="auto"/>
          <w:color w:val="auto"/>
        </w:rPr>
        <w:t>Pre-Approval Commercialization Activities</w:t>
      </w:r>
      <w:r>
        <w:rPr>
          <w:rFonts w:ascii="Arial" w:cs="Arial" w:eastAsia="Arial" w:hAnsi="Arial"/>
          <w:sz w:val="22"/>
          <w:szCs w:val="22"/>
          <w:color w:val="auto"/>
        </w:rPr>
        <w:t>”). Such Pre-Approval Commercialization Activities may include at Apellis’ sole discretion creating educational or marketing materials, establishing distribution channels and designing packaging and labeling, in each case for as reasonably necessary to Commercialize the Product in the Territory.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GOVERNANCE</w:t>
      </w:r>
    </w:p>
    <w:p>
      <w:pPr>
        <w:spacing w:after="0" w:line="21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w:t>
      </w:r>
    </w:p>
    <w:p>
      <w:pPr>
        <w:spacing w:after="0" w:line="206" w:lineRule="exact"/>
        <w:rPr>
          <w:sz w:val="20"/>
          <w:szCs w:val="20"/>
          <w:color w:val="auto"/>
        </w:rPr>
      </w:pPr>
    </w:p>
    <w:p>
      <w:pPr>
        <w:ind w:left="880" w:right="120" w:firstLine="1620"/>
        <w:spacing w:after="0" w:line="28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Representatives</w:t>
      </w:r>
      <w:r>
        <w:rPr>
          <w:rFonts w:ascii="Arial" w:cs="Arial" w:eastAsia="Arial" w:hAnsi="Arial"/>
          <w:sz w:val="19"/>
          <w:szCs w:val="19"/>
          <w:color w:val="auto"/>
        </w:rPr>
        <w:t>. Within [**] after the Effective Date, the Parties will establish a joint steering committee to oversee and manage the collaboration (the “</w:t>
      </w:r>
      <w:r>
        <w:rPr>
          <w:rFonts w:ascii="Arial" w:cs="Arial" w:eastAsia="Arial" w:hAnsi="Arial"/>
          <w:sz w:val="19"/>
          <w:szCs w:val="19"/>
          <w:u w:val="single" w:color="auto"/>
          <w:color w:val="auto"/>
        </w:rPr>
        <w:t>JSC</w:t>
      </w:r>
      <w:r>
        <w:rPr>
          <w:rFonts w:ascii="Arial" w:cs="Arial" w:eastAsia="Arial" w:hAnsi="Arial"/>
          <w:sz w:val="19"/>
          <w:szCs w:val="19"/>
          <w:color w:val="auto"/>
        </w:rPr>
        <w:t>”). Each Party initially will appoint [**] representatives to serve as representatives to the JSC (the “</w:t>
      </w:r>
      <w:r>
        <w:rPr>
          <w:rFonts w:ascii="Arial" w:cs="Arial" w:eastAsia="Arial" w:hAnsi="Arial"/>
          <w:sz w:val="19"/>
          <w:szCs w:val="19"/>
          <w:u w:val="single" w:color="auto"/>
          <w:color w:val="auto"/>
        </w:rPr>
        <w:t>JSC Representatives</w:t>
      </w:r>
      <w:r>
        <w:rPr>
          <w:rFonts w:ascii="Arial" w:cs="Arial" w:eastAsia="Arial" w:hAnsi="Arial"/>
          <w:sz w:val="19"/>
          <w:szCs w:val="19"/>
          <w:color w:val="auto"/>
        </w:rPr>
        <w:t>”), with each JSC Representative having knowledge and expertise regarding developing products similar to the Product and sufficient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86" w:name="page87"/>
    <w:bookmarkEnd w:id="86"/>
    <w:p>
      <w:pPr>
        <w:ind w:right="120"/>
        <w:spacing w:after="0" w:line="248" w:lineRule="exact"/>
        <w:rPr>
          <w:sz w:val="20"/>
          <w:szCs w:val="20"/>
          <w:color w:val="auto"/>
        </w:rPr>
      </w:pPr>
      <w:r>
        <w:rPr>
          <w:rFonts w:ascii="Arial" w:cs="Arial" w:eastAsia="Arial" w:hAnsi="Arial"/>
          <w:sz w:val="21"/>
          <w:szCs w:val="21"/>
          <w:color w:val="auto"/>
        </w:rPr>
        <w:t>decision-making authority within the applicable Party to make decisions on behalf of such Party within the scope of the JSC’s decision</w:t>
      </w:r>
      <w:r>
        <w:rPr>
          <w:rFonts w:ascii="MS PGothic" w:cs="MS PGothic" w:eastAsia="MS PGothic" w:hAnsi="MS PGothic"/>
          <w:sz w:val="21"/>
          <w:szCs w:val="21"/>
          <w:color w:val="auto"/>
        </w:rPr>
        <w:t>‑</w:t>
      </w:r>
      <w:r>
        <w:rPr>
          <w:rFonts w:ascii="Arial" w:cs="Arial" w:eastAsia="Arial" w:hAnsi="Arial"/>
          <w:sz w:val="21"/>
          <w:szCs w:val="21"/>
          <w:color w:val="auto"/>
        </w:rPr>
        <w:t>making authority and, if any such representative is not an employee of the appointing Party, such representative shall execute a confidentiality agreement in form and substance acceptable to the other Party (and, for the avoidance of doubt, the appointing Party shall remain responsible to the other Party for any noncompliance by such representative with such confidentiality obligations). Each Party may replace its JSC Representatives at any time upon written notice to the other Party.</w:t>
      </w:r>
    </w:p>
    <w:p>
      <w:pPr>
        <w:spacing w:after="0" w:line="190" w:lineRule="exact"/>
        <w:rPr>
          <w:sz w:val="20"/>
          <w:szCs w:val="20"/>
          <w:color w:val="auto"/>
        </w:rPr>
      </w:pPr>
    </w:p>
    <w:p>
      <w:pPr>
        <w:ind w:right="60" w:firstLine="1620"/>
        <w:spacing w:after="0" w:line="287"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Chairperson</w:t>
      </w:r>
      <w:r>
        <w:rPr>
          <w:rFonts w:ascii="Arial" w:cs="Arial" w:eastAsia="Arial" w:hAnsi="Arial"/>
          <w:sz w:val="19"/>
          <w:szCs w:val="19"/>
          <w:color w:val="auto"/>
        </w:rPr>
        <w:t>. The JSC chairperson (“</w:t>
      </w:r>
      <w:r>
        <w:rPr>
          <w:rFonts w:ascii="Arial" w:cs="Arial" w:eastAsia="Arial" w:hAnsi="Arial"/>
          <w:sz w:val="19"/>
          <w:szCs w:val="19"/>
          <w:u w:val="single" w:color="auto"/>
          <w:color w:val="auto"/>
        </w:rPr>
        <w:t>JSC Chairperson</w:t>
      </w:r>
      <w:r>
        <w:rPr>
          <w:rFonts w:ascii="Arial" w:cs="Arial" w:eastAsia="Arial" w:hAnsi="Arial"/>
          <w:sz w:val="19"/>
          <w:szCs w:val="19"/>
          <w:color w:val="auto"/>
        </w:rPr>
        <w:t>”) shall be designated from the Parties’ JSC Representatives and shall serve for a term of one (1) year. [**] shall appoint the first JSC Chairperson and subsequent appointments will rotate on an annual basis between Apellis and SFJ. The JSC Chairperson will be responsible for drafting and circulating its Party’s draft agenda and ensuring minutes are prepared by its respective Party.</w:t>
      </w:r>
    </w:p>
    <w:p>
      <w:pPr>
        <w:spacing w:after="0" w:line="143" w:lineRule="exact"/>
        <w:rPr>
          <w:sz w:val="20"/>
          <w:szCs w:val="20"/>
          <w:color w:val="auto"/>
        </w:rPr>
      </w:pPr>
    </w:p>
    <w:p>
      <w:pPr>
        <w:ind w:right="100" w:firstLine="1620"/>
        <w:spacing w:after="0" w:line="248"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Meetings</w:t>
      </w:r>
      <w:r>
        <w:rPr>
          <w:rFonts w:ascii="Arial" w:cs="Arial" w:eastAsia="Arial" w:hAnsi="Arial"/>
          <w:sz w:val="21"/>
          <w:szCs w:val="21"/>
          <w:color w:val="auto"/>
        </w:rPr>
        <w:t>. From the Effective Date, through the date of the Regulatory Approval in both the US and the EU, the JSC will meet at least [**] (and for clarity, such meetings are intended to be conducted via teleconference) unless the Parties mutually agree otherwise. Either Party may call a special meeting of the JSC (by videoconference or teleconference) during the Development Term by providing at least [**] prior written notice to the other Party, which notice shall include a reasonably detailed description of the matter, in the event such Party reasonably believes that a significant matter must be addressed prior to the next scheduled meeting.</w:t>
      </w:r>
    </w:p>
    <w:p>
      <w:pPr>
        <w:spacing w:after="0" w:line="177" w:lineRule="exact"/>
        <w:rPr>
          <w:sz w:val="20"/>
          <w:szCs w:val="20"/>
          <w:color w:val="auto"/>
        </w:rPr>
      </w:pPr>
    </w:p>
    <w:p>
      <w:pPr>
        <w:ind w:right="40" w:firstLine="1620"/>
        <w:spacing w:after="0" w:line="235"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u w:val="single" w:color="auto"/>
          <w:color w:val="auto"/>
        </w:rPr>
        <w:t>Participants</w:t>
      </w:r>
      <w:r>
        <w:rPr>
          <w:rFonts w:ascii="Arial" w:cs="Arial" w:eastAsia="Arial" w:hAnsi="Arial"/>
          <w:sz w:val="22"/>
          <w:szCs w:val="22"/>
          <w:color w:val="auto"/>
        </w:rPr>
        <w:t xml:space="preserve">. The JSC may invite individuals who are not JSC Representatives to participate in JSC meetings;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all [**] JSC Representatives of both Parties consent to such non-member’s participation; and (b) such non-member has executed a confidentiality agreement in form and substance acceptable to the non-inviting Party (and, for the avoidance of doubt, the inviting Party shall remain responsible to the non-inviting Party for any noncompliance by such individual with such confidentiality obligations). For clarity, such non-members will have no voting rights at the JSC.</w:t>
      </w:r>
    </w:p>
    <w:p>
      <w:pPr>
        <w:spacing w:after="0" w:line="188" w:lineRule="exact"/>
        <w:rPr>
          <w:sz w:val="20"/>
          <w:szCs w:val="20"/>
          <w:color w:val="auto"/>
        </w:rPr>
      </w:pPr>
    </w:p>
    <w:p>
      <w:pPr>
        <w:ind w:firstLine="1620"/>
        <w:spacing w:after="0" w:line="277"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Alliance Managers</w:t>
      </w:r>
      <w:r>
        <w:rPr>
          <w:rFonts w:ascii="Arial" w:cs="Arial" w:eastAsia="Arial" w:hAnsi="Arial"/>
          <w:sz w:val="19"/>
          <w:szCs w:val="19"/>
          <w:color w:val="auto"/>
        </w:rPr>
        <w:t>. Each Party shall appoint an individual to act as an alliance manager for such Party (each, an “</w:t>
      </w:r>
      <w:r>
        <w:rPr>
          <w:rFonts w:ascii="Arial" w:cs="Arial" w:eastAsia="Arial" w:hAnsi="Arial"/>
          <w:sz w:val="19"/>
          <w:szCs w:val="19"/>
          <w:u w:val="single" w:color="auto"/>
          <w:color w:val="auto"/>
        </w:rPr>
        <w:t>Alliance Manager</w:t>
      </w:r>
      <w:r>
        <w:rPr>
          <w:rFonts w:ascii="Arial" w:cs="Arial" w:eastAsia="Arial" w:hAnsi="Arial"/>
          <w:sz w:val="19"/>
          <w:szCs w:val="19"/>
          <w:color w:val="auto"/>
        </w:rPr>
        <w:t>”) by providing the name and contact information for the Alliance Manager to the JSC. Each Party may change its Alliance Manager from time to time in its sole discretion upon written notice to the JSC. The Alliance Managers shall be the primary point of contact for the Parties regarding the activities contemplated by the Agreement, and the Parties shall use reasonable efforts to ensure that any requests for information and data made outside of the JSC are made through the Alliance Mangers. The Alliance Managers shall attend all meetings of the JSC. For clarity, the Alliance Managers may also be members of the JSC.</w:t>
      </w:r>
    </w:p>
    <w:p>
      <w:pPr>
        <w:spacing w:after="0" w:line="153"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Costs</w:t>
      </w:r>
      <w:r>
        <w:rPr>
          <w:rFonts w:ascii="Arial" w:cs="Arial" w:eastAsia="Arial" w:hAnsi="Arial"/>
          <w:sz w:val="19"/>
          <w:szCs w:val="19"/>
          <w:color w:val="auto"/>
        </w:rPr>
        <w:t>. Each Party will bear its own expenses relating to the meetings and activities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JSC.</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87" w:name="page88"/>
    <w:bookmarkEnd w:id="87"/>
    <w:p>
      <w:pPr>
        <w:ind w:left="880"/>
        <w:spacing w:after="0"/>
        <w:tabs>
          <w:tab w:leader="none" w:pos="17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JSC Responsibilities and Decision-Making</w:t>
      </w:r>
      <w:r>
        <w:rPr>
          <w:rFonts w:ascii="Arial" w:cs="Arial" w:eastAsia="Arial" w:hAnsi="Arial"/>
          <w:sz w:val="19"/>
          <w:szCs w:val="19"/>
          <w:color w:val="auto"/>
        </w:rPr>
        <w:t>.</w:t>
      </w:r>
    </w:p>
    <w:p>
      <w:pPr>
        <w:spacing w:after="0" w:line="206" w:lineRule="exact"/>
        <w:rPr>
          <w:sz w:val="20"/>
          <w:szCs w:val="20"/>
          <w:color w:val="auto"/>
        </w:rPr>
      </w:pPr>
    </w:p>
    <w:p>
      <w:pPr>
        <w:ind w:left="880" w:right="100" w:firstLine="1620"/>
        <w:spacing w:after="0" w:line="251" w:lineRule="auto"/>
        <w:rPr>
          <w:sz w:val="20"/>
          <w:szCs w:val="20"/>
          <w:color w:val="auto"/>
        </w:rPr>
      </w:pPr>
      <w:r>
        <w:rPr>
          <w:rFonts w:ascii="Arial" w:cs="Arial" w:eastAsia="Arial" w:hAnsi="Arial"/>
          <w:sz w:val="22"/>
          <w:szCs w:val="22"/>
          <w:color w:val="auto"/>
        </w:rPr>
        <w:t xml:space="preserve">5.2.1 </w:t>
      </w:r>
      <w:r>
        <w:rPr>
          <w:rFonts w:ascii="Arial" w:cs="Arial" w:eastAsia="Arial" w:hAnsi="Arial"/>
          <w:sz w:val="22"/>
          <w:szCs w:val="22"/>
          <w:u w:val="single" w:color="auto"/>
          <w:color w:val="auto"/>
        </w:rPr>
        <w:t>Responsibilities (Review and Discuss)</w:t>
      </w:r>
      <w:r>
        <w:rPr>
          <w:rFonts w:ascii="Arial" w:cs="Arial" w:eastAsia="Arial" w:hAnsi="Arial"/>
          <w:sz w:val="22"/>
          <w:szCs w:val="22"/>
          <w:color w:val="auto"/>
        </w:rPr>
        <w:t>. The JSC’s responsibilities will include reviewing and discussing (but not approving) the following:</w:t>
      </w:r>
    </w:p>
    <w:p>
      <w:pPr>
        <w:spacing w:after="0" w:line="173" w:lineRule="exact"/>
        <w:rPr>
          <w:sz w:val="20"/>
          <w:szCs w:val="20"/>
          <w:color w:val="auto"/>
        </w:rPr>
      </w:pPr>
    </w:p>
    <w:p>
      <w:pPr>
        <w:jc w:val="both"/>
        <w:ind w:right="840" w:firstLine="2634"/>
        <w:spacing w:after="0"/>
        <w:rPr>
          <w:sz w:val="20"/>
          <w:szCs w:val="20"/>
          <w:color w:val="auto"/>
        </w:rPr>
      </w:pPr>
      <w:r>
        <w:rPr>
          <w:rFonts w:ascii="Arial" w:cs="Arial" w:eastAsia="Arial" w:hAnsi="Arial"/>
          <w:sz w:val="22"/>
          <w:szCs w:val="22"/>
          <w:color w:val="auto"/>
        </w:rPr>
        <w:t>5.2.1.1 Oversight of the Parties’ collaboration for PNH including (i) overall strategic direction, (ii) developing strategies to maximize the value of the Product for the treatment of PNH, and (iii) reviewing and commenting on the Development Program and Regulatory Approval strategies;</w:t>
      </w:r>
    </w:p>
    <w:p>
      <w:pPr>
        <w:spacing w:after="0" w:line="186" w:lineRule="exact"/>
        <w:rPr>
          <w:sz w:val="20"/>
          <w:szCs w:val="20"/>
          <w:color w:val="auto"/>
        </w:rPr>
      </w:pPr>
    </w:p>
    <w:p>
      <w:pPr>
        <w:ind w:firstLine="2634"/>
        <w:spacing w:after="0" w:line="251" w:lineRule="auto"/>
        <w:rPr>
          <w:sz w:val="20"/>
          <w:szCs w:val="20"/>
          <w:color w:val="auto"/>
        </w:rPr>
      </w:pPr>
      <w:r>
        <w:rPr>
          <w:rFonts w:ascii="Arial" w:cs="Arial" w:eastAsia="Arial" w:hAnsi="Arial"/>
          <w:sz w:val="22"/>
          <w:szCs w:val="22"/>
          <w:color w:val="auto"/>
        </w:rPr>
        <w:t xml:space="preserve">5.2.1.2 material changes in the Development Program, including changes required by, or made to respond to comments from, a Regulatory Authority, that do not require approval pursuant to </w:t>
      </w:r>
      <w:r>
        <w:rPr>
          <w:rFonts w:ascii="Arial" w:cs="Arial" w:eastAsia="Arial" w:hAnsi="Arial"/>
          <w:sz w:val="22"/>
          <w:szCs w:val="22"/>
          <w:u w:val="single" w:color="auto"/>
          <w:color w:val="auto"/>
        </w:rPr>
        <w:t>Section 5.2.2</w:t>
      </w:r>
      <w:r>
        <w:rPr>
          <w:rFonts w:ascii="Arial" w:cs="Arial" w:eastAsia="Arial" w:hAnsi="Arial"/>
          <w:sz w:val="22"/>
          <w:szCs w:val="22"/>
          <w:color w:val="auto"/>
        </w:rPr>
        <w:t>;</w:t>
      </w:r>
    </w:p>
    <w:p>
      <w:pPr>
        <w:spacing w:after="0" w:line="173"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5.2.1.3</w:t>
      </w:r>
      <w:r>
        <w:rPr>
          <w:sz w:val="20"/>
          <w:szCs w:val="20"/>
          <w:color w:val="auto"/>
        </w:rPr>
        <w:tab/>
      </w:r>
      <w:r>
        <w:rPr>
          <w:rFonts w:ascii="Arial" w:cs="Arial" w:eastAsia="Arial" w:hAnsi="Arial"/>
          <w:sz w:val="19"/>
          <w:szCs w:val="19"/>
          <w:color w:val="auto"/>
        </w:rPr>
        <w:t>the activities related to, the progress of, and the costs incurred in connection with,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Development Program;</w:t>
      </w:r>
    </w:p>
    <w:p>
      <w:pPr>
        <w:spacing w:after="0" w:line="188"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5.2.1.4</w:t>
      </w:r>
      <w:r>
        <w:rPr>
          <w:sz w:val="20"/>
          <w:szCs w:val="20"/>
          <w:color w:val="auto"/>
        </w:rPr>
        <w:tab/>
      </w:r>
      <w:r>
        <w:rPr>
          <w:rFonts w:ascii="Arial" w:cs="Arial" w:eastAsia="Arial" w:hAnsi="Arial"/>
          <w:sz w:val="19"/>
          <w:szCs w:val="19"/>
          <w:color w:val="auto"/>
        </w:rPr>
        <w:t>summaries of the Research Results;</w:t>
      </w:r>
    </w:p>
    <w:p>
      <w:pPr>
        <w:spacing w:after="0" w:line="206" w:lineRule="exact"/>
        <w:rPr>
          <w:sz w:val="20"/>
          <w:szCs w:val="20"/>
          <w:color w:val="auto"/>
        </w:rPr>
      </w:pPr>
    </w:p>
    <w:p>
      <w:pPr>
        <w:ind w:right="40" w:firstLine="2634"/>
        <w:spacing w:after="0" w:line="251" w:lineRule="auto"/>
        <w:rPr>
          <w:sz w:val="20"/>
          <w:szCs w:val="20"/>
          <w:color w:val="auto"/>
        </w:rPr>
      </w:pPr>
      <w:r>
        <w:rPr>
          <w:rFonts w:ascii="Arial" w:cs="Arial" w:eastAsia="Arial" w:hAnsi="Arial"/>
          <w:sz w:val="22"/>
          <w:szCs w:val="22"/>
          <w:color w:val="auto"/>
        </w:rPr>
        <w:t>5.2.1.5 Apellis’ forecast of the estimated timeline (on at least a [**] basis) for its development activities with respect to the Product for PNH;</w:t>
      </w:r>
    </w:p>
    <w:p>
      <w:pPr>
        <w:spacing w:after="0" w:line="173"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5.2.1.6</w:t>
      </w:r>
      <w:r>
        <w:rPr>
          <w:sz w:val="20"/>
          <w:szCs w:val="20"/>
          <w:color w:val="auto"/>
        </w:rPr>
        <w:tab/>
      </w:r>
      <w:r>
        <w:rPr>
          <w:rFonts w:ascii="Arial" w:cs="Arial" w:eastAsia="Arial" w:hAnsi="Arial"/>
          <w:sz w:val="19"/>
          <w:szCs w:val="19"/>
          <w:color w:val="auto"/>
        </w:rPr>
        <w:t>the addition to the Development Program of any new clinical trial testing the efficacy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the Product for PNH; and</w:t>
      </w:r>
    </w:p>
    <w:p>
      <w:pPr>
        <w:spacing w:after="0" w:line="188" w:lineRule="exact"/>
        <w:rPr>
          <w:sz w:val="20"/>
          <w:szCs w:val="20"/>
          <w:color w:val="auto"/>
        </w:rPr>
      </w:pPr>
    </w:p>
    <w:p>
      <w:pPr>
        <w:ind w:right="200" w:firstLine="2634"/>
        <w:spacing w:after="0" w:line="251" w:lineRule="auto"/>
        <w:rPr>
          <w:sz w:val="20"/>
          <w:szCs w:val="20"/>
          <w:color w:val="auto"/>
        </w:rPr>
      </w:pPr>
      <w:r>
        <w:rPr>
          <w:rFonts w:ascii="Arial" w:cs="Arial" w:eastAsia="Arial" w:hAnsi="Arial"/>
          <w:sz w:val="22"/>
          <w:szCs w:val="22"/>
          <w:color w:val="auto"/>
        </w:rPr>
        <w:t>5.2.1.7 any other matters the Parties mutually agree will be, or are expressly provided in this Agreement to be, reviewed and discussed by the JSC.</w:t>
      </w:r>
    </w:p>
    <w:p>
      <w:pPr>
        <w:spacing w:after="0" w:line="173" w:lineRule="exact"/>
        <w:rPr>
          <w:sz w:val="20"/>
          <w:szCs w:val="20"/>
          <w:color w:val="auto"/>
        </w:rPr>
      </w:pPr>
    </w:p>
    <w:p>
      <w:pPr>
        <w:ind w:left="880" w:right="20" w:firstLine="1620"/>
        <w:spacing w:after="0" w:line="328" w:lineRule="auto"/>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u w:val="single" w:color="auto"/>
          <w:color w:val="auto"/>
        </w:rPr>
        <w:t>Responsibilities (Review and Approve)</w:t>
      </w:r>
      <w:r>
        <w:rPr>
          <w:rFonts w:ascii="Arial" w:cs="Arial" w:eastAsia="Arial" w:hAnsi="Arial"/>
          <w:sz w:val="19"/>
          <w:szCs w:val="19"/>
          <w:color w:val="auto"/>
        </w:rPr>
        <w:t>. The JSC’s responsibilities will include reviewing and approving (in each case, such approval not to be unreasonably withheld, conditioned or delayed) the following:</w:t>
      </w:r>
    </w:p>
    <w:p>
      <w:pPr>
        <w:spacing w:after="0" w:line="105" w:lineRule="exact"/>
        <w:rPr>
          <w:sz w:val="20"/>
          <w:szCs w:val="20"/>
          <w:color w:val="auto"/>
        </w:rPr>
      </w:pPr>
    </w:p>
    <w:p>
      <w:pPr>
        <w:ind w:right="80" w:firstLine="2634"/>
        <w:spacing w:after="0"/>
        <w:rPr>
          <w:sz w:val="20"/>
          <w:szCs w:val="20"/>
          <w:color w:val="auto"/>
        </w:rPr>
      </w:pPr>
      <w:r>
        <w:rPr>
          <w:rFonts w:ascii="Arial" w:cs="Arial" w:eastAsia="Arial" w:hAnsi="Arial"/>
          <w:sz w:val="22"/>
          <w:szCs w:val="22"/>
          <w:color w:val="auto"/>
        </w:rPr>
        <w:t>5.2.2.1 any change in the Development Program that is not required by, or made to respond to comments from, a Regulatory Authority, that would materially decrease the likelihood of obtaining or materially increase the timeline for obtaining a Regulatory Approval in the US or the EU, and that is:</w:t>
      </w:r>
    </w:p>
    <w:p>
      <w:pPr>
        <w:spacing w:after="0" w:line="186" w:lineRule="exact"/>
        <w:rPr>
          <w:sz w:val="20"/>
          <w:szCs w:val="20"/>
          <w:color w:val="auto"/>
        </w:rPr>
      </w:pPr>
    </w:p>
    <w:p>
      <w:pPr>
        <w:ind w:left="6160" w:hanging="886"/>
        <w:spacing w:after="0"/>
        <w:tabs>
          <w:tab w:leader="none" w:pos="61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change to the lead indication of the Trial (i.e., PNH);</w:t>
      </w:r>
    </w:p>
    <w:p>
      <w:pPr>
        <w:spacing w:after="0" w:line="206" w:lineRule="exact"/>
        <w:rPr>
          <w:rFonts w:ascii="Arial" w:cs="Arial" w:eastAsia="Arial" w:hAnsi="Arial"/>
          <w:sz w:val="22"/>
          <w:szCs w:val="22"/>
          <w:color w:val="auto"/>
        </w:rPr>
      </w:pPr>
    </w:p>
    <w:p>
      <w:pPr>
        <w:ind w:left="6180" w:hanging="906"/>
        <w:spacing w:after="0"/>
        <w:tabs>
          <w:tab w:leader="none" w:pos="61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change to any primary or secondary endpoint or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ordering of secondary endpoints of the Trial as set forth on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6160" w:hanging="886"/>
        <w:spacing w:after="0"/>
        <w:tabs>
          <w:tab w:leader="none" w:pos="61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material change to the statistical analysis plan or reduction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statistical powering of the Trial as set forth in the applicable Protocols;</w:t>
      </w:r>
    </w:p>
    <w:p>
      <w:pPr>
        <w:spacing w:after="0" w:line="188" w:lineRule="exact"/>
        <w:rPr>
          <w:rFonts w:ascii="Arial" w:cs="Arial" w:eastAsia="Arial" w:hAnsi="Arial"/>
          <w:sz w:val="19"/>
          <w:szCs w:val="19"/>
          <w:color w:val="auto"/>
        </w:rPr>
      </w:pPr>
    </w:p>
    <w:p>
      <w:pPr>
        <w:ind w:left="6180" w:hanging="906"/>
        <w:spacing w:after="0"/>
        <w:tabs>
          <w:tab w:leader="none" w:pos="61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substitution or addition of any arms in the Trial;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88" w:name="page89"/>
    <w:bookmarkEnd w:id="88"/>
    <w:p>
      <w:pPr>
        <w:ind w:left="6160" w:hanging="886"/>
        <w:spacing w:after="0"/>
        <w:tabs>
          <w:tab w:leader="none" w:pos="616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material change to the inclusion criteria or exclusion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criteria with respect to the Trial as set forth in the applicable Protocol; or</w:t>
      </w:r>
    </w:p>
    <w:p>
      <w:pPr>
        <w:spacing w:after="0" w:line="188" w:lineRule="exact"/>
        <w:rPr>
          <w:rFonts w:ascii="Arial" w:cs="Arial" w:eastAsia="Arial" w:hAnsi="Arial"/>
          <w:sz w:val="21"/>
          <w:szCs w:val="21"/>
          <w:color w:val="auto"/>
        </w:rPr>
      </w:pPr>
    </w:p>
    <w:p>
      <w:pPr>
        <w:ind w:left="6140" w:hanging="866"/>
        <w:spacing w:after="0"/>
        <w:tabs>
          <w:tab w:leader="none" w:pos="61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change from the Manufacturer or any material changes</w:t>
      </w:r>
    </w:p>
    <w:p>
      <w:pPr>
        <w:spacing w:after="0" w:line="42" w:lineRule="exact"/>
        <w:rPr>
          <w:rFonts w:ascii="Arial" w:cs="Arial" w:eastAsia="Arial" w:hAnsi="Arial"/>
          <w:sz w:val="19"/>
          <w:szCs w:val="19"/>
          <w:color w:val="auto"/>
        </w:rPr>
      </w:pPr>
    </w:p>
    <w:p>
      <w:pPr>
        <w:ind w:right="60"/>
        <w:spacing w:after="0" w:line="237" w:lineRule="auto"/>
        <w:rPr>
          <w:rFonts w:ascii="Arial" w:cs="Arial" w:eastAsia="Arial" w:hAnsi="Arial"/>
          <w:sz w:val="19"/>
          <w:szCs w:val="19"/>
          <w:color w:val="auto"/>
        </w:rPr>
      </w:pPr>
      <w:r>
        <w:rPr>
          <w:rFonts w:ascii="Arial" w:cs="Arial" w:eastAsia="Arial" w:hAnsi="Arial"/>
          <w:sz w:val="22"/>
          <w:szCs w:val="22"/>
          <w:color w:val="auto"/>
        </w:rPr>
        <w:t>to the manufacturing process for either (i) the drug substance utilized in the Product or (ii) the final Product that, in either case, will be used in the Trial; or</w:t>
      </w:r>
    </w:p>
    <w:p>
      <w:pPr>
        <w:spacing w:after="0" w:line="185" w:lineRule="exact"/>
        <w:rPr>
          <w:sz w:val="20"/>
          <w:szCs w:val="20"/>
          <w:color w:val="auto"/>
        </w:rPr>
      </w:pPr>
    </w:p>
    <w:p>
      <w:pPr>
        <w:ind w:right="200" w:firstLine="2634"/>
        <w:spacing w:after="0" w:line="251" w:lineRule="auto"/>
        <w:rPr>
          <w:sz w:val="20"/>
          <w:szCs w:val="20"/>
          <w:color w:val="auto"/>
        </w:rPr>
      </w:pPr>
      <w:r>
        <w:rPr>
          <w:rFonts w:ascii="Arial" w:cs="Arial" w:eastAsia="Arial" w:hAnsi="Arial"/>
          <w:sz w:val="22"/>
          <w:szCs w:val="22"/>
          <w:color w:val="auto"/>
        </w:rPr>
        <w:t>5.2.2.2 any other matters the Parties mutually agree will be, or are expressly provided in this Agreement to be, reviewed and approved by the JSC.</w:t>
      </w:r>
    </w:p>
    <w:p>
      <w:pPr>
        <w:spacing w:after="0" w:line="173" w:lineRule="exact"/>
        <w:rPr>
          <w:sz w:val="20"/>
          <w:szCs w:val="20"/>
          <w:color w:val="auto"/>
        </w:rPr>
      </w:pPr>
    </w:p>
    <w:p>
      <w:pPr>
        <w:ind w:left="880" w:firstLine="1620"/>
        <w:spacing w:after="0"/>
        <w:rPr>
          <w:sz w:val="20"/>
          <w:szCs w:val="20"/>
          <w:color w:val="auto"/>
        </w:rPr>
      </w:pPr>
      <w:r>
        <w:rPr>
          <w:rFonts w:ascii="Arial" w:cs="Arial" w:eastAsia="Arial" w:hAnsi="Arial"/>
          <w:sz w:val="22"/>
          <w:szCs w:val="22"/>
          <w:color w:val="auto"/>
        </w:rPr>
        <w:t xml:space="preserve">5.2.3 </w:t>
      </w:r>
      <w:r>
        <w:rPr>
          <w:rFonts w:ascii="Arial" w:cs="Arial" w:eastAsia="Arial" w:hAnsi="Arial"/>
          <w:sz w:val="22"/>
          <w:szCs w:val="22"/>
          <w:u w:val="single" w:color="auto"/>
          <w:color w:val="auto"/>
        </w:rPr>
        <w:t>Limitation on Authority</w:t>
      </w:r>
      <w:r>
        <w:rPr>
          <w:rFonts w:ascii="Arial" w:cs="Arial" w:eastAsia="Arial" w:hAnsi="Arial"/>
          <w:sz w:val="22"/>
          <w:szCs w:val="22"/>
          <w:color w:val="auto"/>
        </w:rPr>
        <w:t>. Notwithstanding anything to the contrary set forth in this Agreement, the JSC will have no authority to (x) amend, modify or waive compliance with this Agreement, or (y) resolve any dispute concerning the validity, interpretation, construction of, or breach of this Agreement.</w:t>
      </w:r>
    </w:p>
    <w:p>
      <w:pPr>
        <w:spacing w:after="0" w:line="186" w:lineRule="exact"/>
        <w:rPr>
          <w:sz w:val="20"/>
          <w:szCs w:val="20"/>
          <w:color w:val="auto"/>
        </w:rPr>
      </w:pPr>
    </w:p>
    <w:p>
      <w:pPr>
        <w:ind w:left="880" w:right="100" w:firstLine="1620"/>
        <w:spacing w:after="0" w:line="275" w:lineRule="auto"/>
        <w:rPr>
          <w:sz w:val="20"/>
          <w:szCs w:val="20"/>
          <w:color w:val="auto"/>
        </w:rPr>
      </w:pPr>
      <w:r>
        <w:rPr>
          <w:rFonts w:ascii="Arial" w:cs="Arial" w:eastAsia="Arial" w:hAnsi="Arial"/>
          <w:sz w:val="19"/>
          <w:szCs w:val="19"/>
          <w:color w:val="auto"/>
        </w:rPr>
        <w:t xml:space="preserve">5.2.4 </w:t>
      </w:r>
      <w:r>
        <w:rPr>
          <w:rFonts w:ascii="Arial" w:cs="Arial" w:eastAsia="Arial" w:hAnsi="Arial"/>
          <w:sz w:val="19"/>
          <w:szCs w:val="19"/>
          <w:u w:val="single" w:color="auto"/>
          <w:color w:val="auto"/>
        </w:rPr>
        <w:t>Decision-Making</w:t>
      </w:r>
      <w:r>
        <w:rPr>
          <w:rFonts w:ascii="Arial" w:cs="Arial" w:eastAsia="Arial" w:hAnsi="Arial"/>
          <w:sz w:val="19"/>
          <w:szCs w:val="19"/>
          <w:color w:val="auto"/>
        </w:rPr>
        <w:t xml:space="preserve">. Apellis shall retain sole decision-making authority over all matters within the scope of the JSC’s oversight other than the matters described in the foregoing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The unanimous approval of the JSC will be required with respect to all matters within its decision-making authority as described in the foregoing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The JSC Representatives of each Party will collectively have one (1) vote (with the result that each Party (rather than the individual JSC Representatives) has one vote). If the JSC cannot reach consensus on an issue for which it has decision-making authority, then Apellis shall have the final decision-making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SFJ disagrees with any such Apellis decision with regard to any of the matters set forth in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SFJ shall have the right to terminate this Agreement as provided in </w:t>
      </w:r>
      <w:r>
        <w:rPr>
          <w:rFonts w:ascii="Arial" w:cs="Arial" w:eastAsia="Arial" w:hAnsi="Arial"/>
          <w:sz w:val="19"/>
          <w:szCs w:val="19"/>
          <w:u w:val="single" w:color="auto"/>
          <w:color w:val="auto"/>
        </w:rPr>
        <w:t>Section 14.2.10</w:t>
      </w:r>
      <w:r>
        <w:rPr>
          <w:rFonts w:ascii="Arial" w:cs="Arial" w:eastAsia="Arial" w:hAnsi="Arial"/>
          <w:sz w:val="19"/>
          <w:szCs w:val="19"/>
          <w:color w:val="auto"/>
        </w:rPr>
        <w:t>.</w:t>
      </w:r>
    </w:p>
    <w:p>
      <w:pPr>
        <w:spacing w:after="0" w:line="15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Reports to be Provided to the JSC</w:t>
      </w:r>
      <w:r>
        <w:rPr>
          <w:rFonts w:ascii="Arial" w:cs="Arial" w:eastAsia="Arial" w:hAnsi="Arial"/>
          <w:sz w:val="19"/>
          <w:szCs w:val="19"/>
          <w:color w:val="auto"/>
        </w:rPr>
        <w:t>.</w:t>
      </w:r>
    </w:p>
    <w:p>
      <w:pPr>
        <w:spacing w:after="0" w:line="206" w:lineRule="exact"/>
        <w:rPr>
          <w:sz w:val="20"/>
          <w:szCs w:val="20"/>
          <w:color w:val="auto"/>
        </w:rPr>
      </w:pPr>
    </w:p>
    <w:p>
      <w:pPr>
        <w:ind w:left="880" w:firstLine="1620"/>
        <w:spacing w:after="0" w:line="297" w:lineRule="auto"/>
        <w:rPr>
          <w:sz w:val="20"/>
          <w:szCs w:val="20"/>
          <w:color w:val="auto"/>
        </w:rPr>
      </w:pPr>
      <w:r>
        <w:rPr>
          <w:rFonts w:ascii="Arial" w:cs="Arial" w:eastAsia="Arial" w:hAnsi="Arial"/>
          <w:sz w:val="19"/>
          <w:szCs w:val="19"/>
          <w:color w:val="auto"/>
        </w:rPr>
        <w:t xml:space="preserve">5.3.1 </w:t>
      </w:r>
      <w:r>
        <w:rPr>
          <w:rFonts w:ascii="Arial" w:cs="Arial" w:eastAsia="Arial" w:hAnsi="Arial"/>
          <w:sz w:val="19"/>
          <w:szCs w:val="19"/>
          <w:u w:val="single" w:color="auto"/>
          <w:color w:val="auto"/>
        </w:rPr>
        <w:t>Progress Reports</w:t>
      </w:r>
      <w:r>
        <w:rPr>
          <w:rFonts w:ascii="Arial" w:cs="Arial" w:eastAsia="Arial" w:hAnsi="Arial"/>
          <w:sz w:val="19"/>
          <w:szCs w:val="19"/>
          <w:color w:val="auto"/>
        </w:rPr>
        <w:t>. Except as may otherwise be agreed by the Parties, at each JSC meeting Apellis will provide an update on the progress of the Trial and progress toward obtaining Regulatory Approvals from FDA and EMA. Apellis shall promptly inform the JSC of the achievement of the Phase 3 Milestone and of Trial Success.</w:t>
      </w:r>
    </w:p>
    <w:p>
      <w:pPr>
        <w:spacing w:after="0" w:line="134" w:lineRule="exact"/>
        <w:rPr>
          <w:sz w:val="20"/>
          <w:szCs w:val="20"/>
          <w:color w:val="auto"/>
        </w:rPr>
      </w:pPr>
    </w:p>
    <w:p>
      <w:pPr>
        <w:jc w:val="both"/>
        <w:ind w:left="880" w:right="80" w:firstLine="1620"/>
        <w:spacing w:after="0" w:line="328" w:lineRule="auto"/>
        <w:rPr>
          <w:sz w:val="20"/>
          <w:szCs w:val="20"/>
          <w:color w:val="auto"/>
        </w:rPr>
      </w:pPr>
      <w:r>
        <w:rPr>
          <w:rFonts w:ascii="Arial" w:cs="Arial" w:eastAsia="Arial" w:hAnsi="Arial"/>
          <w:sz w:val="19"/>
          <w:szCs w:val="19"/>
          <w:color w:val="auto"/>
        </w:rPr>
        <w:t xml:space="preserve">5.3.2 </w:t>
      </w:r>
      <w:r>
        <w:rPr>
          <w:rFonts w:ascii="Arial" w:cs="Arial" w:eastAsia="Arial" w:hAnsi="Arial"/>
          <w:sz w:val="19"/>
          <w:szCs w:val="19"/>
          <w:u w:val="single" w:color="auto"/>
          <w:color w:val="auto"/>
        </w:rPr>
        <w:t>Additional Matters on Which Apellis Shall Report</w:t>
      </w:r>
      <w:r>
        <w:rPr>
          <w:rFonts w:ascii="Arial" w:cs="Arial" w:eastAsia="Arial" w:hAnsi="Arial"/>
          <w:sz w:val="19"/>
          <w:szCs w:val="19"/>
          <w:color w:val="auto"/>
        </w:rPr>
        <w:t xml:space="preserve">. In addition to the matters specified in </w:t>
      </w:r>
      <w:r>
        <w:rPr>
          <w:rFonts w:ascii="Arial" w:cs="Arial" w:eastAsia="Arial" w:hAnsi="Arial"/>
          <w:sz w:val="19"/>
          <w:szCs w:val="19"/>
          <w:u w:val="single" w:color="auto"/>
          <w:color w:val="auto"/>
        </w:rPr>
        <w:t>Section 5.3.1</w:t>
      </w:r>
      <w:r>
        <w:rPr>
          <w:rFonts w:ascii="Arial" w:cs="Arial" w:eastAsia="Arial" w:hAnsi="Arial"/>
          <w:sz w:val="19"/>
          <w:szCs w:val="19"/>
          <w:color w:val="auto"/>
        </w:rPr>
        <w:t xml:space="preserve"> above, Apellis shall report on any material developments with respect to the matters set forth on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PAYMENTS TO SFJ</w:t>
      </w:r>
    </w:p>
    <w:p>
      <w:pPr>
        <w:spacing w:after="0" w:line="212"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Regulatory Approval Following Completion of the Trial</w:t>
      </w:r>
      <w:r>
        <w:rPr>
          <w:rFonts w:ascii="Arial" w:cs="Arial" w:eastAsia="Arial" w:hAnsi="Arial"/>
          <w:sz w:val="22"/>
          <w:szCs w:val="22"/>
          <w:color w:val="auto"/>
        </w:rPr>
        <w:t>. Following Regulatory Approval by: (i) the FDA, Apellis will pay to SFJ an initial payment in the amount set forth below to be made within [**] after the date of the first Regulatory Approval by the FDA based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89" w:name="page90"/>
    <w:bookmarkEnd w:id="89"/>
    <w:p>
      <w:pPr>
        <w:ind w:right="80"/>
        <w:spacing w:after="0" w:line="275" w:lineRule="auto"/>
        <w:rPr>
          <w:sz w:val="20"/>
          <w:szCs w:val="20"/>
          <w:color w:val="auto"/>
        </w:rPr>
      </w:pPr>
      <w:r>
        <w:rPr>
          <w:rFonts w:ascii="Arial" w:cs="Arial" w:eastAsia="Arial" w:hAnsi="Arial"/>
          <w:sz w:val="19"/>
          <w:szCs w:val="19"/>
          <w:color w:val="auto"/>
        </w:rPr>
        <w:t>upon the date of such Regulatory Approval as shown on the table below (the “</w:t>
      </w:r>
      <w:r>
        <w:rPr>
          <w:rFonts w:ascii="Arial" w:cs="Arial" w:eastAsia="Arial" w:hAnsi="Arial"/>
          <w:sz w:val="19"/>
          <w:szCs w:val="19"/>
          <w:u w:val="single" w:color="auto"/>
          <w:color w:val="auto"/>
        </w:rPr>
        <w:t>Initial US Payment</w:t>
      </w:r>
      <w:r>
        <w:rPr>
          <w:rFonts w:ascii="Arial" w:cs="Arial" w:eastAsia="Arial" w:hAnsi="Arial"/>
          <w:sz w:val="19"/>
          <w:szCs w:val="19"/>
          <w:color w:val="auto"/>
        </w:rPr>
        <w:t>”) and annual payments in the amounts set forth below on or before each applicable anniversary of the date of the applicable Regulatory Approval (the “</w:t>
      </w:r>
      <w:r>
        <w:rPr>
          <w:rFonts w:ascii="Arial" w:cs="Arial" w:eastAsia="Arial" w:hAnsi="Arial"/>
          <w:sz w:val="19"/>
          <w:szCs w:val="19"/>
          <w:u w:val="single" w:color="auto"/>
          <w:color w:val="auto"/>
        </w:rPr>
        <w:t>US</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Approval Payments</w:t>
      </w:r>
      <w:r>
        <w:rPr>
          <w:rFonts w:ascii="Arial" w:cs="Arial" w:eastAsia="Arial" w:hAnsi="Arial"/>
          <w:sz w:val="19"/>
          <w:szCs w:val="19"/>
          <w:color w:val="auto"/>
        </w:rPr>
        <w:t>”) (in millions of US Dollars); and/or (ii) the EMA, Apellis will pay to SFJ an initial payment in the amount set forth below to be made within [**] after the date of the first Regulatory Approval by the EMA based upon the date of such Regulatory Approval as shown in the table below (the “</w:t>
      </w:r>
      <w:r>
        <w:rPr>
          <w:rFonts w:ascii="Arial" w:cs="Arial" w:eastAsia="Arial" w:hAnsi="Arial"/>
          <w:sz w:val="19"/>
          <w:szCs w:val="19"/>
          <w:u w:val="single" w:color="auto"/>
          <w:color w:val="auto"/>
        </w:rPr>
        <w:t>Initial EU Payment</w:t>
      </w:r>
      <w:r>
        <w:rPr>
          <w:rFonts w:ascii="Arial" w:cs="Arial" w:eastAsia="Arial" w:hAnsi="Arial"/>
          <w:sz w:val="19"/>
          <w:szCs w:val="19"/>
          <w:color w:val="auto"/>
        </w:rPr>
        <w:t>”) and annual payments in the amounts set forth below on or before each applicable anniversary of the date of the applicable Regulatory Approval (the “</w:t>
      </w:r>
      <w:r>
        <w:rPr>
          <w:rFonts w:ascii="Arial" w:cs="Arial" w:eastAsia="Arial" w:hAnsi="Arial"/>
          <w:sz w:val="19"/>
          <w:szCs w:val="19"/>
          <w:u w:val="single" w:color="auto"/>
          <w:color w:val="auto"/>
        </w:rPr>
        <w:t>EU Approval Payments</w:t>
      </w:r>
      <w:r>
        <w:rPr>
          <w:rFonts w:ascii="Arial" w:cs="Arial" w:eastAsia="Arial" w:hAnsi="Arial"/>
          <w:sz w:val="19"/>
          <w:szCs w:val="19"/>
          <w:color w:val="auto"/>
        </w:rPr>
        <w:t>”) (in millions of US Dollars). The Initial US Payment, Initial EU Payment, US Approval Payments and EU Approval Payments are collectively referred to as the “</w:t>
      </w:r>
      <w:r>
        <w:rPr>
          <w:rFonts w:ascii="Arial" w:cs="Arial" w:eastAsia="Arial" w:hAnsi="Arial"/>
          <w:sz w:val="19"/>
          <w:szCs w:val="19"/>
          <w:u w:val="single" w:color="auto"/>
          <w:color w:val="auto"/>
        </w:rPr>
        <w:t>Approval Payments</w:t>
      </w:r>
      <w:r>
        <w:rPr>
          <w:rFonts w:ascii="Arial" w:cs="Arial" w:eastAsia="Arial" w:hAnsi="Arial"/>
          <w:sz w:val="19"/>
          <w:szCs w:val="19"/>
          <w:color w:val="auto"/>
        </w:rPr>
        <w:t xml:space="preserve">,” and shall be subject to adjustment as provided in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Approval</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Approval</w:t>
            </w:r>
          </w:p>
        </w:tc>
        <w:tc>
          <w:tcPr>
            <w:tcW w:w="96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Initial</w:t>
            </w:r>
          </w:p>
        </w:tc>
        <w:tc>
          <w:tcPr>
            <w:tcW w:w="122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12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Second</w:t>
            </w:r>
          </w:p>
        </w:tc>
        <w:tc>
          <w:tcPr>
            <w:tcW w:w="122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122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126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Fifth</w:t>
            </w:r>
          </w:p>
        </w:tc>
        <w:tc>
          <w:tcPr>
            <w:tcW w:w="124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Sixth</w:t>
            </w:r>
          </w:p>
        </w:tc>
        <w:tc>
          <w:tcPr>
            <w:tcW w:w="100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Region</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Payment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Anniversary</w:t>
            </w:r>
          </w:p>
        </w:tc>
        <w:tc>
          <w:tcPr>
            <w:tcW w:w="12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Anniversary</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Anniversary</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Anniversary</w:t>
            </w:r>
          </w:p>
        </w:tc>
        <w:tc>
          <w:tcPr>
            <w:tcW w:w="12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Anniversary</w:t>
            </w:r>
          </w:p>
        </w:tc>
        <w:tc>
          <w:tcPr>
            <w:tcW w:w="12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Anniversary</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Payments</w:t>
            </w: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90"/>
              </w:rPr>
              <w:t>On or before</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A2A2A"/>
                <w:w w:val="91"/>
              </w:rPr>
              <w:t>Apr. 30, 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96"/>
              </w:rPr>
              <w:t>May-2021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89"/>
              </w:rPr>
              <w:t>Jun-2021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91"/>
              </w:rPr>
              <w:t>Jul-2021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91"/>
              </w:rPr>
              <w:t>Aug-2021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88"/>
              </w:rPr>
              <w:t>Sep-2021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92"/>
              </w:rPr>
              <w:t>Oct-2021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w w:val="92"/>
              </w:rPr>
              <w:t>Nov-2021</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93"/>
              </w:rPr>
              <w:t>On or after</w:t>
            </w:r>
          </w:p>
        </w:tc>
        <w:tc>
          <w:tcPr>
            <w:tcW w:w="10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A2A2A"/>
                <w:w w:val="87"/>
              </w:rPr>
              <w:t>US</w:t>
            </w:r>
          </w:p>
        </w:tc>
        <w:tc>
          <w:tcPr>
            <w:tcW w:w="960" w:type="dxa"/>
            <w:vAlign w:val="bottom"/>
            <w:tcBorders>
              <w:right w:val="single" w:sz="8" w:color="auto"/>
            </w:tcBorders>
          </w:tcPr>
          <w:p>
            <w:pPr>
              <w:jc w:val="right"/>
              <w:ind w:right="550"/>
              <w:spacing w:after="0" w:line="191" w:lineRule="exact"/>
              <w:rPr>
                <w:sz w:val="20"/>
                <w:szCs w:val="20"/>
                <w:color w:val="auto"/>
              </w:rPr>
            </w:pPr>
            <w:r>
              <w:rPr>
                <w:rFonts w:ascii="Arial" w:cs="Arial" w:eastAsia="Arial" w:hAnsi="Arial"/>
                <w:sz w:val="18"/>
                <w:szCs w:val="18"/>
                <w:color w:val="auto"/>
                <w:w w:val="85"/>
              </w:rPr>
              <w:t>2.50</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50"/>
              <w:spacing w:after="0" w:line="191" w:lineRule="exact"/>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830"/>
              <w:spacing w:after="0" w:line="19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870"/>
              <w:spacing w:after="0" w:line="191"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A2A2A"/>
                <w:w w:val="89"/>
              </w:rPr>
              <w:t>Dec. 1, 2021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2A2A2A"/>
              </w:rPr>
              <w:t>EU</w:t>
            </w:r>
          </w:p>
        </w:tc>
        <w:tc>
          <w:tcPr>
            <w:tcW w:w="96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w w:val="85"/>
              </w:rPr>
              <w:t>2.50</w:t>
            </w:r>
          </w:p>
        </w:tc>
        <w:tc>
          <w:tcPr>
            <w:tcW w:w="12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2A2A2A"/>
                <w:w w:val="83"/>
              </w:rPr>
              <w:t>195.00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Values are in millions of US Dollars</w:t>
      </w:r>
    </w:p>
    <w:p>
      <w:pPr>
        <w:spacing w:after="0" w:line="9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Payment Adjustments</w:t>
      </w:r>
      <w:r>
        <w:rPr>
          <w:rFonts w:ascii="Arial" w:cs="Arial" w:eastAsia="Arial" w:hAnsi="Arial"/>
          <w:sz w:val="19"/>
          <w:szCs w:val="19"/>
          <w:color w:val="auto"/>
        </w:rPr>
        <w:t>. In the event that the actual funding paid to Apellis by SFJ hereunder (including any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additional amounts paid by SFJ pursuant to </w:t>
      </w:r>
      <w:r>
        <w:rPr>
          <w:rFonts w:ascii="Arial" w:cs="Arial" w:eastAsia="Arial" w:hAnsi="Arial"/>
          <w:sz w:val="21"/>
          <w:szCs w:val="21"/>
          <w:u w:val="single" w:color="auto"/>
          <w:color w:val="auto"/>
        </w:rPr>
        <w:t>Section 4.3</w:t>
      </w:r>
      <w:r>
        <w:rPr>
          <w:rFonts w:ascii="Arial" w:cs="Arial" w:eastAsia="Arial" w:hAnsi="Arial"/>
          <w:sz w:val="21"/>
          <w:szCs w:val="21"/>
          <w:color w:val="auto"/>
        </w:rPr>
        <w:t>) is lower or greater than One Hundred Twenty Million U.S. Dollars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($120,000,000.00), the Approval Payments will be multiplied by a fraction, the numerator of which is equal to such actual funding</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paid to Apellis by SFJ hereunder and the denominator of which is equal to One Hundred Twenty Million U.S. Dollars</w:t>
      </w:r>
    </w:p>
    <w:p>
      <w:pPr>
        <w:spacing w:after="0"/>
        <w:rPr>
          <w:sz w:val="20"/>
          <w:szCs w:val="20"/>
          <w:color w:val="auto"/>
        </w:rPr>
      </w:pPr>
      <w:r>
        <w:rPr>
          <w:rFonts w:ascii="Arial" w:cs="Arial" w:eastAsia="Arial" w:hAnsi="Arial"/>
          <w:sz w:val="19"/>
          <w:szCs w:val="19"/>
          <w:color w:val="auto"/>
        </w:rPr>
        <w:t>($120,000,000.00). In the event that SFJ pays to Apellis the Additional SFJ Funding in accordance with Section 4.3, for purposes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foregoing adjustment, [**] U.S. Dollars ($[**]) of such Additional SFJ Funding shall be allocated to the calculation of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 Approval Payments and [**] U.S. Dollars ($[**]) of such Additional SFJ Funding shall be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90" w:name="page91"/>
    <w:bookmarkEnd w:id="90"/>
    <w:p>
      <w:pPr>
        <w:ind w:right="40"/>
        <w:spacing w:after="0" w:line="234" w:lineRule="auto"/>
        <w:rPr>
          <w:sz w:val="20"/>
          <w:szCs w:val="20"/>
          <w:color w:val="auto"/>
        </w:rPr>
      </w:pPr>
      <w:r>
        <w:rPr>
          <w:rFonts w:ascii="Arial" w:cs="Arial" w:eastAsia="Arial" w:hAnsi="Arial"/>
          <w:sz w:val="22"/>
          <w:szCs w:val="22"/>
          <w:color w:val="auto"/>
        </w:rPr>
        <w:t>allocated to the calculation of the EU Approval Payments. If Apellis obtains Regulatory Approval based on data from the PRINCE Trial after a termination of this Agreement pursuant to Section 14.2.3, then, for purposes of Section 14.3.3, the Approval Payment schedule set forth above in Section 6.1 shall be replaced in its entirety with a royalty (the “</w:t>
      </w:r>
      <w:r>
        <w:rPr>
          <w:rFonts w:ascii="Arial" w:cs="Arial" w:eastAsia="Arial" w:hAnsi="Arial"/>
          <w:sz w:val="22"/>
          <w:szCs w:val="22"/>
          <w:u w:val="single" w:color="auto"/>
          <w:color w:val="auto"/>
        </w:rPr>
        <w:t>PRINCE-Only Royalty</w:t>
      </w:r>
      <w:r>
        <w:rPr>
          <w:rFonts w:ascii="Arial" w:cs="Arial" w:eastAsia="Arial" w:hAnsi="Arial"/>
          <w:sz w:val="22"/>
          <w:szCs w:val="22"/>
          <w:color w:val="auto"/>
        </w:rPr>
        <w:t>”) equal to [**], which royalty shall be payable until the earlier of such time as the cumulative royalty amounts paid by Apellis to SFJ reach three hundred ninety million dollars ($390,000,000) or such time as Apellis and its Affiliates, licensees, sublicensees and transferees have permanently discontinued all Commercialization of systemic formulations of the Product. For purposes of the foregoing royalty formula, [**].</w:t>
      </w:r>
    </w:p>
    <w:p>
      <w:pPr>
        <w:spacing w:after="0" w:line="191" w:lineRule="exact"/>
        <w:rPr>
          <w:sz w:val="20"/>
          <w:szCs w:val="20"/>
          <w:color w:val="auto"/>
        </w:rPr>
      </w:pPr>
    </w:p>
    <w:p>
      <w:pPr>
        <w:ind w:right="40" w:firstLine="877"/>
        <w:spacing w:after="0" w:line="24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Method and Timing of Payment</w:t>
      </w:r>
      <w:r>
        <w:rPr>
          <w:rFonts w:ascii="Arial" w:cs="Arial" w:eastAsia="Arial" w:hAnsi="Arial"/>
          <w:sz w:val="21"/>
          <w:szCs w:val="21"/>
          <w:color w:val="auto"/>
        </w:rPr>
        <w:t>. The US and/or EU Approval Payments to SFJ will be due and payable as of the applicable annual anniversary of the date of the applicable Regulatory Approval or (if applicable) the PRINCE-Only Royalty will be due and payable [**] after the end of each [**]. Such payments will be made by wire transfer to SFJ’s account that SFJ may reasonably designate by written notice to Apellis. Apellis will provide SFJ with written notice of each wire transfer to SFJ’s account. All amounts payable and calculations under this Agreement shall be in US dollars.</w:t>
      </w:r>
    </w:p>
    <w:p>
      <w:pPr>
        <w:spacing w:after="0" w:line="179" w:lineRule="exact"/>
        <w:rPr>
          <w:sz w:val="20"/>
          <w:szCs w:val="20"/>
          <w:color w:val="auto"/>
        </w:rPr>
      </w:pPr>
    </w:p>
    <w:p>
      <w:pPr>
        <w:ind w:firstLine="877"/>
        <w:spacing w:after="0" w:line="23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Late Payments</w:t>
      </w:r>
      <w:r>
        <w:rPr>
          <w:rFonts w:ascii="Arial" w:cs="Arial" w:eastAsia="Arial" w:hAnsi="Arial"/>
          <w:sz w:val="22"/>
          <w:szCs w:val="22"/>
          <w:color w:val="auto"/>
        </w:rPr>
        <w:t>. If either Party fails to pay any amount due under this Agreement on the due date therefore, then, without prejudice to any other remedies that other Party may have, that amount will bear interest from the due date until payment of such amount is made, both before and after any judgment, at a rate equal to: (a) for the first [**] following the due date until payment of such amount is made, the [**] U.S. dollar prime rate effective for the date that payment was due, as reported by Bloomberg plus [**] percent ([**]%), (b) for the next [**] following the due date until payment of such amount is made, the [**] U.S. dollar prime rate effective for the date that payment was due, as reported by Bloomberg plus [**] percent ([**]%) and (c) thereafter, [**] percent ([**]%) per annum; in each case ((a), (b), and (c)) computed on the basis of a year of 360 days for the actual number of days payment is delinquent or if such rate exceeds the maximum amount permitted by Applicable Law, at such maximum rate.</w:t>
      </w:r>
    </w:p>
    <w:p>
      <w:pPr>
        <w:spacing w:after="0" w:line="194" w:lineRule="exact"/>
        <w:rPr>
          <w:sz w:val="20"/>
          <w:szCs w:val="20"/>
          <w:color w:val="auto"/>
        </w:rPr>
      </w:pPr>
    </w:p>
    <w:p>
      <w:pPr>
        <w:ind w:right="20" w:firstLine="877"/>
        <w:spacing w:after="0" w:line="27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Taxes</w:t>
      </w:r>
      <w:r>
        <w:rPr>
          <w:rFonts w:ascii="Arial" w:cs="Arial" w:eastAsia="Arial" w:hAnsi="Arial"/>
          <w:sz w:val="19"/>
          <w:szCs w:val="19"/>
          <w:color w:val="auto"/>
        </w:rPr>
        <w:t>. The Parties hereby acknowledge and agree that (a) no withholding or similar taxes will be imposed or levied on account of any payment made under this Agreement, unless such withholding or similar tax becomes payable due to the assignment of this Agreement or any payment obligation hereunder (to the extent permitted) by SFJ to an Affiliate or Third Party, the re-domiciling of SFJ outside the US or any other circumstance that results in SFJ no longer being a US Person for tax purposes and (b) to the extent that there is a change in Applicable Laws at any time during the Term such that withholding or other additional potential taxes may be imposed or levied on account of the payment of any amounts under this Agreement, then the Parties shall use reasonable and legal efforts to mitigate the amount of such taxes that would need to be withheld and/or paid.</w:t>
      </w:r>
    </w:p>
    <w:p>
      <w:pPr>
        <w:spacing w:after="0" w:line="153" w:lineRule="exact"/>
        <w:rPr>
          <w:sz w:val="20"/>
          <w:szCs w:val="20"/>
          <w:color w:val="auto"/>
        </w:rPr>
      </w:pPr>
    </w:p>
    <w:p>
      <w:pPr>
        <w:ind w:right="60" w:firstLine="877"/>
        <w:spacing w:after="0" w:line="236"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Tax Cooperation</w:t>
      </w:r>
      <w:r>
        <w:rPr>
          <w:rFonts w:ascii="Arial" w:cs="Arial" w:eastAsia="Arial" w:hAnsi="Arial"/>
          <w:sz w:val="22"/>
          <w:szCs w:val="22"/>
          <w:color w:val="auto"/>
        </w:rPr>
        <w:t>. The Parties will cooperate and produce on a timely basis any tax forms or reports, including any IRS Forms W-8BEN or W-9, as applicable, reasonably requested by the other Party in connection with any payment made under this Agreement. Each Party will provide to the other Party any tax forms that may be reasonably necessary in order for such Party not to withhold tax or to withhold tax at a reduced rate under an applicable bilateral income tax treaty. Each Party will provide to the other Party any tax forms at least [**] prior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91" w:name="page92"/>
    <w:bookmarkEnd w:id="91"/>
    <w:p>
      <w:pPr>
        <w:ind w:right="180"/>
        <w:spacing w:after="0" w:line="282" w:lineRule="auto"/>
        <w:rPr>
          <w:sz w:val="20"/>
          <w:szCs w:val="20"/>
          <w:color w:val="auto"/>
        </w:rPr>
      </w:pPr>
      <w:r>
        <w:rPr>
          <w:rFonts w:ascii="Arial" w:cs="Arial" w:eastAsia="Arial" w:hAnsi="Arial"/>
          <w:sz w:val="19"/>
          <w:szCs w:val="19"/>
          <w:color w:val="auto"/>
        </w:rPr>
        <w:t>the due date for any such payments. Each Party will provide the other with reasonable assistance to enable the recovery, as permitted by law, of withholding taxes, VAT, or similar obligations resulting from payments made under this Agreement, such recovery to be for the benefit of the Party bearing such withholding tax or VAT. Each Party will provide reasonable cooperation to the other Party, at the other Party’s expense, in connection with any official or unofficial tax audit or contest relating to tax payments made with respect to amounts paid or payable to such other Party under this Agreement.</w:t>
      </w:r>
    </w:p>
    <w:p>
      <w:pPr>
        <w:spacing w:after="0" w:line="148" w:lineRule="exact"/>
        <w:rPr>
          <w:sz w:val="20"/>
          <w:szCs w:val="20"/>
          <w:color w:val="auto"/>
        </w:rPr>
      </w:pPr>
    </w:p>
    <w:p>
      <w:pPr>
        <w:ind w:firstLine="877"/>
        <w:spacing w:after="0" w:line="272"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Buyout Option</w:t>
      </w:r>
      <w:r>
        <w:rPr>
          <w:rFonts w:ascii="Arial" w:cs="Arial" w:eastAsia="Arial" w:hAnsi="Arial"/>
          <w:sz w:val="19"/>
          <w:szCs w:val="19"/>
          <w:color w:val="auto"/>
        </w:rPr>
        <w:t>. At any time following the receipt of a Regulatory Approval, Apellis shall have the right to make one-time (with respect to each of the US and the EU) cash payments (each, a “</w:t>
      </w:r>
      <w:r>
        <w:rPr>
          <w:rFonts w:ascii="Arial" w:cs="Arial" w:eastAsia="Arial" w:hAnsi="Arial"/>
          <w:sz w:val="19"/>
          <w:szCs w:val="19"/>
          <w:u w:val="single" w:color="auto"/>
          <w:color w:val="auto"/>
        </w:rPr>
        <w:t>Buyout Payment</w:t>
      </w:r>
      <w:r>
        <w:rPr>
          <w:rFonts w:ascii="Arial" w:cs="Arial" w:eastAsia="Arial" w:hAnsi="Arial"/>
          <w:sz w:val="19"/>
          <w:szCs w:val="19"/>
          <w:color w:val="auto"/>
        </w:rPr>
        <w:t xml:space="preserve">”) in lieu of all or a portion (but not, in the case of any such partial buyout, less than the lesser of (a) [**] percent ([**]%) of the Approval Payments (other than the PRINCE-Only Royalty, which, unless otherwise agreed by the Parties, shall not be subject to Apellis’ buyout right) unpaid as of the time of the first such Buyout Payment or (b) the remaining portion of the unpaid Approval Payments that had not previously been bought out) of future, unpaid Approval Payments with respect to the US or EU, as applicable (other than any then past-due Approval Payments, which shall remain immediately due and payable) payable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as a result of such Regulatory Approval (such Approval Payments, the “</w:t>
      </w:r>
      <w:r>
        <w:rPr>
          <w:rFonts w:ascii="Arial" w:cs="Arial" w:eastAsia="Arial" w:hAnsi="Arial"/>
          <w:sz w:val="19"/>
          <w:szCs w:val="19"/>
          <w:u w:val="single" w:color="auto"/>
          <w:color w:val="auto"/>
        </w:rPr>
        <w:t>Payment Stream</w:t>
      </w:r>
      <w:r>
        <w:rPr>
          <w:rFonts w:ascii="Arial" w:cs="Arial" w:eastAsia="Arial" w:hAnsi="Arial"/>
          <w:sz w:val="19"/>
          <w:szCs w:val="19"/>
          <w:color w:val="auto"/>
        </w:rPr>
        <w:t>”) by written notice (the “</w:t>
      </w:r>
      <w:r>
        <w:rPr>
          <w:rFonts w:ascii="Arial" w:cs="Arial" w:eastAsia="Arial" w:hAnsi="Arial"/>
          <w:sz w:val="19"/>
          <w:szCs w:val="19"/>
          <w:u w:val="single" w:color="auto"/>
          <w:color w:val="auto"/>
        </w:rPr>
        <w:t>Buy-Out Notice</w:t>
      </w:r>
      <w:r>
        <w:rPr>
          <w:rFonts w:ascii="Arial" w:cs="Arial" w:eastAsia="Arial" w:hAnsi="Arial"/>
          <w:sz w:val="19"/>
          <w:szCs w:val="19"/>
          <w:color w:val="auto"/>
        </w:rPr>
        <w:t>”) delivered to SFJ no later than [**] prior to the due date for the next installment of the Payment Stream, which written notice shall set forth the amount of the applicable Buyout Payment, the proposed date of closing (which shall occur within [**] after the date of the Buy-Out Notice and be no later than [**] before the due date for the next installment of the Payment Stream), and the calculation of the Buyout Payment in reasonable detail based upon the proposed closing date. The Buyout Payment will be calculated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32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Each Buyout Payment will be payable in one installment in cash at the closing to an account specified by SFJ. The discount rate used to calculate each Buyout Payment shall be as follows: (i) if the Buy-Out Notice is delivered to SFJ within ninety (90) days following the applicable Regulatory Approval, the discount rate shall be six percent (6.0%), or (ii) if the Buy-Out Notice is delivered to SFJ after ninety (90) days following the date of applicable Regulatory Approval, the discount rate shall be five percent (5.0%).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SECURITY INTEREST</w:t>
      </w:r>
    </w:p>
    <w:p>
      <w:pPr>
        <w:spacing w:after="0" w:line="104"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As security for the payment and performance of the Apellis Obligations, Apellis</w:t>
      </w:r>
    </w:p>
    <w:p>
      <w:pPr>
        <w:spacing w:after="0" w:line="238" w:lineRule="auto"/>
        <w:rPr>
          <w:sz w:val="20"/>
          <w:szCs w:val="20"/>
          <w:color w:val="auto"/>
        </w:rPr>
      </w:pPr>
      <w:r>
        <w:rPr>
          <w:rFonts w:ascii="Arial" w:cs="Arial" w:eastAsia="Arial" w:hAnsi="Arial"/>
          <w:sz w:val="22"/>
          <w:szCs w:val="22"/>
          <w:color w:val="auto"/>
        </w:rPr>
        <w:t>hereby grants to SFJ, effective upon Apellis’ receipt of the initial funding payment by SFJ of Sixty Million U.S. Dollars</w:t>
      </w:r>
    </w:p>
    <w:p>
      <w:pPr>
        <w:spacing w:after="0"/>
        <w:rPr>
          <w:sz w:val="20"/>
          <w:szCs w:val="20"/>
          <w:color w:val="auto"/>
        </w:rPr>
      </w:pPr>
      <w:r>
        <w:rPr>
          <w:rFonts w:ascii="Arial" w:cs="Arial" w:eastAsia="Arial" w:hAnsi="Arial"/>
          <w:sz w:val="19"/>
          <w:szCs w:val="19"/>
          <w:color w:val="auto"/>
        </w:rPr>
        <w:t xml:space="preserve">($60,000,000.00) set forth in the table in </w:t>
      </w:r>
      <w:r>
        <w:rPr>
          <w:rFonts w:ascii="Arial" w:cs="Arial" w:eastAsia="Arial" w:hAnsi="Arial"/>
          <w:sz w:val="19"/>
          <w:szCs w:val="19"/>
          <w:u w:val="single" w:color="auto"/>
          <w:color w:val="auto"/>
        </w:rPr>
        <w:t>Section 4.2</w:t>
      </w:r>
      <w:r>
        <w:rPr>
          <w:rFonts w:ascii="Arial" w:cs="Arial" w:eastAsia="Arial" w:hAnsi="Arial"/>
          <w:sz w:val="19"/>
          <w:szCs w:val="19"/>
          <w:color w:val="auto"/>
        </w:rPr>
        <w:t>, a security interest in all of Apellis’ right, title and interest (excluding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leasehold interest) in, to and under all of its personal property, wherever located and whether now existing or owned or hereafter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acquired or arising, including all accounts, books and records, chattel paper, commercial tort claims, deposit accounts, documents,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equipment (including all fixtures), general intangibles (except as otherwise provided below), instruments, inventory, investment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92" w:name="page93"/>
    <w:bookmarkEnd w:id="92"/>
    <w:p>
      <w:pPr>
        <w:spacing w:after="0" w:line="271" w:lineRule="auto"/>
        <w:rPr>
          <w:sz w:val="20"/>
          <w:szCs w:val="20"/>
          <w:color w:val="auto"/>
        </w:rPr>
      </w:pPr>
      <w:r>
        <w:rPr>
          <w:rFonts w:ascii="Arial" w:cs="Arial" w:eastAsia="Arial" w:hAnsi="Arial"/>
          <w:sz w:val="19"/>
          <w:szCs w:val="19"/>
          <w:color w:val="auto"/>
        </w:rPr>
        <w:t>property, letter-of-credit rights, other goods, money and all products, proceeds and supporting obligations of any and all of the foregoing (collectively, the “</w:t>
      </w:r>
      <w:r>
        <w:rPr>
          <w:rFonts w:ascii="Arial" w:cs="Arial" w:eastAsia="Arial" w:hAnsi="Arial"/>
          <w:sz w:val="19"/>
          <w:szCs w:val="19"/>
          <w:u w:val="single" w:color="auto"/>
          <w:color w:val="auto"/>
        </w:rPr>
        <w:t>SFJ Collateral</w:t>
      </w:r>
      <w:r>
        <w:rPr>
          <w:rFonts w:ascii="Arial" w:cs="Arial" w:eastAsia="Arial" w:hAnsi="Arial"/>
          <w:sz w:val="19"/>
          <w:szCs w:val="19"/>
          <w:color w:val="auto"/>
        </w:rPr>
        <w:t xml:space="preserve">”). This Agreement shall create a continuing security interest in the SFJ Collateral which, subject to earlier termination as set forth in </w:t>
      </w:r>
      <w:r>
        <w:rPr>
          <w:rFonts w:ascii="Arial" w:cs="Arial" w:eastAsia="Arial" w:hAnsi="Arial"/>
          <w:sz w:val="19"/>
          <w:szCs w:val="19"/>
          <w:u w:val="single" w:color="auto"/>
          <w:color w:val="auto"/>
        </w:rPr>
        <w:t>Section 14.3.11</w:t>
      </w:r>
      <w:r>
        <w:rPr>
          <w:rFonts w:ascii="Arial" w:cs="Arial" w:eastAsia="Arial" w:hAnsi="Arial"/>
          <w:sz w:val="19"/>
          <w:szCs w:val="19"/>
          <w:color w:val="auto"/>
        </w:rPr>
        <w:t xml:space="preserve">, shall remain in effect until all Apellis Obligations have been paid or satisfied. Anything herein to the contrary notwithstanding, in no event shall the SFJ Collateral include, and Apellis shall not grant and shall not be deemed to have granted a security interest in, any of Apellis’ right, title or interest in (a) any of the outstanding voting capital stock or other ownership interests of a CFC in excess of 65% of the voting power of all classes of capital stock or other ownership interests of such CFC entitled to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immediately upon the amendment of the IRC to allow the pledge of a greater percentage of the voting power of capital stock or other ownership interests in a CFC without adverse tax consequences, the SFJ Collateral shall include, and Apellis shall be deemed to have granted a security interest in, such greater percentage of capital stock or other ownership interests of each CFC; and (ii) if no adverse tax consequences to Apellis shall arise or exist in connection with the pledge of any CFC, the SFJ Collateral shall include, and Apellis shall be deemed to have granted a security interest in, such CFC; or (b) any (i) APL Intellectual Property or (ii) license agreement under which Apellis Controls APL Intellectual Property (including the Penn Licenses);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SFJ Collateral shall include all Accounts and all proceeds of APL Intellectual Property (including proceeds of the Penn License).</w:t>
      </w:r>
    </w:p>
    <w:p>
      <w:pPr>
        <w:spacing w:after="0" w:line="165" w:lineRule="exact"/>
        <w:rPr>
          <w:sz w:val="20"/>
          <w:szCs w:val="20"/>
          <w:color w:val="auto"/>
        </w:rPr>
      </w:pPr>
    </w:p>
    <w:p>
      <w:pPr>
        <w:ind w:right="40" w:firstLine="877"/>
        <w:spacing w:after="0" w:line="235"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Priority of Security Interest</w:t>
      </w:r>
      <w:r>
        <w:rPr>
          <w:rFonts w:ascii="Arial" w:cs="Arial" w:eastAsia="Arial" w:hAnsi="Arial"/>
          <w:sz w:val="22"/>
          <w:szCs w:val="22"/>
          <w:color w:val="auto"/>
        </w:rPr>
        <w:t xml:space="preserve">. Apellis represents, warrants and covenants that, subject to fulfilment of Apellis’ obligations under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and SFJ making any filings necessary to achieve such perfection, the security interest granted to SFJ pursuant to this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SFJ Security Interest</w:t>
      </w:r>
      <w:r>
        <w:rPr>
          <w:rFonts w:ascii="Arial" w:cs="Arial" w:eastAsia="Arial" w:hAnsi="Arial"/>
          <w:sz w:val="22"/>
          <w:szCs w:val="22"/>
          <w:color w:val="auto"/>
        </w:rPr>
        <w:t xml:space="preserve">”) commencing on the Funding Date shall be and shall at all times thereafter continue to be a first priority perfected security interest in the SFJ Collateral (subject only to Permitted Liens that are permitted pursuant to the terms of this Agreement to have superior priority to the SFJ Security Interest and subject to the obligations set forth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88" w:lineRule="exact"/>
        <w:rPr>
          <w:sz w:val="20"/>
          <w:szCs w:val="20"/>
          <w:color w:val="auto"/>
        </w:rPr>
      </w:pPr>
    </w:p>
    <w:p>
      <w:pPr>
        <w:ind w:right="80" w:firstLine="877"/>
        <w:spacing w:after="0" w:line="247"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Authorization to File Financing Statements</w:t>
      </w:r>
      <w:r>
        <w:rPr>
          <w:rFonts w:ascii="Arial" w:cs="Arial" w:eastAsia="Arial" w:hAnsi="Arial"/>
          <w:sz w:val="21"/>
          <w:szCs w:val="21"/>
          <w:color w:val="auto"/>
        </w:rPr>
        <w:t xml:space="preserve">. Apellis hereby authorizes SFJ, on or after the Funding Date, to file financing statements, without notice to Apellis, with all appropriate jurisdictions to perfect or protect the SFJ Security Interest, including a notice that any disposition of any SFJ Collateral by Apellis shall be deemed to violate the rights of SFJ under the UCC. Such financing statements may indicate the SFJ Collateral as substantially the same as the SFJ Collateral described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words of similar effect, or as being of an equal or lesser scope, or with greater detail, all in SFJ’s discretion; provided, however, that any such filing shall reference the exclusions specified in </w:t>
      </w:r>
      <w:r>
        <w:rPr>
          <w:rFonts w:ascii="Arial" w:cs="Arial" w:eastAsia="Arial" w:hAnsi="Arial"/>
          <w:sz w:val="21"/>
          <w:szCs w:val="21"/>
          <w:u w:val="single" w:color="auto"/>
          <w:color w:val="auto"/>
        </w:rPr>
        <w:t>Section 7.1</w:t>
      </w:r>
      <w:r>
        <w:rPr>
          <w:rFonts w:ascii="Arial" w:cs="Arial" w:eastAsia="Arial" w:hAnsi="Arial"/>
          <w:sz w:val="21"/>
          <w:szCs w:val="21"/>
          <w:color w:val="auto"/>
        </w:rPr>
        <w:t>, including the exclusions of APL Intellectual Property and the Penn Licenses, from the SFJ Collateral.</w:t>
      </w:r>
    </w:p>
    <w:p>
      <w:pPr>
        <w:spacing w:after="0" w:line="178" w:lineRule="exact"/>
        <w:rPr>
          <w:sz w:val="20"/>
          <w:szCs w:val="20"/>
          <w:color w:val="auto"/>
        </w:rPr>
      </w:pPr>
    </w:p>
    <w:p>
      <w:pPr>
        <w:ind w:right="80" w:firstLine="877"/>
        <w:spacing w:after="0" w:line="27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Subordination or Payoff of SVB Loan and GDP Note</w:t>
      </w:r>
      <w:r>
        <w:rPr>
          <w:rFonts w:ascii="Arial" w:cs="Arial" w:eastAsia="Arial" w:hAnsi="Arial"/>
          <w:sz w:val="19"/>
          <w:szCs w:val="19"/>
          <w:color w:val="auto"/>
        </w:rPr>
        <w:t>. On or before the Initial Funding Date, Apellis shall (a) provide SFJ with satisfactory evidence that (i) Apellis has repaid the SVB Loan in full, satisfied and extinguished all obligations under the SVB Loan Agreement (other than indemnity obligations that survive the termination of the SVB Loan Agreement), the SVB Loan Agreement has been terminated and all Liens in the SVB Collateral released and all rights therein have been released,</w:t>
      </w:r>
    </w:p>
    <w:p>
      <w:pPr>
        <w:spacing w:after="0" w:line="4" w:lineRule="exact"/>
        <w:rPr>
          <w:sz w:val="20"/>
          <w:szCs w:val="20"/>
          <w:color w:val="auto"/>
        </w:rPr>
      </w:pPr>
    </w:p>
    <w:p>
      <w:pPr>
        <w:ind w:right="220" w:firstLine="8"/>
        <w:spacing w:after="0" w:line="308" w:lineRule="auto"/>
        <w:tabs>
          <w:tab w:leader="none" w:pos="318" w:val="left"/>
        </w:tabs>
        <w:numPr>
          <w:ilvl w:val="0"/>
          <w:numId w:val="39"/>
        </w:numPr>
        <w:rPr>
          <w:rFonts w:ascii="Arial" w:cs="Arial" w:eastAsia="Arial" w:hAnsi="Arial"/>
          <w:sz w:val="19"/>
          <w:szCs w:val="19"/>
          <w:color w:val="auto"/>
        </w:rPr>
      </w:pPr>
      <w:r>
        <w:rPr>
          <w:rFonts w:ascii="Arial" w:cs="Arial" w:eastAsia="Arial" w:hAnsi="Arial"/>
          <w:sz w:val="19"/>
          <w:szCs w:val="19"/>
          <w:color w:val="auto"/>
        </w:rPr>
        <w:t>Apellis has modified the SVB Loan Agreement through an amendment to the definition of Collateral thereunder or otherwise such that the SVB Loan is solely collateralized through a pledge of cash of Apellis equal in amount to the obligations of</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93" w:name="page94"/>
    <w:bookmarkEnd w:id="93"/>
    <w:p>
      <w:pPr>
        <w:ind w:right="120"/>
        <w:spacing w:after="0" w:line="276" w:lineRule="auto"/>
        <w:rPr>
          <w:sz w:val="20"/>
          <w:szCs w:val="20"/>
          <w:color w:val="auto"/>
        </w:rPr>
      </w:pPr>
      <w:r>
        <w:rPr>
          <w:rFonts w:ascii="Arial" w:cs="Arial" w:eastAsia="Arial" w:hAnsi="Arial"/>
          <w:sz w:val="19"/>
          <w:szCs w:val="19"/>
          <w:color w:val="auto"/>
        </w:rPr>
        <w:t>Apellis to SVB under the SVB Loan Agreement (provided that nothing in the amended SVB Loan Agreement will conflict with or adversely affect the ability of Apellis to perform its obligations, or adversely affect the rights of SFJ, under this Agreement) or</w:t>
      </w:r>
    </w:p>
    <w:p>
      <w:pPr>
        <w:spacing w:after="0" w:line="2" w:lineRule="exact"/>
        <w:rPr>
          <w:sz w:val="20"/>
          <w:szCs w:val="20"/>
          <w:color w:val="auto"/>
        </w:rPr>
      </w:pPr>
    </w:p>
    <w:p>
      <w:pPr>
        <w:ind w:right="80" w:firstLine="8"/>
        <w:spacing w:after="0" w:line="244" w:lineRule="auto"/>
        <w:tabs>
          <w:tab w:leader="none" w:pos="378" w:val="left"/>
        </w:tabs>
        <w:numPr>
          <w:ilvl w:val="0"/>
          <w:numId w:val="40"/>
        </w:numPr>
        <w:rPr>
          <w:rFonts w:ascii="Arial" w:cs="Arial" w:eastAsia="Arial" w:hAnsi="Arial"/>
          <w:sz w:val="21"/>
          <w:szCs w:val="21"/>
          <w:color w:val="auto"/>
        </w:rPr>
      </w:pPr>
      <w:r>
        <w:rPr>
          <w:rFonts w:ascii="Arial" w:cs="Arial" w:eastAsia="Arial" w:hAnsi="Arial"/>
          <w:sz w:val="21"/>
          <w:szCs w:val="21"/>
          <w:color w:val="auto"/>
        </w:rPr>
        <w:t>SVB has entered into a subordination agreement reasonably satisfactory to SFJ pursuant to which SVB will subordinate to SFJ all existing and future Liens of SVB in any and all property of Apellis including, without limitation, the SVB Collateral, and (b) provide SFJ with satisfactory evidence that (i) Apellis has repaid the GDP Note in full, satisfied and extinguished any and all other obligations of Apellis under the GDP Note, and the GDP Note has been cancelled or (ii) Golda Darty Partners Société Anonyme (“</w:t>
      </w:r>
      <w:r>
        <w:rPr>
          <w:rFonts w:ascii="Arial" w:cs="Arial" w:eastAsia="Arial" w:hAnsi="Arial"/>
          <w:sz w:val="21"/>
          <w:szCs w:val="21"/>
          <w:u w:val="single" w:color="auto"/>
          <w:color w:val="auto"/>
        </w:rPr>
        <w:t>GDP</w:t>
      </w:r>
      <w:r>
        <w:rPr>
          <w:rFonts w:ascii="Arial" w:cs="Arial" w:eastAsia="Arial" w:hAnsi="Arial"/>
          <w:sz w:val="21"/>
          <w:szCs w:val="21"/>
          <w:color w:val="auto"/>
        </w:rPr>
        <w:t>”) has entered into a subordination agreement reasonably satisfactory to SFJ pursuant to which GDP will subordinate to SFJ all existing and future Liens of GDP in any and all property of Apellis.</w:t>
      </w:r>
    </w:p>
    <w:p>
      <w:pPr>
        <w:spacing w:after="0" w:line="184"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Negative Covenants</w:t>
      </w:r>
      <w:r>
        <w:rPr>
          <w:rFonts w:ascii="Arial" w:cs="Arial" w:eastAsia="Arial" w:hAnsi="Arial"/>
          <w:sz w:val="19"/>
          <w:szCs w:val="19"/>
          <w:color w:val="auto"/>
        </w:rPr>
        <w:t>.</w:t>
      </w:r>
    </w:p>
    <w:p>
      <w:pPr>
        <w:spacing w:after="0" w:line="206" w:lineRule="exact"/>
        <w:rPr>
          <w:sz w:val="20"/>
          <w:szCs w:val="20"/>
          <w:color w:val="auto"/>
        </w:rPr>
      </w:pPr>
    </w:p>
    <w:p>
      <w:pPr>
        <w:jc w:val="both"/>
        <w:ind w:left="880" w:right="40" w:firstLine="1620"/>
        <w:spacing w:after="0"/>
        <w:rPr>
          <w:sz w:val="20"/>
          <w:szCs w:val="20"/>
          <w:color w:val="auto"/>
        </w:rPr>
      </w:pPr>
      <w:r>
        <w:rPr>
          <w:rFonts w:ascii="Arial" w:cs="Arial" w:eastAsia="Arial" w:hAnsi="Arial"/>
          <w:sz w:val="22"/>
          <w:szCs w:val="22"/>
          <w:color w:val="auto"/>
        </w:rPr>
        <w:t xml:space="preserve">7.5.1 </w:t>
      </w:r>
      <w:r>
        <w:rPr>
          <w:rFonts w:ascii="Arial" w:cs="Arial" w:eastAsia="Arial" w:hAnsi="Arial"/>
          <w:sz w:val="22"/>
          <w:szCs w:val="22"/>
          <w:u w:val="single" w:color="auto"/>
          <w:color w:val="auto"/>
        </w:rPr>
        <w:t>Incurrence of Certain Indebtedness</w:t>
      </w:r>
      <w:r>
        <w:rPr>
          <w:rFonts w:ascii="Arial" w:cs="Arial" w:eastAsia="Arial" w:hAnsi="Arial"/>
          <w:sz w:val="22"/>
          <w:szCs w:val="22"/>
          <w:color w:val="auto"/>
        </w:rPr>
        <w:t>. Apellis shall not, without SFJ’s prior written consent, create, incur, assume, or be liable for any Indebtedness, or permit any subsidiary of Apellis to do so, other than Permitted Indebtedness.</w:t>
      </w:r>
    </w:p>
    <w:p>
      <w:pPr>
        <w:spacing w:after="0" w:line="186" w:lineRule="exact"/>
        <w:rPr>
          <w:sz w:val="20"/>
          <w:szCs w:val="20"/>
          <w:color w:val="auto"/>
        </w:rPr>
      </w:pPr>
    </w:p>
    <w:p>
      <w:pPr>
        <w:ind w:left="880" w:firstLine="1620"/>
        <w:spacing w:after="0" w:line="236" w:lineRule="auto"/>
        <w:rPr>
          <w:sz w:val="20"/>
          <w:szCs w:val="20"/>
          <w:color w:val="auto"/>
        </w:rPr>
      </w:pPr>
      <w:r>
        <w:rPr>
          <w:rFonts w:ascii="Arial" w:cs="Arial" w:eastAsia="Arial" w:hAnsi="Arial"/>
          <w:sz w:val="22"/>
          <w:szCs w:val="22"/>
          <w:color w:val="auto"/>
        </w:rPr>
        <w:t xml:space="preserve">7.5.2 </w:t>
      </w:r>
      <w:r>
        <w:rPr>
          <w:rFonts w:ascii="Arial" w:cs="Arial" w:eastAsia="Arial" w:hAnsi="Arial"/>
          <w:sz w:val="22"/>
          <w:szCs w:val="22"/>
          <w:u w:val="single" w:color="auto"/>
          <w:color w:val="auto"/>
        </w:rPr>
        <w:t>Subordinated Debt</w:t>
      </w:r>
      <w:r>
        <w:rPr>
          <w:rFonts w:ascii="Arial" w:cs="Arial" w:eastAsia="Arial" w:hAnsi="Arial"/>
          <w:sz w:val="22"/>
          <w:szCs w:val="22"/>
          <w:color w:val="auto"/>
        </w:rPr>
        <w:t>. Apellis shall not (a) make or permit any payment on any Subordinated Debt, except under the terms of the subordination, intercreditor, or other similar agreement to which such Subordinated Debt is subject, or (b) amend any provision in any document relating to Subordinated Debt which would provide for earlier or greater principal, interest, or other payments thereon, or adversely affect the subordination thereof to Apellis Obligations owed to SFJ.</w:t>
      </w:r>
    </w:p>
    <w:p>
      <w:pPr>
        <w:spacing w:after="0" w:line="188"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7.5.3</w:t>
      </w:r>
      <w:r>
        <w:rPr>
          <w:sz w:val="20"/>
          <w:szCs w:val="20"/>
          <w:color w:val="auto"/>
        </w:rPr>
        <w:tab/>
      </w:r>
      <w:r>
        <w:rPr>
          <w:rFonts w:ascii="Arial" w:cs="Arial" w:eastAsia="Arial" w:hAnsi="Arial"/>
          <w:sz w:val="19"/>
          <w:szCs w:val="19"/>
          <w:u w:val="single" w:color="auto"/>
          <w:color w:val="auto"/>
        </w:rPr>
        <w:t>Encumbrances</w:t>
      </w:r>
      <w:r>
        <w:rPr>
          <w:rFonts w:ascii="Arial" w:cs="Arial" w:eastAsia="Arial" w:hAnsi="Arial"/>
          <w:sz w:val="19"/>
          <w:szCs w:val="19"/>
          <w:color w:val="auto"/>
        </w:rPr>
        <w:t>. Apellis shall not, without SFJ’s prior written consent:</w:t>
      </w:r>
    </w:p>
    <w:p>
      <w:pPr>
        <w:spacing w:after="0" w:line="206" w:lineRule="exact"/>
        <w:rPr>
          <w:sz w:val="20"/>
          <w:szCs w:val="20"/>
          <w:color w:val="auto"/>
        </w:rPr>
      </w:pPr>
    </w:p>
    <w:p>
      <w:pPr>
        <w:ind w:right="60" w:firstLine="2634"/>
        <w:spacing w:after="0" w:line="251" w:lineRule="auto"/>
        <w:rPr>
          <w:sz w:val="20"/>
          <w:szCs w:val="20"/>
          <w:color w:val="auto"/>
        </w:rPr>
      </w:pPr>
      <w:r>
        <w:rPr>
          <w:rFonts w:ascii="Arial" w:cs="Arial" w:eastAsia="Arial" w:hAnsi="Arial"/>
          <w:sz w:val="22"/>
          <w:szCs w:val="22"/>
          <w:color w:val="auto"/>
        </w:rPr>
        <w:t xml:space="preserve">7.5.3.1 permit any SFJ Collateral not to be subject to the first priority security interest granted pursuant this </w:t>
      </w:r>
      <w:r>
        <w:rPr>
          <w:rFonts w:ascii="Arial" w:cs="Arial" w:eastAsia="Arial" w:hAnsi="Arial"/>
          <w:sz w:val="22"/>
          <w:szCs w:val="22"/>
          <w:u w:val="single" w:color="auto"/>
          <w:color w:val="auto"/>
        </w:rPr>
        <w:t>Article 7</w:t>
      </w:r>
      <w:r>
        <w:rPr>
          <w:rFonts w:ascii="Arial" w:cs="Arial" w:eastAsia="Arial" w:hAnsi="Arial"/>
          <w:sz w:val="22"/>
          <w:szCs w:val="22"/>
          <w:color w:val="auto"/>
        </w:rPr>
        <w:t>, subject to Permitted Liens; or</w:t>
      </w:r>
    </w:p>
    <w:p>
      <w:pPr>
        <w:spacing w:after="0" w:line="173" w:lineRule="exact"/>
        <w:rPr>
          <w:sz w:val="20"/>
          <w:szCs w:val="20"/>
          <w:color w:val="auto"/>
        </w:rPr>
      </w:pPr>
    </w:p>
    <w:p>
      <w:pPr>
        <w:ind w:right="120" w:firstLine="2634"/>
        <w:spacing w:after="0" w:line="238" w:lineRule="auto"/>
        <w:rPr>
          <w:sz w:val="20"/>
          <w:szCs w:val="20"/>
          <w:color w:val="auto"/>
        </w:rPr>
      </w:pPr>
      <w:r>
        <w:rPr>
          <w:rFonts w:ascii="Arial" w:cs="Arial" w:eastAsia="Arial" w:hAnsi="Arial"/>
          <w:sz w:val="22"/>
          <w:szCs w:val="22"/>
          <w:color w:val="auto"/>
        </w:rPr>
        <w:t>7.5.3.2 create, incur, allow, or suffer any Lien on any of the APL Intellectual Property, or assign or convey any right to receive income with respect to the APL Intellectual Property (other than royalty and other license fee obligations to licensors thereof in accordance with the applicable license agreement), including the sale of any APL Intellectual Property, or permit any of its subsidiaries to do so.</w:t>
      </w:r>
    </w:p>
    <w:p>
      <w:pPr>
        <w:spacing w:after="0" w:line="185" w:lineRule="exact"/>
        <w:rPr>
          <w:sz w:val="20"/>
          <w:szCs w:val="20"/>
          <w:color w:val="auto"/>
        </w:rPr>
      </w:pPr>
    </w:p>
    <w:p>
      <w:pPr>
        <w:ind w:right="200" w:firstLine="2634"/>
        <w:spacing w:after="0" w:line="287" w:lineRule="auto"/>
        <w:rPr>
          <w:sz w:val="20"/>
          <w:szCs w:val="20"/>
          <w:color w:val="auto"/>
        </w:rPr>
      </w:pPr>
      <w:r>
        <w:rPr>
          <w:rFonts w:ascii="Arial" w:cs="Arial" w:eastAsia="Arial" w:hAnsi="Arial"/>
          <w:sz w:val="19"/>
          <w:szCs w:val="19"/>
          <w:color w:val="auto"/>
        </w:rPr>
        <w:t>7.5.3.3 except as and to the extent permitted by Section 7.5.6, enter into any agreement, document, instrument or other arrangement (except with or in favor of SFJ) with any Person which directly or indirectly prohibits or has the effect of prohibiting Apellis or any subsidiary of Apellis from assigning, mortgaging, pledging, granting a security interest in or upon or encumbering (i) any proceeds from APL Intellectual Property or (ii) any proceeds of the Penn License.</w:t>
      </w:r>
    </w:p>
    <w:p>
      <w:pPr>
        <w:spacing w:after="0" w:line="143" w:lineRule="exact"/>
        <w:rPr>
          <w:sz w:val="20"/>
          <w:szCs w:val="20"/>
          <w:color w:val="auto"/>
        </w:rPr>
      </w:pPr>
    </w:p>
    <w:p>
      <w:pPr>
        <w:ind w:left="880" w:right="160" w:firstLine="1620"/>
        <w:spacing w:after="0"/>
        <w:rPr>
          <w:sz w:val="20"/>
          <w:szCs w:val="20"/>
          <w:color w:val="auto"/>
        </w:rPr>
      </w:pPr>
      <w:r>
        <w:rPr>
          <w:rFonts w:ascii="Arial" w:cs="Arial" w:eastAsia="Arial" w:hAnsi="Arial"/>
          <w:sz w:val="22"/>
          <w:szCs w:val="22"/>
          <w:color w:val="auto"/>
        </w:rPr>
        <w:t xml:space="preserve">7.5.4 </w:t>
      </w:r>
      <w:r>
        <w:rPr>
          <w:rFonts w:ascii="Arial" w:cs="Arial" w:eastAsia="Arial" w:hAnsi="Arial"/>
          <w:sz w:val="22"/>
          <w:szCs w:val="22"/>
          <w:u w:val="single" w:color="auto"/>
          <w:color w:val="auto"/>
        </w:rPr>
        <w:t>Distributions; Investments</w:t>
      </w:r>
      <w:r>
        <w:rPr>
          <w:rFonts w:ascii="Arial" w:cs="Arial" w:eastAsia="Arial" w:hAnsi="Arial"/>
          <w:sz w:val="22"/>
          <w:szCs w:val="22"/>
          <w:color w:val="auto"/>
        </w:rPr>
        <w:t xml:space="preserve">. Apellis shall not, without SFJ’s prior written consent, (a) pay any dividends or make any distribution or payment on account of or redeem, retire or purchase any capital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Apellis may convert 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94" w:name="page95"/>
    <w:bookmarkEnd w:id="94"/>
    <w:p>
      <w:pPr>
        <w:ind w:right="20"/>
        <w:spacing w:after="0" w:line="277" w:lineRule="auto"/>
        <w:rPr>
          <w:sz w:val="20"/>
          <w:szCs w:val="20"/>
          <w:color w:val="auto"/>
        </w:rPr>
      </w:pPr>
      <w:r>
        <w:rPr>
          <w:rFonts w:ascii="Arial" w:cs="Arial" w:eastAsia="Arial" w:hAnsi="Arial"/>
          <w:sz w:val="19"/>
          <w:szCs w:val="19"/>
          <w:color w:val="auto"/>
        </w:rPr>
        <w:t xml:space="preserve">of its equity convertible securities into other equity securities (or cash for partial shares) pursuant to the terms of such equity convertible securities or otherwise in exchange thereof, (ii) Apellis may pay dividends solely in common stock, and (iii) Apellis may repurchase the stock of former employees or consultants pursuant to stock repurchase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such repurchases does not exceed [**] Dollars ($[**]) per fiscal year; or (b) directly or indirectly make any Prohibited Investment (including, without limitation, by the formation of or through any subsidiary), or permit any of its subsidiaries to do so. For the avoidance of doubt, nothing in this Section 7.5.4 shall limit the ability of Apellis to pay or settle on conversion (in cash or equity) any convertible indebtedness.</w:t>
      </w:r>
    </w:p>
    <w:p>
      <w:pPr>
        <w:spacing w:after="0" w:line="153" w:lineRule="exact"/>
        <w:rPr>
          <w:sz w:val="20"/>
          <w:szCs w:val="20"/>
          <w:color w:val="auto"/>
        </w:rPr>
      </w:pPr>
    </w:p>
    <w:p>
      <w:pPr>
        <w:ind w:firstLine="1620"/>
        <w:spacing w:after="0" w:line="270" w:lineRule="auto"/>
        <w:rPr>
          <w:sz w:val="20"/>
          <w:szCs w:val="20"/>
          <w:color w:val="auto"/>
        </w:rPr>
      </w:pPr>
      <w:r>
        <w:rPr>
          <w:rFonts w:ascii="Arial" w:cs="Arial" w:eastAsia="Arial" w:hAnsi="Arial"/>
          <w:sz w:val="19"/>
          <w:szCs w:val="19"/>
          <w:color w:val="auto"/>
        </w:rPr>
        <w:t xml:space="preserve">7.5.5 </w:t>
      </w:r>
      <w:r>
        <w:rPr>
          <w:rFonts w:ascii="Arial" w:cs="Arial" w:eastAsia="Arial" w:hAnsi="Arial"/>
          <w:sz w:val="19"/>
          <w:szCs w:val="19"/>
          <w:u w:val="single" w:color="auto"/>
          <w:color w:val="auto"/>
        </w:rPr>
        <w:t>Licensing Transactions</w:t>
      </w:r>
      <w:r>
        <w:rPr>
          <w:rFonts w:ascii="Arial" w:cs="Arial" w:eastAsia="Arial" w:hAnsi="Arial"/>
          <w:sz w:val="19"/>
          <w:szCs w:val="19"/>
          <w:color w:val="auto"/>
        </w:rPr>
        <w:t xml:space="preserve">. Apellis shall not, without SFJ’s prior written consent, enter into a Licensing Transaction unless such Licensing Transaction is an Excluded Licensing Transaction, in which case such prohibition shall not apply and no such consent of SFJ shall be required; </w:t>
      </w:r>
      <w:r>
        <w:rPr>
          <w:rFonts w:ascii="Arial" w:cs="Arial" w:eastAsia="Arial" w:hAnsi="Arial"/>
          <w:sz w:val="19"/>
          <w:szCs w:val="19"/>
          <w:u w:val="single" w:color="auto"/>
          <w:color w:val="auto"/>
        </w:rPr>
        <w:t>provided that</w:t>
      </w:r>
      <w:r>
        <w:rPr>
          <w:rFonts w:ascii="Arial" w:cs="Arial" w:eastAsia="Arial" w:hAnsi="Arial"/>
          <w:sz w:val="19"/>
          <w:szCs w:val="19"/>
          <w:color w:val="auto"/>
        </w:rPr>
        <w:t>, SFJ shall only be entitled to withhold such consent as to a Licensing Transaction other than an Excluded Licensing Transaction in the event SFJ reasonably determines, and provides Apellis with written notice of its objection within [**] of Apellis providing to SFJ a non-binding term sheet or comparable document summarizing the material terms of the proposed Licensing Transaction, that Apellis entering into such Licensing Transaction would have a substantial likelihood of materially adversely impacting Apellis’ ability to timely pay or satisfy all of the Apellis Obligations (“</w:t>
      </w:r>
      <w:r>
        <w:rPr>
          <w:rFonts w:ascii="Arial" w:cs="Arial" w:eastAsia="Arial" w:hAnsi="Arial"/>
          <w:sz w:val="19"/>
          <w:szCs w:val="19"/>
          <w:u w:val="single" w:color="auto"/>
          <w:color w:val="auto"/>
        </w:rPr>
        <w:t>Material Impact</w:t>
      </w:r>
      <w:r>
        <w:rPr>
          <w:rFonts w:ascii="Arial" w:cs="Arial" w:eastAsia="Arial" w:hAnsi="Arial"/>
          <w:sz w:val="19"/>
          <w:szCs w:val="19"/>
          <w:color w:val="auto"/>
        </w:rPr>
        <w:t>”). If Apellis disagrees with SFJ’s determination, the matter shall be submitted to arbitration before a single arbitrator under the American Arbitration Association’s (AAA’s) expedited arbitration rules, which arbitrator shall be mutually agreeable to both Parties and have significant expertise on the subject matter to be decided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Parties have not mutually agreed on such arbitrator within [**] after the applicable demand for arbitration, the AAA shall designate such arbitrator), such arbitration to be concluded and the arbitrator’s award to be rendered within [**] of the applicable demand for arbitration. The sole issue to be decided in the arbitration shall be whether the entry into such Licensing Transaction by Apellis would have a substantial likelihood of having a Material Impact. In the event the arbitrator agrees with SFJ, Apellis shall not be entitled to enter into such Licensing Transaction. In the event the arbitrator agrees with Apellis, Apellis shall be entitled to enter into the Licensing Transaction;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SFJ shall then be entitled to suspend its obligation to pay any further Apellis Development Costs until such time (if ever) as SFJ determines there is no longer a Material Impact (at which time, SFJ may only pay such deferred amounts upon the agreement of Apellis) and, following any Regulatory Approval, SFJ shall be entitled to receive all Approval Payments it otherwise would have been entitled to receive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subject to adjustment as provided in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right="160" w:firstLine="1620"/>
        <w:spacing w:after="0" w:line="252" w:lineRule="auto"/>
        <w:rPr>
          <w:sz w:val="20"/>
          <w:szCs w:val="20"/>
          <w:color w:val="auto"/>
        </w:rPr>
      </w:pPr>
      <w:r>
        <w:rPr>
          <w:rFonts w:ascii="Arial" w:cs="Arial" w:eastAsia="Arial" w:hAnsi="Arial"/>
          <w:sz w:val="21"/>
          <w:szCs w:val="21"/>
          <w:color w:val="auto"/>
        </w:rPr>
        <w:t xml:space="preserve">7.5.6 </w:t>
      </w:r>
      <w:r>
        <w:rPr>
          <w:rFonts w:ascii="Arial" w:cs="Arial" w:eastAsia="Arial" w:hAnsi="Arial"/>
          <w:sz w:val="21"/>
          <w:szCs w:val="21"/>
          <w:u w:val="single" w:color="auto"/>
          <w:color w:val="auto"/>
        </w:rPr>
        <w:t>Sales of Royalty Streams.</w:t>
      </w:r>
      <w:r>
        <w:rPr>
          <w:rFonts w:ascii="Arial" w:cs="Arial" w:eastAsia="Arial" w:hAnsi="Arial"/>
          <w:sz w:val="21"/>
          <w:szCs w:val="21"/>
          <w:color w:val="auto"/>
        </w:rPr>
        <w:t xml:space="preserve"> Apellis shall not sell, transfer or assign, directly or indirectly, in whole or in part, any rights to receive payments of royalties or license fees with respect to the Product (including any Accounts with respect to such royalties or license fees); </w:t>
      </w:r>
      <w:r>
        <w:rPr>
          <w:rFonts w:ascii="Arial" w:cs="Arial" w:eastAsia="Arial" w:hAnsi="Arial"/>
          <w:sz w:val="21"/>
          <w:szCs w:val="21"/>
          <w:u w:val="single" w:color="auto"/>
          <w:color w:val="auto"/>
        </w:rPr>
        <w:t>provided that</w:t>
      </w:r>
      <w:r>
        <w:rPr>
          <w:rFonts w:ascii="Arial" w:cs="Arial" w:eastAsia="Arial" w:hAnsi="Arial"/>
          <w:sz w:val="21"/>
          <w:szCs w:val="21"/>
          <w:color w:val="auto"/>
        </w:rPr>
        <w:t>, Apellis shall have the right to sell, transfer or assign rights to receive, or agree to make, payments of royalties of up to [**] percent</w:t>
      </w:r>
    </w:p>
    <w:p>
      <w:pPr>
        <w:spacing w:after="0" w:line="14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95" w:name="page96"/>
    <w:bookmarkEnd w:id="95"/>
    <w:p>
      <w:pPr>
        <w:ind w:left="880" w:right="20"/>
        <w:spacing w:after="0" w:line="236" w:lineRule="auto"/>
        <w:rPr>
          <w:sz w:val="20"/>
          <w:szCs w:val="20"/>
          <w:color w:val="auto"/>
        </w:rPr>
      </w:pPr>
      <w:r>
        <w:rPr>
          <w:rFonts w:ascii="Arial" w:cs="Arial" w:eastAsia="Arial" w:hAnsi="Arial"/>
          <w:sz w:val="22"/>
          <w:szCs w:val="22"/>
          <w:color w:val="auto"/>
        </w:rPr>
        <w:t xml:space="preserve">([**]%) of net product sales (including any Accounts with respect to such sales or royalties), </w:t>
      </w:r>
      <w:r>
        <w:rPr>
          <w:rFonts w:ascii="Arial" w:cs="Arial" w:eastAsia="Arial" w:hAnsi="Arial"/>
          <w:sz w:val="22"/>
          <w:szCs w:val="22"/>
          <w:u w:val="single" w:color="auto"/>
          <w:color w:val="auto"/>
        </w:rPr>
        <w:t>provided further that</w:t>
      </w:r>
      <w:r>
        <w:rPr>
          <w:rFonts w:ascii="Arial" w:cs="Arial" w:eastAsia="Arial" w:hAnsi="Arial"/>
          <w:sz w:val="22"/>
          <w:szCs w:val="22"/>
          <w:color w:val="auto"/>
        </w:rPr>
        <w:t xml:space="preserve"> SFJ shall maintain its senior security interest hereunder with respect to such payments, and </w:t>
      </w:r>
      <w:r>
        <w:rPr>
          <w:rFonts w:ascii="Arial" w:cs="Arial" w:eastAsia="Arial" w:hAnsi="Arial"/>
          <w:sz w:val="22"/>
          <w:szCs w:val="22"/>
          <w:u w:val="single" w:color="auto"/>
          <w:color w:val="auto"/>
        </w:rPr>
        <w:t>provided still further that</w:t>
      </w:r>
      <w:r>
        <w:rPr>
          <w:rFonts w:ascii="Arial" w:cs="Arial" w:eastAsia="Arial" w:hAnsi="Arial"/>
          <w:sz w:val="22"/>
          <w:szCs w:val="22"/>
          <w:color w:val="auto"/>
        </w:rPr>
        <w:t>, Apellis shall not sell any such rights to receive, or agree to pay, such royalties without first notifying SFJ of its intention to engage in such transaction and providing SFJ and its constituent limited partners at least [**] to make an offer to Apellis to purchase such rights.</w:t>
      </w:r>
    </w:p>
    <w:p>
      <w:pPr>
        <w:spacing w:after="0" w:line="18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Affirmative Covenants</w:t>
      </w:r>
      <w:r>
        <w:rPr>
          <w:rFonts w:ascii="Arial" w:cs="Arial" w:eastAsia="Arial" w:hAnsi="Arial"/>
          <w:sz w:val="19"/>
          <w:szCs w:val="19"/>
          <w:color w:val="auto"/>
        </w:rPr>
        <w:t>. Apellis shall do all of the following:</w:t>
      </w:r>
    </w:p>
    <w:p>
      <w:pPr>
        <w:spacing w:after="0" w:line="206"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7.6.1</w:t>
      </w:r>
      <w:r>
        <w:rPr>
          <w:sz w:val="20"/>
          <w:szCs w:val="20"/>
          <w:color w:val="auto"/>
        </w:rPr>
        <w:tab/>
      </w:r>
      <w:r>
        <w:rPr>
          <w:rFonts w:ascii="Arial" w:cs="Arial" w:eastAsia="Arial" w:hAnsi="Arial"/>
          <w:sz w:val="19"/>
          <w:szCs w:val="19"/>
          <w:u w:val="single" w:color="auto"/>
          <w:color w:val="auto"/>
        </w:rPr>
        <w:t>Execution of Additional Security Agreements and Other Further Assurances</w:t>
      </w:r>
      <w:r>
        <w:rPr>
          <w:rFonts w:ascii="Arial" w:cs="Arial" w:eastAsia="Arial" w:hAnsi="Arial"/>
          <w:sz w:val="19"/>
          <w:szCs w:val="19"/>
          <w:color w:val="auto"/>
        </w:rPr>
        <w:t>.</w:t>
      </w:r>
    </w:p>
    <w:p>
      <w:pPr>
        <w:spacing w:after="0" w:line="206" w:lineRule="exact"/>
        <w:rPr>
          <w:sz w:val="20"/>
          <w:szCs w:val="20"/>
          <w:color w:val="auto"/>
        </w:rPr>
      </w:pPr>
    </w:p>
    <w:p>
      <w:pPr>
        <w:jc w:val="both"/>
        <w:ind w:right="180" w:firstLine="2634"/>
        <w:spacing w:after="0"/>
        <w:rPr>
          <w:sz w:val="20"/>
          <w:szCs w:val="20"/>
          <w:color w:val="auto"/>
        </w:rPr>
      </w:pPr>
      <w:r>
        <w:rPr>
          <w:rFonts w:ascii="Arial" w:cs="Arial" w:eastAsia="Arial" w:hAnsi="Arial"/>
          <w:sz w:val="22"/>
          <w:szCs w:val="22"/>
          <w:color w:val="auto"/>
        </w:rPr>
        <w:t xml:space="preserve">7.6.1.1 Apellis shall, upon request of SFJ from time to time hereafter, execute such security agreements, stock pledge agreements, deposit account control agreements, and take such further action, as reasonably required to perfect or continue the SFJ Security Interest or to effect the purposes of this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86"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7.6.2</w:t>
      </w:r>
      <w:r>
        <w:rPr>
          <w:sz w:val="20"/>
          <w:szCs w:val="20"/>
          <w:color w:val="auto"/>
        </w:rPr>
        <w:tab/>
      </w:r>
      <w:r>
        <w:rPr>
          <w:rFonts w:ascii="Arial" w:cs="Arial" w:eastAsia="Arial" w:hAnsi="Arial"/>
          <w:sz w:val="19"/>
          <w:szCs w:val="19"/>
          <w:u w:val="single" w:color="auto"/>
          <w:color w:val="auto"/>
        </w:rPr>
        <w:t>Government Compliance</w:t>
      </w:r>
      <w:r>
        <w:rPr>
          <w:rFonts w:ascii="Arial" w:cs="Arial" w:eastAsia="Arial" w:hAnsi="Arial"/>
          <w:sz w:val="19"/>
          <w:szCs w:val="19"/>
          <w:color w:val="auto"/>
        </w:rPr>
        <w:t>.</w:t>
      </w:r>
    </w:p>
    <w:p>
      <w:pPr>
        <w:spacing w:after="0" w:line="206" w:lineRule="exact"/>
        <w:rPr>
          <w:sz w:val="20"/>
          <w:szCs w:val="20"/>
          <w:color w:val="auto"/>
        </w:rPr>
      </w:pPr>
    </w:p>
    <w:p>
      <w:pPr>
        <w:ind w:firstLine="2634"/>
        <w:spacing w:after="0" w:line="275" w:lineRule="auto"/>
        <w:rPr>
          <w:sz w:val="20"/>
          <w:szCs w:val="20"/>
          <w:color w:val="auto"/>
        </w:rPr>
      </w:pPr>
      <w:r>
        <w:rPr>
          <w:rFonts w:ascii="Arial" w:cs="Arial" w:eastAsia="Arial" w:hAnsi="Arial"/>
          <w:sz w:val="19"/>
          <w:szCs w:val="19"/>
          <w:color w:val="auto"/>
        </w:rPr>
        <w:t xml:space="preserve">7.6.2.1 Maintain its and all its subsidiaries’ legal existence and good standing in their respective jurisdictions of formation and maintain qualification in each jurisdiction in which the failure to so qualify would reasonably be expected to have a material adverse effect on Apellis’ business or operations,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subsidiary may liquidate or dissolve so long as such liquidation or dissolution would not reasonably be expected to have a material adverse effect on Apellis’ consolidated business or operations,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such liquidation or dissolution all assets and property of any such subsidiary shall be transferred to Apellis or another subsidiary of Apellis. Apellis shall comply, and have each subsidiary comply, in all material respects, with all laws, ordinances and regulations to which it is subject noncompliance with which would reasonably be expected to have a material adverse effect on Apellis’ business.</w:t>
      </w:r>
    </w:p>
    <w:p>
      <w:pPr>
        <w:spacing w:after="0" w:line="158" w:lineRule="exact"/>
        <w:rPr>
          <w:sz w:val="20"/>
          <w:szCs w:val="20"/>
          <w:color w:val="auto"/>
        </w:rPr>
      </w:pPr>
    </w:p>
    <w:p>
      <w:pPr>
        <w:ind w:right="20" w:firstLine="2634"/>
        <w:spacing w:after="0" w:line="251" w:lineRule="auto"/>
        <w:rPr>
          <w:sz w:val="20"/>
          <w:szCs w:val="20"/>
          <w:color w:val="auto"/>
        </w:rPr>
      </w:pPr>
      <w:r>
        <w:rPr>
          <w:rFonts w:ascii="Arial" w:cs="Arial" w:eastAsia="Arial" w:hAnsi="Arial"/>
          <w:sz w:val="22"/>
          <w:szCs w:val="22"/>
          <w:color w:val="auto"/>
        </w:rPr>
        <w:t>7.6.2.2 Obtain all of the Governmental Approvals, if any, necessary for the grant of a security interest to SFJ in the SFJ Collateral.</w:t>
      </w:r>
    </w:p>
    <w:p>
      <w:pPr>
        <w:spacing w:after="0" w:line="173" w:lineRule="exact"/>
        <w:rPr>
          <w:sz w:val="20"/>
          <w:szCs w:val="20"/>
          <w:color w:val="auto"/>
        </w:rPr>
      </w:pPr>
    </w:p>
    <w:p>
      <w:pPr>
        <w:ind w:left="880" w:right="20" w:firstLine="1620"/>
        <w:spacing w:after="0" w:line="245" w:lineRule="auto"/>
        <w:rPr>
          <w:sz w:val="20"/>
          <w:szCs w:val="20"/>
          <w:color w:val="auto"/>
        </w:rPr>
      </w:pPr>
      <w:r>
        <w:rPr>
          <w:rFonts w:ascii="Arial" w:cs="Arial" w:eastAsia="Arial" w:hAnsi="Arial"/>
          <w:sz w:val="21"/>
          <w:szCs w:val="21"/>
          <w:color w:val="auto"/>
        </w:rPr>
        <w:t xml:space="preserve">7.6.3 </w:t>
      </w:r>
      <w:r>
        <w:rPr>
          <w:rFonts w:ascii="Arial" w:cs="Arial" w:eastAsia="Arial" w:hAnsi="Arial"/>
          <w:sz w:val="21"/>
          <w:szCs w:val="21"/>
          <w:u w:val="single" w:color="auto"/>
          <w:color w:val="auto"/>
        </w:rPr>
        <w:t>Regulatory Compliance</w:t>
      </w:r>
      <w:r>
        <w:rPr>
          <w:rFonts w:ascii="Arial" w:cs="Arial" w:eastAsia="Arial" w:hAnsi="Arial"/>
          <w:sz w:val="21"/>
          <w:szCs w:val="21"/>
          <w:color w:val="auto"/>
        </w:rPr>
        <w:t>. Apellis shall not become an “investment company” or a company “controlled” by an “investment company” under the Investment Company Act of 1940, as amended. Apellis shall not become engaged as one of its important activities in extending credit for margin stock (under Regulations X, T and U of the Federal Reserve Board of Governors). Neither Apellis’ nor any of its Subsidiaries’ properties or assets shall be used by Apellis or any Subsidiary in disposing, producing, storing, treating, or transporting any hazardous substance other than legally. Apellis and each of its subsidiaries shall obtain all consents, approvals and authorizations of, make all declarations or filings with, and give all notices to, all Governmental Authorities that are necessary to continue their respective businesses as currently conducted, unless such failure could not reasonably be expected to have a material adverse effect on Apellis’ business.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8" w:right="319" w:bottom="1440" w:gutter="0" w:footer="0" w:header="0"/>
        </w:sectPr>
      </w:pPr>
    </w:p>
    <w:bookmarkStart w:id="96" w:name="page97"/>
    <w:bookmarkEnd w:id="96"/>
    <w:p>
      <w:pPr>
        <w:ind w:right="140" w:firstLine="1620"/>
        <w:spacing w:after="0"/>
        <w:rPr>
          <w:sz w:val="20"/>
          <w:szCs w:val="20"/>
          <w:color w:val="auto"/>
        </w:rPr>
      </w:pPr>
      <w:r>
        <w:rPr>
          <w:rFonts w:ascii="Arial" w:cs="Arial" w:eastAsia="Arial" w:hAnsi="Arial"/>
          <w:sz w:val="22"/>
          <w:szCs w:val="22"/>
          <w:color w:val="auto"/>
        </w:rPr>
        <w:t xml:space="preserve">7.6.4 </w:t>
      </w:r>
      <w:r>
        <w:rPr>
          <w:rFonts w:ascii="Arial" w:cs="Arial" w:eastAsia="Arial" w:hAnsi="Arial"/>
          <w:sz w:val="22"/>
          <w:szCs w:val="22"/>
          <w:u w:val="single" w:color="auto"/>
          <w:color w:val="auto"/>
        </w:rPr>
        <w:t>Protection of Intellectual Property Rights</w:t>
      </w:r>
      <w:r>
        <w:rPr>
          <w:rFonts w:ascii="Arial" w:cs="Arial" w:eastAsia="Arial" w:hAnsi="Arial"/>
          <w:sz w:val="22"/>
          <w:szCs w:val="22"/>
          <w:color w:val="auto"/>
        </w:rPr>
        <w:t>. Apellis shall use Commercially Reasonable Efforts in the exercise of its business judgment to prosecute, protect, defend and maintain the validity and enforceability of the APL Intellectual Property.</w:t>
      </w:r>
    </w:p>
    <w:p>
      <w:pPr>
        <w:spacing w:after="0" w:line="186" w:lineRule="exact"/>
        <w:rPr>
          <w:sz w:val="20"/>
          <w:szCs w:val="20"/>
          <w:color w:val="auto"/>
        </w:rPr>
      </w:pPr>
    </w:p>
    <w:p>
      <w:pPr>
        <w:ind w:right="300" w:firstLine="1620"/>
        <w:spacing w:after="0" w:line="279" w:lineRule="auto"/>
        <w:rPr>
          <w:sz w:val="20"/>
          <w:szCs w:val="20"/>
          <w:color w:val="auto"/>
        </w:rPr>
      </w:pPr>
      <w:r>
        <w:rPr>
          <w:rFonts w:ascii="Arial" w:cs="Arial" w:eastAsia="Arial" w:hAnsi="Arial"/>
          <w:sz w:val="19"/>
          <w:szCs w:val="19"/>
          <w:color w:val="auto"/>
        </w:rPr>
        <w:t xml:space="preserve">7.6.5 </w:t>
      </w:r>
      <w:r>
        <w:rPr>
          <w:rFonts w:ascii="Arial" w:cs="Arial" w:eastAsia="Arial" w:hAnsi="Arial"/>
          <w:sz w:val="19"/>
          <w:szCs w:val="19"/>
          <w:u w:val="single" w:color="auto"/>
          <w:color w:val="auto"/>
        </w:rPr>
        <w:t>Acceleration</w:t>
      </w:r>
      <w:r>
        <w:rPr>
          <w:rFonts w:ascii="Arial" w:cs="Arial" w:eastAsia="Arial" w:hAnsi="Arial"/>
          <w:sz w:val="19"/>
          <w:szCs w:val="19"/>
          <w:color w:val="auto"/>
        </w:rPr>
        <w:t xml:space="preserve">. In the event that, following an applicable Regulatory Approval, Apellis shall fail to make any Approval Payment within [**] after the due date therefor in accordance with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all remaining unpaid Approval Payments that are based on any Regulatory Approval that has then been achieved shall become immediately due and payable;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 in the event of any such acceleration, SFJ’s rights to receive Approval Payments, if any,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reduced by any amounts previously paid to SFJ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and (b) the PRINCE-Only Royalty shall not be subject to such acceleration.</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 As used in this</w:t>
      </w:r>
      <w:r>
        <w:rPr>
          <w:rFonts w:ascii="Arial" w:cs="Arial" w:eastAsia="Arial" w:hAnsi="Arial"/>
          <w:sz w:val="19"/>
          <w:szCs w:val="19"/>
          <w:u w:val="single" w:color="auto"/>
          <w:color w:val="auto"/>
        </w:rPr>
        <w:t xml:space="preserve"> Article 7 </w:t>
      </w:r>
      <w:r>
        <w:rPr>
          <w:rFonts w:ascii="Arial" w:cs="Arial" w:eastAsia="Arial" w:hAnsi="Arial"/>
          <w:sz w:val="19"/>
          <w:szCs w:val="19"/>
          <w:color w:val="auto"/>
        </w:rPr>
        <w:t>and elsewhere in this Agreement:</w:t>
      </w:r>
    </w:p>
    <w:p>
      <w:pPr>
        <w:spacing w:after="0" w:line="206" w:lineRule="exact"/>
        <w:rPr>
          <w:sz w:val="20"/>
          <w:szCs w:val="20"/>
          <w:color w:val="auto"/>
        </w:rPr>
      </w:pPr>
    </w:p>
    <w:p>
      <w:pPr>
        <w:ind w:firstLine="1620"/>
        <w:spacing w:after="0" w:line="275" w:lineRule="auto"/>
        <w:rPr>
          <w:sz w:val="20"/>
          <w:szCs w:val="20"/>
          <w:color w:val="auto"/>
        </w:rPr>
      </w:pPr>
      <w:r>
        <w:rPr>
          <w:rFonts w:ascii="Arial" w:cs="Arial" w:eastAsia="Arial" w:hAnsi="Arial"/>
          <w:sz w:val="19"/>
          <w:szCs w:val="19"/>
          <w:color w:val="auto"/>
        </w:rPr>
        <w:t>7.7.1 “</w:t>
      </w:r>
      <w:r>
        <w:rPr>
          <w:rFonts w:ascii="Arial" w:cs="Arial" w:eastAsia="Arial" w:hAnsi="Arial"/>
          <w:sz w:val="19"/>
          <w:szCs w:val="19"/>
          <w:u w:val="single" w:color="auto"/>
          <w:color w:val="auto"/>
        </w:rPr>
        <w:t>Apellis Obligations</w:t>
      </w:r>
      <w:r>
        <w:rPr>
          <w:rFonts w:ascii="Arial" w:cs="Arial" w:eastAsia="Arial" w:hAnsi="Arial"/>
          <w:sz w:val="19"/>
          <w:szCs w:val="19"/>
          <w:color w:val="auto"/>
        </w:rPr>
        <w:t xml:space="preserve">” means all indebtedness, liabilities and other obligations of Apellis to SFJ under or in connection with this Agreement and any other documents executed in connection herewith, including, without limitation, all amounts payable to SFJ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hereof, all interest accrued thereon, all fees and all other amounts payable by Apellis to SFJ thereunder or in connection therewith, whether now existing or hereafter arising, and whether due or to become due, absolute or contingent, liquidated or unliquidated, determined or undetermined, and including interest that accrues after the commencement by or against Apellis of any bankruptcy or insolvency proceeding naming such individual or entity as the debtor in such proceeding, but excluding post-termination payment obligations as to which SFJ’s security interest is released pursuant to </w:t>
      </w:r>
      <w:r>
        <w:rPr>
          <w:rFonts w:ascii="Arial" w:cs="Arial" w:eastAsia="Arial" w:hAnsi="Arial"/>
          <w:sz w:val="19"/>
          <w:szCs w:val="19"/>
          <w:u w:val="single" w:color="auto"/>
          <w:color w:val="auto"/>
        </w:rPr>
        <w:t>Section 14.3.11</w:t>
      </w:r>
      <w:r>
        <w:rPr>
          <w:rFonts w:ascii="Arial" w:cs="Arial" w:eastAsia="Arial" w:hAnsi="Arial"/>
          <w:sz w:val="19"/>
          <w:szCs w:val="19"/>
          <w:color w:val="auto"/>
        </w:rPr>
        <w:t xml:space="preserve"> and excluding obligations under the Warrant.</w:t>
      </w:r>
    </w:p>
    <w:p>
      <w:pPr>
        <w:spacing w:after="0" w:line="158" w:lineRule="exact"/>
        <w:rPr>
          <w:sz w:val="20"/>
          <w:szCs w:val="20"/>
          <w:color w:val="auto"/>
        </w:rPr>
      </w:pPr>
    </w:p>
    <w:p>
      <w:pPr>
        <w:ind w:right="80" w:firstLine="1620"/>
        <w:spacing w:after="0" w:line="273" w:lineRule="auto"/>
        <w:rPr>
          <w:sz w:val="20"/>
          <w:szCs w:val="20"/>
          <w:color w:val="auto"/>
        </w:rPr>
      </w:pPr>
      <w:r>
        <w:rPr>
          <w:rFonts w:ascii="Arial" w:cs="Arial" w:eastAsia="Arial" w:hAnsi="Arial"/>
          <w:sz w:val="19"/>
          <w:szCs w:val="19"/>
          <w:color w:val="auto"/>
        </w:rPr>
        <w:t>7.7.2 “</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is, for any Person, any direct or indirect liability, contingent or not, of that Person for (a) any indebtedness, lease, dividend, letter of credit or other debt obligation of another Person, in each case, directly or indirectly guaranteed, endorsed or co-made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2"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color w:val="auto"/>
        </w:rPr>
        <w:t>7.7.3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Licensing Transaction</w:t>
      </w:r>
      <w:r>
        <w:rPr>
          <w:rFonts w:ascii="Arial" w:cs="Arial" w:eastAsia="Arial" w:hAnsi="Arial"/>
          <w:sz w:val="19"/>
          <w:szCs w:val="19"/>
          <w:color w:val="auto"/>
        </w:rPr>
        <w:t xml:space="preserve">” has the meaning ascribed to such term in </w:t>
      </w:r>
      <w:r>
        <w:rPr>
          <w:rFonts w:ascii="Arial" w:cs="Arial" w:eastAsia="Arial" w:hAnsi="Arial"/>
          <w:sz w:val="19"/>
          <w:szCs w:val="19"/>
          <w:u w:val="single" w:color="auto"/>
          <w:color w:val="auto"/>
        </w:rPr>
        <w:t>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1.1.47</w:t>
      </w:r>
      <w:r>
        <w:rPr>
          <w:rFonts w:ascii="Arial" w:cs="Arial" w:eastAsia="Arial" w:hAnsi="Arial"/>
          <w:sz w:val="22"/>
          <w:szCs w:val="22"/>
          <w:color w:val="auto"/>
        </w:rPr>
        <w:t>.</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8" w:right="239" w:bottom="1440" w:gutter="0" w:footer="0" w:header="0"/>
        </w:sectPr>
      </w:pPr>
    </w:p>
    <w:bookmarkStart w:id="97" w:name="page98"/>
    <w:bookmarkEnd w:id="97"/>
    <w:p>
      <w:pPr>
        <w:ind w:left="880" w:right="80" w:firstLine="1620"/>
        <w:spacing w:after="0" w:line="236" w:lineRule="auto"/>
        <w:rPr>
          <w:sz w:val="20"/>
          <w:szCs w:val="20"/>
          <w:color w:val="auto"/>
        </w:rPr>
      </w:pPr>
      <w:r>
        <w:rPr>
          <w:rFonts w:ascii="Arial" w:cs="Arial" w:eastAsia="Arial" w:hAnsi="Arial"/>
          <w:sz w:val="22"/>
          <w:szCs w:val="22"/>
          <w:color w:val="auto"/>
        </w:rPr>
        <w:t>7.7.4 “</w:t>
      </w:r>
      <w:r>
        <w:rPr>
          <w:rFonts w:ascii="Arial" w:cs="Arial" w:eastAsia="Arial" w:hAnsi="Arial"/>
          <w:sz w:val="22"/>
          <w:szCs w:val="22"/>
          <w:u w:val="single" w:color="auto"/>
          <w:color w:val="auto"/>
        </w:rPr>
        <w:t>Indebtedness</w:t>
      </w:r>
      <w:r>
        <w:rPr>
          <w:rFonts w:ascii="Arial" w:cs="Arial" w:eastAsia="Arial" w:hAnsi="Arial"/>
          <w:sz w:val="22"/>
          <w:szCs w:val="22"/>
          <w:color w:val="auto"/>
        </w:rPr>
        <w:t>” means (a) indebtedness for borrowed money or the deferred price of property or services (excluding any trade accounts incurred in the ordinary course of business), such as reimbursement and other obligations for surety bonds and letters of credit, (b) obligations evidenced by notes, bonds, debentures or similar instruments, (c) capital lease obligations (as such term is understood under GAAP as in effect on the date of this Agreement) and (d) Contingent Obligations.</w:t>
      </w:r>
    </w:p>
    <w:p>
      <w:pPr>
        <w:spacing w:after="0" w:line="188" w:lineRule="exact"/>
        <w:rPr>
          <w:sz w:val="20"/>
          <w:szCs w:val="20"/>
          <w:color w:val="auto"/>
        </w:rPr>
      </w:pPr>
    </w:p>
    <w:p>
      <w:pPr>
        <w:ind w:left="880" w:right="320" w:firstLine="1620"/>
        <w:spacing w:after="0" w:line="274" w:lineRule="auto"/>
        <w:rPr>
          <w:sz w:val="20"/>
          <w:szCs w:val="20"/>
          <w:color w:val="auto"/>
        </w:rPr>
      </w:pPr>
      <w:r>
        <w:rPr>
          <w:rFonts w:ascii="Arial" w:cs="Arial" w:eastAsia="Arial" w:hAnsi="Arial"/>
          <w:sz w:val="21"/>
          <w:szCs w:val="21"/>
          <w:color w:val="auto"/>
        </w:rPr>
        <w:t>7.7.5 “</w:t>
      </w:r>
      <w:r>
        <w:rPr>
          <w:rFonts w:ascii="Arial" w:cs="Arial" w:eastAsia="Arial" w:hAnsi="Arial"/>
          <w:sz w:val="21"/>
          <w:szCs w:val="21"/>
          <w:u w:val="single" w:color="auto"/>
          <w:color w:val="auto"/>
        </w:rPr>
        <w:t>Investment</w:t>
      </w:r>
      <w:r>
        <w:rPr>
          <w:rFonts w:ascii="Arial" w:cs="Arial" w:eastAsia="Arial" w:hAnsi="Arial"/>
          <w:sz w:val="21"/>
          <w:szCs w:val="21"/>
          <w:color w:val="auto"/>
        </w:rPr>
        <w:t>” means any beneficial ownership interest in any Person (including stock, partnership interest or other securities), and any loan, advance or capital contribution to any Person.</w:t>
      </w:r>
    </w:p>
    <w:p>
      <w:pPr>
        <w:spacing w:after="0" w:line="151" w:lineRule="exact"/>
        <w:rPr>
          <w:sz w:val="20"/>
          <w:szCs w:val="20"/>
          <w:color w:val="auto"/>
        </w:rPr>
      </w:pPr>
    </w:p>
    <w:p>
      <w:pPr>
        <w:ind w:left="880" w:right="60" w:firstLine="1620"/>
        <w:spacing w:after="0" w:line="328" w:lineRule="auto"/>
        <w:rPr>
          <w:sz w:val="20"/>
          <w:szCs w:val="20"/>
          <w:color w:val="auto"/>
        </w:rPr>
      </w:pPr>
      <w:r>
        <w:rPr>
          <w:rFonts w:ascii="Arial" w:cs="Arial" w:eastAsia="Arial" w:hAnsi="Arial"/>
          <w:sz w:val="19"/>
          <w:szCs w:val="19"/>
          <w:color w:val="auto"/>
        </w:rPr>
        <w:t>7.7.6 “</w:t>
      </w:r>
      <w:r>
        <w:rPr>
          <w:rFonts w:ascii="Arial" w:cs="Arial" w:eastAsia="Arial" w:hAnsi="Arial"/>
          <w:sz w:val="19"/>
          <w:szCs w:val="19"/>
          <w:u w:val="single" w:color="auto"/>
          <w:color w:val="auto"/>
        </w:rPr>
        <w:t>Lien</w:t>
      </w:r>
      <w:r>
        <w:rPr>
          <w:rFonts w:ascii="Arial" w:cs="Arial" w:eastAsia="Arial" w:hAnsi="Arial"/>
          <w:sz w:val="19"/>
          <w:szCs w:val="19"/>
          <w:color w:val="auto"/>
        </w:rPr>
        <w:t>” means a mortgage, deed of trust, levy, charge, pledge, security interest or other encumbrance of any kind, whether voluntarily incurred or arising by operation of law or otherwise against any property.</w:t>
      </w:r>
    </w:p>
    <w:p>
      <w:pPr>
        <w:spacing w:after="0" w:line="105"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7.7.7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Permitted Indebtedness</w:t>
      </w:r>
      <w:r>
        <w:rPr>
          <w:rFonts w:ascii="Arial" w:cs="Arial" w:eastAsia="Arial" w:hAnsi="Arial"/>
          <w:sz w:val="19"/>
          <w:szCs w:val="19"/>
          <w:color w:val="auto"/>
        </w:rPr>
        <w:t>” means:</w:t>
      </w:r>
    </w:p>
    <w:p>
      <w:pPr>
        <w:spacing w:after="0" w:line="206"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7.7.7.1</w:t>
      </w:r>
      <w:r>
        <w:rPr>
          <w:sz w:val="20"/>
          <w:szCs w:val="20"/>
          <w:color w:val="auto"/>
        </w:rPr>
        <w:tab/>
      </w:r>
      <w:r>
        <w:rPr>
          <w:rFonts w:ascii="Arial" w:cs="Arial" w:eastAsia="Arial" w:hAnsi="Arial"/>
          <w:sz w:val="19"/>
          <w:szCs w:val="19"/>
          <w:color w:val="auto"/>
        </w:rPr>
        <w:t>Apellis Obligations;</w:t>
      </w:r>
    </w:p>
    <w:p>
      <w:pPr>
        <w:spacing w:after="0" w:line="206"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7.7.7.2</w:t>
      </w:r>
      <w:r>
        <w:rPr>
          <w:sz w:val="20"/>
          <w:szCs w:val="20"/>
          <w:color w:val="auto"/>
        </w:rPr>
        <w:tab/>
      </w:r>
      <w:r>
        <w:rPr>
          <w:rFonts w:ascii="Arial" w:cs="Arial" w:eastAsia="Arial" w:hAnsi="Arial"/>
          <w:sz w:val="19"/>
          <w:szCs w:val="19"/>
          <w:color w:val="auto"/>
        </w:rPr>
        <w:t>Subordinated Debt;</w:t>
      </w:r>
    </w:p>
    <w:p>
      <w:pPr>
        <w:spacing w:after="0" w:line="206"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7.7.7.3</w:t>
      </w:r>
      <w:r>
        <w:rPr>
          <w:sz w:val="20"/>
          <w:szCs w:val="20"/>
          <w:color w:val="auto"/>
        </w:rPr>
        <w:tab/>
      </w:r>
      <w:r>
        <w:rPr>
          <w:rFonts w:ascii="Arial" w:cs="Arial" w:eastAsia="Arial" w:hAnsi="Arial"/>
          <w:sz w:val="18"/>
          <w:szCs w:val="18"/>
          <w:color w:val="auto"/>
        </w:rPr>
        <w:t>unsecured Indebtedness;</w:t>
      </w:r>
    </w:p>
    <w:p>
      <w:pPr>
        <w:spacing w:after="0" w:line="206"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7.7.7.4</w:t>
      </w:r>
      <w:r>
        <w:rPr>
          <w:sz w:val="20"/>
          <w:szCs w:val="20"/>
          <w:color w:val="auto"/>
        </w:rPr>
        <w:tab/>
      </w:r>
      <w:r>
        <w:rPr>
          <w:rFonts w:ascii="Arial" w:cs="Arial" w:eastAsia="Arial" w:hAnsi="Arial"/>
          <w:sz w:val="19"/>
          <w:szCs w:val="19"/>
          <w:color w:val="auto"/>
        </w:rPr>
        <w:t>Indebtedness incurred as a result of endorsing negotiable instruments received in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ordinary course of business;</w:t>
      </w:r>
    </w:p>
    <w:p>
      <w:pPr>
        <w:spacing w:after="0" w:line="188"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7.7.7.5</w:t>
      </w:r>
      <w:r>
        <w:rPr>
          <w:sz w:val="20"/>
          <w:szCs w:val="20"/>
          <w:color w:val="auto"/>
        </w:rPr>
        <w:tab/>
      </w:r>
      <w:r>
        <w:rPr>
          <w:rFonts w:ascii="Arial" w:cs="Arial" w:eastAsia="Arial" w:hAnsi="Arial"/>
          <w:sz w:val="19"/>
          <w:szCs w:val="19"/>
          <w:color w:val="auto"/>
        </w:rPr>
        <w:t xml:space="preserve">Indebtedness secured by Liens permitted under </w:t>
      </w:r>
      <w:r>
        <w:rPr>
          <w:rFonts w:ascii="Arial" w:cs="Arial" w:eastAsia="Arial" w:hAnsi="Arial"/>
          <w:sz w:val="19"/>
          <w:szCs w:val="19"/>
          <w:u w:val="single" w:color="auto"/>
          <w:color w:val="auto"/>
        </w:rPr>
        <w:t>subsections 7.7.8.1</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7.7.8.3</w:t>
      </w:r>
      <w:r>
        <w:rPr>
          <w:rFonts w:ascii="Arial" w:cs="Arial" w:eastAsia="Arial" w:hAnsi="Arial"/>
          <w:sz w:val="22"/>
          <w:szCs w:val="22"/>
          <w:color w:val="auto"/>
        </w:rPr>
        <w:t xml:space="preserve"> of the definition of “Permitted Liens” hereunder; and</w:t>
      </w:r>
    </w:p>
    <w:p>
      <w:pPr>
        <w:spacing w:after="0" w:line="188" w:lineRule="exact"/>
        <w:rPr>
          <w:sz w:val="20"/>
          <w:szCs w:val="20"/>
          <w:color w:val="auto"/>
        </w:rPr>
      </w:pPr>
    </w:p>
    <w:p>
      <w:pPr>
        <w:ind w:right="640" w:firstLine="2634"/>
        <w:spacing w:after="0"/>
        <w:rPr>
          <w:sz w:val="20"/>
          <w:szCs w:val="20"/>
          <w:color w:val="auto"/>
        </w:rPr>
      </w:pPr>
      <w:r>
        <w:rPr>
          <w:rFonts w:ascii="Arial" w:cs="Arial" w:eastAsia="Arial" w:hAnsi="Arial"/>
          <w:sz w:val="22"/>
          <w:szCs w:val="22"/>
          <w:color w:val="auto"/>
        </w:rPr>
        <w:t>7.7.7.6 Letters of credit issued for the payment of purchase obligations for equipment, materials and inventory and for the payment of equipment and real estate lease obligations (including security deposits in connection therewith).</w:t>
      </w:r>
    </w:p>
    <w:p>
      <w:pPr>
        <w:spacing w:after="0" w:line="186"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7.7.8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w:t>
      </w:r>
    </w:p>
    <w:p>
      <w:pPr>
        <w:spacing w:after="0" w:line="206" w:lineRule="exact"/>
        <w:rPr>
          <w:sz w:val="20"/>
          <w:szCs w:val="20"/>
          <w:color w:val="auto"/>
        </w:rPr>
      </w:pPr>
    </w:p>
    <w:p>
      <w:pPr>
        <w:ind w:right="160" w:firstLine="2634"/>
        <w:spacing w:after="0" w:line="328" w:lineRule="auto"/>
        <w:rPr>
          <w:sz w:val="20"/>
          <w:szCs w:val="20"/>
          <w:color w:val="auto"/>
        </w:rPr>
      </w:pPr>
      <w:r>
        <w:rPr>
          <w:rFonts w:ascii="Arial" w:cs="Arial" w:eastAsia="Arial" w:hAnsi="Arial"/>
          <w:sz w:val="19"/>
          <w:szCs w:val="19"/>
          <w:color w:val="auto"/>
        </w:rPr>
        <w:t xml:space="preserve">7.7.8.1 Liens in favor Silicon Valley Bank pursuant to the SVB Loan Agreement (subject to the requirement that such Liens are to be terminated or subordinated as provided in </w:t>
      </w:r>
      <w:r>
        <w:rPr>
          <w:rFonts w:ascii="Arial" w:cs="Arial" w:eastAsia="Arial" w:hAnsi="Arial"/>
          <w:sz w:val="19"/>
          <w:szCs w:val="19"/>
          <w:u w:val="single" w:color="auto"/>
          <w:color w:val="auto"/>
        </w:rPr>
        <w:t>Section 7.4</w:t>
      </w:r>
      <w:r>
        <w:rPr>
          <w:rFonts w:ascii="Arial" w:cs="Arial" w:eastAsia="Arial" w:hAnsi="Arial"/>
          <w:sz w:val="19"/>
          <w:szCs w:val="19"/>
          <w:color w:val="auto"/>
        </w:rPr>
        <w:t>) and Liens in favor of SFJ;</w:t>
      </w:r>
    </w:p>
    <w:p>
      <w:pPr>
        <w:spacing w:after="0" w:line="105" w:lineRule="exact"/>
        <w:rPr>
          <w:sz w:val="20"/>
          <w:szCs w:val="20"/>
          <w:color w:val="auto"/>
        </w:rPr>
      </w:pPr>
    </w:p>
    <w:p>
      <w:pPr>
        <w:ind w:right="40" w:firstLine="2634"/>
        <w:spacing w:after="0"/>
        <w:rPr>
          <w:sz w:val="20"/>
          <w:szCs w:val="20"/>
          <w:color w:val="auto"/>
        </w:rPr>
      </w:pPr>
      <w:r>
        <w:rPr>
          <w:rFonts w:ascii="Arial" w:cs="Arial" w:eastAsia="Arial" w:hAnsi="Arial"/>
          <w:sz w:val="22"/>
          <w:szCs w:val="22"/>
          <w:color w:val="auto"/>
        </w:rPr>
        <w:t xml:space="preserve">7.7.8.2 Liens for taxes, fees, assessments or other government charges or levies, either (i) not due and payable or (ii) being contested in good faith and for which Apellis maintains adequate reserves on its books and records,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notice of any such Lien has been filed or recorded under the IRC;</w:t>
      </w:r>
    </w:p>
    <w:p>
      <w:pPr>
        <w:spacing w:after="0" w:line="186" w:lineRule="exact"/>
        <w:rPr>
          <w:sz w:val="20"/>
          <w:szCs w:val="20"/>
          <w:color w:val="auto"/>
        </w:rPr>
      </w:pPr>
    </w:p>
    <w:p>
      <w:pPr>
        <w:ind w:right="160" w:firstLine="2634"/>
        <w:spacing w:after="0" w:line="276" w:lineRule="auto"/>
        <w:rPr>
          <w:sz w:val="20"/>
          <w:szCs w:val="20"/>
          <w:color w:val="auto"/>
        </w:rPr>
      </w:pPr>
      <w:r>
        <w:rPr>
          <w:rFonts w:ascii="Arial" w:cs="Arial" w:eastAsia="Arial" w:hAnsi="Arial"/>
          <w:sz w:val="19"/>
          <w:szCs w:val="19"/>
          <w:color w:val="auto"/>
        </w:rPr>
        <w:t>7.7.8.3 purchase money Liens or capital leases (i) on equipment acquired or held by Apellis incurred for financing the acquisition of the equipment securing no more than $[**] in the aggregate amount outstanding, or</w:t>
      </w:r>
    </w:p>
    <w:p>
      <w:pPr>
        <w:spacing w:after="0" w:line="2" w:lineRule="exact"/>
        <w:rPr>
          <w:sz w:val="20"/>
          <w:szCs w:val="20"/>
          <w:color w:val="auto"/>
        </w:rPr>
      </w:pPr>
    </w:p>
    <w:p>
      <w:pPr>
        <w:ind w:right="700" w:firstLine="8"/>
        <w:spacing w:after="0" w:line="237" w:lineRule="auto"/>
        <w:tabs>
          <w:tab w:leader="none" w:pos="318"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existing on equipment when acquired, if the Lien is confined to the property and improvements and the proceeds of the equipment;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8" w:right="339" w:bottom="1440" w:gutter="0" w:footer="0" w:header="0"/>
        </w:sectPr>
      </w:pPr>
    </w:p>
    <w:bookmarkStart w:id="98" w:name="page99"/>
    <w:bookmarkEnd w:id="98"/>
    <w:p>
      <w:pPr>
        <w:ind w:firstLine="2634"/>
        <w:spacing w:after="0" w:line="236" w:lineRule="auto"/>
        <w:rPr>
          <w:sz w:val="20"/>
          <w:szCs w:val="20"/>
          <w:color w:val="auto"/>
        </w:rPr>
      </w:pPr>
      <w:r>
        <w:rPr>
          <w:rFonts w:ascii="Arial" w:cs="Arial" w:eastAsia="Arial" w:hAnsi="Arial"/>
          <w:sz w:val="22"/>
          <w:szCs w:val="22"/>
          <w:color w:val="auto"/>
        </w:rPr>
        <w:t>7.7.8.4 leases or subleases of real property granted in the ordinary course of Apellis’ business (or, if referring to another Person, in the ordinary course of such Person’s business), and leases, subleases, non-exclusive licenses or sublicenses of personal property (other than Intellectual Property) granted in the ordinary course of Apellis’ business (or, if referring to another Person, in the ordinary course of such Person’s business), if the leases, subleases, licenses and sublicenses do not prohibit granting SFJ a security interest therein;</w:t>
      </w:r>
    </w:p>
    <w:p>
      <w:pPr>
        <w:spacing w:after="0" w:line="188" w:lineRule="exact"/>
        <w:rPr>
          <w:sz w:val="20"/>
          <w:szCs w:val="20"/>
          <w:color w:val="auto"/>
        </w:rPr>
      </w:pPr>
    </w:p>
    <w:p>
      <w:pPr>
        <w:ind w:left="2640"/>
        <w:spacing w:after="0"/>
        <w:tabs>
          <w:tab w:leader="none" w:pos="3860" w:val="left"/>
        </w:tabs>
        <w:rPr>
          <w:sz w:val="20"/>
          <w:szCs w:val="20"/>
          <w:color w:val="auto"/>
        </w:rPr>
      </w:pPr>
      <w:r>
        <w:rPr>
          <w:rFonts w:ascii="Arial" w:cs="Arial" w:eastAsia="Arial" w:hAnsi="Arial"/>
          <w:sz w:val="22"/>
          <w:szCs w:val="22"/>
          <w:color w:val="auto"/>
        </w:rPr>
        <w:t>7.7.8.5</w:t>
      </w:r>
      <w:r>
        <w:rPr>
          <w:sz w:val="20"/>
          <w:szCs w:val="20"/>
          <w:color w:val="auto"/>
        </w:rPr>
        <w:tab/>
      </w:r>
      <w:r>
        <w:rPr>
          <w:rFonts w:ascii="Arial" w:cs="Arial" w:eastAsia="Arial" w:hAnsi="Arial"/>
          <w:sz w:val="19"/>
          <w:szCs w:val="19"/>
          <w:color w:val="auto"/>
        </w:rPr>
        <w:t>Interests of lessors and licensors under leases and licenses to Apellis of real property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and personal property;</w:t>
      </w:r>
    </w:p>
    <w:p>
      <w:pPr>
        <w:spacing w:after="0" w:line="188" w:lineRule="exact"/>
        <w:rPr>
          <w:sz w:val="20"/>
          <w:szCs w:val="20"/>
          <w:color w:val="auto"/>
        </w:rPr>
      </w:pPr>
    </w:p>
    <w:p>
      <w:pPr>
        <w:ind w:right="120" w:firstLine="2634"/>
        <w:spacing w:after="0" w:line="287" w:lineRule="auto"/>
        <w:rPr>
          <w:sz w:val="20"/>
          <w:szCs w:val="20"/>
          <w:color w:val="auto"/>
        </w:rPr>
      </w:pPr>
      <w:r>
        <w:rPr>
          <w:rFonts w:ascii="Arial" w:cs="Arial" w:eastAsia="Arial" w:hAnsi="Arial"/>
          <w:sz w:val="19"/>
          <w:szCs w:val="19"/>
          <w:color w:val="auto"/>
        </w:rPr>
        <w:t>7.7.8.6 Liens of carriers, warehousemen, suppliers, or other Persons that are possessory in nature arising in the ordinary course of business so long as such Liens attach only to inventory, securing liabilities in the aggregate amount which are not delinquent or remain payable without penalty or which are being contested in good faith and by appropriate proceedings which proceedings have the effect of preventing the forfeiture or sale of the property subject thereto;</w:t>
      </w:r>
    </w:p>
    <w:p>
      <w:pPr>
        <w:spacing w:after="0" w:line="143" w:lineRule="exact"/>
        <w:rPr>
          <w:sz w:val="20"/>
          <w:szCs w:val="20"/>
          <w:color w:val="auto"/>
        </w:rPr>
      </w:pPr>
    </w:p>
    <w:p>
      <w:pPr>
        <w:ind w:right="280" w:firstLine="2634"/>
        <w:spacing w:after="0"/>
        <w:rPr>
          <w:sz w:val="20"/>
          <w:szCs w:val="20"/>
          <w:color w:val="auto"/>
        </w:rPr>
      </w:pPr>
      <w:r>
        <w:rPr>
          <w:rFonts w:ascii="Arial" w:cs="Arial" w:eastAsia="Arial" w:hAnsi="Arial"/>
          <w:sz w:val="22"/>
          <w:szCs w:val="22"/>
          <w:color w:val="auto"/>
        </w:rPr>
        <w:t>7.7.8.7 Liens to secure payment of workers’ compensation, employment insurance, old-age pensions, social security and other like obligations incurred in the ordinary course of business (other than Liens imposed by ERISA);</w:t>
      </w:r>
    </w:p>
    <w:p>
      <w:pPr>
        <w:spacing w:after="0" w:line="186" w:lineRule="exact"/>
        <w:rPr>
          <w:sz w:val="20"/>
          <w:szCs w:val="20"/>
          <w:color w:val="auto"/>
        </w:rPr>
      </w:pPr>
    </w:p>
    <w:p>
      <w:pPr>
        <w:ind w:right="360" w:firstLine="2634"/>
        <w:spacing w:after="0" w:line="251" w:lineRule="auto"/>
        <w:rPr>
          <w:sz w:val="20"/>
          <w:szCs w:val="20"/>
          <w:color w:val="auto"/>
        </w:rPr>
      </w:pPr>
      <w:r>
        <w:rPr>
          <w:rFonts w:ascii="Arial" w:cs="Arial" w:eastAsia="Arial" w:hAnsi="Arial"/>
          <w:sz w:val="22"/>
          <w:szCs w:val="22"/>
          <w:color w:val="auto"/>
        </w:rPr>
        <w:t>7.7.8.8 Liens arising from attachments or judgments, orders, or decrees occurring after the Effective Date in circumstances not constituting or arising from a Fundamental Breach by Apellis;</w:t>
      </w:r>
    </w:p>
    <w:p>
      <w:pPr>
        <w:spacing w:after="0" w:line="173" w:lineRule="exact"/>
        <w:rPr>
          <w:sz w:val="20"/>
          <w:szCs w:val="20"/>
          <w:color w:val="auto"/>
        </w:rPr>
      </w:pPr>
    </w:p>
    <w:p>
      <w:pPr>
        <w:ind w:right="220" w:firstLine="2634"/>
        <w:spacing w:after="0"/>
        <w:rPr>
          <w:sz w:val="20"/>
          <w:szCs w:val="20"/>
          <w:color w:val="auto"/>
        </w:rPr>
      </w:pPr>
      <w:r>
        <w:rPr>
          <w:rFonts w:ascii="Arial" w:cs="Arial" w:eastAsia="Arial" w:hAnsi="Arial"/>
          <w:sz w:val="22"/>
          <w:szCs w:val="22"/>
          <w:color w:val="auto"/>
        </w:rPr>
        <w:t xml:space="preserve">7.7.8.9 Liens in favor of financial institutions arising in connection with Apellis’ deposit and/or securities accounts held at such institutions,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SFJ has a first priority perfected security interest in the amounts held in such deposit and/or securities accounts;</w:t>
      </w:r>
    </w:p>
    <w:p>
      <w:pPr>
        <w:spacing w:after="0" w:line="186" w:lineRule="exact"/>
        <w:rPr>
          <w:sz w:val="20"/>
          <w:szCs w:val="20"/>
          <w:color w:val="auto"/>
        </w:rPr>
      </w:pPr>
    </w:p>
    <w:p>
      <w:pPr>
        <w:jc w:val="both"/>
        <w:ind w:right="160" w:firstLine="2634"/>
        <w:spacing w:after="0" w:line="297" w:lineRule="auto"/>
        <w:rPr>
          <w:sz w:val="20"/>
          <w:szCs w:val="20"/>
          <w:color w:val="auto"/>
        </w:rPr>
      </w:pPr>
      <w:r>
        <w:rPr>
          <w:rFonts w:ascii="Arial" w:cs="Arial" w:eastAsia="Arial" w:hAnsi="Arial"/>
          <w:sz w:val="19"/>
          <w:szCs w:val="19"/>
          <w:color w:val="auto"/>
        </w:rPr>
        <w:t xml:space="preserve">7.7.8.10 Liens incurred in the extension, renewal or refinancing of the indebtedness secured by Liens described in </w:t>
      </w:r>
      <w:r>
        <w:rPr>
          <w:rFonts w:ascii="Arial" w:cs="Arial" w:eastAsia="Arial" w:hAnsi="Arial"/>
          <w:sz w:val="19"/>
          <w:szCs w:val="19"/>
          <w:u w:val="single" w:color="auto"/>
          <w:color w:val="auto"/>
        </w:rPr>
        <w:t>Sections 7.7.8.1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7.7.8.9</w:t>
      </w:r>
      <w:r>
        <w:rPr>
          <w:rFonts w:ascii="Arial" w:cs="Arial" w:eastAsia="Arial" w:hAnsi="Arial"/>
          <w:sz w:val="19"/>
          <w:szCs w:val="19"/>
          <w:color w:val="auto"/>
        </w:rPr>
        <w:t xml:space="preserve"> (excluding the SVB Loan), but any extension, renewal or replacement Lien must be limited to the property encumbered by the existing Lien and the principal amount of the indebtedness may not increase;</w:t>
      </w:r>
    </w:p>
    <w:p>
      <w:pPr>
        <w:spacing w:after="0" w:line="134" w:lineRule="exact"/>
        <w:rPr>
          <w:sz w:val="20"/>
          <w:szCs w:val="20"/>
          <w:color w:val="auto"/>
        </w:rPr>
      </w:pPr>
    </w:p>
    <w:p>
      <w:pPr>
        <w:ind w:left="2640"/>
        <w:spacing w:after="0"/>
        <w:tabs>
          <w:tab w:leader="none" w:pos="3960" w:val="left"/>
        </w:tabs>
        <w:rPr>
          <w:sz w:val="20"/>
          <w:szCs w:val="20"/>
          <w:color w:val="auto"/>
        </w:rPr>
      </w:pPr>
      <w:r>
        <w:rPr>
          <w:rFonts w:ascii="Arial" w:cs="Arial" w:eastAsia="Arial" w:hAnsi="Arial"/>
          <w:sz w:val="22"/>
          <w:szCs w:val="22"/>
          <w:color w:val="auto"/>
        </w:rPr>
        <w:t>7.7.8.11</w:t>
      </w:r>
      <w:r>
        <w:rPr>
          <w:sz w:val="20"/>
          <w:szCs w:val="20"/>
          <w:color w:val="auto"/>
        </w:rPr>
        <w:tab/>
      </w:r>
      <w:r>
        <w:rPr>
          <w:rFonts w:ascii="Arial" w:cs="Arial" w:eastAsia="Arial" w:hAnsi="Arial"/>
          <w:sz w:val="19"/>
          <w:szCs w:val="19"/>
          <w:color w:val="auto"/>
        </w:rPr>
        <w:t>Deposits securing bids or contracts;</w:t>
      </w:r>
    </w:p>
    <w:p>
      <w:pPr>
        <w:spacing w:after="0" w:line="206" w:lineRule="exact"/>
        <w:rPr>
          <w:sz w:val="20"/>
          <w:szCs w:val="20"/>
          <w:color w:val="auto"/>
        </w:rPr>
      </w:pPr>
    </w:p>
    <w:p>
      <w:pPr>
        <w:ind w:right="120" w:firstLine="2634"/>
        <w:spacing w:after="0"/>
        <w:rPr>
          <w:sz w:val="20"/>
          <w:szCs w:val="20"/>
          <w:color w:val="auto"/>
        </w:rPr>
      </w:pPr>
      <w:r>
        <w:rPr>
          <w:rFonts w:ascii="Arial" w:cs="Arial" w:eastAsia="Arial" w:hAnsi="Arial"/>
          <w:sz w:val="22"/>
          <w:szCs w:val="22"/>
          <w:color w:val="auto"/>
        </w:rPr>
        <w:t>7.7.8.12 Liens securing the payment of purchase obligations for equipment, materials and inventory and for the payment of equipment and real estate lease obligations (including security deposits in connection therewith); and</w:t>
      </w:r>
    </w:p>
    <w:p>
      <w:pPr>
        <w:spacing w:after="0" w:line="186" w:lineRule="exact"/>
        <w:rPr>
          <w:sz w:val="20"/>
          <w:szCs w:val="20"/>
          <w:color w:val="auto"/>
        </w:rPr>
      </w:pPr>
    </w:p>
    <w:p>
      <w:pPr>
        <w:ind w:left="2640"/>
        <w:spacing w:after="0"/>
        <w:tabs>
          <w:tab w:leader="none" w:pos="3980" w:val="left"/>
        </w:tabs>
        <w:rPr>
          <w:sz w:val="20"/>
          <w:szCs w:val="20"/>
          <w:color w:val="auto"/>
        </w:rPr>
      </w:pPr>
      <w:r>
        <w:rPr>
          <w:rFonts w:ascii="Arial" w:cs="Arial" w:eastAsia="Arial" w:hAnsi="Arial"/>
          <w:sz w:val="22"/>
          <w:szCs w:val="22"/>
          <w:color w:val="auto"/>
        </w:rPr>
        <w:t>7.7.8.13</w:t>
      </w:r>
      <w:r>
        <w:rPr>
          <w:sz w:val="20"/>
          <w:szCs w:val="20"/>
          <w:color w:val="auto"/>
        </w:rPr>
        <w:tab/>
      </w:r>
      <w:r>
        <w:rPr>
          <w:rFonts w:ascii="Arial" w:cs="Arial" w:eastAsia="Arial" w:hAnsi="Arial"/>
          <w:sz w:val="19"/>
          <w:szCs w:val="19"/>
          <w:color w:val="auto"/>
        </w:rPr>
        <w:t>Other Liens securing liabilities in an aggregate amount not to exceed $[**].</w:t>
      </w:r>
    </w:p>
    <w:p>
      <w:pPr>
        <w:spacing w:after="0" w:line="206" w:lineRule="exact"/>
        <w:rPr>
          <w:sz w:val="20"/>
          <w:szCs w:val="20"/>
          <w:color w:val="auto"/>
        </w:rPr>
      </w:pPr>
    </w:p>
    <w:p>
      <w:pPr>
        <w:ind w:left="2500"/>
        <w:spacing w:after="0"/>
        <w:tabs>
          <w:tab w:leader="none" w:pos="3560" w:val="left"/>
        </w:tabs>
        <w:rPr>
          <w:sz w:val="20"/>
          <w:szCs w:val="20"/>
          <w:color w:val="auto"/>
        </w:rPr>
      </w:pPr>
      <w:r>
        <w:rPr>
          <w:rFonts w:ascii="Arial" w:cs="Arial" w:eastAsia="Arial" w:hAnsi="Arial"/>
          <w:sz w:val="22"/>
          <w:szCs w:val="22"/>
          <w:color w:val="auto"/>
        </w:rPr>
        <w:t>7.7.9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Prohibited Investments</w:t>
      </w:r>
      <w:r>
        <w:rPr>
          <w:rFonts w:ascii="Arial" w:cs="Arial" w:eastAsia="Arial" w:hAnsi="Arial"/>
          <w:sz w:val="19"/>
          <w:szCs w:val="19"/>
          <w:color w:val="auto"/>
        </w:rPr>
        <w:t>” means:</w:t>
      </w:r>
    </w:p>
    <w:p>
      <w:pPr>
        <w:spacing w:after="0" w:line="206" w:lineRule="exact"/>
        <w:rPr>
          <w:sz w:val="20"/>
          <w:szCs w:val="20"/>
          <w:color w:val="auto"/>
        </w:rPr>
      </w:pPr>
    </w:p>
    <w:p>
      <w:pPr>
        <w:ind w:right="640" w:firstLine="2634"/>
        <w:spacing w:after="0" w:line="251" w:lineRule="auto"/>
        <w:rPr>
          <w:sz w:val="20"/>
          <w:szCs w:val="20"/>
          <w:color w:val="auto"/>
        </w:rPr>
      </w:pPr>
      <w:r>
        <w:rPr>
          <w:rFonts w:ascii="Arial" w:cs="Arial" w:eastAsia="Arial" w:hAnsi="Arial"/>
          <w:sz w:val="22"/>
          <w:szCs w:val="22"/>
          <w:color w:val="auto"/>
        </w:rPr>
        <w:t>7.7.9.1 Investments in securities of privately held companies (other than wholly owned subsidiaries of Apellis and, where Applicable Law prevents whole ownership,</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99" w:name="page100"/>
    <w:bookmarkEnd w:id="99"/>
    <w:p>
      <w:pPr>
        <w:ind w:right="600"/>
        <w:spacing w:after="0" w:line="251" w:lineRule="auto"/>
        <w:rPr>
          <w:sz w:val="20"/>
          <w:szCs w:val="20"/>
          <w:color w:val="auto"/>
        </w:rPr>
      </w:pPr>
      <w:r>
        <w:rPr>
          <w:rFonts w:ascii="Arial" w:cs="Arial" w:eastAsia="Arial" w:hAnsi="Arial"/>
          <w:sz w:val="22"/>
          <w:szCs w:val="22"/>
          <w:color w:val="auto"/>
        </w:rPr>
        <w:t>other than subsidiaries that are wholly owned by Apellis except for any nominal Third Party ownership that is required under Applicable Law);</w:t>
      </w:r>
    </w:p>
    <w:p>
      <w:pPr>
        <w:spacing w:after="0" w:line="173" w:lineRule="exact"/>
        <w:rPr>
          <w:sz w:val="20"/>
          <w:szCs w:val="20"/>
          <w:color w:val="auto"/>
        </w:rPr>
      </w:pPr>
    </w:p>
    <w:p>
      <w:pPr>
        <w:ind w:right="740" w:firstLine="2634"/>
        <w:spacing w:after="0" w:line="328" w:lineRule="auto"/>
        <w:rPr>
          <w:sz w:val="20"/>
          <w:szCs w:val="20"/>
          <w:color w:val="auto"/>
        </w:rPr>
      </w:pPr>
      <w:r>
        <w:rPr>
          <w:rFonts w:ascii="Arial" w:cs="Arial" w:eastAsia="Arial" w:hAnsi="Arial"/>
          <w:sz w:val="19"/>
          <w:szCs w:val="19"/>
          <w:color w:val="auto"/>
        </w:rPr>
        <w:t>7.7.9.2 Investments in or purchases of any real property (excluding real property to be occupied or used by Apellis or its subsidiaries), commercial or residential mortgages or mortgage-backed securities; and</w:t>
      </w:r>
    </w:p>
    <w:p>
      <w:pPr>
        <w:spacing w:after="0" w:line="105" w:lineRule="exact"/>
        <w:rPr>
          <w:sz w:val="20"/>
          <w:szCs w:val="20"/>
          <w:color w:val="auto"/>
        </w:rPr>
      </w:pPr>
    </w:p>
    <w:p>
      <w:pPr>
        <w:jc w:val="both"/>
        <w:ind w:right="240" w:firstLine="2634"/>
        <w:spacing w:after="0"/>
        <w:rPr>
          <w:sz w:val="20"/>
          <w:szCs w:val="20"/>
          <w:color w:val="auto"/>
        </w:rPr>
      </w:pPr>
      <w:r>
        <w:rPr>
          <w:rFonts w:ascii="Arial" w:cs="Arial" w:eastAsia="Arial" w:hAnsi="Arial"/>
          <w:sz w:val="22"/>
          <w:szCs w:val="22"/>
          <w:color w:val="auto"/>
        </w:rPr>
        <w:t>7.7.9.3 Investments in auction rate securities, corporate high yield bonds (i.e. less than BBB quality), precious metals, derivatives including margin trades, options, futures, options on futures, short sales, forward contracts, swaps, repurchase agreements and reverse repurchase agreements.</w:t>
      </w:r>
    </w:p>
    <w:p>
      <w:pPr>
        <w:spacing w:after="0" w:line="186" w:lineRule="exact"/>
        <w:rPr>
          <w:sz w:val="20"/>
          <w:szCs w:val="20"/>
          <w:color w:val="auto"/>
        </w:rPr>
      </w:pPr>
    </w:p>
    <w:p>
      <w:pPr>
        <w:ind w:right="20" w:firstLine="2634"/>
        <w:spacing w:after="0" w:line="251" w:lineRule="auto"/>
        <w:rPr>
          <w:sz w:val="20"/>
          <w:szCs w:val="20"/>
          <w:color w:val="auto"/>
        </w:rPr>
      </w:pPr>
      <w:r>
        <w:rPr>
          <w:rFonts w:ascii="Arial" w:cs="Arial" w:eastAsia="Arial" w:hAnsi="Arial"/>
          <w:sz w:val="22"/>
          <w:szCs w:val="22"/>
          <w:color w:val="auto"/>
        </w:rPr>
        <w:t>7.7.9.4 Investments that are inappropriate or unusual for a biopharmaceutical company similar or of similar size to Apellis as determined in the reasonable judgment of Apellis’ Board of Directors.</w:t>
      </w:r>
    </w:p>
    <w:p>
      <w:pPr>
        <w:spacing w:after="0" w:line="173"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7.7.10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SFJ Collateral</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06" w:lineRule="exact"/>
        <w:rPr>
          <w:sz w:val="20"/>
          <w:szCs w:val="20"/>
          <w:color w:val="auto"/>
        </w:rPr>
      </w:pPr>
    </w:p>
    <w:p>
      <w:pPr>
        <w:ind w:left="880" w:right="160" w:firstLine="1620"/>
        <w:spacing w:after="0" w:line="238" w:lineRule="auto"/>
        <w:rPr>
          <w:sz w:val="20"/>
          <w:szCs w:val="20"/>
          <w:color w:val="auto"/>
        </w:rPr>
      </w:pPr>
      <w:r>
        <w:rPr>
          <w:rFonts w:ascii="Arial" w:cs="Arial" w:eastAsia="Arial" w:hAnsi="Arial"/>
          <w:sz w:val="22"/>
          <w:szCs w:val="22"/>
          <w:color w:val="auto"/>
        </w:rPr>
        <w:t>7.7.11 “</w:t>
      </w:r>
      <w:r>
        <w:rPr>
          <w:rFonts w:ascii="Arial" w:cs="Arial" w:eastAsia="Arial" w:hAnsi="Arial"/>
          <w:sz w:val="22"/>
          <w:szCs w:val="22"/>
          <w:u w:val="single" w:color="auto"/>
          <w:color w:val="auto"/>
        </w:rPr>
        <w:t>Subordinated Debt</w:t>
      </w:r>
      <w:r>
        <w:rPr>
          <w:rFonts w:ascii="Arial" w:cs="Arial" w:eastAsia="Arial" w:hAnsi="Arial"/>
          <w:sz w:val="22"/>
          <w:szCs w:val="22"/>
          <w:color w:val="auto"/>
        </w:rPr>
        <w:t>” means indebtedness incurred by Apellis that is subordinated to all Apellis Obligations and other indebtedness to SFJ (pursuant to a subordination, intercreditor, or other similar agreement in form and substance reasonably satisfactory to SFJ entered into between SFJ and the other creditor), on terms reasonably acceptable to SFJ.</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ISSUANCE</w:t>
      </w:r>
    </w:p>
    <w:p>
      <w:pPr>
        <w:spacing w:after="0" w:line="104"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Warrant Issuance</w:t>
      </w:r>
      <w:r>
        <w:rPr>
          <w:rFonts w:ascii="Arial" w:cs="Arial" w:eastAsia="Arial" w:hAnsi="Arial"/>
          <w:sz w:val="19"/>
          <w:szCs w:val="19"/>
          <w:color w:val="auto"/>
        </w:rPr>
        <w:t xml:space="preserve">. In the event that SFJ pays to Apellis the Additional SFJ Funding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Apellis shall issue to SFJ a warrant (“</w:t>
      </w:r>
      <w:r>
        <w:rPr>
          <w:rFonts w:ascii="Arial" w:cs="Arial" w:eastAsia="Arial" w:hAnsi="Arial"/>
          <w:sz w:val="19"/>
          <w:szCs w:val="19"/>
          <w:u w:val="single" w:color="auto"/>
          <w:color w:val="auto"/>
        </w:rPr>
        <w:t>Warrant</w:t>
      </w:r>
      <w:r>
        <w:rPr>
          <w:rFonts w:ascii="Arial" w:cs="Arial" w:eastAsia="Arial" w:hAnsi="Arial"/>
          <w:sz w:val="19"/>
          <w:szCs w:val="19"/>
          <w:color w:val="auto"/>
        </w:rPr>
        <w:t>”) exercisable for Apellis common stock (“</w:t>
      </w:r>
      <w:r>
        <w:rPr>
          <w:rFonts w:ascii="Arial" w:cs="Arial" w:eastAsia="Arial" w:hAnsi="Arial"/>
          <w:sz w:val="19"/>
          <w:szCs w:val="19"/>
          <w:u w:val="single" w:color="auto"/>
          <w:color w:val="auto"/>
        </w:rPr>
        <w:t>Stock</w:t>
      </w:r>
      <w:r>
        <w:rPr>
          <w:rFonts w:ascii="Arial" w:cs="Arial" w:eastAsia="Arial" w:hAnsi="Arial"/>
          <w:sz w:val="19"/>
          <w:szCs w:val="19"/>
          <w:color w:val="auto"/>
        </w:rPr>
        <w:t>”) at an exercise price per share equal to the average closing price of the Stock over the 20 consecutive trading days ending on the last trading day immediately preceding the date that Apellis notifies SFJ that it is requesting such Additional SFJ Funding and exercisable in the event of Regulatory Approval from FDA for the number of shares of Stock equal to five percent (5%) of the amount of such Additional SFJ Funding paid to Apellis by SFJ divided by the exercise price and exercisable in the event of Regulatory Approval from EMA for the number of shares of Stock equal to five percent (5%) of the amount of such Additional SFJ Funding paid to Apellis by SFJ divided by the exercise price (i.e., if the Warrant is issued as set forth above and Regulatory Approvals from both FDA and EMA are obtained, in aggregate the Warrant would be exercisable for the number of shares of Stock equal to ten percent (10%) of the amount of such Additional SFJ Funding paid to Apellis by SFJ divided by the exercise price).</w:t>
      </w:r>
    </w:p>
    <w:p>
      <w:pPr>
        <w:spacing w:after="0" w:line="162" w:lineRule="exact"/>
        <w:rPr>
          <w:sz w:val="20"/>
          <w:szCs w:val="20"/>
          <w:color w:val="auto"/>
        </w:rPr>
      </w:pPr>
    </w:p>
    <w:p>
      <w:pPr>
        <w:ind w:right="500" w:firstLine="877"/>
        <w:spacing w:after="0" w:line="251"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Form of Warrant</w:t>
      </w:r>
      <w:r>
        <w:rPr>
          <w:rFonts w:ascii="Arial" w:cs="Arial" w:eastAsia="Arial" w:hAnsi="Arial"/>
          <w:sz w:val="22"/>
          <w:szCs w:val="22"/>
          <w:color w:val="auto"/>
        </w:rPr>
        <w:t xml:space="preserve">. The Warrant shall in the form attached hereto as </w:t>
      </w:r>
      <w:r>
        <w:rPr>
          <w:rFonts w:ascii="Arial" w:cs="Arial" w:eastAsia="Arial" w:hAnsi="Arial"/>
          <w:sz w:val="22"/>
          <w:szCs w:val="22"/>
          <w:u w:val="single" w:color="auto"/>
          <w:color w:val="auto"/>
        </w:rPr>
        <w:t>Exhibit I</w:t>
      </w:r>
      <w:r>
        <w:rPr>
          <w:rFonts w:ascii="Arial" w:cs="Arial" w:eastAsia="Arial" w:hAnsi="Arial"/>
          <w:sz w:val="22"/>
          <w:szCs w:val="22"/>
          <w:color w:val="auto"/>
        </w:rPr>
        <w:t>, shall have a term of ten (10) years, and shall contain “net-exercise” issuance provisions.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RECORDS</w:t>
      </w:r>
    </w:p>
    <w:p>
      <w:pPr>
        <w:spacing w:after="0" w:line="212" w:lineRule="exact"/>
        <w:rPr>
          <w:sz w:val="20"/>
          <w:szCs w:val="20"/>
          <w:color w:val="auto"/>
        </w:rPr>
      </w:pPr>
    </w:p>
    <w:p>
      <w:pPr>
        <w:ind w:right="460" w:firstLine="877"/>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Accounting</w:t>
      </w:r>
      <w:r>
        <w:rPr>
          <w:rFonts w:ascii="Arial" w:cs="Arial" w:eastAsia="Arial" w:hAnsi="Arial"/>
          <w:sz w:val="22"/>
          <w:szCs w:val="22"/>
          <w:color w:val="auto"/>
        </w:rPr>
        <w:t>. Each Party will maintain materially complete and accurate accounting records related to this Agreement in accordance with GAAP. Each Party will retain such records for [**] after the earlier of expiration or early termination of this Agreement.</w:t>
      </w:r>
    </w:p>
    <w:p>
      <w:pPr>
        <w:spacing w:after="0" w:line="186" w:lineRule="exact"/>
        <w:rPr>
          <w:sz w:val="20"/>
          <w:szCs w:val="20"/>
          <w:color w:val="auto"/>
        </w:rPr>
      </w:pPr>
    </w:p>
    <w:p>
      <w:pPr>
        <w:ind w:right="320" w:firstLine="877"/>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Trial-Related Records</w:t>
      </w:r>
      <w:r>
        <w:rPr>
          <w:rFonts w:ascii="Arial" w:cs="Arial" w:eastAsia="Arial" w:hAnsi="Arial"/>
          <w:sz w:val="22"/>
          <w:szCs w:val="22"/>
          <w:color w:val="auto"/>
        </w:rPr>
        <w:t>. Except as otherwise provided herein, Apellis will maintain materially complete and accurate records related to the Trial until the later of (a) [**] following the Completion Date or (b) the time period required by Applicable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w:t>
      </w:r>
    </w:p>
    <w:p>
      <w:pPr>
        <w:spacing w:after="0" w:line="212" w:lineRule="exact"/>
        <w:rPr>
          <w:sz w:val="20"/>
          <w:szCs w:val="20"/>
          <w:color w:val="auto"/>
        </w:rPr>
      </w:pPr>
    </w:p>
    <w:p>
      <w:pPr>
        <w:ind w:right="140" w:firstLine="877"/>
        <w:spacing w:after="0" w:line="245"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Confidentiality</w:t>
      </w:r>
      <w:r>
        <w:rPr>
          <w:rFonts w:ascii="Arial" w:cs="Arial" w:eastAsia="Arial" w:hAnsi="Arial"/>
          <w:sz w:val="21"/>
          <w:szCs w:val="21"/>
          <w:color w:val="auto"/>
        </w:rPr>
        <w:t>. Except to the extent expressly authorized by this Agreement or otherwise agreed in writing by the Parties, each Party (each, a “</w:t>
      </w:r>
      <w:r>
        <w:rPr>
          <w:rFonts w:ascii="Arial" w:cs="Arial" w:eastAsia="Arial" w:hAnsi="Arial"/>
          <w:sz w:val="21"/>
          <w:szCs w:val="21"/>
          <w:u w:val="single" w:color="auto"/>
          <w:color w:val="auto"/>
        </w:rPr>
        <w:t>Receiving Party</w:t>
      </w:r>
      <w:r>
        <w:rPr>
          <w:rFonts w:ascii="Arial" w:cs="Arial" w:eastAsia="Arial" w:hAnsi="Arial"/>
          <w:sz w:val="21"/>
          <w:szCs w:val="21"/>
          <w:color w:val="auto"/>
        </w:rPr>
        <w:t xml:space="preserve">”) agrees that, during the Term and for the [**] period following the expiration or termination of this Agreement (except that the obligations will survive thereafter with respect to any Confidential Information that constitutes a trade secret under Applicable Law) or such longer periods for which such Confidential Information may be maintained pursuant to </w:t>
      </w:r>
      <w:r>
        <w:rPr>
          <w:rFonts w:ascii="Arial" w:cs="Arial" w:eastAsia="Arial" w:hAnsi="Arial"/>
          <w:sz w:val="21"/>
          <w:szCs w:val="21"/>
          <w:u w:val="single" w:color="auto"/>
          <w:color w:val="auto"/>
        </w:rPr>
        <w:t>Article 9</w:t>
      </w:r>
      <w:r>
        <w:rPr>
          <w:rFonts w:ascii="Arial" w:cs="Arial" w:eastAsia="Arial" w:hAnsi="Arial"/>
          <w:sz w:val="21"/>
          <w:szCs w:val="21"/>
          <w:color w:val="auto"/>
        </w:rPr>
        <w:t>, it will keep confidential and will not publish or otherwise disclose and will not use for any purpose other than as provided for in this Agreement (which includes the exercise of any rights or the performance of any obligations hereunder) any Confidential Information furnished to it by or on behalf of the other Party (each, a “</w:t>
      </w:r>
      <w:r>
        <w:rPr>
          <w:rFonts w:ascii="Arial" w:cs="Arial" w:eastAsia="Arial" w:hAnsi="Arial"/>
          <w:sz w:val="21"/>
          <w:szCs w:val="21"/>
          <w:u w:val="single" w:color="auto"/>
          <w:color w:val="auto"/>
        </w:rPr>
        <w:t>Disclosing Party</w:t>
      </w:r>
      <w:r>
        <w:rPr>
          <w:rFonts w:ascii="Arial" w:cs="Arial" w:eastAsia="Arial" w:hAnsi="Arial"/>
          <w:sz w:val="21"/>
          <w:szCs w:val="21"/>
          <w:color w:val="auto"/>
        </w:rPr>
        <w:t>”) or its Affiliates in connection with this Agreement. The foregoing obligations will not apply to any portion of such information or materials that the Receiving Party can demonstrate:</w:t>
      </w:r>
    </w:p>
    <w:p>
      <w:pPr>
        <w:spacing w:after="0" w:line="185" w:lineRule="exact"/>
        <w:rPr>
          <w:sz w:val="20"/>
          <w:szCs w:val="20"/>
          <w:color w:val="auto"/>
        </w:rPr>
      </w:pPr>
    </w:p>
    <w:p>
      <w:pPr>
        <w:ind w:left="880" w:right="820" w:firstLine="1620"/>
        <w:spacing w:after="0" w:line="251" w:lineRule="auto"/>
        <w:rPr>
          <w:sz w:val="20"/>
          <w:szCs w:val="20"/>
          <w:color w:val="auto"/>
        </w:rPr>
      </w:pPr>
      <w:r>
        <w:rPr>
          <w:rFonts w:ascii="Arial" w:cs="Arial" w:eastAsia="Arial" w:hAnsi="Arial"/>
          <w:sz w:val="22"/>
          <w:szCs w:val="22"/>
          <w:color w:val="auto"/>
        </w:rPr>
        <w:t>10.1.1 was publicly disclosed by the Disclosing Party before or after such Confidential Information becomes known to the Receiving Party;</w:t>
      </w:r>
    </w:p>
    <w:p>
      <w:pPr>
        <w:spacing w:after="0" w:line="173" w:lineRule="exact"/>
        <w:rPr>
          <w:sz w:val="20"/>
          <w:szCs w:val="20"/>
          <w:color w:val="auto"/>
        </w:rPr>
      </w:pPr>
    </w:p>
    <w:p>
      <w:pPr>
        <w:ind w:left="880" w:right="340" w:firstLine="1620"/>
        <w:spacing w:after="0" w:line="251" w:lineRule="auto"/>
        <w:rPr>
          <w:sz w:val="20"/>
          <w:szCs w:val="20"/>
          <w:color w:val="auto"/>
        </w:rPr>
      </w:pPr>
      <w:r>
        <w:rPr>
          <w:rFonts w:ascii="Arial" w:cs="Arial" w:eastAsia="Arial" w:hAnsi="Arial"/>
          <w:sz w:val="22"/>
          <w:szCs w:val="22"/>
          <w:color w:val="auto"/>
        </w:rPr>
        <w:t>10.1.2 was already known to the Receiving Party or any of its Affiliates, other than under an obligation of confidentiality or non-use, prior to when it was received from the Disclosing Party;</w:t>
      </w:r>
    </w:p>
    <w:p>
      <w:pPr>
        <w:spacing w:after="0" w:line="173" w:lineRule="exact"/>
        <w:rPr>
          <w:sz w:val="20"/>
          <w:szCs w:val="20"/>
          <w:color w:val="auto"/>
        </w:rPr>
      </w:pPr>
    </w:p>
    <w:p>
      <w:pPr>
        <w:ind w:left="880" w:right="140" w:firstLine="1620"/>
        <w:spacing w:after="0" w:line="251" w:lineRule="auto"/>
        <w:rPr>
          <w:sz w:val="20"/>
          <w:szCs w:val="20"/>
          <w:color w:val="auto"/>
        </w:rPr>
      </w:pPr>
      <w:r>
        <w:rPr>
          <w:rFonts w:ascii="Arial" w:cs="Arial" w:eastAsia="Arial" w:hAnsi="Arial"/>
          <w:sz w:val="22"/>
          <w:szCs w:val="22"/>
          <w:color w:val="auto"/>
        </w:rPr>
        <w:t>10.1.3 is subsequently disclosed to the Receiving Party or any of its Affiliates by a Third Party lawfully in possession thereof without obligation to keep such Confidential Information confidential;</w:t>
      </w:r>
    </w:p>
    <w:p>
      <w:pPr>
        <w:spacing w:after="0" w:line="173" w:lineRule="exact"/>
        <w:rPr>
          <w:sz w:val="20"/>
          <w:szCs w:val="20"/>
          <w:color w:val="auto"/>
        </w:rPr>
      </w:pPr>
    </w:p>
    <w:p>
      <w:pPr>
        <w:ind w:left="880" w:right="300" w:firstLine="1620"/>
        <w:spacing w:after="0" w:line="251" w:lineRule="auto"/>
        <w:rPr>
          <w:sz w:val="20"/>
          <w:szCs w:val="20"/>
          <w:color w:val="auto"/>
        </w:rPr>
      </w:pPr>
      <w:r>
        <w:rPr>
          <w:rFonts w:ascii="Arial" w:cs="Arial" w:eastAsia="Arial" w:hAnsi="Arial"/>
          <w:sz w:val="22"/>
          <w:szCs w:val="22"/>
          <w:color w:val="auto"/>
        </w:rPr>
        <w:t>10.1.4 has been published by a Third Party or otherwise enters the public domain through no fault of the Receiving Party or any of its Affiliates in breach of this Agreement; or</w:t>
      </w:r>
    </w:p>
    <w:p>
      <w:pPr>
        <w:spacing w:after="0" w:line="173" w:lineRule="exact"/>
        <w:rPr>
          <w:sz w:val="20"/>
          <w:szCs w:val="20"/>
          <w:color w:val="auto"/>
        </w:rPr>
      </w:pPr>
    </w:p>
    <w:p>
      <w:pPr>
        <w:ind w:left="880" w:firstLine="1620"/>
        <w:spacing w:after="0" w:line="251" w:lineRule="auto"/>
        <w:rPr>
          <w:sz w:val="20"/>
          <w:szCs w:val="20"/>
          <w:color w:val="auto"/>
        </w:rPr>
      </w:pPr>
      <w:r>
        <w:rPr>
          <w:rFonts w:ascii="Arial" w:cs="Arial" w:eastAsia="Arial" w:hAnsi="Arial"/>
          <w:sz w:val="22"/>
          <w:szCs w:val="22"/>
          <w:color w:val="auto"/>
        </w:rPr>
        <w:t>10.1.5 has been independently developed by the Receiving Party or any of its Affiliates, without the aid, application or use of any Confidential Information of the other Party.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1" w:name="page102"/>
    <w:bookmarkEnd w:id="101"/>
    <w:p>
      <w:pPr>
        <w:ind w:firstLine="877"/>
        <w:spacing w:after="0" w:line="27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Authorized Disclosure</w:t>
      </w:r>
      <w:r>
        <w:rPr>
          <w:rFonts w:ascii="Arial" w:cs="Arial" w:eastAsia="Arial" w:hAnsi="Arial"/>
          <w:sz w:val="19"/>
          <w:szCs w:val="19"/>
          <w:color w:val="auto"/>
        </w:rPr>
        <w:t xml:space="preserve">. Each Party may disclose Confidential Information belonging to the other Party to the extent such disclosure is reasonably necessary for complying with Applicable Laws, including regulations promulgated by securities exchanges,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required to disclose such information promptly notifies the Disclosing Party prior to making any such disclosure and cooperates with the Disclosing Party’s efforts to seek confidential treatment or to otherwise limit disclosure. Each Receiving Party may disclose the other Party’s Confidential Information to its Affiliates, employees, agents, advisors, and independent contractors (including Permitted Third Parties) engaged by such Receiving Party, in each case (a) only to the extent such Persons need to know the Confidential Information solely in connection with the performance of this Agreement and (b)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Person receiving Confidential Information must be bound by obligations of confidentiality and non-use at least as stringent as an equivalent in scope to those set forth in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prior to any such disclosure and the Party making such disclosure to such Person shall be liable to the other Party for any breach of such obligations by such disclosee. Each Party may also disclose the material terms of this Agreement or provide a copy of this Agreement or a summary of such Party’s findings during its due diligence investigation of the Products (if applicable) to any bona fide potential or actual investor, investment banker, acquirer, provider of debt or royalty financing, or other potential or actual financial partner (“</w:t>
      </w:r>
      <w:r>
        <w:rPr>
          <w:rFonts w:ascii="Arial" w:cs="Arial" w:eastAsia="Arial" w:hAnsi="Arial"/>
          <w:sz w:val="19"/>
          <w:szCs w:val="19"/>
          <w:u w:val="single" w:color="auto"/>
          <w:color w:val="auto"/>
        </w:rPr>
        <w:t>Financial Partner</w:t>
      </w:r>
      <w:r>
        <w:rPr>
          <w:rFonts w:ascii="Arial" w:cs="Arial" w:eastAsia="Arial" w:hAnsi="Arial"/>
          <w:sz w:val="19"/>
          <w:szCs w:val="19"/>
          <w:color w:val="auto"/>
        </w:rPr>
        <w:t xml:space="preserve">”) listed on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without consent of the other Party, or other Financial Partners with the prior written consent of the other Party,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such disclosure, each disclosee must be bound by obligations of confidentiality and non-use at least as stringent as an equivalent in scope to those set forth in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prior to any such disclosure and the Party making such disclosure to such disclosee shall be liable to the other Party for any breach of such obligations by such disclosee. Notwithstanding anything in the foregoing to the contrary,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constitutes Apellis’ Confidential Information and not SFJ’s Confidential Information, and Apellis may disclose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Third Parties as determined by Apellis in its sole discretion. In any event, each Party agrees to take all reasonable action to avoid unauthorized use or disclosure of Confidential Information of the other Party hereunder.</w:t>
      </w:r>
    </w:p>
    <w:p>
      <w:pPr>
        <w:spacing w:after="0" w:line="162" w:lineRule="exact"/>
        <w:rPr>
          <w:sz w:val="20"/>
          <w:szCs w:val="20"/>
          <w:color w:val="auto"/>
        </w:rPr>
      </w:pPr>
    </w:p>
    <w:p>
      <w:pPr>
        <w:ind w:right="100" w:firstLine="877"/>
        <w:spacing w:after="0" w:line="23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Except as otherwise provided herein, upon expiration or earlier termination of this Agreement, all Confidential Information (including any copies thereof) in written or other tangible form will, at the Disclosing Party’s direction, be returned to the Disclosing Party or destroyed by the Receiving Party, and any Person(s) to whom the Receiving Party disclosed (with such destruction being certified in writing by an authorized officer of the Receiving Party), except (i) to the extent such Confidential Information is necessary to exercise any license and/or rights hereunder that survive such expiration or earlier termination; and (ii) one (1) copy of each document may be retained by the Receiving Party solely to the extent necessary to permit it to comply with any ongoing rights and responsibilities with respect to such Confidential Information.</w:t>
      </w:r>
    </w:p>
    <w:p>
      <w:pPr>
        <w:spacing w:after="0" w:line="188"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Confidential Status of the Agreement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the terms of this Agreement are deemed to be Confidential Information and will be subject to the confidentiality requirements of this </w:t>
      </w:r>
      <w:r>
        <w:rPr>
          <w:rFonts w:ascii="Arial" w:cs="Arial" w:eastAsia="Arial" w:hAnsi="Arial"/>
          <w:sz w:val="22"/>
          <w:szCs w:val="22"/>
          <w:u w:val="single" w:color="auto"/>
          <w:color w:val="auto"/>
        </w:rPr>
        <w:t>Article 10</w:t>
      </w:r>
      <w:r>
        <w:rPr>
          <w:rFonts w:ascii="Arial" w:cs="Arial" w:eastAsia="Arial" w:hAnsi="Arial"/>
          <w:sz w:val="22"/>
          <w:szCs w:val="22"/>
          <w:color w:val="auto"/>
        </w:rPr>
        <w:t>, with each Party being deemed a Receiving Party for such purposes. The Parties each acknowledge that it will be necessary for Apellis to file this Agreement with the US Securities and Exchange Commission and to make other required public disclosures regarding the terms of this Agreement, and accordingly Apellis shall prepare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02" w:name="page103"/>
    <w:bookmarkEnd w:id="102"/>
    <w:p>
      <w:pPr>
        <w:ind w:right="160"/>
        <w:spacing w:after="0"/>
        <w:rPr>
          <w:sz w:val="20"/>
          <w:szCs w:val="20"/>
          <w:color w:val="auto"/>
        </w:rPr>
      </w:pPr>
      <w:r>
        <w:rPr>
          <w:rFonts w:ascii="Arial" w:cs="Arial" w:eastAsia="Arial" w:hAnsi="Arial"/>
          <w:sz w:val="22"/>
          <w:szCs w:val="22"/>
          <w:color w:val="auto"/>
        </w:rPr>
        <w:t>confidential treatment request in connection with such filing and provide SFJ a reasonable opportunity to review and comment on such filing as well as on such other required public disclosures and thereafter use Commercially Reasonable Efforts to obtain confidential treatment as to the terms of this Agreement.</w:t>
      </w:r>
    </w:p>
    <w:p>
      <w:pPr>
        <w:spacing w:after="0" w:line="186" w:lineRule="exact"/>
        <w:rPr>
          <w:sz w:val="20"/>
          <w:szCs w:val="20"/>
          <w:color w:val="auto"/>
        </w:rPr>
      </w:pPr>
    </w:p>
    <w:p>
      <w:pPr>
        <w:ind w:right="60" w:firstLine="877"/>
        <w:spacing w:after="0" w:line="272"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The Parties recognize that following the Effective Date the Parties (either individually or jointly) shall issue mutually agreed press release(s) announcing the execution of this Agreement, and thereafter each Party may from time to time desire to issue additional press releases and make other public statements or disclosures regarding the subject matter of this Agreement, and hereby agree that such additional press releases, public statements and disclosures regarding the terms of this Agreement will be permitted only with the other Party’s written consent (which shall not be unreasonably withheld, conditioned or delayed). Any publication, news release or other public announcement relating to the terms of this Agreement will first be reviewed and approved in writing by both Parties; provided, however, that any disclosure of the minimum information which is required by Applicable Law (including the rules of a securities exchange), as reasonably advised by the disclosing Party’s counsel, may be made without the prior consent of the other Party, although the other Party will be given prompt notice of any such legally required disclosure and to the extent practicable will be provided an opportunity to comment on the proposed disclosure and the disclosing Party will consider in good faith any comments provided by the other Party on such proposed disclosure. For avoidance of doubt,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shall not restrict Apellis from releasing public statements or disclosures regarding Apellis’ development and Commercialization activities with respect to the Product.</w:t>
      </w:r>
    </w:p>
    <w:p>
      <w:pPr>
        <w:spacing w:after="0" w:line="157" w:lineRule="exact"/>
        <w:rPr>
          <w:sz w:val="20"/>
          <w:szCs w:val="20"/>
          <w:color w:val="auto"/>
        </w:rPr>
      </w:pPr>
    </w:p>
    <w:p>
      <w:pPr>
        <w:ind w:right="20" w:firstLine="877"/>
        <w:spacing w:after="0" w:line="258"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SFJ Name</w:t>
      </w:r>
      <w:r>
        <w:rPr>
          <w:rFonts w:ascii="Arial" w:cs="Arial" w:eastAsia="Arial" w:hAnsi="Arial"/>
          <w:sz w:val="21"/>
          <w:szCs w:val="21"/>
          <w:color w:val="auto"/>
        </w:rPr>
        <w:t>. Unless otherwise expressly permitted herein, Apellis will obtain the written consent of SFJ (which consent will not unreasonably be withheld, conditioned or delayed) prior to referring to SFJ in any correspondence with any Regulatory Authority or Governmental Authority, except as may be required by Applicable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INTELLECTUAL PROPERTY AND PERSONALLY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IDENTIFIABLE INFORMATION</w:t>
      </w:r>
    </w:p>
    <w:p>
      <w:pPr>
        <w:spacing w:after="0" w:line="18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Ownership and Rights</w:t>
      </w:r>
      <w:r>
        <w:rPr>
          <w:rFonts w:ascii="Arial" w:cs="Arial" w:eastAsia="Arial" w:hAnsi="Arial"/>
          <w:sz w:val="19"/>
          <w:szCs w:val="19"/>
          <w:color w:val="auto"/>
        </w:rPr>
        <w:t>.</w:t>
      </w:r>
    </w:p>
    <w:p>
      <w:pPr>
        <w:spacing w:after="0" w:line="206" w:lineRule="exact"/>
        <w:rPr>
          <w:sz w:val="20"/>
          <w:szCs w:val="20"/>
          <w:color w:val="auto"/>
        </w:rPr>
      </w:pPr>
    </w:p>
    <w:p>
      <w:pPr>
        <w:ind w:left="2500"/>
        <w:spacing w:after="0"/>
        <w:tabs>
          <w:tab w:leader="none" w:pos="366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06" w:lineRule="exact"/>
        <w:rPr>
          <w:sz w:val="20"/>
          <w:szCs w:val="20"/>
          <w:color w:val="auto"/>
        </w:rPr>
      </w:pPr>
    </w:p>
    <w:p>
      <w:pPr>
        <w:ind w:firstLine="2634"/>
        <w:spacing w:after="0"/>
        <w:rPr>
          <w:sz w:val="20"/>
          <w:szCs w:val="20"/>
          <w:color w:val="auto"/>
        </w:rPr>
      </w:pPr>
      <w:r>
        <w:rPr>
          <w:rFonts w:ascii="Arial" w:cs="Arial" w:eastAsia="Arial" w:hAnsi="Arial"/>
          <w:sz w:val="22"/>
          <w:szCs w:val="22"/>
          <w:color w:val="auto"/>
        </w:rPr>
        <w:t>11.1.1.1 Apellis will own and retain all right, title and interest in, to and under all data, results, information, analyses, discoveries, inventions and know-how that are Controlled by Apellis as of the Effective Date and no such right, title or interest therein, thereto or thereunder is granted to SFJ hereunder.</w:t>
      </w:r>
    </w:p>
    <w:p>
      <w:pPr>
        <w:spacing w:after="0" w:line="186" w:lineRule="exact"/>
        <w:rPr>
          <w:sz w:val="20"/>
          <w:szCs w:val="20"/>
          <w:color w:val="auto"/>
        </w:rPr>
      </w:pPr>
    </w:p>
    <w:p>
      <w:pPr>
        <w:ind w:firstLine="2634"/>
        <w:spacing w:after="0" w:line="297" w:lineRule="auto"/>
        <w:rPr>
          <w:sz w:val="20"/>
          <w:szCs w:val="20"/>
          <w:color w:val="auto"/>
        </w:rPr>
      </w:pPr>
      <w:r>
        <w:rPr>
          <w:rFonts w:ascii="Arial" w:cs="Arial" w:eastAsia="Arial" w:hAnsi="Arial"/>
          <w:sz w:val="19"/>
          <w:szCs w:val="19"/>
          <w:color w:val="auto"/>
        </w:rPr>
        <w:t>11.1.1.2 Apellis will be the exclusive and sole owner of and retain all right, title and interest in, to and under (a) all Research Results; (b) the Product; (c) all discoveries and inventions discovered, developed or invented by, or on behalf of, either Party, and any of their Affiliates, and any Permitted Third Party, in connection with the Trial and/or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03" w:name="page104"/>
    <w:bookmarkEnd w:id="103"/>
    <w:p>
      <w:pPr>
        <w:spacing w:after="0"/>
        <w:rPr>
          <w:sz w:val="20"/>
          <w:szCs w:val="20"/>
          <w:color w:val="auto"/>
        </w:rPr>
      </w:pPr>
      <w:r>
        <w:rPr>
          <w:rFonts w:ascii="Arial" w:cs="Arial" w:eastAsia="Arial" w:hAnsi="Arial"/>
          <w:sz w:val="21"/>
          <w:szCs w:val="21"/>
          <w:color w:val="auto"/>
        </w:rPr>
        <w:t>this Agreement; (d) all improvements that are discovered, developed or invented by, or on behalf of Apellis that relate to</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Intellectual Property that is Controlled by Apellis as of the Effective Date (collectively, the “</w:t>
      </w:r>
      <w:r>
        <w:rPr>
          <w:rFonts w:ascii="Arial" w:cs="Arial" w:eastAsia="Arial" w:hAnsi="Arial"/>
          <w:sz w:val="19"/>
          <w:szCs w:val="19"/>
          <w:u w:val="single" w:color="auto"/>
          <w:color w:val="auto"/>
        </w:rPr>
        <w:t>Apellis Improvements</w:t>
      </w:r>
      <w:r>
        <w:rPr>
          <w:rFonts w:ascii="Arial" w:cs="Arial" w:eastAsia="Arial" w:hAnsi="Arial"/>
          <w:sz w:val="19"/>
          <w:szCs w:val="19"/>
          <w:color w:val="auto"/>
        </w:rPr>
        <w:t>”); and (e) all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in the foregoing subsections (a) through (d) (all of the foregoing (a)-(e), collectively, the “</w:t>
      </w:r>
      <w:r>
        <w:rPr>
          <w:rFonts w:ascii="Arial" w:cs="Arial" w:eastAsia="Arial" w:hAnsi="Arial"/>
          <w:sz w:val="22"/>
          <w:szCs w:val="22"/>
          <w:u w:val="single" w:color="auto"/>
          <w:color w:val="auto"/>
        </w:rPr>
        <w:t>Trial</w:t>
      </w:r>
    </w:p>
    <w:p>
      <w:pPr>
        <w:spacing w:after="0"/>
        <w:rPr>
          <w:sz w:val="20"/>
          <w:szCs w:val="20"/>
          <w:color w:val="auto"/>
        </w:rPr>
      </w:pPr>
      <w:r>
        <w:rPr>
          <w:rFonts w:ascii="Arial" w:cs="Arial" w:eastAsia="Arial" w:hAnsi="Arial"/>
          <w:sz w:val="19"/>
          <w:szCs w:val="19"/>
          <w:u w:val="single" w:color="auto"/>
          <w:color w:val="auto"/>
        </w:rPr>
        <w:t>Inventions</w:t>
      </w:r>
      <w:r>
        <w:rPr>
          <w:rFonts w:ascii="Arial" w:cs="Arial" w:eastAsia="Arial" w:hAnsi="Arial"/>
          <w:sz w:val="19"/>
          <w:szCs w:val="19"/>
          <w:color w:val="auto"/>
        </w:rPr>
        <w:t>”). SFJ shall, and hereby does, assign to Apellis all rights, title and interest of SFJ in, to and under the Trial Inventions,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if any.</w:t>
      </w:r>
    </w:p>
    <w:p>
      <w:pPr>
        <w:spacing w:after="0" w:line="188" w:lineRule="exact"/>
        <w:rPr>
          <w:sz w:val="20"/>
          <w:szCs w:val="20"/>
          <w:color w:val="auto"/>
        </w:rPr>
      </w:pPr>
    </w:p>
    <w:p>
      <w:pPr>
        <w:ind w:left="880" w:right="20" w:firstLine="1620"/>
        <w:spacing w:after="0" w:line="238" w:lineRule="auto"/>
        <w:rPr>
          <w:sz w:val="20"/>
          <w:szCs w:val="20"/>
          <w:color w:val="auto"/>
        </w:rPr>
      </w:pPr>
      <w:r>
        <w:rPr>
          <w:rFonts w:ascii="Arial" w:cs="Arial" w:eastAsia="Arial" w:hAnsi="Arial"/>
          <w:sz w:val="22"/>
          <w:szCs w:val="22"/>
          <w:color w:val="auto"/>
        </w:rPr>
        <w:t xml:space="preserve">11.1.2 </w:t>
      </w:r>
      <w:r>
        <w:rPr>
          <w:rFonts w:ascii="Arial" w:cs="Arial" w:eastAsia="Arial" w:hAnsi="Arial"/>
          <w:sz w:val="22"/>
          <w:szCs w:val="22"/>
          <w:u w:val="single" w:color="auto"/>
          <w:color w:val="auto"/>
        </w:rPr>
        <w:t>No Other Rights</w:t>
      </w:r>
      <w:r>
        <w:rPr>
          <w:rFonts w:ascii="Arial" w:cs="Arial" w:eastAsia="Arial" w:hAnsi="Arial"/>
          <w:sz w:val="22"/>
          <w:szCs w:val="22"/>
          <w:color w:val="auto"/>
        </w:rPr>
        <w:t>. Neither the delivery of any information nor of any materials to SFJ hereunder will be construed to grant SFJ any rights or license to use any Intellectual Property Controlled by Apellis. SFJ may not use, publish or otherwise disclose any Intellectual Property Controlled by Apellis without Apellis’ prior written consent.</w:t>
      </w:r>
    </w:p>
    <w:p>
      <w:pPr>
        <w:spacing w:after="0" w:line="185" w:lineRule="exact"/>
        <w:rPr>
          <w:sz w:val="20"/>
          <w:szCs w:val="20"/>
          <w:color w:val="auto"/>
        </w:rPr>
      </w:pPr>
    </w:p>
    <w:p>
      <w:pPr>
        <w:ind w:right="20" w:firstLine="877"/>
        <w:spacing w:after="0" w:line="24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Patent Prosecution</w:t>
      </w:r>
      <w:r>
        <w:rPr>
          <w:rFonts w:ascii="Arial" w:cs="Arial" w:eastAsia="Arial" w:hAnsi="Arial"/>
          <w:sz w:val="21"/>
          <w:szCs w:val="21"/>
          <w:color w:val="auto"/>
        </w:rPr>
        <w:t>. As between SFJ and Apellis, Apellis will have sole and exclusive right to prepare, file, prosecute and maintain all Patents within the APL Intellectual Property, including all Patents that cover the Trial Inventions and Apellis Improvements, at its own expense (including, for clarity, the sole and exclusive right to decide not to seek Patent protection or to abandon any such Patent). At Apellis’ request and expense (for reasonable out-of-pocket expenses), SFJ will reasonably cooperate with Apellis in preparing, filing, prosecuting, and maintaining such Patents.</w:t>
      </w:r>
    </w:p>
    <w:p>
      <w:pPr>
        <w:spacing w:after="0" w:line="17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Intellectual Property Enforcement</w:t>
      </w:r>
      <w:r>
        <w:rPr>
          <w:rFonts w:ascii="Arial" w:cs="Arial" w:eastAsia="Arial" w:hAnsi="Arial"/>
          <w:sz w:val="19"/>
          <w:szCs w:val="19"/>
          <w:color w:val="auto"/>
        </w:rPr>
        <w:t>.</w:t>
      </w:r>
    </w:p>
    <w:p>
      <w:pPr>
        <w:spacing w:after="0" w:line="206" w:lineRule="exact"/>
        <w:rPr>
          <w:sz w:val="20"/>
          <w:szCs w:val="20"/>
          <w:color w:val="auto"/>
        </w:rPr>
      </w:pPr>
    </w:p>
    <w:p>
      <w:pPr>
        <w:ind w:left="880" w:right="160" w:firstLine="1620"/>
        <w:spacing w:after="0"/>
        <w:rPr>
          <w:sz w:val="20"/>
          <w:szCs w:val="20"/>
          <w:color w:val="auto"/>
        </w:rPr>
      </w:pPr>
      <w:r>
        <w:rPr>
          <w:rFonts w:ascii="Arial" w:cs="Arial" w:eastAsia="Arial" w:hAnsi="Arial"/>
          <w:sz w:val="22"/>
          <w:szCs w:val="22"/>
          <w:color w:val="auto"/>
        </w:rPr>
        <w:t xml:space="preserve">11.3.1 </w:t>
      </w:r>
      <w:r>
        <w:rPr>
          <w:rFonts w:ascii="Arial" w:cs="Arial" w:eastAsia="Arial" w:hAnsi="Arial"/>
          <w:sz w:val="22"/>
          <w:szCs w:val="22"/>
          <w:u w:val="single" w:color="auto"/>
          <w:color w:val="auto"/>
        </w:rPr>
        <w:t>Apellis Intellectual Property</w:t>
      </w:r>
      <w:r>
        <w:rPr>
          <w:rFonts w:ascii="Arial" w:cs="Arial" w:eastAsia="Arial" w:hAnsi="Arial"/>
          <w:sz w:val="22"/>
          <w:szCs w:val="22"/>
          <w:color w:val="auto"/>
        </w:rPr>
        <w:t>. Apellis will have the sole and exclusive right, but not the obligation, to enforce Intellectual Property Controlled by Apellis, including Intellectual Property that covers the Trial Inventions, against Third Party Infringements.</w:t>
      </w:r>
    </w:p>
    <w:p>
      <w:pPr>
        <w:spacing w:after="0" w:line="186" w:lineRule="exact"/>
        <w:rPr>
          <w:sz w:val="20"/>
          <w:szCs w:val="20"/>
          <w:color w:val="auto"/>
        </w:rPr>
      </w:pPr>
    </w:p>
    <w:p>
      <w:pPr>
        <w:ind w:left="880" w:firstLine="1620"/>
        <w:spacing w:after="0" w:line="248" w:lineRule="auto"/>
        <w:rPr>
          <w:sz w:val="20"/>
          <w:szCs w:val="20"/>
          <w:color w:val="auto"/>
        </w:rPr>
      </w:pPr>
      <w:r>
        <w:rPr>
          <w:rFonts w:ascii="Arial" w:cs="Arial" w:eastAsia="Arial" w:hAnsi="Arial"/>
          <w:sz w:val="21"/>
          <w:szCs w:val="21"/>
          <w:color w:val="auto"/>
        </w:rPr>
        <w:t xml:space="preserve">11.3.2 </w:t>
      </w:r>
      <w:r>
        <w:rPr>
          <w:rFonts w:ascii="Arial" w:cs="Arial" w:eastAsia="Arial" w:hAnsi="Arial"/>
          <w:sz w:val="21"/>
          <w:szCs w:val="21"/>
          <w:u w:val="single" w:color="auto"/>
          <w:color w:val="auto"/>
        </w:rPr>
        <w:t>Infringement of Third Party Rights</w:t>
      </w:r>
      <w:r>
        <w:rPr>
          <w:rFonts w:ascii="Arial" w:cs="Arial" w:eastAsia="Arial" w:hAnsi="Arial"/>
          <w:sz w:val="21"/>
          <w:szCs w:val="21"/>
          <w:color w:val="auto"/>
        </w:rPr>
        <w:t>. If either Party learns of Third Party allegations that it or the other Party or any of its or the other Party’s Affiliates, or with respect to Apellis any Permitted Third Parties, have infringed, misappropriated or otherwise violated, or are infringing, misappropriating or otherwise violating, any Intellectual Property of a Third Party in connection with either the Trial or performing its obligations or duties hereunder, such Party will promptly notify the other Party. Apellis will have sole control and responsibility of, and discretion with respect to, such allegations and any related actions and/or litigation.</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Personally Identifiable Information</w:t>
      </w:r>
      <w:r>
        <w:rPr>
          <w:rFonts w:ascii="Arial" w:cs="Arial" w:eastAsia="Arial" w:hAnsi="Arial"/>
          <w:sz w:val="19"/>
          <w:szCs w:val="19"/>
          <w:color w:val="auto"/>
        </w:rPr>
        <w:t>.</w:t>
      </w:r>
    </w:p>
    <w:p>
      <w:pPr>
        <w:spacing w:after="0" w:line="206" w:lineRule="exact"/>
        <w:rPr>
          <w:sz w:val="20"/>
          <w:szCs w:val="20"/>
          <w:color w:val="auto"/>
        </w:rPr>
      </w:pPr>
    </w:p>
    <w:p>
      <w:pPr>
        <w:ind w:left="2500"/>
        <w:spacing w:after="0"/>
        <w:tabs>
          <w:tab w:leader="none" w:pos="3660" w:val="left"/>
        </w:tabs>
        <w:rPr>
          <w:sz w:val="20"/>
          <w:szCs w:val="20"/>
          <w:color w:val="auto"/>
        </w:rPr>
      </w:pPr>
      <w:r>
        <w:rPr>
          <w:rFonts w:ascii="Arial" w:cs="Arial" w:eastAsia="Arial" w:hAnsi="Arial"/>
          <w:sz w:val="22"/>
          <w:szCs w:val="22"/>
          <w:color w:val="auto"/>
        </w:rPr>
        <w:t>11.4.1</w:t>
      </w:r>
      <w:r>
        <w:rPr>
          <w:sz w:val="20"/>
          <w:szCs w:val="20"/>
          <w:color w:val="auto"/>
        </w:rPr>
        <w:tab/>
      </w:r>
      <w:r>
        <w:rPr>
          <w:rFonts w:ascii="Arial" w:cs="Arial" w:eastAsia="Arial" w:hAnsi="Arial"/>
          <w:sz w:val="19"/>
          <w:szCs w:val="19"/>
          <w:u w:val="single" w:color="auto"/>
          <w:color w:val="auto"/>
        </w:rPr>
        <w:t>Subject Personally Identifiable Information</w:t>
      </w:r>
      <w:r>
        <w:rPr>
          <w:rFonts w:ascii="Arial" w:cs="Arial" w:eastAsia="Arial" w:hAnsi="Arial"/>
          <w:sz w:val="19"/>
          <w:szCs w:val="19"/>
          <w:color w:val="auto"/>
        </w:rPr>
        <w:t>.</w:t>
      </w:r>
    </w:p>
    <w:p>
      <w:pPr>
        <w:spacing w:after="0" w:line="206" w:lineRule="exact"/>
        <w:rPr>
          <w:sz w:val="20"/>
          <w:szCs w:val="20"/>
          <w:color w:val="auto"/>
        </w:rPr>
      </w:pPr>
    </w:p>
    <w:p>
      <w:pPr>
        <w:ind w:firstLine="2634"/>
        <w:spacing w:after="0" w:line="236" w:lineRule="auto"/>
        <w:rPr>
          <w:sz w:val="20"/>
          <w:szCs w:val="20"/>
          <w:color w:val="auto"/>
        </w:rPr>
      </w:pPr>
      <w:r>
        <w:rPr>
          <w:rFonts w:ascii="Arial" w:cs="Arial" w:eastAsia="Arial" w:hAnsi="Arial"/>
          <w:sz w:val="22"/>
          <w:szCs w:val="22"/>
          <w:color w:val="auto"/>
        </w:rPr>
        <w:t>11.4.1.1 In conducting of the Trial and its other obligations hereunder, Apellis will comply and will use Commercially Reasonable Efforts to require each applicable Permitted Third Party agree to comply with Applicable Laws relating to privacy or data protection applicable to Apellis or the Trial, including ensuring that all necessary (a) consents from Clinical Investigators, Subjects and any others from whom Personally Identifiable Information will be received are obtained; (b) regulatory notifications are filed in all countries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104" w:name="page105"/>
    <w:bookmarkEnd w:id="104"/>
    <w:p>
      <w:pPr>
        <w:ind w:right="580"/>
        <w:spacing w:after="0" w:line="251" w:lineRule="auto"/>
        <w:rPr>
          <w:sz w:val="20"/>
          <w:szCs w:val="20"/>
          <w:color w:val="auto"/>
        </w:rPr>
      </w:pPr>
      <w:r>
        <w:rPr>
          <w:rFonts w:ascii="Arial" w:cs="Arial" w:eastAsia="Arial" w:hAnsi="Arial"/>
          <w:sz w:val="22"/>
          <w:szCs w:val="22"/>
          <w:color w:val="auto"/>
        </w:rPr>
        <w:t>for which Sites have been selected; and (c) approvals are obtained in all countries for which Sites have been selected, prior to collection or transfer of such Personally Identifiable Information.</w:t>
      </w:r>
    </w:p>
    <w:p>
      <w:pPr>
        <w:spacing w:after="0" w:line="173" w:lineRule="exact"/>
        <w:rPr>
          <w:sz w:val="20"/>
          <w:szCs w:val="20"/>
          <w:color w:val="auto"/>
        </w:rPr>
      </w:pPr>
    </w:p>
    <w:p>
      <w:pPr>
        <w:ind w:left="2640"/>
        <w:spacing w:after="0"/>
        <w:tabs>
          <w:tab w:leader="none" w:pos="3960" w:val="left"/>
        </w:tabs>
        <w:rPr>
          <w:sz w:val="20"/>
          <w:szCs w:val="20"/>
          <w:color w:val="auto"/>
        </w:rPr>
      </w:pPr>
      <w:r>
        <w:rPr>
          <w:rFonts w:ascii="Arial" w:cs="Arial" w:eastAsia="Arial" w:hAnsi="Arial"/>
          <w:sz w:val="22"/>
          <w:szCs w:val="22"/>
          <w:color w:val="auto"/>
        </w:rPr>
        <w:t>11.4.1.2</w:t>
      </w:r>
      <w:r>
        <w:rPr>
          <w:sz w:val="20"/>
          <w:szCs w:val="20"/>
          <w:color w:val="auto"/>
        </w:rPr>
        <w:tab/>
      </w:r>
      <w:r>
        <w:rPr>
          <w:rFonts w:ascii="Arial" w:cs="Arial" w:eastAsia="Arial" w:hAnsi="Arial"/>
          <w:sz w:val="19"/>
          <w:szCs w:val="19"/>
          <w:color w:val="auto"/>
        </w:rPr>
        <w:t>Apellis will not process any Personally Identifiable Information in a way that 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contrary to Applicable Laws.</w:t>
      </w:r>
    </w:p>
    <w:p>
      <w:pPr>
        <w:spacing w:after="0" w:line="188" w:lineRule="exact"/>
        <w:rPr>
          <w:sz w:val="20"/>
          <w:szCs w:val="20"/>
          <w:color w:val="auto"/>
        </w:rPr>
      </w:pPr>
    </w:p>
    <w:p>
      <w:pPr>
        <w:ind w:right="140" w:firstLine="2634"/>
        <w:spacing w:after="0" w:line="238" w:lineRule="auto"/>
        <w:rPr>
          <w:sz w:val="20"/>
          <w:szCs w:val="20"/>
          <w:color w:val="auto"/>
        </w:rPr>
      </w:pPr>
      <w:r>
        <w:rPr>
          <w:rFonts w:ascii="Arial" w:cs="Arial" w:eastAsia="Arial" w:hAnsi="Arial"/>
          <w:sz w:val="22"/>
          <w:szCs w:val="22"/>
          <w:color w:val="auto"/>
        </w:rPr>
        <w:t>11.4.1.3 Apellis will use Commercially Reasonable Efforts to maintain appropriate and sufficient technical and organizational security measures to maintain the confidentiality of Personally Identifiable Information and to protect such data against accidental or unlawful destruction or accidental loss, damage, alteration, unauthorized disclosure or access, in particular where such data is transmitted over a network.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INDEMNIFICATION AND INSURANCE</w:t>
      </w:r>
    </w:p>
    <w:p>
      <w:pPr>
        <w:spacing w:after="0" w:line="212"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Indemnification by Each Party</w:t>
      </w:r>
      <w:r>
        <w:rPr>
          <w:rFonts w:ascii="Arial" w:cs="Arial" w:eastAsia="Arial" w:hAnsi="Arial"/>
          <w:sz w:val="19"/>
          <w:szCs w:val="19"/>
          <w:color w:val="auto"/>
        </w:rPr>
        <w:t>.</w:t>
      </w:r>
    </w:p>
    <w:p>
      <w:pPr>
        <w:spacing w:after="0" w:line="206" w:lineRule="exact"/>
        <w:rPr>
          <w:sz w:val="20"/>
          <w:szCs w:val="20"/>
          <w:color w:val="auto"/>
        </w:rPr>
      </w:pPr>
    </w:p>
    <w:p>
      <w:pPr>
        <w:ind w:left="880" w:firstLine="1620"/>
        <w:spacing w:after="0" w:line="277"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By SFJ</w:t>
      </w:r>
      <w:r>
        <w:rPr>
          <w:rFonts w:ascii="Arial" w:cs="Arial" w:eastAsia="Arial" w:hAnsi="Arial"/>
          <w:sz w:val="19"/>
          <w:szCs w:val="19"/>
          <w:color w:val="auto"/>
        </w:rPr>
        <w:t>. SFJ will indemnify and hold Apellis; its Affiliates and their respective officers, directors, employees and agents (the “</w:t>
      </w:r>
      <w:r>
        <w:rPr>
          <w:rFonts w:ascii="Arial" w:cs="Arial" w:eastAsia="Arial" w:hAnsi="Arial"/>
          <w:sz w:val="19"/>
          <w:szCs w:val="19"/>
          <w:u w:val="single" w:color="auto"/>
          <w:color w:val="auto"/>
        </w:rPr>
        <w:t>Apellis Indemnified Parties</w:t>
      </w:r>
      <w:r>
        <w:rPr>
          <w:rFonts w:ascii="Arial" w:cs="Arial" w:eastAsia="Arial" w:hAnsi="Arial"/>
          <w:sz w:val="19"/>
          <w:szCs w:val="19"/>
          <w:color w:val="auto"/>
        </w:rPr>
        <w:t xml:space="preserve">”), harmless from any and all Losses arising or resulting from any Claims by a Third Party against any Apellis Indemnified Parties to the extent arising from (a) SFJ’s gross negligence or willful misconduct in performing its obligations under this Agreement; and/or (b) SFJ’s material breach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subject SFJ to liability for lost revenues, profits, or other consequential damages of Apellis or any Third Party; except to the extent that any of the foregoing (a) and/or (b) was caused by Apellis’ gross negligence, willful misconduct, or material breach of this Agreement.</w:t>
      </w:r>
    </w:p>
    <w:p>
      <w:pPr>
        <w:spacing w:after="0" w:line="153" w:lineRule="exact"/>
        <w:rPr>
          <w:sz w:val="20"/>
          <w:szCs w:val="20"/>
          <w:color w:val="auto"/>
        </w:rPr>
      </w:pPr>
    </w:p>
    <w:p>
      <w:pPr>
        <w:ind w:left="880" w:right="20" w:firstLine="1620"/>
        <w:spacing w:after="0" w:line="244"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By Apellis</w:t>
      </w:r>
      <w:r>
        <w:rPr>
          <w:rFonts w:ascii="Arial" w:cs="Arial" w:eastAsia="Arial" w:hAnsi="Arial"/>
          <w:sz w:val="21"/>
          <w:szCs w:val="21"/>
          <w:color w:val="auto"/>
        </w:rPr>
        <w:t>. Apellis will indemnify and hold SFJ, its Affiliates, SFJ’s investors and their respective officers, directors, employees and agents (the “</w:t>
      </w:r>
      <w:r>
        <w:rPr>
          <w:rFonts w:ascii="Arial" w:cs="Arial" w:eastAsia="Arial" w:hAnsi="Arial"/>
          <w:sz w:val="21"/>
          <w:szCs w:val="21"/>
          <w:u w:val="single" w:color="auto"/>
          <w:color w:val="auto"/>
        </w:rPr>
        <w:t>SFJ Indemnified Parties</w:t>
      </w:r>
      <w:r>
        <w:rPr>
          <w:rFonts w:ascii="Arial" w:cs="Arial" w:eastAsia="Arial" w:hAnsi="Arial"/>
          <w:sz w:val="21"/>
          <w:szCs w:val="21"/>
          <w:color w:val="auto"/>
        </w:rPr>
        <w:t xml:space="preserve">”), harmless from any and all Losses arising or resulting from any Claims by a Third Party against any SFJ Indemnified Parties to the extent arising from (a) a Product supplied by Apellis; (b) a physical injury or death of a Subject that is caused by the Subject’s participation in the Trial not directly attributable to the Product; (c) Apellis’ gross negligence or willful misconduct in the conduct of the Trial or preparation and submission of the information for Regulatory Approval; (d) Apellis’ material breach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subject Apellis to liability for lost revenue, profits, or other consequential damages of SFJ or any of SFJ’s investors or any other Third Party; (e) any Permitted Third Party’s material breach of the Protocol, (f) actual or alleged infringement of any Third Party’s Intellectual Property by the Product or by Apellis in performing its duties or obligations hereunder with respect to the Product; and (g) injuries sustained by Subjects in connection with the Trial, including Claims arising prior to the Effective Date based upon physical injury or death of a Subject in connection with the Trial, or from the Commercialization of the Product except to the extent that any of the foregoing (a) through (g) were caused by SFJ’s gross negligence, willful misconduct, or material breach of this Agreement.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05" w:name="page106"/>
    <w:bookmarkEnd w:id="105"/>
    <w:p>
      <w:pPr>
        <w:spacing w:after="0"/>
        <w:tabs>
          <w:tab w:leader="none" w:pos="10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w:t>
      </w:r>
    </w:p>
    <w:p>
      <w:pPr>
        <w:spacing w:after="0" w:line="206" w:lineRule="exact"/>
        <w:rPr>
          <w:sz w:val="20"/>
          <w:szCs w:val="20"/>
          <w:color w:val="auto"/>
        </w:rPr>
      </w:pPr>
    </w:p>
    <w:p>
      <w:pPr>
        <w:ind w:firstLine="1620"/>
        <w:spacing w:after="0" w:line="273" w:lineRule="auto"/>
        <w:rPr>
          <w:sz w:val="20"/>
          <w:szCs w:val="20"/>
          <w:color w:val="auto"/>
        </w:rPr>
      </w:pPr>
      <w:r>
        <w:rPr>
          <w:rFonts w:ascii="Arial" w:cs="Arial" w:eastAsia="Arial" w:hAnsi="Arial"/>
          <w:sz w:val="19"/>
          <w:szCs w:val="19"/>
          <w:color w:val="auto"/>
        </w:rPr>
        <w:t xml:space="preserve">12.2.1 </w:t>
      </w:r>
      <w:r>
        <w:rPr>
          <w:rFonts w:ascii="Arial" w:cs="Arial" w:eastAsia="Arial" w:hAnsi="Arial"/>
          <w:sz w:val="19"/>
          <w:szCs w:val="19"/>
          <w:u w:val="single" w:color="auto"/>
          <w:color w:val="auto"/>
        </w:rPr>
        <w:t>Notice of Claim</w:t>
      </w:r>
      <w:r>
        <w:rPr>
          <w:rFonts w:ascii="Arial" w:cs="Arial" w:eastAsia="Arial" w:hAnsi="Arial"/>
          <w:sz w:val="19"/>
          <w:szCs w:val="19"/>
          <w:color w:val="auto"/>
        </w:rPr>
        <w:t xml:space="preserve">. A Party believing that it is entitled to indemnification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12.1.2</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will give prompt written notice (each, an “</w:t>
      </w:r>
      <w:r>
        <w:rPr>
          <w:rFonts w:ascii="Arial" w:cs="Arial" w:eastAsia="Arial" w:hAnsi="Arial"/>
          <w:sz w:val="19"/>
          <w:szCs w:val="19"/>
          <w:u w:val="single" w:color="auto"/>
          <w:color w:val="auto"/>
        </w:rPr>
        <w:t>Indemnification Claim Notice</w:t>
      </w:r>
      <w:r>
        <w:rPr>
          <w:rFonts w:ascii="Arial" w:cs="Arial" w:eastAsia="Arial" w:hAnsi="Arial"/>
          <w:sz w:val="19"/>
          <w:szCs w:val="19"/>
          <w:color w:val="auto"/>
        </w:rPr>
        <w:t>”) to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commencement of any Claim for which indemnification may be sought, or if earlier, upon the assertion of any such Claim by a Third Party (it being understood and agreed, however, that the failure by an Indemnified Party to give notice of a Claim of a Third Party as provided in this Section will not relieve the Indemnifying Party of its indemnification obligation under this Agreement except and only to the extent that such Indemnifying Party is actually prejudiced as a result of such failure to give notice). Each Indemnification Claim Notice will contain a description of the Claim and the nature and amount of the Loss (to the extent that the nature and amount of such Loss are known at such time). The Indemnified Party will furnish promptly to the Indemnifying Party copies of all papers and official documents received in respect of any Losses.</w:t>
      </w:r>
    </w:p>
    <w:p>
      <w:pPr>
        <w:spacing w:after="0" w:line="162" w:lineRule="exact"/>
        <w:rPr>
          <w:sz w:val="20"/>
          <w:szCs w:val="20"/>
          <w:color w:val="auto"/>
        </w:rPr>
      </w:pPr>
    </w:p>
    <w:p>
      <w:pPr>
        <w:ind w:right="40" w:firstLine="1620"/>
        <w:spacing w:after="0" w:line="272" w:lineRule="auto"/>
        <w:rPr>
          <w:sz w:val="20"/>
          <w:szCs w:val="20"/>
          <w:color w:val="auto"/>
        </w:rPr>
      </w:pPr>
      <w:r>
        <w:rPr>
          <w:rFonts w:ascii="Arial" w:cs="Arial" w:eastAsia="Arial" w:hAnsi="Arial"/>
          <w:sz w:val="19"/>
          <w:szCs w:val="19"/>
          <w:color w:val="auto"/>
        </w:rPr>
        <w:t xml:space="preserve">12.2.2 </w:t>
      </w:r>
      <w:r>
        <w:rPr>
          <w:rFonts w:ascii="Arial" w:cs="Arial" w:eastAsia="Arial" w:hAnsi="Arial"/>
          <w:sz w:val="19"/>
          <w:szCs w:val="19"/>
          <w:u w:val="single" w:color="auto"/>
          <w:color w:val="auto"/>
        </w:rPr>
        <w:t>Control of Defense</w:t>
      </w:r>
      <w:r>
        <w:rPr>
          <w:rFonts w:ascii="Arial" w:cs="Arial" w:eastAsia="Arial" w:hAnsi="Arial"/>
          <w:sz w:val="19"/>
          <w:szCs w:val="19"/>
          <w:color w:val="auto"/>
        </w:rPr>
        <w:t>. At its option, the Indemnifying Party may assume the defense of any Claim by giving written notice to the Indemnified Party within [**] after the Indemnifying Party’s receipt of an Indemnification Claim Notice. The assumption of the defense of a Claim by the Indemnifying Party will not be construed as an acknowledgment that the Indemnifying Party is liable to indemnify the Indemnified Party in respect of the Claim, nor will it constitute a waiver by the Indemnifying Party of any defenses it may assert against the Indemnified Party’s claim for indemnification. Upon assuming the defense of a Claim, the Indemnifying Party may appoint as lead counsel in the defense of the Claim any legal counsel selected by the Indemnifying Party. In the event the Indemnifying Party assumes the defense of a Claim, the Indemnified Party will promptly deliver to the Indemnifying Party all original notices and documents (including court papers) received by the Indemnified Party in connection with the Claim. Should the Indemnifying Party assume the defense of a Claim, the Indemnifying Party will not be liable to the Indemnified Party for any legal expenses subsequently incurred by such Indemnified Party in connection with the analysis, defense or settlement of such Claim.</w:t>
      </w:r>
    </w:p>
    <w:p>
      <w:pPr>
        <w:spacing w:after="0" w:line="200" w:lineRule="exact"/>
        <w:rPr>
          <w:sz w:val="20"/>
          <w:szCs w:val="20"/>
          <w:color w:val="auto"/>
        </w:rPr>
      </w:pPr>
    </w:p>
    <w:p>
      <w:pPr>
        <w:spacing w:after="0" w:line="209" w:lineRule="exact"/>
        <w:rPr>
          <w:sz w:val="20"/>
          <w:szCs w:val="20"/>
          <w:color w:val="auto"/>
        </w:rPr>
      </w:pPr>
    </w:p>
    <w:p>
      <w:pPr>
        <w:ind w:right="160" w:firstLine="1620"/>
        <w:spacing w:after="0" w:line="279" w:lineRule="auto"/>
        <w:rPr>
          <w:sz w:val="20"/>
          <w:szCs w:val="20"/>
          <w:color w:val="auto"/>
        </w:rPr>
      </w:pPr>
      <w:r>
        <w:rPr>
          <w:rFonts w:ascii="Arial" w:cs="Arial" w:eastAsia="Arial" w:hAnsi="Arial"/>
          <w:sz w:val="19"/>
          <w:szCs w:val="19"/>
          <w:color w:val="auto"/>
        </w:rPr>
        <w:t xml:space="preserve">12.2.3 </w:t>
      </w:r>
      <w:r>
        <w:rPr>
          <w:rFonts w:ascii="Arial" w:cs="Arial" w:eastAsia="Arial" w:hAnsi="Arial"/>
          <w:sz w:val="19"/>
          <w:szCs w:val="19"/>
          <w:u w:val="single" w:color="auto"/>
          <w:color w:val="auto"/>
        </w:rPr>
        <w:t>Right to Participate in Defense</w:t>
      </w:r>
      <w:r>
        <w:rPr>
          <w:rFonts w:ascii="Arial" w:cs="Arial" w:eastAsia="Arial" w:hAnsi="Arial"/>
          <w:sz w:val="19"/>
          <w:szCs w:val="19"/>
          <w:color w:val="auto"/>
        </w:rPr>
        <w:t xml:space="preserve">. Without limiting </w:t>
      </w:r>
      <w:r>
        <w:rPr>
          <w:rFonts w:ascii="Arial" w:cs="Arial" w:eastAsia="Arial" w:hAnsi="Arial"/>
          <w:sz w:val="19"/>
          <w:szCs w:val="19"/>
          <w:u w:val="single" w:color="auto"/>
          <w:color w:val="auto"/>
        </w:rPr>
        <w:t>Section 12.2.2</w:t>
      </w:r>
      <w:r>
        <w:rPr>
          <w:rFonts w:ascii="Arial" w:cs="Arial" w:eastAsia="Arial" w:hAnsi="Arial"/>
          <w:sz w:val="19"/>
          <w:szCs w:val="19"/>
          <w:color w:val="auto"/>
        </w:rPr>
        <w:t xml:space="preserve">, the Indemnified Party will be entitled to (a) participate in, but not control, the defense of such Claim and to engage counsel of its choice for such purpose; provided, however, that such engagement will be at the Indemnified Party’s own expense unless the engagement thereof has been specifically authorized by the Indemnifying Party in writing, and (b) control its defense of such Claim and to engage counsel of its choice for such purpose, at the expense of the Indemnifying Party, if the Indemnifying Party has failed to assume the defense and engage counsel in accordance with </w:t>
      </w:r>
      <w:r>
        <w:rPr>
          <w:rFonts w:ascii="Arial" w:cs="Arial" w:eastAsia="Arial" w:hAnsi="Arial"/>
          <w:sz w:val="19"/>
          <w:szCs w:val="19"/>
          <w:u w:val="single" w:color="auto"/>
          <w:color w:val="auto"/>
        </w:rPr>
        <w:t>Section 12.2.2</w:t>
      </w:r>
      <w:r>
        <w:rPr>
          <w:rFonts w:ascii="Arial" w:cs="Arial" w:eastAsia="Arial" w:hAnsi="Arial"/>
          <w:sz w:val="19"/>
          <w:szCs w:val="19"/>
          <w:color w:val="auto"/>
        </w:rPr>
        <w:t>.</w:t>
      </w:r>
    </w:p>
    <w:p>
      <w:pPr>
        <w:spacing w:after="0" w:line="151" w:lineRule="exact"/>
        <w:rPr>
          <w:sz w:val="20"/>
          <w:szCs w:val="20"/>
          <w:color w:val="auto"/>
        </w:rPr>
      </w:pPr>
    </w:p>
    <w:p>
      <w:pPr>
        <w:ind w:right="160" w:firstLine="1620"/>
        <w:spacing w:after="0" w:line="238" w:lineRule="auto"/>
        <w:rPr>
          <w:sz w:val="20"/>
          <w:szCs w:val="20"/>
          <w:color w:val="auto"/>
        </w:rPr>
      </w:pPr>
      <w:r>
        <w:rPr>
          <w:rFonts w:ascii="Arial" w:cs="Arial" w:eastAsia="Arial" w:hAnsi="Arial"/>
          <w:sz w:val="22"/>
          <w:szCs w:val="22"/>
          <w:color w:val="auto"/>
        </w:rPr>
        <w:t xml:space="preserve">12.2.4 </w:t>
      </w:r>
      <w:r>
        <w:rPr>
          <w:rFonts w:ascii="Arial" w:cs="Arial" w:eastAsia="Arial" w:hAnsi="Arial"/>
          <w:sz w:val="22"/>
          <w:szCs w:val="22"/>
          <w:u w:val="single" w:color="auto"/>
          <w:color w:val="auto"/>
        </w:rPr>
        <w:t>Settlement</w:t>
      </w:r>
      <w:r>
        <w:rPr>
          <w:rFonts w:ascii="Arial" w:cs="Arial" w:eastAsia="Arial" w:hAnsi="Arial"/>
          <w:sz w:val="22"/>
          <w:szCs w:val="22"/>
          <w:color w:val="auto"/>
        </w:rPr>
        <w:t>. With respect to any Losses related solely to payment of money damages in connection with a Claim and that will not result in the Indemnified Party admitting liability, becoming subject to injunctive or other equitable relief that will otherwise adversely affect the business of the Indemnified Party in any manner, and as to</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48" w:right="259" w:bottom="1440" w:gutter="0" w:footer="0" w:header="0"/>
        </w:sectPr>
      </w:pPr>
    </w:p>
    <w:bookmarkStart w:id="106" w:name="page107"/>
    <w:bookmarkEnd w:id="106"/>
    <w:p>
      <w:pPr>
        <w:spacing w:after="0" w:line="244" w:lineRule="auto"/>
        <w:rPr>
          <w:sz w:val="20"/>
          <w:szCs w:val="20"/>
          <w:color w:val="auto"/>
        </w:rPr>
      </w:pPr>
      <w:r>
        <w:rPr>
          <w:rFonts w:ascii="Arial" w:cs="Arial" w:eastAsia="Arial" w:hAnsi="Arial"/>
          <w:sz w:val="21"/>
          <w:szCs w:val="21"/>
          <w:color w:val="auto"/>
        </w:rPr>
        <w:t xml:space="preserve">which the Indemnifying Party will have acknowledged in writing the obligation to indemnify the Indemnified Party hereunder, the Indemnifying Party will have the sole right to consent to the entry of any judgment, enter into any settlement or otherwise dispose of such Loss, on such terms as the Indemnifying Party, in its sole discretion, will deem appropriate. With respect to all other Losses in connection with Claims, where the Indemnifying Party has assumed the defense of the Claim in accordance with </w:t>
      </w:r>
      <w:r>
        <w:rPr>
          <w:rFonts w:ascii="Arial" w:cs="Arial" w:eastAsia="Arial" w:hAnsi="Arial"/>
          <w:sz w:val="21"/>
          <w:szCs w:val="21"/>
          <w:u w:val="single" w:color="auto"/>
          <w:color w:val="auto"/>
        </w:rPr>
        <w:t>Section 12.2.2</w:t>
      </w:r>
      <w:r>
        <w:rPr>
          <w:rFonts w:ascii="Arial" w:cs="Arial" w:eastAsia="Arial" w:hAnsi="Arial"/>
          <w:sz w:val="21"/>
          <w:szCs w:val="21"/>
          <w:color w:val="auto"/>
        </w:rPr>
        <w:t>, the Indemnifying Party will have authority to consent to the entry of any judgment, enter into any settlement or otherwise dispose of such Loss provided it obtains the prior written consent of the Indemnified Party (which consent will not be unreasonably withheld, conditioned or delayed). The Indemnifying Party will not be liable for any settlement or other disposition of a Loss by the Indemnified Party that is reached without the written consent of the Indemnifying Party. Regardless of whether the Indemnifying Party chooses to defend or prosecute any Claim, the Indemnified Party will not admit any liability with respect to, or settle, compromise or discharge, any Claim without the prior written consent of the Indemnifying Party, not to be unreasonably withheld or delayed.</w:t>
      </w:r>
    </w:p>
    <w:p>
      <w:pPr>
        <w:spacing w:after="0" w:line="187" w:lineRule="exact"/>
        <w:rPr>
          <w:sz w:val="20"/>
          <w:szCs w:val="20"/>
          <w:color w:val="auto"/>
        </w:rPr>
      </w:pPr>
    </w:p>
    <w:p>
      <w:pPr>
        <w:ind w:right="20" w:firstLine="1620"/>
        <w:spacing w:after="0" w:line="245" w:lineRule="auto"/>
        <w:rPr>
          <w:sz w:val="20"/>
          <w:szCs w:val="20"/>
          <w:color w:val="auto"/>
        </w:rPr>
      </w:pPr>
      <w:r>
        <w:rPr>
          <w:rFonts w:ascii="Arial" w:cs="Arial" w:eastAsia="Arial" w:hAnsi="Arial"/>
          <w:sz w:val="21"/>
          <w:szCs w:val="21"/>
          <w:color w:val="auto"/>
        </w:rPr>
        <w:t xml:space="preserve">12.2.5 </w:t>
      </w:r>
      <w:r>
        <w:rPr>
          <w:rFonts w:ascii="Arial" w:cs="Arial" w:eastAsia="Arial" w:hAnsi="Arial"/>
          <w:sz w:val="21"/>
          <w:szCs w:val="21"/>
          <w:u w:val="single" w:color="auto"/>
          <w:color w:val="auto"/>
        </w:rPr>
        <w:t>Cooperation</w:t>
      </w:r>
      <w:r>
        <w:rPr>
          <w:rFonts w:ascii="Arial" w:cs="Arial" w:eastAsia="Arial" w:hAnsi="Arial"/>
          <w:sz w:val="21"/>
          <w:szCs w:val="21"/>
          <w:color w:val="auto"/>
        </w:rPr>
        <w:t>. Regardless of whether the Indemnifying Party chooses to defend or prosecute any Claim, the Indemnified Party will reasonably cooperate in the defense or prosecution thereof and will furnish such records, information and testimony, provide such witnesses and attend such conferences, discovery proceedings, hearings, trials and appeals as may be reasonably requested in connection therewith. Such cooperation will include access during normal business hours afforded to the Indemnifying Party to, and reasonable retention by the Indemnified Party of, records and information that are reasonably relevant to such Claim, and making employees and agents available on a mutually convenient basis to provide additional information and explanation of any material provided hereunder, and the Indemnifying Party will reimburse the Indemnified Party for all its reasonable out-of-pocket expenses in connection therewith.</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06" w:lineRule="exact"/>
        <w:rPr>
          <w:sz w:val="20"/>
          <w:szCs w:val="20"/>
          <w:color w:val="auto"/>
        </w:rPr>
      </w:pPr>
    </w:p>
    <w:p>
      <w:pPr>
        <w:ind w:firstLine="1620"/>
        <w:spacing w:after="0" w:line="273" w:lineRule="auto"/>
        <w:rPr>
          <w:sz w:val="20"/>
          <w:szCs w:val="20"/>
          <w:color w:val="auto"/>
        </w:rPr>
      </w:pPr>
      <w:r>
        <w:rPr>
          <w:rFonts w:ascii="Arial" w:cs="Arial" w:eastAsia="Arial" w:hAnsi="Arial"/>
          <w:sz w:val="19"/>
          <w:szCs w:val="19"/>
          <w:color w:val="auto"/>
        </w:rPr>
        <w:t xml:space="preserve">12.3.1 </w:t>
      </w: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Commencing as of the Effective Date and thereafter during the Development Term, and subject to </w:t>
      </w:r>
      <w:r>
        <w:rPr>
          <w:rFonts w:ascii="Arial" w:cs="Arial" w:eastAsia="Arial" w:hAnsi="Arial"/>
          <w:sz w:val="19"/>
          <w:szCs w:val="19"/>
          <w:u w:val="single" w:color="auto"/>
          <w:color w:val="auto"/>
        </w:rPr>
        <w:t>Section 12.3.2</w:t>
      </w:r>
      <w:r>
        <w:rPr>
          <w:rFonts w:ascii="Arial" w:cs="Arial" w:eastAsia="Arial" w:hAnsi="Arial"/>
          <w:sz w:val="19"/>
          <w:szCs w:val="19"/>
          <w:color w:val="auto"/>
        </w:rPr>
        <w:t xml:space="preserve"> below, Apellis will carry and maintain, at its own expense, insurance coverage of the kind and with liability limits that, at a minimum, satisfy the requirements of </w:t>
      </w:r>
      <w:r>
        <w:rPr>
          <w:rFonts w:ascii="Arial" w:cs="Arial" w:eastAsia="Arial" w:hAnsi="Arial"/>
          <w:sz w:val="19"/>
          <w:szCs w:val="19"/>
          <w:u w:val="single" w:color="auto"/>
          <w:color w:val="auto"/>
        </w:rPr>
        <w:t>Section 12.3.2</w:t>
      </w:r>
      <w:r>
        <w:rPr>
          <w:rFonts w:ascii="Arial" w:cs="Arial" w:eastAsia="Arial" w:hAnsi="Arial"/>
          <w:sz w:val="19"/>
          <w:szCs w:val="19"/>
          <w:color w:val="auto"/>
        </w:rPr>
        <w:t>, to protect itself and SFJ against any claims or liabilities that may arise from the conduct of the Trial and all other rights and obligations hereunder with insurers with a minimum “A-” A.M. Best rating. Any deductibles for such insurance policies will be assumed by Apellis. Such insurance policies will be primary and non-contributing with respect to any other similar insurance policies available to SFJ or its Affiliates. Prior to the Effective Date, and annually, at each anniversary of the Effective Date (unless, during such year, expiration of the applicable policy occurs first, in which case, on such expiration date), at SFJ’s written request Apellis will provide SFJ with documentation of such insurance coverage via original certificates of insurance, if applicable. Apellis will provide SFJ a minimum of [**] prior written notice to SFJ if it is unable to obtain appropriate insurance coverage or if its coverage is canceled, unable to be renewed or materially changed. For clarity,</w:t>
      </w:r>
    </w:p>
    <w:p>
      <w:pPr>
        <w:spacing w:after="0" w:line="129"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80"/>
          </w:cols>
          <w:pgMar w:left="1120" w:top="348" w:right="299" w:bottom="1440" w:gutter="0" w:footer="0" w:header="0"/>
        </w:sectPr>
      </w:pPr>
    </w:p>
    <w:bookmarkStart w:id="107" w:name="page108"/>
    <w:bookmarkEnd w:id="107"/>
    <w:p>
      <w:pPr>
        <w:ind w:left="880"/>
        <w:spacing w:after="0"/>
        <w:rPr>
          <w:sz w:val="20"/>
          <w:szCs w:val="20"/>
          <w:color w:val="auto"/>
        </w:rPr>
      </w:pPr>
      <w:r>
        <w:rPr>
          <w:rFonts w:ascii="Arial" w:cs="Arial" w:eastAsia="Arial" w:hAnsi="Arial"/>
          <w:sz w:val="22"/>
          <w:szCs w:val="22"/>
          <w:color w:val="auto"/>
        </w:rPr>
        <w:t>failure to maintain adequate insurance coverage does not relieve or reduce Apellis’ liability under this</w:t>
      </w:r>
    </w:p>
    <w:p>
      <w:pPr>
        <w:spacing w:after="0" w:line="8" w:lineRule="exact"/>
        <w:rPr>
          <w:sz w:val="20"/>
          <w:szCs w:val="20"/>
          <w:color w:val="auto"/>
        </w:rPr>
      </w:pPr>
    </w:p>
    <w:p>
      <w:pPr>
        <w:ind w:left="880" w:right="140"/>
        <w:spacing w:after="0" w:line="308" w:lineRule="auto"/>
        <w:rPr>
          <w:sz w:val="20"/>
          <w:szCs w:val="20"/>
          <w:color w:val="auto"/>
        </w:rPr>
      </w:pPr>
      <w:r>
        <w:rPr>
          <w:rFonts w:ascii="Arial" w:cs="Arial" w:eastAsia="Arial" w:hAnsi="Arial"/>
          <w:sz w:val="19"/>
          <w:szCs w:val="19"/>
          <w:color w:val="auto"/>
        </w:rPr>
        <w:t>Agreement. Apellis will ensure that no subcontractor, including any Permitted Third Party, will continue to perform the work unless such subcontractor is insured as deemed appropriate by the Party engaging the Permitted Third Party.</w:t>
      </w:r>
    </w:p>
    <w:p>
      <w:pPr>
        <w:spacing w:after="0" w:line="123" w:lineRule="exact"/>
        <w:rPr>
          <w:sz w:val="20"/>
          <w:szCs w:val="20"/>
          <w:color w:val="auto"/>
        </w:rPr>
      </w:pPr>
    </w:p>
    <w:p>
      <w:pPr>
        <w:ind w:left="880" w:right="120" w:firstLine="1620"/>
        <w:spacing w:after="0" w:line="236" w:lineRule="auto"/>
        <w:rPr>
          <w:sz w:val="20"/>
          <w:szCs w:val="20"/>
          <w:color w:val="auto"/>
        </w:rPr>
      </w:pPr>
      <w:r>
        <w:rPr>
          <w:rFonts w:ascii="Arial" w:cs="Arial" w:eastAsia="Arial" w:hAnsi="Arial"/>
          <w:sz w:val="22"/>
          <w:szCs w:val="22"/>
          <w:color w:val="auto"/>
        </w:rPr>
        <w:t xml:space="preserve">12.3.2 </w:t>
      </w:r>
      <w:r>
        <w:rPr>
          <w:rFonts w:ascii="Arial" w:cs="Arial" w:eastAsia="Arial" w:hAnsi="Arial"/>
          <w:sz w:val="22"/>
          <w:szCs w:val="22"/>
          <w:u w:val="single" w:color="auto"/>
          <w:color w:val="auto"/>
        </w:rPr>
        <w:t>Minimum Requirements</w:t>
      </w:r>
      <w:r>
        <w:rPr>
          <w:rFonts w:ascii="Arial" w:cs="Arial" w:eastAsia="Arial" w:hAnsi="Arial"/>
          <w:sz w:val="22"/>
          <w:szCs w:val="22"/>
          <w:color w:val="auto"/>
        </w:rPr>
        <w:t>. Commencing as of the start of the Trial and thereafter, during the Term (or longer if otherwise stated below), at a minimum, Apellis, will maintain the following types of insurance coverage at a minimum level that is the greater of (a) the highest minimum level required by Applicable Law in the countries in which the Trial and other obligations hereunder are being performed or (b) the following (to the extent different):</w:t>
      </w:r>
    </w:p>
    <w:p>
      <w:pPr>
        <w:spacing w:after="0" w:line="188" w:lineRule="exact"/>
        <w:rPr>
          <w:sz w:val="20"/>
          <w:szCs w:val="20"/>
          <w:color w:val="auto"/>
        </w:rPr>
      </w:pPr>
    </w:p>
    <w:p>
      <w:pPr>
        <w:ind w:left="2640"/>
        <w:spacing w:after="0"/>
        <w:tabs>
          <w:tab w:leader="none" w:pos="3980" w:val="left"/>
        </w:tabs>
        <w:rPr>
          <w:sz w:val="20"/>
          <w:szCs w:val="20"/>
          <w:color w:val="auto"/>
        </w:rPr>
      </w:pPr>
      <w:r>
        <w:rPr>
          <w:rFonts w:ascii="Arial" w:cs="Arial" w:eastAsia="Arial" w:hAnsi="Arial"/>
          <w:sz w:val="22"/>
          <w:szCs w:val="22"/>
          <w:color w:val="auto"/>
        </w:rPr>
        <w:t>12.3.2.1</w:t>
      </w:r>
      <w:r>
        <w:rPr>
          <w:sz w:val="20"/>
          <w:szCs w:val="20"/>
          <w:color w:val="auto"/>
        </w:rPr>
        <w:tab/>
      </w:r>
      <w:r>
        <w:rPr>
          <w:rFonts w:ascii="Arial" w:cs="Arial" w:eastAsia="Arial" w:hAnsi="Arial"/>
          <w:sz w:val="19"/>
          <w:szCs w:val="19"/>
          <w:u w:val="single" w:color="auto"/>
          <w:color w:val="auto"/>
        </w:rPr>
        <w:t>Commercial General Liability</w:t>
      </w:r>
      <w:r>
        <w:rPr>
          <w:rFonts w:ascii="Arial" w:cs="Arial" w:eastAsia="Arial" w:hAnsi="Arial"/>
          <w:sz w:val="19"/>
          <w:szCs w:val="19"/>
          <w:color w:val="auto"/>
        </w:rPr>
        <w:t>: [**] dollars ($[**]) per occurrence; [**] dollars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 Product and Completed Operations aggregate, including Premises &amp; Operations, Personal Injury, Product and Completed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Operations; [**] dollars ($[**]) combined single limit on all owned, non-owned and hired vehicles of Apellis.</w:t>
      </w:r>
    </w:p>
    <w:p>
      <w:pPr>
        <w:spacing w:after="0" w:line="188" w:lineRule="exact"/>
        <w:rPr>
          <w:sz w:val="20"/>
          <w:szCs w:val="20"/>
          <w:color w:val="auto"/>
        </w:rPr>
      </w:pPr>
    </w:p>
    <w:p>
      <w:pPr>
        <w:ind w:left="2640"/>
        <w:spacing w:after="0"/>
        <w:tabs>
          <w:tab w:leader="none" w:pos="3980" w:val="left"/>
        </w:tabs>
        <w:rPr>
          <w:sz w:val="20"/>
          <w:szCs w:val="20"/>
          <w:color w:val="auto"/>
        </w:rPr>
      </w:pPr>
      <w:r>
        <w:rPr>
          <w:rFonts w:ascii="Arial" w:cs="Arial" w:eastAsia="Arial" w:hAnsi="Arial"/>
          <w:sz w:val="22"/>
          <w:szCs w:val="22"/>
          <w:color w:val="auto"/>
        </w:rPr>
        <w:t>12.3.2.2</w:t>
      </w:r>
      <w:r>
        <w:rPr>
          <w:sz w:val="20"/>
          <w:szCs w:val="20"/>
          <w:color w:val="auto"/>
        </w:rPr>
        <w:tab/>
      </w:r>
      <w:r>
        <w:rPr>
          <w:rFonts w:ascii="Arial" w:cs="Arial" w:eastAsia="Arial" w:hAnsi="Arial"/>
          <w:sz w:val="19"/>
          <w:szCs w:val="19"/>
          <w:u w:val="single" w:color="auto"/>
          <w:color w:val="auto"/>
        </w:rPr>
        <w:t>Umbrella Excess Liability</w:t>
      </w:r>
      <w:r>
        <w:rPr>
          <w:rFonts w:ascii="Arial" w:cs="Arial" w:eastAsia="Arial" w:hAnsi="Arial"/>
          <w:sz w:val="19"/>
          <w:szCs w:val="19"/>
          <w:color w:val="auto"/>
        </w:rPr>
        <w:t>: [**] dollars ($[**]) per occurrence.</w:t>
      </w:r>
    </w:p>
    <w:p>
      <w:pPr>
        <w:spacing w:after="0" w:line="206" w:lineRule="exact"/>
        <w:rPr>
          <w:sz w:val="20"/>
          <w:szCs w:val="20"/>
          <w:color w:val="auto"/>
        </w:rPr>
      </w:pPr>
    </w:p>
    <w:p>
      <w:pPr>
        <w:ind w:firstLine="2634"/>
        <w:spacing w:after="0" w:line="238" w:lineRule="auto"/>
        <w:rPr>
          <w:sz w:val="20"/>
          <w:szCs w:val="20"/>
          <w:color w:val="auto"/>
        </w:rPr>
      </w:pPr>
      <w:r>
        <w:rPr>
          <w:rFonts w:ascii="Arial" w:cs="Arial" w:eastAsia="Arial" w:hAnsi="Arial"/>
          <w:sz w:val="22"/>
          <w:szCs w:val="22"/>
          <w:color w:val="auto"/>
        </w:rPr>
        <w:t xml:space="preserve">12.3.2.3 </w:t>
      </w:r>
      <w:r>
        <w:rPr>
          <w:rFonts w:ascii="Arial" w:cs="Arial" w:eastAsia="Arial" w:hAnsi="Arial"/>
          <w:sz w:val="22"/>
          <w:szCs w:val="22"/>
          <w:u w:val="single" w:color="auto"/>
          <w:color w:val="auto"/>
        </w:rPr>
        <w:t>Clinical Trial Liability</w:t>
      </w:r>
      <w:r>
        <w:rPr>
          <w:rFonts w:ascii="Arial" w:cs="Arial" w:eastAsia="Arial" w:hAnsi="Arial"/>
          <w:sz w:val="22"/>
          <w:szCs w:val="22"/>
          <w:color w:val="auto"/>
        </w:rPr>
        <w:t xml:space="preserve">: [**] dollars ($[**]) per occurrence. Apellis will obtain such Clinical Trial Liability insurance and SFJ will reimburse Apellis for the costs of obtaining such insurance,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reimbursement shall be included as Apellis Development Costs. Coverage must be maintained for at least [**] after the later of termination of this Agreement or release of the last Subject from the Trial.</w:t>
      </w:r>
    </w:p>
    <w:p>
      <w:pPr>
        <w:spacing w:after="0" w:line="185" w:lineRule="exact"/>
        <w:rPr>
          <w:sz w:val="20"/>
          <w:szCs w:val="20"/>
          <w:color w:val="auto"/>
        </w:rPr>
      </w:pPr>
    </w:p>
    <w:p>
      <w:pPr>
        <w:ind w:right="100" w:firstLine="2634"/>
        <w:spacing w:after="0" w:line="252" w:lineRule="auto"/>
        <w:rPr>
          <w:sz w:val="20"/>
          <w:szCs w:val="20"/>
          <w:color w:val="auto"/>
        </w:rPr>
      </w:pPr>
      <w:r>
        <w:rPr>
          <w:rFonts w:ascii="Arial" w:cs="Arial" w:eastAsia="Arial" w:hAnsi="Arial"/>
          <w:sz w:val="21"/>
          <w:szCs w:val="21"/>
          <w:color w:val="auto"/>
        </w:rPr>
        <w:t xml:space="preserve">12.3.2.4 </w:t>
      </w:r>
      <w:r>
        <w:rPr>
          <w:rFonts w:ascii="Arial" w:cs="Arial" w:eastAsia="Arial" w:hAnsi="Arial"/>
          <w:sz w:val="21"/>
          <w:szCs w:val="21"/>
          <w:u w:val="single" w:color="auto"/>
          <w:color w:val="auto"/>
        </w:rPr>
        <w:t>Professional Liability</w:t>
      </w:r>
      <w:r>
        <w:rPr>
          <w:rFonts w:ascii="Arial" w:cs="Arial" w:eastAsia="Arial" w:hAnsi="Arial"/>
          <w:sz w:val="21"/>
          <w:szCs w:val="21"/>
          <w:color w:val="auto"/>
        </w:rPr>
        <w:t>: Any subcontractor, including any Permitted Third Party, who provides professional services to Apellis for the Trial, will obtain Professional Liability Insurance in lieu of Clinical Trial Insurance, with a minimum limit of [**] dollars ($[**]) per occurrence. Coverage must be maintained for at least [**] after the later of (i) expiration or early termination of this Agreement and (ii) release of the last Subject from the Trial.</w:t>
      </w:r>
    </w:p>
    <w:p>
      <w:pPr>
        <w:spacing w:after="0" w:line="174" w:lineRule="exact"/>
        <w:rPr>
          <w:sz w:val="20"/>
          <w:szCs w:val="20"/>
          <w:color w:val="auto"/>
        </w:rPr>
      </w:pPr>
    </w:p>
    <w:p>
      <w:pPr>
        <w:ind w:left="880" w:right="160" w:firstLine="1620"/>
        <w:spacing w:after="0"/>
        <w:rPr>
          <w:sz w:val="20"/>
          <w:szCs w:val="20"/>
          <w:color w:val="auto"/>
        </w:rPr>
      </w:pPr>
      <w:r>
        <w:rPr>
          <w:rFonts w:ascii="Arial" w:cs="Arial" w:eastAsia="Arial" w:hAnsi="Arial"/>
          <w:sz w:val="22"/>
          <w:szCs w:val="22"/>
          <w:color w:val="auto"/>
        </w:rPr>
        <w:t xml:space="preserve">12.3.3 </w:t>
      </w:r>
      <w:r>
        <w:rPr>
          <w:rFonts w:ascii="Arial" w:cs="Arial" w:eastAsia="Arial" w:hAnsi="Arial"/>
          <w:sz w:val="22"/>
          <w:szCs w:val="22"/>
          <w:u w:val="single" w:color="auto"/>
          <w:color w:val="auto"/>
        </w:rPr>
        <w:t>Additional Insured</w:t>
      </w:r>
      <w:r>
        <w:rPr>
          <w:rFonts w:ascii="Arial" w:cs="Arial" w:eastAsia="Arial" w:hAnsi="Arial"/>
          <w:sz w:val="22"/>
          <w:szCs w:val="22"/>
          <w:color w:val="auto"/>
        </w:rPr>
        <w:t xml:space="preserve">. Apellis will include SFJ and its Affiliates as additional insured parties on Apellis’ Clinical Trial Liability insurance, as set forth in </w:t>
      </w:r>
      <w:r>
        <w:rPr>
          <w:rFonts w:ascii="Arial" w:cs="Arial" w:eastAsia="Arial" w:hAnsi="Arial"/>
          <w:sz w:val="22"/>
          <w:szCs w:val="22"/>
          <w:u w:val="single" w:color="auto"/>
          <w:color w:val="auto"/>
        </w:rPr>
        <w:t>Section 12.3.2.3</w:t>
      </w:r>
      <w:r>
        <w:rPr>
          <w:rFonts w:ascii="Arial" w:cs="Arial" w:eastAsia="Arial" w:hAnsi="Arial"/>
          <w:sz w:val="22"/>
          <w:szCs w:val="22"/>
          <w:color w:val="auto"/>
        </w:rPr>
        <w:t>, for the duration of the Trial and for [**] after the later of termination of this Agreement or release of the last Subject from the Trial.</w:t>
      </w:r>
    </w:p>
    <w:p>
      <w:pPr>
        <w:spacing w:after="0" w:line="186" w:lineRule="exact"/>
        <w:rPr>
          <w:sz w:val="20"/>
          <w:szCs w:val="20"/>
          <w:color w:val="auto"/>
        </w:rPr>
      </w:pPr>
    </w:p>
    <w:p>
      <w:pPr>
        <w:ind w:left="880" w:right="80" w:firstLine="1620"/>
        <w:spacing w:after="0" w:line="251" w:lineRule="auto"/>
        <w:rPr>
          <w:sz w:val="20"/>
          <w:szCs w:val="20"/>
          <w:color w:val="auto"/>
        </w:rPr>
      </w:pPr>
      <w:r>
        <w:rPr>
          <w:rFonts w:ascii="Arial" w:cs="Arial" w:eastAsia="Arial" w:hAnsi="Arial"/>
          <w:sz w:val="22"/>
          <w:szCs w:val="22"/>
          <w:color w:val="auto"/>
        </w:rPr>
        <w:t xml:space="preserve">12.3.4 </w:t>
      </w:r>
      <w:r>
        <w:rPr>
          <w:rFonts w:ascii="Arial" w:cs="Arial" w:eastAsia="Arial" w:hAnsi="Arial"/>
          <w:sz w:val="22"/>
          <w:szCs w:val="22"/>
          <w:u w:val="single" w:color="auto"/>
          <w:color w:val="auto"/>
        </w:rPr>
        <w:t>Product Liability Insurance.</w:t>
      </w:r>
      <w:r>
        <w:rPr>
          <w:rFonts w:ascii="Arial" w:cs="Arial" w:eastAsia="Arial" w:hAnsi="Arial"/>
          <w:sz w:val="22"/>
          <w:szCs w:val="22"/>
          <w:color w:val="auto"/>
        </w:rPr>
        <w:t xml:space="preserve"> Apellis will be responsible for maintaining product liability insurance related to the Commercialization of the Product at its expense.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22"/>
          <w:szCs w:val="22"/>
          <w:b w:val="1"/>
          <w:bCs w:val="1"/>
          <w:color w:val="auto"/>
        </w:rPr>
        <w:t>ARTICLE 13</w:t>
      </w:r>
    </w:p>
    <w:p>
      <w:pPr>
        <w:spacing w:after="0" w:line="233"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12"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Representations and Warranties of Both Parties</w:t>
      </w:r>
      <w:r>
        <w:rPr>
          <w:rFonts w:ascii="Arial" w:cs="Arial" w:eastAsia="Arial" w:hAnsi="Arial"/>
          <w:sz w:val="19"/>
          <w:szCs w:val="19"/>
          <w:color w:val="auto"/>
        </w:rPr>
        <w:t>.</w:t>
      </w:r>
    </w:p>
    <w:p>
      <w:pPr>
        <w:spacing w:after="0" w:line="206" w:lineRule="exact"/>
        <w:rPr>
          <w:sz w:val="20"/>
          <w:szCs w:val="20"/>
          <w:color w:val="auto"/>
        </w:rPr>
      </w:pPr>
    </w:p>
    <w:p>
      <w:pPr>
        <w:jc w:val="both"/>
        <w:ind w:left="880" w:right="100" w:firstLine="1620"/>
        <w:spacing w:after="0"/>
        <w:rPr>
          <w:sz w:val="20"/>
          <w:szCs w:val="20"/>
          <w:color w:val="auto"/>
        </w:rPr>
      </w:pPr>
      <w:r>
        <w:rPr>
          <w:rFonts w:ascii="Arial" w:cs="Arial" w:eastAsia="Arial" w:hAnsi="Arial"/>
          <w:sz w:val="22"/>
          <w:szCs w:val="22"/>
          <w:color w:val="auto"/>
        </w:rPr>
        <w:t>13.1.1 Each Party hereby represents and warrants that it has the requisite corporate power and authority to enter into this Agreement and that this Agreement constitutes a legal and valid obligation binding upon such Party, enforceable in accordance with its terms.</w:t>
      </w:r>
    </w:p>
    <w:p>
      <w:pPr>
        <w:spacing w:after="0" w:line="186" w:lineRule="exact"/>
        <w:rPr>
          <w:sz w:val="20"/>
          <w:szCs w:val="20"/>
          <w:color w:val="auto"/>
        </w:rPr>
      </w:pPr>
    </w:p>
    <w:p>
      <w:pPr>
        <w:ind w:left="880" w:right="380" w:firstLine="1620"/>
        <w:spacing w:after="0" w:line="251" w:lineRule="auto"/>
        <w:rPr>
          <w:sz w:val="20"/>
          <w:szCs w:val="20"/>
          <w:color w:val="auto"/>
        </w:rPr>
      </w:pPr>
      <w:r>
        <w:rPr>
          <w:rFonts w:ascii="Arial" w:cs="Arial" w:eastAsia="Arial" w:hAnsi="Arial"/>
          <w:sz w:val="22"/>
          <w:szCs w:val="22"/>
          <w:color w:val="auto"/>
        </w:rPr>
        <w:t>13.1.2 Each Party hereby represents and warrants that it is not a party to any agreement that would prevent it from fulfilling its obligations under this Agreement.</w:t>
      </w:r>
    </w:p>
    <w:p>
      <w:pPr>
        <w:spacing w:after="0" w:line="173" w:lineRule="exact"/>
        <w:rPr>
          <w:sz w:val="20"/>
          <w:szCs w:val="20"/>
          <w:color w:val="auto"/>
        </w:rPr>
      </w:pPr>
    </w:p>
    <w:p>
      <w:pPr>
        <w:ind w:left="880" w:right="160" w:firstLine="1620"/>
        <w:spacing w:after="0" w:line="236" w:lineRule="auto"/>
        <w:rPr>
          <w:sz w:val="20"/>
          <w:szCs w:val="20"/>
          <w:color w:val="auto"/>
        </w:rPr>
      </w:pPr>
      <w:r>
        <w:rPr>
          <w:rFonts w:ascii="Arial" w:cs="Arial" w:eastAsia="Arial" w:hAnsi="Arial"/>
          <w:sz w:val="22"/>
          <w:szCs w:val="22"/>
          <w:color w:val="auto"/>
        </w:rPr>
        <w:t xml:space="preserve">13.1.3 Each Party hereby represents and warrants that it has not and will not and will require that Permitted Third Parties of such Party will not directly or indirectly offer or pay, or authorize such offer or payment, of any money or anything of value to improperly or corruptly seek to influence any Government Official or any other person in order to gain an improper business advantage. Throughout the Term, each Party will comply with the anti-bribery and anti-corruption policies set forth in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88" w:lineRule="exact"/>
        <w:rPr>
          <w:sz w:val="20"/>
          <w:szCs w:val="20"/>
          <w:color w:val="auto"/>
        </w:rPr>
      </w:pPr>
    </w:p>
    <w:p>
      <w:pPr>
        <w:ind w:left="880" w:right="20" w:firstLine="1620"/>
        <w:spacing w:after="0" w:line="277" w:lineRule="auto"/>
        <w:rPr>
          <w:sz w:val="20"/>
          <w:szCs w:val="20"/>
          <w:color w:val="auto"/>
        </w:rPr>
      </w:pPr>
      <w:r>
        <w:rPr>
          <w:rFonts w:ascii="Arial" w:cs="Arial" w:eastAsia="Arial" w:hAnsi="Arial"/>
          <w:sz w:val="19"/>
          <w:szCs w:val="19"/>
          <w:color w:val="auto"/>
        </w:rPr>
        <w:t>13.1.4 Each Party certifies that neither it, nor its Affiliates, nor to its knowledge any Permitted Third Parties engaged by it to perform activities in relation to the Product are debarred under subsections 306(a) or (b) of the US Federal Food, Drug, and Cosmetic Act (US Generic Drug Enforcement Act of 1992; 21 USC 335a (a) or (b)), and that it has not and will not knowingly use in any capacity the services of any Person or Permitted Third Party debarred under this law to conduct the Trial. Each Party further certifies that neither it, nor any of its Affiliates are excluded from any federal health care program, including but not limited to Medicare and Medicaid. Each Party will notify the JSC immediately if either of these certifications needs to be amended in light of new information.</w:t>
      </w:r>
    </w:p>
    <w:p>
      <w:pPr>
        <w:spacing w:after="0" w:line="15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Additional Apellis Representations, Warranties and Covenants</w:t>
      </w:r>
      <w:r>
        <w:rPr>
          <w:rFonts w:ascii="Arial" w:cs="Arial" w:eastAsia="Arial" w:hAnsi="Arial"/>
          <w:sz w:val="19"/>
          <w:szCs w:val="19"/>
          <w:color w:val="auto"/>
        </w:rPr>
        <w:t>.</w:t>
      </w:r>
    </w:p>
    <w:p>
      <w:pPr>
        <w:spacing w:after="0" w:line="206"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13.2.1</w:t>
      </w:r>
      <w:r>
        <w:rPr>
          <w:sz w:val="20"/>
          <w:szCs w:val="20"/>
          <w:color w:val="auto"/>
        </w:rPr>
        <w:tab/>
      </w:r>
      <w:r>
        <w:rPr>
          <w:rFonts w:ascii="Arial" w:cs="Arial" w:eastAsia="Arial" w:hAnsi="Arial"/>
          <w:sz w:val="19"/>
          <w:szCs w:val="19"/>
          <w:u w:val="single" w:color="auto"/>
          <w:color w:val="auto"/>
        </w:rPr>
        <w:t>Licensure, Registration and Accreditation</w:t>
      </w:r>
      <w:r>
        <w:rPr>
          <w:rFonts w:ascii="Arial" w:cs="Arial" w:eastAsia="Arial" w:hAnsi="Arial"/>
          <w:sz w:val="19"/>
          <w:szCs w:val="19"/>
          <w:color w:val="auto"/>
        </w:rPr>
        <w:t>.</w:t>
      </w:r>
    </w:p>
    <w:p>
      <w:pPr>
        <w:spacing w:after="0" w:line="206" w:lineRule="exact"/>
        <w:rPr>
          <w:sz w:val="20"/>
          <w:szCs w:val="20"/>
          <w:color w:val="auto"/>
        </w:rPr>
      </w:pPr>
    </w:p>
    <w:p>
      <w:pPr>
        <w:ind w:firstLine="2634"/>
        <w:spacing w:after="0" w:line="246" w:lineRule="auto"/>
        <w:rPr>
          <w:sz w:val="20"/>
          <w:szCs w:val="20"/>
          <w:color w:val="auto"/>
        </w:rPr>
      </w:pPr>
      <w:r>
        <w:rPr>
          <w:rFonts w:ascii="Arial" w:cs="Arial" w:eastAsia="Arial" w:hAnsi="Arial"/>
          <w:sz w:val="21"/>
          <w:szCs w:val="21"/>
          <w:color w:val="auto"/>
        </w:rPr>
        <w:t>13.2.1.1 Apellis hereby represents and warrants that it is licensed, registered, or otherwise qualified in all material respects under all Applicable Laws to do business in each jurisdiction where such licenses, registrations or other qualifications are required. Apellis further represents and warrants that there has not been and covenants that there will not be during the Term any breach or default by Apellis under the Penn Other Fields License which has not been or will not be, as applicable, timely cured as permitted thereunder, and that the Penn Other Fields License is and shall continue to be in full force and effect during the Term, except to the extent that such a breach, default or failure as to the Penn Other Fields License would not have a material adverse effect on Apellis’ ability to satisfy its obligations under this Agreement. Apellis further covenants that it and its Permitted Third Parties have, or will have 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09" w:name="page110"/>
    <w:bookmarkEnd w:id="109"/>
    <w:p>
      <w:pPr>
        <w:ind w:right="260"/>
        <w:spacing w:after="0" w:line="251" w:lineRule="auto"/>
        <w:rPr>
          <w:sz w:val="20"/>
          <w:szCs w:val="20"/>
          <w:color w:val="auto"/>
        </w:rPr>
      </w:pPr>
      <w:r>
        <w:rPr>
          <w:rFonts w:ascii="Arial" w:cs="Arial" w:eastAsia="Arial" w:hAnsi="Arial"/>
          <w:sz w:val="22"/>
          <w:szCs w:val="22"/>
          <w:color w:val="auto"/>
        </w:rPr>
        <w:t>the required times, such certifications, permits, and authorizations as are required to conduct the Trial and perform any and all of their obligations in connection with the Trial.</w:t>
      </w:r>
    </w:p>
    <w:p>
      <w:pPr>
        <w:spacing w:after="0" w:line="173" w:lineRule="exact"/>
        <w:rPr>
          <w:sz w:val="20"/>
          <w:szCs w:val="20"/>
          <w:color w:val="auto"/>
        </w:rPr>
      </w:pPr>
    </w:p>
    <w:p>
      <w:pPr>
        <w:ind w:left="880" w:right="220" w:firstLine="1620"/>
        <w:spacing w:after="0" w:line="279" w:lineRule="auto"/>
        <w:rPr>
          <w:sz w:val="20"/>
          <w:szCs w:val="20"/>
          <w:color w:val="auto"/>
        </w:rPr>
      </w:pPr>
      <w:r>
        <w:rPr>
          <w:rFonts w:ascii="Arial" w:cs="Arial" w:eastAsia="Arial" w:hAnsi="Arial"/>
          <w:sz w:val="19"/>
          <w:szCs w:val="19"/>
          <w:color w:val="auto"/>
        </w:rPr>
        <w:t xml:space="preserve">13.2.2 </w:t>
      </w:r>
      <w:r>
        <w:rPr>
          <w:rFonts w:ascii="Arial" w:cs="Arial" w:eastAsia="Arial" w:hAnsi="Arial"/>
          <w:sz w:val="19"/>
          <w:szCs w:val="19"/>
          <w:u w:val="single" w:color="auto"/>
          <w:color w:val="auto"/>
        </w:rPr>
        <w:t>Disclosure of Regulatory Notices and Communications</w:t>
      </w:r>
      <w:r>
        <w:rPr>
          <w:rFonts w:ascii="Arial" w:cs="Arial" w:eastAsia="Arial" w:hAnsi="Arial"/>
          <w:sz w:val="19"/>
          <w:szCs w:val="19"/>
          <w:color w:val="auto"/>
        </w:rPr>
        <w:t>. Apellis hereby represents and warrants that, as of [**] prior to the Effective Date, the regulatory communications and, if any, notices of inspection, inspection reports, warning letters and deficiency letters related to the Product made available by Apellis in the Data Room were true and complete copies of such documents. To the knowledge of Apellis, such documents comprise all material written regulatory communications related to Trial design or the chemistry, manufacturing or controls of the Product from the FDA or the EMA in the possession of Apellis as of [**] prior to the Effective Date.</w:t>
      </w:r>
    </w:p>
    <w:p>
      <w:pPr>
        <w:spacing w:after="0" w:line="151" w:lineRule="exact"/>
        <w:rPr>
          <w:sz w:val="20"/>
          <w:szCs w:val="20"/>
          <w:color w:val="auto"/>
        </w:rPr>
      </w:pPr>
    </w:p>
    <w:p>
      <w:pPr>
        <w:ind w:left="880" w:right="160" w:firstLine="1620"/>
        <w:spacing w:after="0"/>
        <w:rPr>
          <w:sz w:val="20"/>
          <w:szCs w:val="20"/>
          <w:color w:val="auto"/>
        </w:rPr>
      </w:pPr>
      <w:r>
        <w:rPr>
          <w:rFonts w:ascii="Arial" w:cs="Arial" w:eastAsia="Arial" w:hAnsi="Arial"/>
          <w:sz w:val="22"/>
          <w:szCs w:val="22"/>
          <w:color w:val="auto"/>
        </w:rPr>
        <w:t xml:space="preserve">13.2.3 </w:t>
      </w:r>
      <w:r>
        <w:rPr>
          <w:rFonts w:ascii="Arial" w:cs="Arial" w:eastAsia="Arial" w:hAnsi="Arial"/>
          <w:sz w:val="22"/>
          <w:szCs w:val="22"/>
          <w:u w:val="single" w:color="auto"/>
          <w:color w:val="auto"/>
        </w:rPr>
        <w:t>CRO Inquiry</w:t>
      </w:r>
      <w:r>
        <w:rPr>
          <w:rFonts w:ascii="Arial" w:cs="Arial" w:eastAsia="Arial" w:hAnsi="Arial"/>
          <w:sz w:val="22"/>
          <w:szCs w:val="22"/>
          <w:color w:val="auto"/>
        </w:rPr>
        <w:t>. Apellis hereby represents and warrants that, up to and as at the Effective Date, after due inquiry to its CRO responsible for conducting the Trial, Apellis has not received any verbal or written notice of the occurrence of any Serious Safety Issue in the Trial.</w:t>
      </w:r>
    </w:p>
    <w:p>
      <w:pPr>
        <w:spacing w:after="0" w:line="186" w:lineRule="exact"/>
        <w:rPr>
          <w:sz w:val="20"/>
          <w:szCs w:val="20"/>
          <w:color w:val="auto"/>
        </w:rPr>
      </w:pPr>
    </w:p>
    <w:p>
      <w:pPr>
        <w:ind w:left="880" w:right="20" w:firstLine="1620"/>
        <w:spacing w:after="0" w:line="275" w:lineRule="auto"/>
        <w:rPr>
          <w:sz w:val="20"/>
          <w:szCs w:val="20"/>
          <w:color w:val="auto"/>
        </w:rPr>
      </w:pPr>
      <w:r>
        <w:rPr>
          <w:rFonts w:ascii="Arial" w:cs="Arial" w:eastAsia="Arial" w:hAnsi="Arial"/>
          <w:sz w:val="19"/>
          <w:szCs w:val="19"/>
          <w:color w:val="auto"/>
        </w:rPr>
        <w:t xml:space="preserve">13.2.4 </w:t>
      </w:r>
      <w:r>
        <w:rPr>
          <w:rFonts w:ascii="Arial" w:cs="Arial" w:eastAsia="Arial" w:hAnsi="Arial"/>
          <w:sz w:val="19"/>
          <w:szCs w:val="19"/>
          <w:u w:val="single" w:color="auto"/>
          <w:color w:val="auto"/>
        </w:rPr>
        <w:t>Apellis Data Provided as of the Effective Date</w:t>
      </w:r>
      <w:r>
        <w:rPr>
          <w:rFonts w:ascii="Arial" w:cs="Arial" w:eastAsia="Arial" w:hAnsi="Arial"/>
          <w:sz w:val="19"/>
          <w:szCs w:val="19"/>
          <w:color w:val="auto"/>
        </w:rPr>
        <w:t>. Apellis hereby represents and warrants that, up to and as of the Effective Date, (i) the CMC Information set forth in the Data Room is accurate in all material respects, (ii) the descriptions of, protocols for, and data and other results of, the clinical trials of the Product for PNH conducted by or on behalf of Apellis set forth in the Data Room are accurate and complete in all material respects and there are no material omissions from such documents, data and other results that render such documents, data or other results materially misleading and (iii) the summaries of primary data regarding the Product and the Comparators set forth in the Data Room are accurate and complete in all material respects, and there are no material omissions from such summaries as so presented that render such summaries materially misleading.</w:t>
      </w:r>
    </w:p>
    <w:p>
      <w:pPr>
        <w:spacing w:after="0" w:line="158" w:lineRule="exact"/>
        <w:rPr>
          <w:sz w:val="20"/>
          <w:szCs w:val="20"/>
          <w:color w:val="auto"/>
        </w:rPr>
      </w:pPr>
    </w:p>
    <w:p>
      <w:pPr>
        <w:ind w:right="140" w:firstLine="877"/>
        <w:spacing w:after="0"/>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Outstanding Indebtedness</w:t>
      </w:r>
      <w:r>
        <w:rPr>
          <w:rFonts w:ascii="Arial" w:cs="Arial" w:eastAsia="Arial" w:hAnsi="Arial"/>
          <w:sz w:val="22"/>
          <w:szCs w:val="22"/>
          <w:color w:val="auto"/>
        </w:rPr>
        <w:t>. Apellis hereby represents and warrants that, as at the Effective Date, Apellis and its subsidiaries have no indebtedness for borrowed money other than indebtedness under the SVB Loan Agreement and the GDP Note.</w:t>
      </w:r>
    </w:p>
    <w:p>
      <w:pPr>
        <w:spacing w:after="0" w:line="18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SFJ Representation, Warranty and Covenant</w:t>
      </w:r>
      <w:r>
        <w:rPr>
          <w:rFonts w:ascii="Arial" w:cs="Arial" w:eastAsia="Arial" w:hAnsi="Arial"/>
          <w:sz w:val="22"/>
          <w:szCs w:val="22"/>
          <w:color w:val="auto"/>
        </w:rPr>
        <w:t>. SFJ hereby represents, warrants and covenants that it will have, as and when needed, sufficient funds to satisfy its obligations hereunder.</w:t>
      </w:r>
    </w:p>
    <w:p>
      <w:pPr>
        <w:spacing w:after="0" w:line="17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u w:val="single" w:color="auto"/>
          <w:color w:val="auto"/>
        </w:rPr>
        <w:t>DISCLAIMER OF REPRESENTATIONS AND WARRANTIES</w:t>
      </w:r>
      <w:r>
        <w:rPr>
          <w:rFonts w:ascii="Arial" w:cs="Arial" w:eastAsia="Arial" w:hAnsi="Arial"/>
          <w:sz w:val="19"/>
          <w:szCs w:val="19"/>
          <w:color w:val="auto"/>
        </w:rPr>
        <w:t>.</w:t>
      </w:r>
    </w:p>
    <w:p>
      <w:pPr>
        <w:spacing w:after="0" w:line="206" w:lineRule="exact"/>
        <w:rPr>
          <w:sz w:val="20"/>
          <w:szCs w:val="20"/>
          <w:color w:val="auto"/>
        </w:rPr>
      </w:pPr>
    </w:p>
    <w:p>
      <w:pPr>
        <w:ind w:left="880" w:right="20" w:firstLine="1620"/>
        <w:spacing w:after="0" w:line="235" w:lineRule="auto"/>
        <w:rPr>
          <w:sz w:val="20"/>
          <w:szCs w:val="20"/>
          <w:color w:val="auto"/>
        </w:rPr>
      </w:pPr>
      <w:r>
        <w:rPr>
          <w:rFonts w:ascii="Arial" w:cs="Arial" w:eastAsia="Arial" w:hAnsi="Arial"/>
          <w:sz w:val="22"/>
          <w:szCs w:val="22"/>
          <w:color w:val="auto"/>
        </w:rPr>
        <w:t>13.5.1 Each Party hereby agrees and understands that because the Trial and the Product are experimental in nature, the outcome is inherently uncertain and unpredictable. Each Party hereby agrees and understands that the other Party makes no representation, guarantee or warranty, express or implied, regarding the outcome of the Trials (including achievement of Trial Success), any Research Results generated after the Effective Date, the ability to obtain Regulatory Approval or the patentability, legal protectability or usefulness of any Intellectual Property arising from the Trial.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10" w:name="page111"/>
    <w:bookmarkEnd w:id="110"/>
    <w:p>
      <w:pPr>
        <w:ind w:left="880" w:right="220" w:firstLine="1620"/>
        <w:spacing w:after="0" w:line="279" w:lineRule="auto"/>
        <w:rPr>
          <w:sz w:val="20"/>
          <w:szCs w:val="20"/>
          <w:color w:val="auto"/>
        </w:rPr>
      </w:pPr>
      <w:r>
        <w:rPr>
          <w:rFonts w:ascii="Arial" w:cs="Arial" w:eastAsia="Arial" w:hAnsi="Arial"/>
          <w:sz w:val="19"/>
          <w:szCs w:val="19"/>
          <w:color w:val="auto"/>
        </w:rPr>
        <w:t>13.5.2 EXCEPT AS OTHERWISE SET FORTH IN THIS ARTICLE 13, NEITHER PARTY MAKES, AND EACH PARTY EXPRESSLY DISCLAIMS, ANY REPRESENTATION OR WARRANTY OF ANY KIND WITH RESPECT TO THE SUBJECT MATTER OF THIS AGREEMENT, EITHER ORAL OR WRITTEN, EXPRESS, IMPLIED, STATUTORY OR OTHERWISE, INCLUDING ANY REPRESENTATION OR WARRANTY THAT THE USE OF THE PRODUCT WILL NOT INFRINGE ANY PATENT OR OTHER PROPRIETARY RIGHT OF A THIRD PARTY OR REGARDING THE USE, RESULTS OR EFFICACY OF THE PRODUCT.</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14</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TERM AND TERMINATION</w:t>
      </w:r>
    </w:p>
    <w:p>
      <w:pPr>
        <w:spacing w:after="0" w:line="212"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will commence on the Effective Date and will expire upon the earliest of (i) termination of this Agreement in accordance with </w:t>
      </w:r>
      <w:r>
        <w:rPr>
          <w:rFonts w:ascii="Arial" w:cs="Arial" w:eastAsia="Arial" w:hAnsi="Arial"/>
          <w:sz w:val="22"/>
          <w:szCs w:val="22"/>
          <w:u w:val="single" w:color="auto"/>
          <w:color w:val="auto"/>
        </w:rPr>
        <w:t>Section 14.2</w:t>
      </w:r>
      <w:r>
        <w:rPr>
          <w:rFonts w:ascii="Arial" w:cs="Arial" w:eastAsia="Arial" w:hAnsi="Arial"/>
          <w:sz w:val="22"/>
          <w:szCs w:val="22"/>
          <w:color w:val="auto"/>
        </w:rPr>
        <w:t xml:space="preserve">, (ii) the occurrence of both (a) the date of payment of the final US Approval Payment in the event of Regulatory Approval from the FDA and (b) the date of payment of the final EU Approval Payment in the event of Regulatory Approval from the EMA, and (iii) the date of payment of the final Buy-Out Payment which may become due pursuant to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18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14.2.1</w:t>
      </w:r>
      <w:r>
        <w:rPr>
          <w:sz w:val="20"/>
          <w:szCs w:val="20"/>
          <w:color w:val="auto"/>
        </w:rPr>
        <w:tab/>
      </w:r>
      <w:r>
        <w:rPr>
          <w:rFonts w:ascii="Arial" w:cs="Arial" w:eastAsia="Arial" w:hAnsi="Arial"/>
          <w:sz w:val="19"/>
          <w:szCs w:val="19"/>
          <w:u w:val="single" w:color="auto"/>
          <w:color w:val="auto"/>
        </w:rPr>
        <w:t>Termination for Breach</w:t>
      </w:r>
      <w:r>
        <w:rPr>
          <w:rFonts w:ascii="Arial" w:cs="Arial" w:eastAsia="Arial" w:hAnsi="Arial"/>
          <w:sz w:val="19"/>
          <w:szCs w:val="19"/>
          <w:color w:val="auto"/>
        </w:rPr>
        <w:t>.</w:t>
      </w:r>
    </w:p>
    <w:p>
      <w:pPr>
        <w:spacing w:after="0" w:line="206" w:lineRule="exact"/>
        <w:rPr>
          <w:sz w:val="20"/>
          <w:szCs w:val="20"/>
          <w:color w:val="auto"/>
        </w:rPr>
      </w:pPr>
    </w:p>
    <w:p>
      <w:pPr>
        <w:ind w:firstLine="2634"/>
        <w:spacing w:after="0" w:line="238" w:lineRule="auto"/>
        <w:rPr>
          <w:sz w:val="20"/>
          <w:szCs w:val="20"/>
          <w:color w:val="auto"/>
        </w:rPr>
      </w:pPr>
      <w:r>
        <w:rPr>
          <w:rFonts w:ascii="Arial" w:cs="Arial" w:eastAsia="Arial" w:hAnsi="Arial"/>
          <w:sz w:val="22"/>
          <w:szCs w:val="22"/>
          <w:color w:val="auto"/>
        </w:rPr>
        <w:t xml:space="preserve">14.2.1.1 SFJ may terminate this Agreement immediately in the event of a Fundamental Breach by Apellis;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SFJ shall provide written notice to Apellis of the alleged Fundamental Breach by Apellis, specifying in reasonable detail the particulars of the alleged Fundamental Breach by Apellis, and such alleged Fundamental Breach by Apellis has not been cured within [**] after the date of the relevant notice.</w:t>
      </w:r>
    </w:p>
    <w:p>
      <w:pPr>
        <w:spacing w:after="0" w:line="185" w:lineRule="exact"/>
        <w:rPr>
          <w:sz w:val="20"/>
          <w:szCs w:val="20"/>
          <w:color w:val="auto"/>
        </w:rPr>
      </w:pPr>
    </w:p>
    <w:p>
      <w:pPr>
        <w:ind w:right="80" w:firstLine="2634"/>
        <w:spacing w:after="0" w:line="234" w:lineRule="auto"/>
        <w:rPr>
          <w:sz w:val="20"/>
          <w:szCs w:val="20"/>
          <w:color w:val="auto"/>
        </w:rPr>
      </w:pPr>
      <w:r>
        <w:rPr>
          <w:rFonts w:ascii="Arial" w:cs="Arial" w:eastAsia="Arial" w:hAnsi="Arial"/>
          <w:sz w:val="22"/>
          <w:szCs w:val="22"/>
          <w:color w:val="auto"/>
        </w:rPr>
        <w:t xml:space="preserve">14.2.1.2 Either Party may terminate this Agreement immediately in the event of a material breach of this Agreement by the other Party other than a Fundamental Breach by Apellis;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breaching Party has received written notice from the non-breaching Party of such breach, specifying in the reasonable detail the particulars of the alleged breach and such breach has not been cured within (a) in the case of a breach of Apellis’ obligations to make Approval Payments, [**] after the date such Approval Payment is due and payable or (b) in all other cases, [**] after the date of the relevant notice. The non-breaching Party shall have the right to pursue remedies it may have at law or equity, including the right to seek damages from the breaching Party.</w:t>
      </w:r>
    </w:p>
    <w:p>
      <w:pPr>
        <w:spacing w:after="0" w:line="191" w:lineRule="exact"/>
        <w:rPr>
          <w:sz w:val="20"/>
          <w:szCs w:val="20"/>
          <w:color w:val="auto"/>
        </w:rPr>
      </w:pPr>
    </w:p>
    <w:p>
      <w:pPr>
        <w:ind w:left="880" w:right="20" w:firstLine="1620"/>
        <w:spacing w:after="0" w:line="251" w:lineRule="auto"/>
        <w:rPr>
          <w:sz w:val="20"/>
          <w:szCs w:val="20"/>
          <w:color w:val="auto"/>
        </w:rPr>
      </w:pPr>
      <w:r>
        <w:rPr>
          <w:rFonts w:ascii="Arial" w:cs="Arial" w:eastAsia="Arial" w:hAnsi="Arial"/>
          <w:sz w:val="22"/>
          <w:szCs w:val="22"/>
          <w:color w:val="auto"/>
        </w:rPr>
        <w:t xml:space="preserve">14.2.2 </w:t>
      </w:r>
      <w:r>
        <w:rPr>
          <w:rFonts w:ascii="Arial" w:cs="Arial" w:eastAsia="Arial" w:hAnsi="Arial"/>
          <w:sz w:val="22"/>
          <w:szCs w:val="22"/>
          <w:u w:val="single" w:color="auto"/>
          <w:color w:val="auto"/>
        </w:rPr>
        <w:t>Termination for Material Adverse Event</w:t>
      </w:r>
      <w:r>
        <w:rPr>
          <w:rFonts w:ascii="Arial" w:cs="Arial" w:eastAsia="Arial" w:hAnsi="Arial"/>
          <w:sz w:val="22"/>
          <w:szCs w:val="22"/>
          <w:color w:val="auto"/>
        </w:rPr>
        <w:t>. SFJ may terminate this Agreement at any time in the event of a Material Adverse Event.</w:t>
      </w:r>
    </w:p>
    <w:p>
      <w:pPr>
        <w:spacing w:after="0" w:line="173"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14.2.3</w:t>
      </w:r>
      <w:r>
        <w:rPr>
          <w:sz w:val="20"/>
          <w:szCs w:val="20"/>
          <w:color w:val="auto"/>
        </w:rPr>
        <w:tab/>
      </w:r>
      <w:r>
        <w:rPr>
          <w:rFonts w:ascii="Arial" w:cs="Arial" w:eastAsia="Arial" w:hAnsi="Arial"/>
          <w:sz w:val="19"/>
          <w:szCs w:val="19"/>
          <w:u w:val="single" w:color="auto"/>
          <w:color w:val="auto"/>
        </w:rPr>
        <w:t>Termination for Failure to Receive Regulatory Approval</w:t>
      </w:r>
      <w:r>
        <w:rPr>
          <w:rFonts w:ascii="Arial" w:cs="Arial" w:eastAsia="Arial" w:hAnsi="Arial"/>
          <w:sz w:val="19"/>
          <w:szCs w:val="19"/>
          <w:color w:val="auto"/>
        </w:rPr>
        <w:t>.</w:t>
      </w:r>
    </w:p>
    <w:p>
      <w:pPr>
        <w:spacing w:after="0" w:line="206" w:lineRule="exact"/>
        <w:rPr>
          <w:sz w:val="20"/>
          <w:szCs w:val="20"/>
          <w:color w:val="auto"/>
        </w:rPr>
      </w:pPr>
    </w:p>
    <w:p>
      <w:pPr>
        <w:ind w:right="680" w:firstLine="2634"/>
        <w:spacing w:after="0" w:line="251" w:lineRule="auto"/>
        <w:rPr>
          <w:sz w:val="20"/>
          <w:szCs w:val="20"/>
          <w:color w:val="auto"/>
        </w:rPr>
      </w:pPr>
      <w:r>
        <w:rPr>
          <w:rFonts w:ascii="Arial" w:cs="Arial" w:eastAsia="Arial" w:hAnsi="Arial"/>
          <w:sz w:val="22"/>
          <w:szCs w:val="22"/>
          <w:color w:val="auto"/>
        </w:rPr>
        <w:t>14.2.3.1 This Agreement will, upon written notice from either Party to the other Party, terminate with no further action from either Party if the Product has failed to</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111" w:name="page112"/>
    <w:bookmarkEnd w:id="111"/>
    <w:p>
      <w:pPr>
        <w:ind w:right="120"/>
        <w:spacing w:after="0" w:line="287" w:lineRule="auto"/>
        <w:rPr>
          <w:sz w:val="20"/>
          <w:szCs w:val="20"/>
          <w:color w:val="auto"/>
        </w:rPr>
      </w:pPr>
      <w:r>
        <w:rPr>
          <w:rFonts w:ascii="Arial" w:cs="Arial" w:eastAsia="Arial" w:hAnsi="Arial"/>
          <w:sz w:val="19"/>
          <w:szCs w:val="19"/>
          <w:color w:val="auto"/>
        </w:rPr>
        <w:t xml:space="preserve">receive Regulatory Approval from both the FDA and the EMA after completion of the Trial, submission by Apellis of applications for Regulatory Approval to the FDA and the EMA and after Commercially Reasonable Efforts by Apellis to obtain such Regulatory Approvals based on such submitted applications. For the avoidance of doubt, if Regulatory Approval is received from either the FDA or the EMA, then this Agreement shall not be terminated pursuant to this </w:t>
      </w:r>
      <w:r>
        <w:rPr>
          <w:rFonts w:ascii="Arial" w:cs="Arial" w:eastAsia="Arial" w:hAnsi="Arial"/>
          <w:sz w:val="19"/>
          <w:szCs w:val="19"/>
          <w:u w:val="single" w:color="auto"/>
          <w:color w:val="auto"/>
        </w:rPr>
        <w:t>Section 14.2.3.1</w:t>
      </w:r>
      <w:r>
        <w:rPr>
          <w:rFonts w:ascii="Arial" w:cs="Arial" w:eastAsia="Arial" w:hAnsi="Arial"/>
          <w:sz w:val="19"/>
          <w:szCs w:val="19"/>
          <w:color w:val="auto"/>
        </w:rPr>
        <w:t>.</w:t>
      </w:r>
    </w:p>
    <w:p>
      <w:pPr>
        <w:spacing w:after="0" w:line="143" w:lineRule="exact"/>
        <w:rPr>
          <w:sz w:val="20"/>
          <w:szCs w:val="20"/>
          <w:color w:val="auto"/>
        </w:rPr>
      </w:pPr>
    </w:p>
    <w:p>
      <w:pPr>
        <w:ind w:right="20" w:firstLine="2634"/>
        <w:spacing w:after="0" w:line="276" w:lineRule="auto"/>
        <w:rPr>
          <w:sz w:val="20"/>
          <w:szCs w:val="20"/>
          <w:color w:val="auto"/>
        </w:rPr>
      </w:pPr>
      <w:r>
        <w:rPr>
          <w:rFonts w:ascii="Arial" w:cs="Arial" w:eastAsia="Arial" w:hAnsi="Arial"/>
          <w:sz w:val="19"/>
          <w:szCs w:val="19"/>
          <w:color w:val="auto"/>
        </w:rPr>
        <w:t>14.2.3.2 This Agreement will, upon written notice from either Party to the other Party, terminate with no further action from either Party if either (1) the primary endpoint in the PEGASUS Trial has not been achieved or</w:t>
      </w:r>
    </w:p>
    <w:p>
      <w:pPr>
        <w:spacing w:after="0" w:line="2" w:lineRule="exact"/>
        <w:rPr>
          <w:sz w:val="20"/>
          <w:szCs w:val="20"/>
          <w:color w:val="auto"/>
        </w:rPr>
      </w:pPr>
    </w:p>
    <w:p>
      <w:pPr>
        <w:ind w:right="140" w:firstLine="8"/>
        <w:spacing w:after="0" w:line="233" w:lineRule="auto"/>
        <w:tabs>
          <w:tab w:leader="none" w:pos="306"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the mutual agreement of Apellis and SFJ that the Research Results do not support Regulatory Approval and that an application for Regulatory Approval shall not be submitted to either the FDA or the EMA. For avoidance of doubt, if an application for Regulatory Approval is submitted to one, but not both, of FDA or the EMA, then this Agreement shall not be terminated pursuant to this </w:t>
      </w:r>
      <w:r>
        <w:rPr>
          <w:rFonts w:ascii="Arial" w:cs="Arial" w:eastAsia="Arial" w:hAnsi="Arial"/>
          <w:sz w:val="22"/>
          <w:szCs w:val="22"/>
          <w:u w:val="single" w:color="auto"/>
          <w:color w:val="auto"/>
        </w:rPr>
        <w:t>Section 14.2.3.2</w:t>
      </w:r>
      <w:r>
        <w:rPr>
          <w:rFonts w:ascii="Arial" w:cs="Arial" w:eastAsia="Arial" w:hAnsi="Arial"/>
          <w:sz w:val="22"/>
          <w:szCs w:val="22"/>
          <w:color w:val="auto"/>
        </w:rPr>
        <w:t>.</w:t>
      </w:r>
    </w:p>
    <w:p>
      <w:pPr>
        <w:spacing w:after="0" w:line="188" w:lineRule="exact"/>
        <w:rPr>
          <w:sz w:val="20"/>
          <w:szCs w:val="20"/>
          <w:color w:val="auto"/>
        </w:rPr>
      </w:pPr>
    </w:p>
    <w:p>
      <w:pPr>
        <w:ind w:left="880" w:right="140" w:firstLine="1620"/>
        <w:spacing w:after="0" w:line="248" w:lineRule="auto"/>
        <w:rPr>
          <w:sz w:val="20"/>
          <w:szCs w:val="20"/>
          <w:color w:val="auto"/>
        </w:rPr>
      </w:pPr>
      <w:r>
        <w:rPr>
          <w:rFonts w:ascii="Arial" w:cs="Arial" w:eastAsia="Arial" w:hAnsi="Arial"/>
          <w:sz w:val="21"/>
          <w:szCs w:val="21"/>
          <w:color w:val="auto"/>
        </w:rPr>
        <w:t xml:space="preserve">14.2.4 </w:t>
      </w:r>
      <w:r>
        <w:rPr>
          <w:rFonts w:ascii="Arial" w:cs="Arial" w:eastAsia="Arial" w:hAnsi="Arial"/>
          <w:sz w:val="21"/>
          <w:szCs w:val="21"/>
          <w:u w:val="single" w:color="auto"/>
          <w:color w:val="auto"/>
        </w:rPr>
        <w:t>Termination for Bankruptcy</w:t>
      </w:r>
      <w:r>
        <w:rPr>
          <w:rFonts w:ascii="Arial" w:cs="Arial" w:eastAsia="Arial" w:hAnsi="Arial"/>
          <w:sz w:val="21"/>
          <w:szCs w:val="21"/>
          <w:color w:val="auto"/>
        </w:rPr>
        <w:t>. Either Party may terminate this Agreement upon written notice to the other Party if the other Party makes an assignment for the benefit of creditors, or commences a case or proceeding under any bankruptcy, reorganization, insolvency, or similar laws, has a trustee or receiver or similar officer of any court appointed for such Party, or for substantial part of the property of such Party, or bankruptcy, reorganization, insolvency, or liquidation proceedings are instituted by or against such Party without such proceedings being dismissed, in each of the foregoing cases for a period of at least sixty (60) days.</w:t>
      </w:r>
    </w:p>
    <w:p>
      <w:pPr>
        <w:spacing w:after="0" w:line="177" w:lineRule="exact"/>
        <w:rPr>
          <w:sz w:val="20"/>
          <w:szCs w:val="20"/>
          <w:color w:val="auto"/>
        </w:rPr>
      </w:pPr>
    </w:p>
    <w:p>
      <w:pPr>
        <w:ind w:left="880" w:firstLine="1620"/>
        <w:spacing w:after="0" w:line="235" w:lineRule="auto"/>
        <w:rPr>
          <w:sz w:val="20"/>
          <w:szCs w:val="20"/>
          <w:color w:val="auto"/>
        </w:rPr>
      </w:pPr>
      <w:r>
        <w:rPr>
          <w:rFonts w:ascii="Arial" w:cs="Arial" w:eastAsia="Arial" w:hAnsi="Arial"/>
          <w:sz w:val="22"/>
          <w:szCs w:val="22"/>
          <w:color w:val="auto"/>
        </w:rPr>
        <w:t xml:space="preserve">14.2.5 </w:t>
      </w:r>
      <w:r>
        <w:rPr>
          <w:rFonts w:ascii="Arial" w:cs="Arial" w:eastAsia="Arial" w:hAnsi="Arial"/>
          <w:sz w:val="22"/>
          <w:szCs w:val="22"/>
          <w:u w:val="single" w:color="auto"/>
          <w:color w:val="auto"/>
        </w:rPr>
        <w:t>Termination for Change of Control of Apellis</w:t>
      </w:r>
      <w:r>
        <w:rPr>
          <w:rFonts w:ascii="Arial" w:cs="Arial" w:eastAsia="Arial" w:hAnsi="Arial"/>
          <w:sz w:val="22"/>
          <w:szCs w:val="22"/>
          <w:color w:val="auto"/>
        </w:rPr>
        <w:t>. Apellis will notify SFJ in writing promptly (and in any event within [**]) following the entering into of a definitive agreement with respect to a Change of Control of Apellis. SFJ may, in its sole discretion, terminate this Agreement in its entirety at any time following a Change of Control of Apellis that occurs prior to the date of Regulatory Approval, and Apellis may, in its sole discretion, terminate this Agreement in its entirety at any time following a Change of Control of Apellis that occurs after August 31, 2019 and prior to the date of Regulatory Approval.</w:t>
      </w:r>
    </w:p>
    <w:p>
      <w:pPr>
        <w:spacing w:after="0" w:line="188" w:lineRule="exact"/>
        <w:rPr>
          <w:sz w:val="20"/>
          <w:szCs w:val="20"/>
          <w:color w:val="auto"/>
        </w:rPr>
      </w:pPr>
    </w:p>
    <w:p>
      <w:pPr>
        <w:ind w:left="880" w:right="100" w:firstLine="1620"/>
        <w:spacing w:after="0" w:line="236" w:lineRule="auto"/>
        <w:rPr>
          <w:sz w:val="20"/>
          <w:szCs w:val="20"/>
          <w:color w:val="auto"/>
        </w:rPr>
      </w:pPr>
      <w:r>
        <w:rPr>
          <w:rFonts w:ascii="Arial" w:cs="Arial" w:eastAsia="Arial" w:hAnsi="Arial"/>
          <w:sz w:val="22"/>
          <w:szCs w:val="22"/>
          <w:color w:val="auto"/>
        </w:rPr>
        <w:t xml:space="preserve">14.2.6 </w:t>
      </w:r>
      <w:r>
        <w:rPr>
          <w:rFonts w:ascii="Arial" w:cs="Arial" w:eastAsia="Arial" w:hAnsi="Arial"/>
          <w:sz w:val="22"/>
          <w:szCs w:val="22"/>
          <w:u w:val="single" w:color="auto"/>
          <w:color w:val="auto"/>
        </w:rPr>
        <w:t>Termination for Safety Concerns</w:t>
      </w:r>
      <w:r>
        <w:rPr>
          <w:rFonts w:ascii="Arial" w:cs="Arial" w:eastAsia="Arial" w:hAnsi="Arial"/>
          <w:sz w:val="22"/>
          <w:szCs w:val="22"/>
          <w:color w:val="auto"/>
        </w:rPr>
        <w:t>. This Agreement shall automatically terminate if (a) the independent data monitoring committee for the Trial recommends termination of either of the PEGASUS Trial and the PRINCE Trial for reasons pertaining to the health or safety of the Subjects or for futility, (b) a Program Failure as set forth in clause (a) of the definition of Program Failure occurs or (c) the Parties mutually agree a material health or safety concern with respect to the Subjects exists.</w:t>
      </w:r>
    </w:p>
    <w:p>
      <w:pPr>
        <w:spacing w:after="0" w:line="188"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14.2.7</w:t>
      </w:r>
      <w:r>
        <w:rPr>
          <w:sz w:val="20"/>
          <w:szCs w:val="20"/>
          <w:color w:val="auto"/>
        </w:rPr>
        <w:tab/>
      </w:r>
      <w:r>
        <w:rPr>
          <w:rFonts w:ascii="Arial" w:cs="Arial" w:eastAsia="Arial" w:hAnsi="Arial"/>
          <w:sz w:val="19"/>
          <w:szCs w:val="19"/>
          <w:u w:val="single" w:color="auto"/>
          <w:color w:val="auto"/>
        </w:rPr>
        <w:t>Termination for Certain Breaches/Actions</w:t>
      </w:r>
      <w:r>
        <w:rPr>
          <w:rFonts w:ascii="Arial" w:cs="Arial" w:eastAsia="Arial" w:hAnsi="Arial"/>
          <w:sz w:val="19"/>
          <w:szCs w:val="19"/>
          <w:color w:val="auto"/>
        </w:rPr>
        <w:t>.</w:t>
      </w:r>
    </w:p>
    <w:p>
      <w:pPr>
        <w:spacing w:after="0" w:line="206" w:lineRule="exact"/>
        <w:rPr>
          <w:sz w:val="20"/>
          <w:szCs w:val="20"/>
          <w:color w:val="auto"/>
        </w:rPr>
      </w:pPr>
    </w:p>
    <w:p>
      <w:pPr>
        <w:ind w:right="200" w:firstLine="2634"/>
        <w:spacing w:after="0" w:line="297" w:lineRule="auto"/>
        <w:rPr>
          <w:sz w:val="20"/>
          <w:szCs w:val="20"/>
          <w:color w:val="auto"/>
        </w:rPr>
      </w:pPr>
      <w:r>
        <w:rPr>
          <w:rFonts w:ascii="Arial" w:cs="Arial" w:eastAsia="Arial" w:hAnsi="Arial"/>
          <w:sz w:val="19"/>
          <w:szCs w:val="19"/>
          <w:color w:val="auto"/>
        </w:rPr>
        <w:t xml:space="preserve">14.2.7.1 SFJ may terminate this Agreement if (i) Apellis has breached by its own actions, or by the actions of a Permitted Third Party either of </w:t>
      </w:r>
      <w:r>
        <w:rPr>
          <w:rFonts w:ascii="Arial" w:cs="Arial" w:eastAsia="Arial" w:hAnsi="Arial"/>
          <w:sz w:val="19"/>
          <w:szCs w:val="19"/>
          <w:u w:val="single" w:color="auto"/>
          <w:color w:val="auto"/>
        </w:rPr>
        <w:t>Section 13.1.3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13.1.4</w:t>
      </w:r>
      <w:r>
        <w:rPr>
          <w:rFonts w:ascii="Arial" w:cs="Arial" w:eastAsia="Arial" w:hAnsi="Arial"/>
          <w:sz w:val="19"/>
          <w:szCs w:val="19"/>
          <w:color w:val="auto"/>
        </w:rPr>
        <w:t xml:space="preserve"> in any material respects, (ii) an Apellis employee or contractor or a Permitted Third Party has breached the policy attached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 any material respects and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12" w:name="page113"/>
    <w:bookmarkEnd w:id="112"/>
    <w:p>
      <w:pPr>
        <w:ind w:right="60"/>
        <w:spacing w:after="0" w:line="245" w:lineRule="auto"/>
        <w:rPr>
          <w:sz w:val="20"/>
          <w:szCs w:val="20"/>
          <w:color w:val="auto"/>
        </w:rPr>
      </w:pPr>
      <w:r>
        <w:rPr>
          <w:rFonts w:ascii="Arial" w:cs="Arial" w:eastAsia="Arial" w:hAnsi="Arial"/>
          <w:sz w:val="21"/>
          <w:szCs w:val="21"/>
          <w:color w:val="auto"/>
        </w:rPr>
        <w:t xml:space="preserve">breach results in a material violation of Applicable Law, or (iii) SFJ learns (a) that improper payments are being or have been made to Government Officials or any other person by Apellis or those acting on behalf of Apellis with respect to services performed on behalf of Apellis or any other Person or (b) that Apellis or those acting on behalf of Apellis with respect to services performed on behalf of Apellis has accepted any payment, item, or benefit, regardless of value, as an improper inducement to award, obtain or retain business or otherwise gain or grant an improper business advantage from or to any other person or entity, in any such case ((i), (ii) or (iii)) unless such breach or improper payment can be cured without having a materially adverse impact on the probability of completing the Trial or obtaining Regulatory Approval for the Product. Further, in the event of such termination, Apellis will not be entitled to any further payments under </w:t>
      </w:r>
      <w:r>
        <w:rPr>
          <w:rFonts w:ascii="Arial" w:cs="Arial" w:eastAsia="Arial" w:hAnsi="Arial"/>
          <w:sz w:val="21"/>
          <w:szCs w:val="21"/>
          <w:u w:val="single" w:color="auto"/>
          <w:color w:val="auto"/>
        </w:rPr>
        <w:t>Article 4</w:t>
      </w:r>
      <w:r>
        <w:rPr>
          <w:rFonts w:ascii="Arial" w:cs="Arial" w:eastAsia="Arial" w:hAnsi="Arial"/>
          <w:sz w:val="21"/>
          <w:szCs w:val="21"/>
          <w:color w:val="auto"/>
        </w:rPr>
        <w:t>, regardless of any activities undertaken or agreements with additional Third Parties entered into prior to termination, and SFJ shall have the right to pursue remedies it may have at law or equity, including the right to seek damages, from Apellis.</w:t>
      </w:r>
    </w:p>
    <w:p>
      <w:pPr>
        <w:spacing w:after="0" w:line="182" w:lineRule="exact"/>
        <w:rPr>
          <w:sz w:val="20"/>
          <w:szCs w:val="20"/>
          <w:color w:val="auto"/>
        </w:rPr>
      </w:pPr>
    </w:p>
    <w:p>
      <w:pPr>
        <w:ind w:right="120" w:firstLine="2634"/>
        <w:spacing w:after="0" w:line="273" w:lineRule="auto"/>
        <w:rPr>
          <w:sz w:val="20"/>
          <w:szCs w:val="20"/>
          <w:color w:val="auto"/>
        </w:rPr>
      </w:pPr>
      <w:r>
        <w:rPr>
          <w:rFonts w:ascii="Arial" w:cs="Arial" w:eastAsia="Arial" w:hAnsi="Arial"/>
          <w:sz w:val="19"/>
          <w:szCs w:val="19"/>
          <w:color w:val="auto"/>
        </w:rPr>
        <w:t>14.2.7.2 Apellis may terminate this Agreement if SFJ by its own actions directly or indirectly offers or pays, or authorizes such offer or payment, of any money or anything of value to improperly or corruptly seek to influence any Government Official in connection with this Agreement or Apellis learns that (a) improper payments are being made to Government Officials or any other person by SFJ or those acting on behalf of SFJ with respect to services performed on behalf of SFJ or any Permitted Third Parties in connection with this Agreement or (b) SFJ or those acting on behalf of SFJ with respect to services performed on behalf of SFJ in connection with this Agreement has accepted any payment, item, or benefit, regardless of value, as an improper inducement to award, obtain or retain business or otherwise gain or grant an improper business advantage from or to any other person or entity, in any such case (i) or (ii) unless such breach or improper payment can be cured without having a materially adverse impact on the probability of completing the Trial or obtaining Regulatory Approval for the Product, and in the event of such termination, SFJ will not be entitled to any further payments hereunder, and Apellis shall have the right to pursue remedies it may have at law or equity, including the right to seek damages, from SFJ.</w:t>
      </w:r>
    </w:p>
    <w:p>
      <w:pPr>
        <w:spacing w:after="0" w:line="156"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14.2.8</w:t>
      </w:r>
      <w:r>
        <w:rPr>
          <w:sz w:val="20"/>
          <w:szCs w:val="20"/>
          <w:color w:val="auto"/>
        </w:rPr>
        <w:tab/>
      </w:r>
      <w:r>
        <w:rPr>
          <w:rFonts w:ascii="Arial" w:cs="Arial" w:eastAsia="Arial" w:hAnsi="Arial"/>
          <w:sz w:val="19"/>
          <w:szCs w:val="19"/>
          <w:color w:val="auto"/>
        </w:rPr>
        <w:t>If Apellis learns that a Permitted Third Party has materially breached either of</w:t>
      </w:r>
    </w:p>
    <w:p>
      <w:pPr>
        <w:spacing w:after="0" w:line="8" w:lineRule="exact"/>
        <w:rPr>
          <w:sz w:val="20"/>
          <w:szCs w:val="20"/>
          <w:color w:val="auto"/>
        </w:rPr>
      </w:pPr>
    </w:p>
    <w:p>
      <w:pPr>
        <w:jc w:val="both"/>
        <w:ind w:left="880"/>
        <w:spacing w:after="0" w:line="233" w:lineRule="auto"/>
        <w:rPr>
          <w:sz w:val="20"/>
          <w:szCs w:val="20"/>
          <w:color w:val="auto"/>
        </w:rPr>
      </w:pPr>
      <w:r>
        <w:rPr>
          <w:rFonts w:ascii="Arial" w:cs="Arial" w:eastAsia="Arial" w:hAnsi="Arial"/>
          <w:sz w:val="22"/>
          <w:szCs w:val="22"/>
          <w:u w:val="single" w:color="auto"/>
          <w:color w:val="auto"/>
        </w:rPr>
        <w:t>Section 13.1.3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13.1.4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that improper payments are being or have been made to Government Officials by any Permitted Third Party with respect to services performed on behalf of Apellis or in connection with the Trial, Apellis will notify SFJ and, at SFJ’s option, Apellis will terminate its relationship with such Permitted Third Party with respect to the Trial.</w:t>
      </w:r>
    </w:p>
    <w:p>
      <w:pPr>
        <w:spacing w:after="0" w:line="188" w:lineRule="exact"/>
        <w:rPr>
          <w:sz w:val="20"/>
          <w:szCs w:val="20"/>
          <w:color w:val="auto"/>
        </w:rPr>
      </w:pPr>
    </w:p>
    <w:p>
      <w:pPr>
        <w:ind w:left="880" w:right="60" w:firstLine="1620"/>
        <w:spacing w:after="0" w:line="236" w:lineRule="auto"/>
        <w:rPr>
          <w:sz w:val="20"/>
          <w:szCs w:val="20"/>
          <w:color w:val="auto"/>
        </w:rPr>
      </w:pPr>
      <w:r>
        <w:rPr>
          <w:rFonts w:ascii="Arial" w:cs="Arial" w:eastAsia="Arial" w:hAnsi="Arial"/>
          <w:sz w:val="22"/>
          <w:szCs w:val="22"/>
          <w:color w:val="auto"/>
        </w:rPr>
        <w:t xml:space="preserve">14.2.9 </w:t>
      </w:r>
      <w:r>
        <w:rPr>
          <w:rFonts w:ascii="Arial" w:cs="Arial" w:eastAsia="Arial" w:hAnsi="Arial"/>
          <w:sz w:val="22"/>
          <w:szCs w:val="22"/>
          <w:u w:val="single" w:color="auto"/>
          <w:color w:val="auto"/>
        </w:rPr>
        <w:t>Termination Because of Third Party Patents</w:t>
      </w:r>
      <w:r>
        <w:rPr>
          <w:rFonts w:ascii="Arial" w:cs="Arial" w:eastAsia="Arial" w:hAnsi="Arial"/>
          <w:sz w:val="22"/>
          <w:szCs w:val="22"/>
          <w:color w:val="auto"/>
        </w:rPr>
        <w:t>. SFJ may terminate this Agreement if Apellis is permanently enjoined from further developing the Product for PNH and the future value of the Product may be adversely affected in a material way (“</w:t>
      </w:r>
      <w:r>
        <w:rPr>
          <w:rFonts w:ascii="Arial" w:cs="Arial" w:eastAsia="Arial" w:hAnsi="Arial"/>
          <w:sz w:val="22"/>
          <w:szCs w:val="22"/>
          <w:u w:val="single" w:color="auto"/>
          <w:color w:val="auto"/>
        </w:rPr>
        <w:t>Adverse Patent Impact</w:t>
      </w:r>
      <w:r>
        <w:rPr>
          <w:rFonts w:ascii="Arial" w:cs="Arial" w:eastAsia="Arial" w:hAnsi="Arial"/>
          <w:sz w:val="22"/>
          <w:szCs w:val="22"/>
          <w:color w:val="auto"/>
        </w:rPr>
        <w:t>”) due to Third Party patents that were not known to SFJ at the Effective Date and if Apellis does not cure such Adverse Patent Impact within a period of 12 months from the date of SFJ’s notice to Apellis of an Adverse Patent Impact.</w:t>
      </w:r>
    </w:p>
    <w:p>
      <w:pPr>
        <w:spacing w:after="0" w:line="188" w:lineRule="exact"/>
        <w:rPr>
          <w:sz w:val="20"/>
          <w:szCs w:val="20"/>
          <w:color w:val="auto"/>
        </w:rPr>
      </w:pPr>
    </w:p>
    <w:p>
      <w:pPr>
        <w:ind w:left="880" w:right="120" w:firstLine="1620"/>
        <w:spacing w:after="0"/>
        <w:rPr>
          <w:sz w:val="20"/>
          <w:szCs w:val="20"/>
          <w:color w:val="auto"/>
        </w:rPr>
      </w:pPr>
      <w:r>
        <w:rPr>
          <w:rFonts w:ascii="Arial" w:cs="Arial" w:eastAsia="Arial" w:hAnsi="Arial"/>
          <w:sz w:val="22"/>
          <w:szCs w:val="22"/>
          <w:color w:val="auto"/>
        </w:rPr>
        <w:t xml:space="preserve">14.2.10 </w:t>
      </w:r>
      <w:r>
        <w:rPr>
          <w:rFonts w:ascii="Arial" w:cs="Arial" w:eastAsia="Arial" w:hAnsi="Arial"/>
          <w:sz w:val="22"/>
          <w:szCs w:val="22"/>
          <w:u w:val="single" w:color="auto"/>
          <w:color w:val="auto"/>
        </w:rPr>
        <w:t>Termination for JSC Decision</w:t>
      </w:r>
      <w:r>
        <w:rPr>
          <w:rFonts w:ascii="Arial" w:cs="Arial" w:eastAsia="Arial" w:hAnsi="Arial"/>
          <w:sz w:val="22"/>
          <w:szCs w:val="22"/>
          <w:color w:val="auto"/>
        </w:rPr>
        <w:t>. SFJ may, in its sole discretion, terminate this Agreement in its entirety at any time prior to the date of Regulatory Approval in the event Apellis exercises its decision-making authority under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13" w:name="page114"/>
    <w:bookmarkEnd w:id="113"/>
    <w:p>
      <w:pPr>
        <w:ind w:left="880"/>
        <w:spacing w:after="0"/>
        <w:rPr>
          <w:sz w:val="20"/>
          <w:szCs w:val="20"/>
          <w:color w:val="auto"/>
        </w:rPr>
      </w:pPr>
      <w:r>
        <w:rPr>
          <w:rFonts w:ascii="Arial" w:cs="Arial" w:eastAsia="Arial" w:hAnsi="Arial"/>
          <w:sz w:val="19"/>
          <w:szCs w:val="19"/>
          <w:u w:val="single" w:color="auto"/>
          <w:color w:val="auto"/>
        </w:rPr>
        <w:t>Section 5.2.4</w:t>
      </w:r>
      <w:r>
        <w:rPr>
          <w:rFonts w:ascii="Arial" w:cs="Arial" w:eastAsia="Arial" w:hAnsi="Arial"/>
          <w:sz w:val="19"/>
          <w:szCs w:val="19"/>
          <w:color w:val="auto"/>
        </w:rPr>
        <w:t xml:space="preserve"> to approve a matter set forth in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if SFJ disagrees with such decision in its sole discretion.</w:t>
      </w:r>
    </w:p>
    <w:p>
      <w:pPr>
        <w:spacing w:after="0" w:line="241"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u w:val="single" w:color="auto"/>
          <w:color w:val="auto"/>
        </w:rPr>
        <w:t>Effects of Termination</w:t>
      </w:r>
      <w:r>
        <w:rPr>
          <w:rFonts w:ascii="Arial" w:cs="Arial" w:eastAsia="Arial" w:hAnsi="Arial"/>
          <w:sz w:val="19"/>
          <w:szCs w:val="19"/>
          <w:color w:val="auto"/>
        </w:rPr>
        <w:t>.</w:t>
      </w:r>
    </w:p>
    <w:p>
      <w:pPr>
        <w:spacing w:after="0" w:line="206"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14.3.1</w:t>
      </w:r>
      <w:r>
        <w:rPr>
          <w:sz w:val="20"/>
          <w:szCs w:val="20"/>
          <w:color w:val="auto"/>
        </w:rPr>
        <w:tab/>
      </w:r>
      <w:r>
        <w:rPr>
          <w:rFonts w:ascii="Arial" w:cs="Arial" w:eastAsia="Arial" w:hAnsi="Arial"/>
          <w:sz w:val="19"/>
          <w:szCs w:val="19"/>
          <w:u w:val="single" w:color="auto"/>
          <w:color w:val="auto"/>
        </w:rPr>
        <w:t>Termination for Breach</w:t>
      </w:r>
      <w:r>
        <w:rPr>
          <w:rFonts w:ascii="Arial" w:cs="Arial" w:eastAsia="Arial" w:hAnsi="Arial"/>
          <w:sz w:val="19"/>
          <w:szCs w:val="19"/>
          <w:color w:val="auto"/>
        </w:rPr>
        <w:t>.</w:t>
      </w:r>
    </w:p>
    <w:p>
      <w:pPr>
        <w:spacing w:after="0" w:line="206" w:lineRule="exact"/>
        <w:rPr>
          <w:sz w:val="20"/>
          <w:szCs w:val="20"/>
          <w:color w:val="auto"/>
        </w:rPr>
      </w:pPr>
    </w:p>
    <w:p>
      <w:pPr>
        <w:ind w:firstLine="2634"/>
        <w:spacing w:after="0" w:line="233" w:lineRule="auto"/>
        <w:rPr>
          <w:sz w:val="20"/>
          <w:szCs w:val="20"/>
          <w:color w:val="auto"/>
        </w:rPr>
      </w:pPr>
      <w:r>
        <w:rPr>
          <w:rFonts w:ascii="Arial" w:cs="Arial" w:eastAsia="Arial" w:hAnsi="Arial"/>
          <w:sz w:val="22"/>
          <w:szCs w:val="22"/>
          <w:color w:val="auto"/>
        </w:rPr>
        <w:t xml:space="preserve">14.3.1.1 In the event that SFJ terminates this Agreement pursuant to </w:t>
      </w:r>
      <w:r>
        <w:rPr>
          <w:rFonts w:ascii="Arial" w:cs="Arial" w:eastAsia="Arial" w:hAnsi="Arial"/>
          <w:sz w:val="22"/>
          <w:szCs w:val="22"/>
          <w:u w:val="single" w:color="auto"/>
          <w:color w:val="auto"/>
        </w:rPr>
        <w:t>Section 14.2.1.1</w:t>
      </w:r>
      <w:r>
        <w:rPr>
          <w:rFonts w:ascii="Arial" w:cs="Arial" w:eastAsia="Arial" w:hAnsi="Arial"/>
          <w:sz w:val="22"/>
          <w:szCs w:val="22"/>
          <w:color w:val="auto"/>
        </w:rPr>
        <w:t xml:space="preserve"> above, then Apellis will pay SFJ, within [**] of the date of termination, an amount equal to three hundred percent (300%) of SFJ Development Costs paid by SFJ to Apellis prior to such termination. Additionally, if Apellis elects to continue development and obtains Regulatory Approval following such termination, Apellis will remain obligated to pay any Approval Payments that become due and payable pursuant to Article 6 at such time as such payments become due and payable (if ever),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each Approval Payment shall be adjusted as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and reduced by the amount previously paid by Apellis to SFJ pursuant to this </w:t>
      </w:r>
      <w:r>
        <w:rPr>
          <w:rFonts w:ascii="Arial" w:cs="Arial" w:eastAsia="Arial" w:hAnsi="Arial"/>
          <w:sz w:val="22"/>
          <w:szCs w:val="22"/>
          <w:u w:val="single" w:color="auto"/>
          <w:color w:val="auto"/>
        </w:rPr>
        <w:t>Section 14.3.1.1</w:t>
      </w:r>
      <w:r>
        <w:rPr>
          <w:rFonts w:ascii="Arial" w:cs="Arial" w:eastAsia="Arial" w:hAnsi="Arial"/>
          <w:sz w:val="22"/>
          <w:szCs w:val="22"/>
          <w:color w:val="auto"/>
        </w:rPr>
        <w:t xml:space="preserve">. Notwithstanding the foregoing provisions of this </w:t>
      </w:r>
      <w:r>
        <w:rPr>
          <w:rFonts w:ascii="Arial" w:cs="Arial" w:eastAsia="Arial" w:hAnsi="Arial"/>
          <w:sz w:val="22"/>
          <w:szCs w:val="22"/>
          <w:u w:val="single" w:color="auto"/>
          <w:color w:val="auto"/>
        </w:rPr>
        <w:t>Section 14.3.1.1</w:t>
      </w:r>
      <w:r>
        <w:rPr>
          <w:rFonts w:ascii="Arial" w:cs="Arial" w:eastAsia="Arial" w:hAnsi="Arial"/>
          <w:sz w:val="22"/>
          <w:szCs w:val="22"/>
          <w:color w:val="auto"/>
        </w:rPr>
        <w:t xml:space="preserve">, in no event will Apellis be required to pay more than an aggregate of three hundred eight million dollars ($308,000,000) to SFJ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14.3.1.1</w:t>
      </w:r>
      <w:r>
        <w:rPr>
          <w:rFonts w:ascii="Arial" w:cs="Arial" w:eastAsia="Arial" w:hAnsi="Arial"/>
          <w:sz w:val="22"/>
          <w:szCs w:val="22"/>
          <w:color w:val="auto"/>
        </w:rPr>
        <w:t>.</w:t>
      </w:r>
    </w:p>
    <w:p>
      <w:pPr>
        <w:spacing w:after="0" w:line="194" w:lineRule="exact"/>
        <w:rPr>
          <w:sz w:val="20"/>
          <w:szCs w:val="20"/>
          <w:color w:val="auto"/>
        </w:rPr>
      </w:pPr>
    </w:p>
    <w:p>
      <w:pPr>
        <w:ind w:firstLine="2634"/>
        <w:spacing w:after="0" w:line="270" w:lineRule="auto"/>
        <w:rPr>
          <w:sz w:val="20"/>
          <w:szCs w:val="20"/>
          <w:color w:val="auto"/>
        </w:rPr>
      </w:pPr>
      <w:r>
        <w:rPr>
          <w:rFonts w:ascii="Arial" w:cs="Arial" w:eastAsia="Arial" w:hAnsi="Arial"/>
          <w:sz w:val="19"/>
          <w:szCs w:val="19"/>
          <w:color w:val="auto"/>
        </w:rPr>
        <w:t xml:space="preserve">14.3.1.2 In the event that either Party terminates this Agreement pursuant to </w:t>
      </w:r>
      <w:r>
        <w:rPr>
          <w:rFonts w:ascii="Arial" w:cs="Arial" w:eastAsia="Arial" w:hAnsi="Arial"/>
          <w:sz w:val="19"/>
          <w:szCs w:val="19"/>
          <w:u w:val="single" w:color="auto"/>
          <w:color w:val="auto"/>
        </w:rPr>
        <w:t>Section 14.2.1.2</w:t>
      </w:r>
      <w:r>
        <w:rPr>
          <w:rFonts w:ascii="Arial" w:cs="Arial" w:eastAsia="Arial" w:hAnsi="Arial"/>
          <w:sz w:val="19"/>
          <w:szCs w:val="19"/>
          <w:color w:val="auto"/>
        </w:rPr>
        <w:t xml:space="preserve"> above or Apellis terminates this Agreement pursuant to </w:t>
      </w:r>
      <w:r>
        <w:rPr>
          <w:rFonts w:ascii="Arial" w:cs="Arial" w:eastAsia="Arial" w:hAnsi="Arial"/>
          <w:sz w:val="19"/>
          <w:szCs w:val="19"/>
          <w:u w:val="single" w:color="auto"/>
          <w:color w:val="auto"/>
        </w:rPr>
        <w:t>Section 14.2.7.2</w:t>
      </w:r>
      <w:r>
        <w:rPr>
          <w:rFonts w:ascii="Arial" w:cs="Arial" w:eastAsia="Arial" w:hAnsi="Arial"/>
          <w:sz w:val="19"/>
          <w:szCs w:val="19"/>
          <w:color w:val="auto"/>
        </w:rPr>
        <w:t xml:space="preserve"> above, then, if Apellis elects to continue development and obtains Regulatory Approval following such termination, Apellis shall (subject to the immediately following sentence) remain obligated to pay to SFJ any Approval Payments that become due and payable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at such time that such payments become due and payable (if ever)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Approval Payments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Notwithstanding the foregoing, if Apellis terminates this Agreement pursuant to </w:t>
      </w:r>
      <w:r>
        <w:rPr>
          <w:rFonts w:ascii="Arial" w:cs="Arial" w:eastAsia="Arial" w:hAnsi="Arial"/>
          <w:sz w:val="19"/>
          <w:szCs w:val="19"/>
          <w:u w:val="single" w:color="auto"/>
          <w:color w:val="auto"/>
        </w:rPr>
        <w:t>Section 14.2.1.2</w:t>
      </w:r>
      <w:r>
        <w:rPr>
          <w:rFonts w:ascii="Arial" w:cs="Arial" w:eastAsia="Arial" w:hAnsi="Arial"/>
          <w:sz w:val="19"/>
          <w:szCs w:val="19"/>
          <w:color w:val="auto"/>
        </w:rPr>
        <w:t xml:space="preserve"> above based on SFJ’s failure to make any payment due to Apellis in accordance with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then, if Apellis elects to continue development and obtains Regulatory Approval following such termination, Apellis shall remain obligated to pay to SFJ the product of the fraction (2.75/3.25) multiplied by any Approval Payments that become due and payable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at such time that such payments become due and payable (if ever)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Approval Payments shall also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In the event that SFJ terminates this Agreement pursuant to pursuant to </w:t>
      </w:r>
      <w:r>
        <w:rPr>
          <w:rFonts w:ascii="Arial" w:cs="Arial" w:eastAsia="Arial" w:hAnsi="Arial"/>
          <w:sz w:val="19"/>
          <w:szCs w:val="19"/>
          <w:u w:val="single" w:color="auto"/>
          <w:color w:val="auto"/>
        </w:rPr>
        <w:t>Section 14.2.7.1</w:t>
      </w:r>
      <w:r>
        <w:rPr>
          <w:rFonts w:ascii="Arial" w:cs="Arial" w:eastAsia="Arial" w:hAnsi="Arial"/>
          <w:sz w:val="19"/>
          <w:szCs w:val="19"/>
          <w:color w:val="auto"/>
        </w:rPr>
        <w:t xml:space="preserve"> above, then (A) Apellis will pay SFJ, within [**] of the date of termination, an amount equal to one hundred fifty percent (150%) of SFJ Development Costs paid to Apellis by SFJ prior to such termination, and (B) if Apellis elects to continue development and obtains Regulatory Approval following such termination, Apellis shall remain obligated to pay to SFJ any Approval Payments that become due and payable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at such time that such payments become due and payable (if ever)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Approval Payments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reduced by the amount previously paid by Apellis to SFJ pursuant to this </w:t>
      </w:r>
      <w:r>
        <w:rPr>
          <w:rFonts w:ascii="Arial" w:cs="Arial" w:eastAsia="Arial" w:hAnsi="Arial"/>
          <w:sz w:val="19"/>
          <w:szCs w:val="19"/>
          <w:u w:val="single" w:color="auto"/>
          <w:color w:val="auto"/>
        </w:rPr>
        <w:t>Section 14.3.1.2</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jc w:val="both"/>
        <w:ind w:left="880" w:right="120" w:firstLine="1620"/>
        <w:spacing w:after="0" w:line="297" w:lineRule="auto"/>
        <w:rPr>
          <w:sz w:val="20"/>
          <w:szCs w:val="20"/>
          <w:color w:val="auto"/>
        </w:rPr>
      </w:pPr>
      <w:r>
        <w:rPr>
          <w:rFonts w:ascii="Arial" w:cs="Arial" w:eastAsia="Arial" w:hAnsi="Arial"/>
          <w:sz w:val="19"/>
          <w:szCs w:val="19"/>
          <w:color w:val="auto"/>
        </w:rPr>
        <w:t xml:space="preserve">14.3.2 </w:t>
      </w:r>
      <w:r>
        <w:rPr>
          <w:rFonts w:ascii="Arial" w:cs="Arial" w:eastAsia="Arial" w:hAnsi="Arial"/>
          <w:sz w:val="19"/>
          <w:szCs w:val="19"/>
          <w:u w:val="single" w:color="auto"/>
          <w:color w:val="auto"/>
        </w:rPr>
        <w:t>Effect of Termination for Material Adverse Event.</w:t>
      </w:r>
      <w:r>
        <w:rPr>
          <w:rFonts w:ascii="Arial" w:cs="Arial" w:eastAsia="Arial" w:hAnsi="Arial"/>
          <w:sz w:val="19"/>
          <w:szCs w:val="19"/>
          <w:color w:val="auto"/>
        </w:rPr>
        <w:t xml:space="preserve"> In the event that SFJ terminates this Agreement pursuant to </w:t>
      </w:r>
      <w:r>
        <w:rPr>
          <w:rFonts w:ascii="Arial" w:cs="Arial" w:eastAsia="Arial" w:hAnsi="Arial"/>
          <w:sz w:val="19"/>
          <w:szCs w:val="19"/>
          <w:u w:val="single" w:color="auto"/>
          <w:color w:val="auto"/>
        </w:rPr>
        <w:t>Section 14.2.2</w:t>
      </w:r>
      <w:r>
        <w:rPr>
          <w:rFonts w:ascii="Arial" w:cs="Arial" w:eastAsia="Arial" w:hAnsi="Arial"/>
          <w:sz w:val="19"/>
          <w:szCs w:val="19"/>
          <w:color w:val="auto"/>
        </w:rPr>
        <w:t>, then, if Apellis elects to continue development and obtains Regulatory Approval following such termination, Apellis shall remain obligated to pay SFJ an amount equal to fifty percent (50%) of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114" w:name="page115"/>
    <w:bookmarkEnd w:id="114"/>
    <w:p>
      <w:pPr>
        <w:ind w:left="880" w:right="420"/>
        <w:spacing w:after="0" w:line="251" w:lineRule="auto"/>
        <w:rPr>
          <w:sz w:val="20"/>
          <w:szCs w:val="20"/>
          <w:color w:val="auto"/>
        </w:rPr>
      </w:pPr>
      <w:r>
        <w:rPr>
          <w:rFonts w:ascii="Arial" w:cs="Arial" w:eastAsia="Arial" w:hAnsi="Arial"/>
          <w:sz w:val="22"/>
          <w:szCs w:val="22"/>
          <w:color w:val="auto"/>
        </w:rPr>
        <w:t xml:space="preserve">Approval Payments (as first adjusted as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that become due and payable under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at such time as they become due and payable (if ever).</w:t>
      </w:r>
    </w:p>
    <w:p>
      <w:pPr>
        <w:spacing w:after="0" w:line="173" w:lineRule="exact"/>
        <w:rPr>
          <w:sz w:val="20"/>
          <w:szCs w:val="20"/>
          <w:color w:val="auto"/>
        </w:rPr>
      </w:pPr>
    </w:p>
    <w:p>
      <w:pPr>
        <w:ind w:left="880" w:firstLine="1620"/>
        <w:spacing w:after="0" w:line="249" w:lineRule="auto"/>
        <w:rPr>
          <w:sz w:val="20"/>
          <w:szCs w:val="20"/>
          <w:color w:val="auto"/>
        </w:rPr>
      </w:pPr>
      <w:r>
        <w:rPr>
          <w:rFonts w:ascii="Arial" w:cs="Arial" w:eastAsia="Arial" w:hAnsi="Arial"/>
          <w:sz w:val="21"/>
          <w:szCs w:val="21"/>
          <w:color w:val="auto"/>
        </w:rPr>
        <w:t xml:space="preserve">14.3.3 </w:t>
      </w:r>
      <w:r>
        <w:rPr>
          <w:rFonts w:ascii="Arial" w:cs="Arial" w:eastAsia="Arial" w:hAnsi="Arial"/>
          <w:sz w:val="21"/>
          <w:szCs w:val="21"/>
          <w:u w:val="single" w:color="auto"/>
          <w:color w:val="auto"/>
        </w:rPr>
        <w:t>Termination for Failure to Achieve Regulatory Approval</w:t>
      </w:r>
      <w:r>
        <w:rPr>
          <w:rFonts w:ascii="Arial" w:cs="Arial" w:eastAsia="Arial" w:hAnsi="Arial"/>
          <w:sz w:val="21"/>
          <w:szCs w:val="21"/>
          <w:color w:val="auto"/>
        </w:rPr>
        <w:t xml:space="preserve">. In the event that this Agreement is terminated pursuant to </w:t>
      </w:r>
      <w:r>
        <w:rPr>
          <w:rFonts w:ascii="Arial" w:cs="Arial" w:eastAsia="Arial" w:hAnsi="Arial"/>
          <w:sz w:val="21"/>
          <w:szCs w:val="21"/>
          <w:u w:val="single" w:color="auto"/>
          <w:color w:val="auto"/>
        </w:rPr>
        <w:t>Section 14.2.3</w:t>
      </w:r>
      <w:r>
        <w:rPr>
          <w:rFonts w:ascii="Arial" w:cs="Arial" w:eastAsia="Arial" w:hAnsi="Arial"/>
          <w:sz w:val="21"/>
          <w:szCs w:val="21"/>
          <w:color w:val="auto"/>
        </w:rPr>
        <w:t xml:space="preserve"> above, then, if Apellis elects to continue development and obtains Regulatory Approval following such termination, Apellis shall remain obligated to make any Approval Payments that become due and payable pursuant to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at such time that such payments become due and payable (if ever) pursuant to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Approval Payments shall be adjusted as set forth in </w:t>
      </w:r>
      <w:r>
        <w:rPr>
          <w:rFonts w:ascii="Arial" w:cs="Arial" w:eastAsia="Arial" w:hAnsi="Arial"/>
          <w:sz w:val="21"/>
          <w:szCs w:val="21"/>
          <w:u w:val="single" w:color="auto"/>
          <w:color w:val="auto"/>
        </w:rPr>
        <w:t>Section 6.2</w:t>
      </w:r>
      <w:r>
        <w:rPr>
          <w:rFonts w:ascii="Arial" w:cs="Arial" w:eastAsia="Arial" w:hAnsi="Arial"/>
          <w:sz w:val="21"/>
          <w:szCs w:val="21"/>
          <w:color w:val="auto"/>
        </w:rPr>
        <w:t>.</w:t>
      </w:r>
    </w:p>
    <w:p>
      <w:pPr>
        <w:spacing w:after="0" w:line="179" w:lineRule="exact"/>
        <w:rPr>
          <w:sz w:val="20"/>
          <w:szCs w:val="20"/>
          <w:color w:val="auto"/>
        </w:rPr>
      </w:pPr>
    </w:p>
    <w:p>
      <w:pPr>
        <w:ind w:left="2500"/>
        <w:spacing w:after="0"/>
        <w:tabs>
          <w:tab w:leader="none" w:pos="3680" w:val="left"/>
        </w:tabs>
        <w:rPr>
          <w:sz w:val="20"/>
          <w:szCs w:val="20"/>
          <w:color w:val="auto"/>
        </w:rPr>
      </w:pPr>
      <w:r>
        <w:rPr>
          <w:rFonts w:ascii="Arial" w:cs="Arial" w:eastAsia="Arial" w:hAnsi="Arial"/>
          <w:sz w:val="22"/>
          <w:szCs w:val="22"/>
          <w:color w:val="auto"/>
        </w:rPr>
        <w:t>14.3.4</w:t>
      </w:r>
      <w:r>
        <w:rPr>
          <w:sz w:val="20"/>
          <w:szCs w:val="20"/>
          <w:color w:val="auto"/>
        </w:rPr>
        <w:tab/>
      </w:r>
      <w:r>
        <w:rPr>
          <w:rFonts w:ascii="Arial" w:cs="Arial" w:eastAsia="Arial" w:hAnsi="Arial"/>
          <w:sz w:val="19"/>
          <w:szCs w:val="19"/>
          <w:u w:val="single" w:color="auto"/>
          <w:color w:val="auto"/>
        </w:rPr>
        <w:t>Termination for Bankruptcy</w:t>
      </w:r>
      <w:r>
        <w:rPr>
          <w:rFonts w:ascii="Arial" w:cs="Arial" w:eastAsia="Arial" w:hAnsi="Arial"/>
          <w:sz w:val="19"/>
          <w:szCs w:val="19"/>
          <w:color w:val="auto"/>
        </w:rPr>
        <w:t>.</w:t>
      </w:r>
    </w:p>
    <w:p>
      <w:pPr>
        <w:spacing w:after="0" w:line="206" w:lineRule="exact"/>
        <w:rPr>
          <w:sz w:val="20"/>
          <w:szCs w:val="20"/>
          <w:color w:val="auto"/>
        </w:rPr>
      </w:pPr>
    </w:p>
    <w:p>
      <w:pPr>
        <w:ind w:right="60" w:firstLine="2634"/>
        <w:spacing w:after="0" w:line="236" w:lineRule="auto"/>
        <w:rPr>
          <w:sz w:val="20"/>
          <w:szCs w:val="20"/>
          <w:color w:val="auto"/>
        </w:rPr>
      </w:pPr>
      <w:r>
        <w:rPr>
          <w:rFonts w:ascii="Arial" w:cs="Arial" w:eastAsia="Arial" w:hAnsi="Arial"/>
          <w:sz w:val="22"/>
          <w:szCs w:val="22"/>
          <w:color w:val="auto"/>
        </w:rPr>
        <w:t xml:space="preserve">14.3.4.1 In the event that Apellis terminates this Agreement pursuant to </w:t>
      </w:r>
      <w:r>
        <w:rPr>
          <w:rFonts w:ascii="Arial" w:cs="Arial" w:eastAsia="Arial" w:hAnsi="Arial"/>
          <w:sz w:val="22"/>
          <w:szCs w:val="22"/>
          <w:u w:val="single" w:color="auto"/>
          <w:color w:val="auto"/>
        </w:rPr>
        <w:t>Section 14.2.4</w:t>
      </w:r>
      <w:r>
        <w:rPr>
          <w:rFonts w:ascii="Arial" w:cs="Arial" w:eastAsia="Arial" w:hAnsi="Arial"/>
          <w:sz w:val="22"/>
          <w:szCs w:val="22"/>
          <w:color w:val="auto"/>
        </w:rPr>
        <w:t xml:space="preserve"> above, then, if Apellis elects to continue development and obtains Regulatory Approval following such termination, Apellis shall remain obligated to pay to SFJ any Approval Payments that become due and payable pursuant to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at such time as such Approval Payments become due and payable (if ever) pursuant to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Approval Payments shall be as adjusted as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8" w:lineRule="exact"/>
        <w:rPr>
          <w:sz w:val="20"/>
          <w:szCs w:val="20"/>
          <w:color w:val="auto"/>
        </w:rPr>
      </w:pPr>
    </w:p>
    <w:p>
      <w:pPr>
        <w:ind w:firstLine="2634"/>
        <w:spacing w:after="0" w:line="270" w:lineRule="auto"/>
        <w:rPr>
          <w:sz w:val="20"/>
          <w:szCs w:val="20"/>
          <w:color w:val="auto"/>
        </w:rPr>
      </w:pPr>
      <w:r>
        <w:rPr>
          <w:rFonts w:ascii="Arial" w:cs="Arial" w:eastAsia="Arial" w:hAnsi="Arial"/>
          <w:sz w:val="19"/>
          <w:szCs w:val="19"/>
          <w:color w:val="auto"/>
        </w:rPr>
        <w:t xml:space="preserve">14.3.4.2 In the event SFJ terminates this Agreement pursuant to </w:t>
      </w:r>
      <w:r>
        <w:rPr>
          <w:rFonts w:ascii="Arial" w:cs="Arial" w:eastAsia="Arial" w:hAnsi="Arial"/>
          <w:sz w:val="19"/>
          <w:szCs w:val="19"/>
          <w:u w:val="single" w:color="auto"/>
          <w:color w:val="auto"/>
        </w:rPr>
        <w:t>Section 14.2.4</w:t>
      </w:r>
      <w:r>
        <w:rPr>
          <w:rFonts w:ascii="Arial" w:cs="Arial" w:eastAsia="Arial" w:hAnsi="Arial"/>
          <w:sz w:val="19"/>
          <w:szCs w:val="19"/>
          <w:color w:val="auto"/>
        </w:rPr>
        <w:t xml:space="preserve"> above, then Apellis will pay SFJ an amount equal to three hundred percent (300%) of SFJ Development Costs paid by SFJ to Apellis prior to such termination. Additionally, Apellis will remain obligated to pay any Approval Payments that become due and payable pursuant to Article 6 at such time as such payments become due and payable (if ever),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each Approval Payment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reduced by the amount previously paid by Apellis to SFJ pursuant to this </w:t>
      </w:r>
      <w:r>
        <w:rPr>
          <w:rFonts w:ascii="Arial" w:cs="Arial" w:eastAsia="Arial" w:hAnsi="Arial"/>
          <w:sz w:val="19"/>
          <w:szCs w:val="19"/>
          <w:u w:val="single" w:color="auto"/>
          <w:color w:val="auto"/>
        </w:rPr>
        <w:t>Section</w:t>
      </w:r>
    </w:p>
    <w:p>
      <w:pPr>
        <w:spacing w:after="0" w:line="4"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u w:val="single" w:color="auto"/>
          <w:color w:val="auto"/>
        </w:rPr>
        <w:t>14.3.4.2</w:t>
      </w:r>
      <w:r>
        <w:rPr>
          <w:rFonts w:ascii="Arial" w:cs="Arial" w:eastAsia="Arial" w:hAnsi="Arial"/>
          <w:sz w:val="22"/>
          <w:szCs w:val="22"/>
          <w:color w:val="auto"/>
        </w:rPr>
        <w:t xml:space="preserve">. Notwithstanding the foregoing provisions of this </w:t>
      </w:r>
      <w:r>
        <w:rPr>
          <w:rFonts w:ascii="Arial" w:cs="Arial" w:eastAsia="Arial" w:hAnsi="Arial"/>
          <w:sz w:val="22"/>
          <w:szCs w:val="22"/>
          <w:u w:val="single" w:color="auto"/>
          <w:color w:val="auto"/>
        </w:rPr>
        <w:t>Section 14.3.4.2</w:t>
      </w:r>
      <w:r>
        <w:rPr>
          <w:rFonts w:ascii="Arial" w:cs="Arial" w:eastAsia="Arial" w:hAnsi="Arial"/>
          <w:sz w:val="22"/>
          <w:szCs w:val="22"/>
          <w:color w:val="auto"/>
        </w:rPr>
        <w:t xml:space="preserve">, in no event will Apellis be required to pay more than an aggregate of $308,000,000 to SFJ pursuant to this </w:t>
      </w:r>
      <w:r>
        <w:rPr>
          <w:rFonts w:ascii="Arial" w:cs="Arial" w:eastAsia="Arial" w:hAnsi="Arial"/>
          <w:sz w:val="22"/>
          <w:szCs w:val="22"/>
          <w:u w:val="single" w:color="auto"/>
          <w:color w:val="auto"/>
        </w:rPr>
        <w:t>Section 14.3.4.2</w:t>
      </w:r>
      <w:r>
        <w:rPr>
          <w:rFonts w:ascii="Arial" w:cs="Arial" w:eastAsia="Arial" w:hAnsi="Arial"/>
          <w:sz w:val="22"/>
          <w:szCs w:val="22"/>
          <w:color w:val="auto"/>
        </w:rPr>
        <w:t>.</w:t>
      </w:r>
    </w:p>
    <w:p>
      <w:pPr>
        <w:spacing w:after="0" w:line="185" w:lineRule="exact"/>
        <w:rPr>
          <w:sz w:val="20"/>
          <w:szCs w:val="20"/>
          <w:color w:val="auto"/>
        </w:rPr>
      </w:pPr>
    </w:p>
    <w:p>
      <w:pPr>
        <w:ind w:left="880" w:right="60" w:firstLine="1620"/>
        <w:spacing w:after="0" w:line="269" w:lineRule="auto"/>
        <w:rPr>
          <w:sz w:val="20"/>
          <w:szCs w:val="20"/>
          <w:color w:val="auto"/>
        </w:rPr>
      </w:pPr>
      <w:r>
        <w:rPr>
          <w:rFonts w:ascii="Arial" w:cs="Arial" w:eastAsia="Arial" w:hAnsi="Arial"/>
          <w:sz w:val="19"/>
          <w:szCs w:val="19"/>
          <w:color w:val="auto"/>
        </w:rPr>
        <w:t xml:space="preserve">14.3.5 </w:t>
      </w:r>
      <w:r>
        <w:rPr>
          <w:rFonts w:ascii="Arial" w:cs="Arial" w:eastAsia="Arial" w:hAnsi="Arial"/>
          <w:sz w:val="19"/>
          <w:szCs w:val="19"/>
          <w:u w:val="single" w:color="auto"/>
          <w:color w:val="auto"/>
        </w:rPr>
        <w:t>Termination for Change of Control of Apellis</w:t>
      </w:r>
      <w:r>
        <w:rPr>
          <w:rFonts w:ascii="Arial" w:cs="Arial" w:eastAsia="Arial" w:hAnsi="Arial"/>
          <w:sz w:val="19"/>
          <w:szCs w:val="19"/>
          <w:color w:val="auto"/>
        </w:rPr>
        <w:t xml:space="preserve">. In the event that either Party terminates this Agreement pursuant to </w:t>
      </w:r>
      <w:r>
        <w:rPr>
          <w:rFonts w:ascii="Arial" w:cs="Arial" w:eastAsia="Arial" w:hAnsi="Arial"/>
          <w:sz w:val="19"/>
          <w:szCs w:val="19"/>
          <w:u w:val="single" w:color="auto"/>
          <w:color w:val="auto"/>
        </w:rPr>
        <w:t>Section 14.2.5</w:t>
      </w:r>
      <w:r>
        <w:rPr>
          <w:rFonts w:ascii="Arial" w:cs="Arial" w:eastAsia="Arial" w:hAnsi="Arial"/>
          <w:sz w:val="19"/>
          <w:szCs w:val="19"/>
          <w:color w:val="auto"/>
        </w:rPr>
        <w:t xml:space="preserve"> above, then Apellis will pay to SFJ an amount equal to one hundred fifty percent (150%) of SFJ Development Costs which were paid to Apellis by SFJ within [**] of the date of termination, Apellis shall be obligated to continue to exercise Commercially Reasonable Effort to develop the Product and seek Regulatory Approval as set forth herein following the date of such termination, and Apellis shall remain obligated to pay any Approval Payments that become due and payable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at such time as such Approval Payments become due and payable (if ever)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Approval Payments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shall be reduced by the amount previously paid to SFJ as set forth in this </w:t>
      </w:r>
      <w:r>
        <w:rPr>
          <w:rFonts w:ascii="Arial" w:cs="Arial" w:eastAsia="Arial" w:hAnsi="Arial"/>
          <w:sz w:val="19"/>
          <w:szCs w:val="19"/>
          <w:u w:val="single" w:color="auto"/>
          <w:color w:val="auto"/>
        </w:rPr>
        <w:t>Section</w:t>
      </w:r>
    </w:p>
    <w:p>
      <w:pPr>
        <w:spacing w:after="0" w:line="4" w:lineRule="exact"/>
        <w:rPr>
          <w:sz w:val="20"/>
          <w:szCs w:val="20"/>
          <w:color w:val="auto"/>
        </w:rPr>
      </w:pPr>
    </w:p>
    <w:p>
      <w:pPr>
        <w:ind w:left="880"/>
        <w:spacing w:after="0" w:line="280" w:lineRule="auto"/>
        <w:rPr>
          <w:sz w:val="20"/>
          <w:szCs w:val="20"/>
          <w:color w:val="auto"/>
        </w:rPr>
      </w:pPr>
      <w:r>
        <w:rPr>
          <w:rFonts w:ascii="Arial" w:cs="Arial" w:eastAsia="Arial" w:hAnsi="Arial"/>
          <w:sz w:val="19"/>
          <w:szCs w:val="19"/>
          <w:u w:val="single" w:color="auto"/>
          <w:color w:val="auto"/>
        </w:rPr>
        <w:t>14.3.5</w:t>
      </w:r>
      <w:r>
        <w:rPr>
          <w:rFonts w:ascii="Arial" w:cs="Arial" w:eastAsia="Arial" w:hAnsi="Arial"/>
          <w:sz w:val="19"/>
          <w:szCs w:val="19"/>
          <w:color w:val="auto"/>
        </w:rPr>
        <w:t xml:space="preserve">. Notwithstanding the foregoing, following a termination of this Agreement pursuant to </w:t>
      </w:r>
      <w:r>
        <w:rPr>
          <w:rFonts w:ascii="Arial" w:cs="Arial" w:eastAsia="Arial" w:hAnsi="Arial"/>
          <w:sz w:val="19"/>
          <w:szCs w:val="19"/>
          <w:u w:val="single" w:color="auto"/>
          <w:color w:val="auto"/>
        </w:rPr>
        <w:t>Section 14.2.5</w:t>
      </w:r>
      <w:r>
        <w:rPr>
          <w:rFonts w:ascii="Arial" w:cs="Arial" w:eastAsia="Arial" w:hAnsi="Arial"/>
          <w:sz w:val="19"/>
          <w:szCs w:val="19"/>
          <w:color w:val="auto"/>
        </w:rPr>
        <w:t xml:space="preserve"> above, once a Regulatory Approval from FDA or from EMA has been achieved (whether achieved before or after such termination), Apellis may elect, in lieu of making the foregoing payments set forth in this </w:t>
      </w:r>
      <w:r>
        <w:rPr>
          <w:rFonts w:ascii="Arial" w:cs="Arial" w:eastAsia="Arial" w:hAnsi="Arial"/>
          <w:sz w:val="19"/>
          <w:szCs w:val="19"/>
          <w:u w:val="single" w:color="auto"/>
          <w:color w:val="auto"/>
        </w:rPr>
        <w:t>Section 14.3.5</w:t>
      </w:r>
      <w:r>
        <w:rPr>
          <w:rFonts w:ascii="Arial" w:cs="Arial" w:eastAsia="Arial" w:hAnsi="Arial"/>
          <w:sz w:val="19"/>
          <w:szCs w:val="19"/>
          <w:color w:val="auto"/>
        </w:rPr>
        <w:t xml:space="preserve"> with respect to the applicable Regulatory Approval, to pay SFJ an amount equal to the Buyout Payment required to buy out all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15" w:name="page116"/>
    <w:bookmarkEnd w:id="115"/>
    <w:p>
      <w:pPr>
        <w:ind w:right="760"/>
        <w:spacing w:after="0" w:line="251" w:lineRule="auto"/>
        <w:rPr>
          <w:sz w:val="20"/>
          <w:szCs w:val="20"/>
          <w:color w:val="auto"/>
        </w:rPr>
      </w:pPr>
      <w:r>
        <w:rPr>
          <w:rFonts w:ascii="Arial" w:cs="Arial" w:eastAsia="Arial" w:hAnsi="Arial"/>
          <w:sz w:val="22"/>
          <w:szCs w:val="22"/>
          <w:color w:val="auto"/>
        </w:rPr>
        <w:t xml:space="preserve">Approval Payments with respect to such Regulatory Approval then remaining unpaid (after crediting any amount previously paid to SFJ as set forth in this </w:t>
      </w:r>
      <w:r>
        <w:rPr>
          <w:rFonts w:ascii="Arial" w:cs="Arial" w:eastAsia="Arial" w:hAnsi="Arial"/>
          <w:sz w:val="22"/>
          <w:szCs w:val="22"/>
          <w:u w:val="single" w:color="auto"/>
          <w:color w:val="auto"/>
        </w:rPr>
        <w:t>Section 14.3.5</w:t>
      </w:r>
      <w:r>
        <w:rPr>
          <w:rFonts w:ascii="Arial" w:cs="Arial" w:eastAsia="Arial" w:hAnsi="Arial"/>
          <w:sz w:val="22"/>
          <w:szCs w:val="22"/>
          <w:color w:val="auto"/>
        </w:rPr>
        <w:t>).</w:t>
      </w:r>
    </w:p>
    <w:p>
      <w:pPr>
        <w:spacing w:after="0" w:line="173" w:lineRule="exact"/>
        <w:rPr>
          <w:sz w:val="20"/>
          <w:szCs w:val="20"/>
          <w:color w:val="auto"/>
        </w:rPr>
      </w:pPr>
    </w:p>
    <w:p>
      <w:pPr>
        <w:ind w:right="20" w:firstLine="1620"/>
        <w:spacing w:after="0" w:line="271" w:lineRule="auto"/>
        <w:rPr>
          <w:sz w:val="20"/>
          <w:szCs w:val="20"/>
          <w:color w:val="auto"/>
        </w:rPr>
      </w:pPr>
      <w:r>
        <w:rPr>
          <w:rFonts w:ascii="Arial" w:cs="Arial" w:eastAsia="Arial" w:hAnsi="Arial"/>
          <w:sz w:val="19"/>
          <w:szCs w:val="19"/>
          <w:color w:val="auto"/>
        </w:rPr>
        <w:t xml:space="preserve">14.3.6 </w:t>
      </w:r>
      <w:r>
        <w:rPr>
          <w:rFonts w:ascii="Arial" w:cs="Arial" w:eastAsia="Arial" w:hAnsi="Arial"/>
          <w:sz w:val="19"/>
          <w:szCs w:val="19"/>
          <w:u w:val="single" w:color="auto"/>
          <w:color w:val="auto"/>
        </w:rPr>
        <w:t>Termination for Safety Concerns</w:t>
      </w:r>
      <w:r>
        <w:rPr>
          <w:rFonts w:ascii="Arial" w:cs="Arial" w:eastAsia="Arial" w:hAnsi="Arial"/>
          <w:sz w:val="19"/>
          <w:szCs w:val="19"/>
          <w:color w:val="auto"/>
        </w:rPr>
        <w:t xml:space="preserve">. In the event that this Agreement terminates pursuant to </w:t>
      </w:r>
      <w:r>
        <w:rPr>
          <w:rFonts w:ascii="Arial" w:cs="Arial" w:eastAsia="Arial" w:hAnsi="Arial"/>
          <w:sz w:val="19"/>
          <w:szCs w:val="19"/>
          <w:u w:val="single" w:color="auto"/>
          <w:color w:val="auto"/>
        </w:rPr>
        <w:t>Section 14.2.6</w:t>
      </w:r>
      <w:r>
        <w:rPr>
          <w:rFonts w:ascii="Arial" w:cs="Arial" w:eastAsia="Arial" w:hAnsi="Arial"/>
          <w:sz w:val="19"/>
          <w:szCs w:val="19"/>
          <w:color w:val="auto"/>
        </w:rPr>
        <w:t xml:space="preserve"> above, then Apellis will not be obligated to pay SFJ any SFJ Development Costs or Approval Payments. Notwithstanding the foregoing, if this Agreement terminates pursuant to </w:t>
      </w:r>
      <w:r>
        <w:rPr>
          <w:rFonts w:ascii="Arial" w:cs="Arial" w:eastAsia="Arial" w:hAnsi="Arial"/>
          <w:sz w:val="19"/>
          <w:szCs w:val="19"/>
          <w:u w:val="single" w:color="auto"/>
          <w:color w:val="auto"/>
        </w:rPr>
        <w:t>Section 14.2.6</w:t>
      </w:r>
      <w:r>
        <w:rPr>
          <w:rFonts w:ascii="Arial" w:cs="Arial" w:eastAsia="Arial" w:hAnsi="Arial"/>
          <w:sz w:val="19"/>
          <w:szCs w:val="19"/>
          <w:color w:val="auto"/>
        </w:rPr>
        <w:t xml:space="preserve"> above and such termination (i) arises as a result of gross negligence on the part of Apellis or (ii) is due to the applicable independent data monitoring committee recommending termination of the Trial or Apellis and SFJ mutually agreeing to terminate the Trial due to a Serious Safety Issue that was previously known, demonstrated or identified by Apellis as being material as of the Effective Date and the material data showing, demonstrating, or identifying such Serious Safety Issue were not included in the Data Room or otherwise publicly known prior to the Effective Date, then (A) Apellis will pay SFJ an amount equal to one hundred fifty percent (150%) of SFJ Development Costs paid to Apellis by SFJ within [**] of the date of termination, and (B) if Apellis elects to continue development and obtains Regulatory Approval following such termination, Apellis will remain obligated to pay any Approval Payments that become due and payable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at such time as such Approval Payments become due and payable (if ever)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payments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shall be reduced by the amount previously paid by Apellis to SFJ pursuant to this </w:t>
      </w:r>
      <w:r>
        <w:rPr>
          <w:rFonts w:ascii="Arial" w:cs="Arial" w:eastAsia="Arial" w:hAnsi="Arial"/>
          <w:sz w:val="19"/>
          <w:szCs w:val="19"/>
          <w:u w:val="single" w:color="auto"/>
          <w:color w:val="auto"/>
        </w:rPr>
        <w:t>Section 14.3.6</w:t>
      </w:r>
      <w:r>
        <w:rPr>
          <w:rFonts w:ascii="Arial" w:cs="Arial" w:eastAsia="Arial" w:hAnsi="Arial"/>
          <w:sz w:val="19"/>
          <w:szCs w:val="19"/>
          <w:color w:val="auto"/>
        </w:rPr>
        <w:t>.</w:t>
      </w:r>
    </w:p>
    <w:p>
      <w:pPr>
        <w:spacing w:after="0" w:line="200" w:lineRule="exact"/>
        <w:rPr>
          <w:sz w:val="20"/>
          <w:szCs w:val="20"/>
          <w:color w:val="auto"/>
        </w:rPr>
      </w:pPr>
    </w:p>
    <w:p>
      <w:pPr>
        <w:spacing w:after="0" w:line="212" w:lineRule="exact"/>
        <w:rPr>
          <w:sz w:val="20"/>
          <w:szCs w:val="20"/>
          <w:color w:val="auto"/>
        </w:rPr>
      </w:pPr>
    </w:p>
    <w:p>
      <w:pPr>
        <w:ind w:right="340" w:firstLine="1620"/>
        <w:spacing w:after="0" w:line="258" w:lineRule="auto"/>
        <w:rPr>
          <w:sz w:val="20"/>
          <w:szCs w:val="20"/>
          <w:color w:val="auto"/>
        </w:rPr>
      </w:pPr>
      <w:r>
        <w:rPr>
          <w:rFonts w:ascii="Arial" w:cs="Arial" w:eastAsia="Arial" w:hAnsi="Arial"/>
          <w:sz w:val="21"/>
          <w:szCs w:val="21"/>
          <w:color w:val="auto"/>
        </w:rPr>
        <w:t xml:space="preserve">14.3.7 </w:t>
      </w:r>
      <w:r>
        <w:rPr>
          <w:rFonts w:ascii="Arial" w:cs="Arial" w:eastAsia="Arial" w:hAnsi="Arial"/>
          <w:sz w:val="21"/>
          <w:szCs w:val="21"/>
          <w:u w:val="single" w:color="auto"/>
          <w:color w:val="auto"/>
        </w:rPr>
        <w:t>Termination Because of Third Party Patents.</w:t>
      </w:r>
      <w:r>
        <w:rPr>
          <w:rFonts w:ascii="Arial" w:cs="Arial" w:eastAsia="Arial" w:hAnsi="Arial"/>
          <w:sz w:val="21"/>
          <w:szCs w:val="21"/>
          <w:color w:val="auto"/>
        </w:rPr>
        <w:t xml:space="preserve"> In the event that SFJ terminates this Agreement pursuant to </w:t>
      </w:r>
      <w:r>
        <w:rPr>
          <w:rFonts w:ascii="Arial" w:cs="Arial" w:eastAsia="Arial" w:hAnsi="Arial"/>
          <w:sz w:val="21"/>
          <w:szCs w:val="21"/>
          <w:u w:val="single" w:color="auto"/>
          <w:color w:val="auto"/>
        </w:rPr>
        <w:t>Section 14.2.9</w:t>
      </w:r>
      <w:r>
        <w:rPr>
          <w:rFonts w:ascii="Arial" w:cs="Arial" w:eastAsia="Arial" w:hAnsi="Arial"/>
          <w:sz w:val="21"/>
          <w:szCs w:val="21"/>
          <w:color w:val="auto"/>
        </w:rPr>
        <w:t>, then Apellis shall pay to SFJ, within [**] of the date of termination, an amount equal to all SFJ Development Costs paid to Apellis by SFJ as of the date of termination.</w:t>
      </w:r>
    </w:p>
    <w:p>
      <w:pPr>
        <w:spacing w:after="0" w:line="167" w:lineRule="exact"/>
        <w:rPr>
          <w:sz w:val="20"/>
          <w:szCs w:val="20"/>
          <w:color w:val="auto"/>
        </w:rPr>
      </w:pPr>
    </w:p>
    <w:p>
      <w:pPr>
        <w:ind w:firstLine="1620"/>
        <w:spacing w:after="0" w:line="275" w:lineRule="auto"/>
        <w:rPr>
          <w:sz w:val="20"/>
          <w:szCs w:val="20"/>
          <w:color w:val="auto"/>
        </w:rPr>
      </w:pPr>
      <w:r>
        <w:rPr>
          <w:rFonts w:ascii="Arial" w:cs="Arial" w:eastAsia="Arial" w:hAnsi="Arial"/>
          <w:sz w:val="19"/>
          <w:szCs w:val="19"/>
          <w:color w:val="auto"/>
        </w:rPr>
        <w:t xml:space="preserve">14.3.8 </w:t>
      </w:r>
      <w:r>
        <w:rPr>
          <w:rFonts w:ascii="Arial" w:cs="Arial" w:eastAsia="Arial" w:hAnsi="Arial"/>
          <w:sz w:val="19"/>
          <w:szCs w:val="19"/>
          <w:u w:val="single" w:color="auto"/>
          <w:color w:val="auto"/>
        </w:rPr>
        <w:t>Termination for JSC Decision</w:t>
      </w:r>
      <w:r>
        <w:rPr>
          <w:rFonts w:ascii="Arial" w:cs="Arial" w:eastAsia="Arial" w:hAnsi="Arial"/>
          <w:sz w:val="19"/>
          <w:szCs w:val="19"/>
          <w:color w:val="auto"/>
        </w:rPr>
        <w:t xml:space="preserve">. In the event that SFJ terminates this Agreement pursuant to </w:t>
      </w:r>
      <w:r>
        <w:rPr>
          <w:rFonts w:ascii="Arial" w:cs="Arial" w:eastAsia="Arial" w:hAnsi="Arial"/>
          <w:sz w:val="19"/>
          <w:szCs w:val="19"/>
          <w:u w:val="single" w:color="auto"/>
          <w:color w:val="auto"/>
        </w:rPr>
        <w:t>Section 14.2.10</w:t>
      </w:r>
      <w:r>
        <w:rPr>
          <w:rFonts w:ascii="Arial" w:cs="Arial" w:eastAsia="Arial" w:hAnsi="Arial"/>
          <w:sz w:val="19"/>
          <w:szCs w:val="19"/>
          <w:color w:val="auto"/>
        </w:rPr>
        <w:t xml:space="preserve"> above, then Apellis will pay to SFJ, within [**] of the date of termination, an amount equal to the SFJ Development Costs paid to Apellis by SFJ plus interest at the annual rate of twenty-two percent (22%) from the date such SFJ Development Costs were paid to Apellis by SFJ and, if Apellis elects to continue development and obtains Regulatory Approval following such termination, Apellis shall remain obligated to pay any Approval Payments that become due and payable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at such time as such Approval Payments become due and payable (if ever)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Approval Payments shall be adjusted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reduced by the amount previously paid to SFJ as set forth in this </w:t>
      </w:r>
      <w:r>
        <w:rPr>
          <w:rFonts w:ascii="Arial" w:cs="Arial" w:eastAsia="Arial" w:hAnsi="Arial"/>
          <w:sz w:val="19"/>
          <w:szCs w:val="19"/>
          <w:u w:val="single" w:color="auto"/>
          <w:color w:val="auto"/>
        </w:rPr>
        <w:t>Section 14.3.8</w:t>
      </w:r>
      <w:r>
        <w:rPr>
          <w:rFonts w:ascii="Arial" w:cs="Arial" w:eastAsia="Arial" w:hAnsi="Arial"/>
          <w:sz w:val="19"/>
          <w:szCs w:val="19"/>
          <w:color w:val="auto"/>
        </w:rPr>
        <w:t>.</w:t>
      </w:r>
    </w:p>
    <w:p>
      <w:pPr>
        <w:spacing w:after="0" w:line="158" w:lineRule="exact"/>
        <w:rPr>
          <w:sz w:val="20"/>
          <w:szCs w:val="20"/>
          <w:color w:val="auto"/>
        </w:rPr>
      </w:pPr>
    </w:p>
    <w:p>
      <w:pPr>
        <w:jc w:val="both"/>
        <w:ind w:right="240" w:firstLine="1620"/>
        <w:spacing w:after="0" w:line="297" w:lineRule="auto"/>
        <w:rPr>
          <w:sz w:val="20"/>
          <w:szCs w:val="20"/>
          <w:color w:val="auto"/>
        </w:rPr>
      </w:pPr>
      <w:r>
        <w:rPr>
          <w:rFonts w:ascii="Arial" w:cs="Arial" w:eastAsia="Arial" w:hAnsi="Arial"/>
          <w:sz w:val="19"/>
          <w:szCs w:val="19"/>
          <w:color w:val="auto"/>
        </w:rPr>
        <w:t xml:space="preserve">14.3.9 </w:t>
      </w:r>
      <w:r>
        <w:rPr>
          <w:rFonts w:ascii="Arial" w:cs="Arial" w:eastAsia="Arial" w:hAnsi="Arial"/>
          <w:sz w:val="19"/>
          <w:szCs w:val="19"/>
          <w:u w:val="single" w:color="auto"/>
          <w:color w:val="auto"/>
        </w:rPr>
        <w:t>Accrued Rights and Obligations</w:t>
      </w:r>
      <w:r>
        <w:rPr>
          <w:rFonts w:ascii="Arial" w:cs="Arial" w:eastAsia="Arial" w:hAnsi="Arial"/>
          <w:sz w:val="19"/>
          <w:szCs w:val="19"/>
          <w:color w:val="auto"/>
        </w:rPr>
        <w:t>. Expiration or termination of this Agreement for any reason will not release either Party from any obligation or liability which, at the time of such expiration or termination, has already accrued to the other Party or which is attributable to a period prior to such expiration or termination.</w:t>
      </w:r>
    </w:p>
    <w:p>
      <w:pPr>
        <w:spacing w:after="0" w:line="134" w:lineRule="exact"/>
        <w:rPr>
          <w:sz w:val="20"/>
          <w:szCs w:val="20"/>
          <w:color w:val="auto"/>
        </w:rPr>
      </w:pPr>
    </w:p>
    <w:p>
      <w:pPr>
        <w:jc w:val="both"/>
        <w:ind w:right="240" w:firstLine="1620"/>
        <w:spacing w:after="0" w:line="251" w:lineRule="auto"/>
        <w:rPr>
          <w:sz w:val="20"/>
          <w:szCs w:val="20"/>
          <w:color w:val="auto"/>
        </w:rPr>
      </w:pPr>
      <w:r>
        <w:rPr>
          <w:rFonts w:ascii="Arial" w:cs="Arial" w:eastAsia="Arial" w:hAnsi="Arial"/>
          <w:sz w:val="22"/>
          <w:szCs w:val="22"/>
          <w:color w:val="auto"/>
        </w:rPr>
        <w:t xml:space="preserve">14.3.10 </w:t>
      </w:r>
      <w:r>
        <w:rPr>
          <w:rFonts w:ascii="Arial" w:cs="Arial" w:eastAsia="Arial" w:hAnsi="Arial"/>
          <w:sz w:val="22"/>
          <w:szCs w:val="22"/>
          <w:u w:val="single" w:color="auto"/>
          <w:color w:val="auto"/>
        </w:rPr>
        <w:t>Exclusive Remedy</w:t>
      </w:r>
      <w:r>
        <w:rPr>
          <w:rFonts w:ascii="Arial" w:cs="Arial" w:eastAsia="Arial" w:hAnsi="Arial"/>
          <w:sz w:val="22"/>
          <w:szCs w:val="22"/>
          <w:color w:val="auto"/>
        </w:rPr>
        <w:t>. Notwithstanding anything herein to the contrary, termination of this Agreement by a Party will be without prejudice to other</w:t>
      </w:r>
    </w:p>
    <w:p>
      <w:pPr>
        <w:spacing w:after="0" w:line="146"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260350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48" w:right="239" w:bottom="1440" w:gutter="0" w:footer="0" w:header="0"/>
        </w:sectPr>
      </w:pPr>
    </w:p>
    <w:bookmarkStart w:id="116" w:name="page117"/>
    <w:bookmarkEnd w:id="116"/>
    <w:p>
      <w:pPr>
        <w:jc w:val="both"/>
        <w:ind w:left="880" w:right="100"/>
        <w:spacing w:after="0" w:line="258" w:lineRule="auto"/>
        <w:rPr>
          <w:sz w:val="20"/>
          <w:szCs w:val="20"/>
          <w:color w:val="auto"/>
        </w:rPr>
      </w:pPr>
      <w:r>
        <w:rPr>
          <w:rFonts w:ascii="Arial" w:cs="Arial" w:eastAsia="Arial" w:hAnsi="Arial"/>
          <w:sz w:val="21"/>
          <w:szCs w:val="21"/>
          <w:color w:val="auto"/>
        </w:rPr>
        <w:t xml:space="preserve">remedies such Party may have at law or equity; provided that, the payment by Apellis to SFJ of the amounts specified as being payable upon a given termination in this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shall be in lieu of any claim for damages that SFJ may have arising from the circumstances that formed the basis for such termination.</w:t>
      </w:r>
    </w:p>
    <w:p>
      <w:pPr>
        <w:spacing w:after="0" w:line="167" w:lineRule="exact"/>
        <w:rPr>
          <w:sz w:val="20"/>
          <w:szCs w:val="20"/>
          <w:color w:val="auto"/>
        </w:rPr>
      </w:pPr>
    </w:p>
    <w:p>
      <w:pPr>
        <w:ind w:left="880" w:firstLine="1620"/>
        <w:spacing w:after="0" w:line="245" w:lineRule="auto"/>
        <w:rPr>
          <w:sz w:val="20"/>
          <w:szCs w:val="20"/>
          <w:color w:val="auto"/>
        </w:rPr>
      </w:pPr>
      <w:r>
        <w:rPr>
          <w:rFonts w:ascii="Arial" w:cs="Arial" w:eastAsia="Arial" w:hAnsi="Arial"/>
          <w:sz w:val="21"/>
          <w:szCs w:val="21"/>
          <w:color w:val="auto"/>
        </w:rPr>
        <w:t xml:space="preserve">14.3.11 </w:t>
      </w:r>
      <w:r>
        <w:rPr>
          <w:rFonts w:ascii="Arial" w:cs="Arial" w:eastAsia="Arial" w:hAnsi="Arial"/>
          <w:sz w:val="21"/>
          <w:szCs w:val="21"/>
          <w:u w:val="single" w:color="auto"/>
          <w:color w:val="auto"/>
        </w:rPr>
        <w:t>Release of Security Interest</w:t>
      </w:r>
      <w:r>
        <w:rPr>
          <w:rFonts w:ascii="Arial" w:cs="Arial" w:eastAsia="Arial" w:hAnsi="Arial"/>
          <w:sz w:val="21"/>
          <w:szCs w:val="21"/>
          <w:color w:val="auto"/>
        </w:rPr>
        <w:t xml:space="preserve">. Upon any termination of this Agreement and payment by Apellis of all amounts specified as being payable upon such termination in this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(other than a termination pursuant to </w:t>
      </w:r>
      <w:r>
        <w:rPr>
          <w:rFonts w:ascii="Arial" w:cs="Arial" w:eastAsia="Arial" w:hAnsi="Arial"/>
          <w:sz w:val="21"/>
          <w:szCs w:val="21"/>
          <w:u w:val="single" w:color="auto"/>
          <w:color w:val="auto"/>
        </w:rPr>
        <w:t>Section 14.2.2</w:t>
      </w:r>
      <w:r>
        <w:rPr>
          <w:rFonts w:ascii="Arial" w:cs="Arial" w:eastAsia="Arial" w:hAnsi="Arial"/>
          <w:sz w:val="21"/>
          <w:szCs w:val="21"/>
          <w:color w:val="auto"/>
        </w:rPr>
        <w:t xml:space="preserve">, in which case SFJ’s security interest shall not be released until the earlier of such time as conditions exist that would have permitted this Agreement to be terminated under </w:t>
      </w:r>
      <w:r>
        <w:rPr>
          <w:rFonts w:ascii="Arial" w:cs="Arial" w:eastAsia="Arial" w:hAnsi="Arial"/>
          <w:sz w:val="21"/>
          <w:szCs w:val="21"/>
          <w:u w:val="single" w:color="auto"/>
          <w:color w:val="auto"/>
        </w:rPr>
        <w:t>Section 14.2.3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14.2.6</w:t>
      </w:r>
      <w:r>
        <w:rPr>
          <w:rFonts w:ascii="Arial" w:cs="Arial" w:eastAsia="Arial" w:hAnsi="Arial"/>
          <w:sz w:val="21"/>
          <w:szCs w:val="21"/>
          <w:color w:val="auto"/>
        </w:rPr>
        <w:t xml:space="preserve"> in the absence of such termination under </w:t>
      </w:r>
      <w:r>
        <w:rPr>
          <w:rFonts w:ascii="Arial" w:cs="Arial" w:eastAsia="Arial" w:hAnsi="Arial"/>
          <w:sz w:val="21"/>
          <w:szCs w:val="21"/>
          <w:u w:val="single" w:color="auto"/>
          <w:color w:val="auto"/>
        </w:rPr>
        <w:t>Section 14.2.2</w:t>
      </w:r>
      <w:r>
        <w:rPr>
          <w:rFonts w:ascii="Arial" w:cs="Arial" w:eastAsia="Arial" w:hAnsi="Arial"/>
          <w:sz w:val="21"/>
          <w:szCs w:val="21"/>
          <w:color w:val="auto"/>
        </w:rPr>
        <w:t xml:space="preserve"> or such time as Apellis has made all Approval Payments that become payable pursuant to </w:t>
      </w:r>
      <w:r>
        <w:rPr>
          <w:rFonts w:ascii="Arial" w:cs="Arial" w:eastAsia="Arial" w:hAnsi="Arial"/>
          <w:sz w:val="21"/>
          <w:szCs w:val="21"/>
          <w:u w:val="single" w:color="auto"/>
          <w:color w:val="auto"/>
        </w:rPr>
        <w:t>Section 14.3.2</w:t>
      </w:r>
      <w:r>
        <w:rPr>
          <w:rFonts w:ascii="Arial" w:cs="Arial" w:eastAsia="Arial" w:hAnsi="Arial"/>
          <w:sz w:val="21"/>
          <w:szCs w:val="21"/>
          <w:color w:val="auto"/>
        </w:rPr>
        <w:t xml:space="preserve">) excluding Approval Payment amounts, SFJ shall and hereby does release the security interest granted by Apellis to SFJ pursuant to </w:t>
      </w:r>
      <w:r>
        <w:rPr>
          <w:rFonts w:ascii="Arial" w:cs="Arial" w:eastAsia="Arial" w:hAnsi="Arial"/>
          <w:sz w:val="21"/>
          <w:szCs w:val="21"/>
          <w:u w:val="single" w:color="auto"/>
          <w:color w:val="auto"/>
        </w:rPr>
        <w:t>Article 7</w:t>
      </w:r>
      <w:r>
        <w:rPr>
          <w:rFonts w:ascii="Arial" w:cs="Arial" w:eastAsia="Arial" w:hAnsi="Arial"/>
          <w:sz w:val="21"/>
          <w:szCs w:val="21"/>
          <w:color w:val="auto"/>
        </w:rPr>
        <w:t>. SFJ agrees to sign such further releases and other documents and take such further actions as may be necessary or desirable, in Apellis’ reasonable judgment and at Apellis’ request, to more fully give effect to such release.</w:t>
      </w:r>
    </w:p>
    <w:p>
      <w:pPr>
        <w:spacing w:after="0" w:line="185" w:lineRule="exact"/>
        <w:rPr>
          <w:sz w:val="20"/>
          <w:szCs w:val="20"/>
          <w:color w:val="auto"/>
        </w:rPr>
      </w:pPr>
    </w:p>
    <w:p>
      <w:pPr>
        <w:ind w:left="880" w:firstLine="1620"/>
        <w:spacing w:after="0" w:line="277" w:lineRule="auto"/>
        <w:rPr>
          <w:sz w:val="20"/>
          <w:szCs w:val="20"/>
          <w:color w:val="auto"/>
        </w:rPr>
      </w:pPr>
      <w:r>
        <w:rPr>
          <w:rFonts w:ascii="Arial" w:cs="Arial" w:eastAsia="Arial" w:hAnsi="Arial"/>
          <w:sz w:val="19"/>
          <w:szCs w:val="19"/>
          <w:color w:val="auto"/>
        </w:rPr>
        <w:t xml:space="preserve">14.3.12 </w:t>
      </w:r>
      <w:r>
        <w:rPr>
          <w:rFonts w:ascii="Arial" w:cs="Arial" w:eastAsia="Arial" w:hAnsi="Arial"/>
          <w:sz w:val="19"/>
          <w:szCs w:val="19"/>
          <w:u w:val="single" w:color="auto"/>
          <w:color w:val="auto"/>
        </w:rPr>
        <w:t>Surviving Obligations</w:t>
      </w:r>
      <w:r>
        <w:rPr>
          <w:rFonts w:ascii="Arial" w:cs="Arial" w:eastAsia="Arial" w:hAnsi="Arial"/>
          <w:sz w:val="19"/>
          <w:szCs w:val="19"/>
          <w:color w:val="auto"/>
        </w:rPr>
        <w:t xml:space="preserve">. Expiration or earlier termination of this Agreement will not relieve either Party of any obligation accruing prior to or upon such expiration or earlier termination, including that neither Party will be relieved of any payment obligation that may have accrued prior to such expiration or earlier termination. Further, the following provisions of this Agreement, together with any other provisions that expressly specify that they survive, will survive expiration or earlier termination of this Agreement: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w:t>
      </w:r>
      <w:r>
        <w:rPr>
          <w:rFonts w:ascii="Arial" w:cs="Arial" w:eastAsia="Arial" w:hAnsi="Arial"/>
          <w:sz w:val="19"/>
          <w:szCs w:val="19"/>
          <w:u w:val="single" w:color="auto"/>
          <w:color w:val="auto"/>
        </w:rPr>
        <w:t>6.3</w:t>
      </w:r>
      <w:r>
        <w:rPr>
          <w:rFonts w:ascii="Arial" w:cs="Arial" w:eastAsia="Arial" w:hAnsi="Arial"/>
          <w:sz w:val="19"/>
          <w:szCs w:val="19"/>
          <w:color w:val="auto"/>
        </w:rPr>
        <w:t xml:space="preserve">, </w:t>
      </w:r>
      <w:r>
        <w:rPr>
          <w:rFonts w:ascii="Arial" w:cs="Arial" w:eastAsia="Arial" w:hAnsi="Arial"/>
          <w:sz w:val="19"/>
          <w:szCs w:val="19"/>
          <w:u w:val="single" w:color="auto"/>
          <w:color w:val="auto"/>
        </w:rPr>
        <w:t>6.4</w:t>
      </w:r>
      <w:r>
        <w:rPr>
          <w:rFonts w:ascii="Arial" w:cs="Arial" w:eastAsia="Arial" w:hAnsi="Arial"/>
          <w:sz w:val="19"/>
          <w:szCs w:val="19"/>
          <w:color w:val="auto"/>
        </w:rPr>
        <w:t xml:space="preserve">, </w:t>
      </w:r>
      <w:r>
        <w:rPr>
          <w:rFonts w:ascii="Arial" w:cs="Arial" w:eastAsia="Arial" w:hAnsi="Arial"/>
          <w:sz w:val="19"/>
          <w:szCs w:val="19"/>
          <w:u w:val="single" w:color="auto"/>
          <w:color w:val="auto"/>
        </w:rPr>
        <w:t>6.5</w:t>
      </w:r>
      <w:r>
        <w:rPr>
          <w:rFonts w:ascii="Arial" w:cs="Arial" w:eastAsia="Arial" w:hAnsi="Arial"/>
          <w:sz w:val="19"/>
          <w:szCs w:val="19"/>
          <w:color w:val="auto"/>
        </w:rPr>
        <w:t xml:space="preserve">, </w:t>
      </w:r>
      <w:r>
        <w:rPr>
          <w:rFonts w:ascii="Arial" w:cs="Arial" w:eastAsia="Arial" w:hAnsi="Arial"/>
          <w:sz w:val="19"/>
          <w:szCs w:val="19"/>
          <w:u w:val="single" w:color="auto"/>
          <w:color w:val="auto"/>
        </w:rPr>
        <w:t>6.6</w:t>
      </w:r>
      <w:r>
        <w:rPr>
          <w:rFonts w:ascii="Arial" w:cs="Arial" w:eastAsia="Arial" w:hAnsi="Arial"/>
          <w:sz w:val="19"/>
          <w:szCs w:val="19"/>
          <w:color w:val="auto"/>
        </w:rPr>
        <w:t xml:space="preserve">, </w:t>
      </w:r>
      <w:r>
        <w:rPr>
          <w:rFonts w:ascii="Arial" w:cs="Arial" w:eastAsia="Arial" w:hAnsi="Arial"/>
          <w:sz w:val="19"/>
          <w:szCs w:val="19"/>
          <w:u w:val="single" w:color="auto"/>
          <w:color w:val="auto"/>
        </w:rPr>
        <w:t>6.7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7.3</w:t>
      </w:r>
      <w:r>
        <w:rPr>
          <w:rFonts w:ascii="Arial" w:cs="Arial" w:eastAsia="Arial" w:hAnsi="Arial"/>
          <w:sz w:val="19"/>
          <w:szCs w:val="19"/>
          <w:color w:val="auto"/>
        </w:rPr>
        <w:t xml:space="preserve"> (in the case of such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7.3</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14.3.11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15.1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15.3</w:t>
      </w:r>
      <w:r>
        <w:rPr>
          <w:rFonts w:ascii="Arial" w:cs="Arial" w:eastAsia="Arial" w:hAnsi="Arial"/>
          <w:sz w:val="19"/>
          <w:szCs w:val="19"/>
          <w:color w:val="auto"/>
        </w:rPr>
        <w:t xml:space="preserve">, </w:t>
      </w:r>
      <w:r>
        <w:rPr>
          <w:rFonts w:ascii="Arial" w:cs="Arial" w:eastAsia="Arial" w:hAnsi="Arial"/>
          <w:sz w:val="19"/>
          <w:szCs w:val="19"/>
          <w:u w:val="single" w:color="auto"/>
          <w:color w:val="auto"/>
        </w:rPr>
        <w:t>15.5</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15.21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14</w:t>
      </w:r>
      <w:r>
        <w:rPr>
          <w:rFonts w:ascii="Arial" w:cs="Arial" w:eastAsia="Arial" w:hAnsi="Arial"/>
          <w:sz w:val="19"/>
          <w:szCs w:val="19"/>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15</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right="100" w:firstLine="877"/>
        <w:spacing w:after="0" w:line="258"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Relationship with Affiliates</w:t>
      </w:r>
      <w:r>
        <w:rPr>
          <w:rFonts w:ascii="Arial" w:cs="Arial" w:eastAsia="Arial" w:hAnsi="Arial"/>
          <w:sz w:val="21"/>
          <w:szCs w:val="21"/>
          <w:color w:val="auto"/>
        </w:rPr>
        <w:t>. Each Party will be responsible for any breach by its Affiliates of its obligations in connection with this Agreement, and each such Party will remain responsible for any responsibilities that it has delegated to an Affiliate as though such Party had performed (or failed to perform) such responsibilities itself.</w:t>
      </w:r>
    </w:p>
    <w:p>
      <w:pPr>
        <w:spacing w:after="0" w:line="167" w:lineRule="exact"/>
        <w:rPr>
          <w:sz w:val="20"/>
          <w:szCs w:val="20"/>
          <w:color w:val="auto"/>
        </w:rPr>
      </w:pPr>
    </w:p>
    <w:p>
      <w:pPr>
        <w:ind w:right="100" w:firstLine="877"/>
        <w:spacing w:after="0" w:line="249"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Prior Agreements</w:t>
      </w:r>
      <w:r>
        <w:rPr>
          <w:rFonts w:ascii="Arial" w:cs="Arial" w:eastAsia="Arial" w:hAnsi="Arial"/>
          <w:sz w:val="21"/>
          <w:szCs w:val="21"/>
          <w:color w:val="auto"/>
        </w:rPr>
        <w:t>. The Parties agree on behalf of themselves and their respective Affiliates that any prior Confidentiality Agreement, by and between Apellis and SFJ (the “</w:t>
      </w:r>
      <w:r>
        <w:rPr>
          <w:rFonts w:ascii="Arial" w:cs="Arial" w:eastAsia="Arial" w:hAnsi="Arial"/>
          <w:sz w:val="21"/>
          <w:szCs w:val="21"/>
          <w:u w:val="single" w:color="auto"/>
          <w:color w:val="auto"/>
        </w:rPr>
        <w:t>Prior CDA</w:t>
      </w:r>
      <w:r>
        <w:rPr>
          <w:rFonts w:ascii="Arial" w:cs="Arial" w:eastAsia="Arial" w:hAnsi="Arial"/>
          <w:sz w:val="21"/>
          <w:szCs w:val="21"/>
          <w:color w:val="auto"/>
        </w:rPr>
        <w:t xml:space="preserve">”) is hereby terminated and superseded by this Agreement and that all Information disclosed under or pursuant to the Prior CDAs will constitute Confidential Information disclosed pursuant to this Agreement and will be subject to the terms of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with the confidentiality and non-use provisions of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applying retroactively to such Confidential Information from the date of disclosure.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17" w:name="page118"/>
    <w:bookmarkEnd w:id="117"/>
    <w:p>
      <w:pPr>
        <w:ind w:right="200" w:firstLine="877"/>
        <w:spacing w:after="0" w:line="287"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to be given by either Party under this Agreement will be in writing and will be effective when delivered if delivered by fax, e-mail, hand, reputable courier service, or five (5) days after mailing if mailed by registered or certified mail, postage prepaid and return receipt requested, addressed to the other Party at the following addresses or such other address as may be designated by notice pursuant to this Section:</w:t>
      </w:r>
    </w:p>
    <w:p>
      <w:pPr>
        <w:spacing w:after="0" w:line="143"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15.3.1 If to Apellis: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Apellis Pharmaceuticals, Inc.</w:t>
      </w:r>
    </w:p>
    <w:p>
      <w:pPr>
        <w:ind w:left="2640"/>
        <w:spacing w:after="0" w:line="238" w:lineRule="auto"/>
        <w:rPr>
          <w:sz w:val="20"/>
          <w:szCs w:val="20"/>
          <w:color w:val="auto"/>
        </w:rPr>
      </w:pPr>
      <w:r>
        <w:rPr>
          <w:rFonts w:ascii="Arial" w:cs="Arial" w:eastAsia="Arial" w:hAnsi="Arial"/>
          <w:sz w:val="22"/>
          <w:szCs w:val="22"/>
          <w:color w:val="auto"/>
        </w:rPr>
        <w:t>6400 Westwind Way, Suite A</w:t>
      </w:r>
    </w:p>
    <w:p>
      <w:pPr>
        <w:ind w:left="2640"/>
        <w:spacing w:after="0" w:line="230" w:lineRule="auto"/>
        <w:rPr>
          <w:sz w:val="20"/>
          <w:szCs w:val="20"/>
          <w:color w:val="auto"/>
        </w:rPr>
      </w:pPr>
      <w:r>
        <w:rPr>
          <w:rFonts w:ascii="Arial" w:cs="Arial" w:eastAsia="Arial" w:hAnsi="Arial"/>
          <w:sz w:val="22"/>
          <w:szCs w:val="22"/>
          <w:color w:val="auto"/>
        </w:rPr>
        <w:t>Crestwood, KY 40014</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Attention: Chief Executive Officer</w:t>
      </w:r>
    </w:p>
    <w:p>
      <w:pPr>
        <w:spacing w:after="0" w:line="20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Apellis Pharmaceuticals, Inc.</w:t>
      </w:r>
    </w:p>
    <w:p>
      <w:pPr>
        <w:ind w:left="2640"/>
        <w:spacing w:after="0" w:line="238" w:lineRule="auto"/>
        <w:rPr>
          <w:sz w:val="20"/>
          <w:szCs w:val="20"/>
          <w:color w:val="auto"/>
        </w:rPr>
      </w:pPr>
      <w:r>
        <w:rPr>
          <w:rFonts w:ascii="Arial" w:cs="Arial" w:eastAsia="Arial" w:hAnsi="Arial"/>
          <w:sz w:val="22"/>
          <w:szCs w:val="22"/>
          <w:color w:val="auto"/>
        </w:rPr>
        <w:t>6400 Westwind Way, Suite A</w:t>
      </w:r>
    </w:p>
    <w:p>
      <w:pPr>
        <w:ind w:left="2640"/>
        <w:spacing w:after="0" w:line="230" w:lineRule="auto"/>
        <w:rPr>
          <w:sz w:val="20"/>
          <w:szCs w:val="20"/>
          <w:color w:val="auto"/>
        </w:rPr>
      </w:pPr>
      <w:r>
        <w:rPr>
          <w:rFonts w:ascii="Arial" w:cs="Arial" w:eastAsia="Arial" w:hAnsi="Arial"/>
          <w:sz w:val="22"/>
          <w:szCs w:val="22"/>
          <w:color w:val="auto"/>
        </w:rPr>
        <w:t>Crestwood, KY 40014</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Attention: General Counsel ([**])</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WilmerHale LLP</w:t>
      </w:r>
    </w:p>
    <w:p>
      <w:pPr>
        <w:ind w:left="2640"/>
        <w:spacing w:after="0" w:line="238" w:lineRule="auto"/>
        <w:rPr>
          <w:sz w:val="20"/>
          <w:szCs w:val="20"/>
          <w:color w:val="auto"/>
        </w:rPr>
      </w:pPr>
      <w:r>
        <w:rPr>
          <w:rFonts w:ascii="Arial" w:cs="Arial" w:eastAsia="Arial" w:hAnsi="Arial"/>
          <w:sz w:val="22"/>
          <w:szCs w:val="22"/>
          <w:color w:val="auto"/>
        </w:rPr>
        <w:t>60 State Street</w:t>
      </w:r>
    </w:p>
    <w:p>
      <w:pPr>
        <w:ind w:left="2640"/>
        <w:spacing w:after="0" w:line="230" w:lineRule="auto"/>
        <w:rPr>
          <w:sz w:val="20"/>
          <w:szCs w:val="20"/>
          <w:color w:val="auto"/>
        </w:rPr>
      </w:pPr>
      <w:r>
        <w:rPr>
          <w:rFonts w:ascii="Arial" w:cs="Arial" w:eastAsia="Arial" w:hAnsi="Arial"/>
          <w:sz w:val="22"/>
          <w:szCs w:val="22"/>
          <w:color w:val="auto"/>
        </w:rPr>
        <w:t>Boston, MA 02109</w:t>
      </w:r>
    </w:p>
    <w:p>
      <w:pPr>
        <w:ind w:left="2640"/>
        <w:spacing w:after="0" w:line="231" w:lineRule="auto"/>
        <w:rPr>
          <w:sz w:val="20"/>
          <w:szCs w:val="20"/>
          <w:color w:val="auto"/>
        </w:rPr>
      </w:pPr>
      <w:r>
        <w:rPr>
          <w:rFonts w:ascii="Arial" w:cs="Arial" w:eastAsia="Arial" w:hAnsi="Arial"/>
          <w:sz w:val="22"/>
          <w:szCs w:val="22"/>
          <w:color w:val="auto"/>
        </w:rPr>
        <w:t>Attention: Stuart M. Falber, Esq. (stuart.falber@wilmerhale.com)</w:t>
      </w:r>
    </w:p>
    <w:p>
      <w:pPr>
        <w:spacing w:after="0" w:line="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Steven D. Barrett, Esq. (steven.barrett@wilmerhale.com)</w:t>
      </w:r>
    </w:p>
    <w:p>
      <w:pPr>
        <w:spacing w:after="0" w:line="200" w:lineRule="exact"/>
        <w:rPr>
          <w:sz w:val="20"/>
          <w:szCs w:val="20"/>
          <w:color w:val="auto"/>
        </w:rPr>
      </w:pPr>
    </w:p>
    <w:p>
      <w:pPr>
        <w:spacing w:after="0" w:line="21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15.3.2 If to SFJ:</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SFJ Pharmaceuticals XI, L.P.</w:t>
      </w:r>
    </w:p>
    <w:p>
      <w:pPr>
        <w:ind w:left="2640"/>
        <w:spacing w:after="0" w:line="238" w:lineRule="auto"/>
        <w:rPr>
          <w:sz w:val="20"/>
          <w:szCs w:val="20"/>
          <w:color w:val="auto"/>
        </w:rPr>
      </w:pPr>
      <w:r>
        <w:rPr>
          <w:rFonts w:ascii="Arial" w:cs="Arial" w:eastAsia="Arial" w:hAnsi="Arial"/>
          <w:sz w:val="22"/>
          <w:szCs w:val="22"/>
          <w:color w:val="auto"/>
        </w:rPr>
        <w:t>5000 Hopyard Road, Suite 330</w:t>
      </w:r>
    </w:p>
    <w:p>
      <w:pPr>
        <w:ind w:left="2640"/>
        <w:spacing w:after="0" w:line="230" w:lineRule="auto"/>
        <w:rPr>
          <w:sz w:val="20"/>
          <w:szCs w:val="20"/>
          <w:color w:val="auto"/>
        </w:rPr>
      </w:pPr>
      <w:r>
        <w:rPr>
          <w:rFonts w:ascii="Arial" w:cs="Arial" w:eastAsia="Arial" w:hAnsi="Arial"/>
          <w:sz w:val="22"/>
          <w:szCs w:val="22"/>
          <w:color w:val="auto"/>
        </w:rPr>
        <w:t>Pleasanton, CA 94588</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Attn: Robert DeBenedetto</w:t>
      </w:r>
    </w:p>
    <w:p>
      <w:pPr>
        <w:spacing w:after="0" w:line="200" w:lineRule="exact"/>
        <w:rPr>
          <w:sz w:val="20"/>
          <w:szCs w:val="20"/>
          <w:color w:val="auto"/>
        </w:rPr>
      </w:pPr>
    </w:p>
    <w:p>
      <w:pPr>
        <w:spacing w:after="0" w:line="20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Morrison &amp; Foerster LLP</w:t>
      </w:r>
    </w:p>
    <w:p>
      <w:pPr>
        <w:ind w:left="2640"/>
        <w:spacing w:after="0" w:line="238" w:lineRule="auto"/>
        <w:rPr>
          <w:sz w:val="20"/>
          <w:szCs w:val="20"/>
          <w:color w:val="auto"/>
        </w:rPr>
      </w:pPr>
      <w:r>
        <w:rPr>
          <w:rFonts w:ascii="Arial" w:cs="Arial" w:eastAsia="Arial" w:hAnsi="Arial"/>
          <w:sz w:val="22"/>
          <w:szCs w:val="22"/>
          <w:color w:val="auto"/>
        </w:rPr>
        <w:t>755 Page Mill Road</w:t>
      </w:r>
    </w:p>
    <w:p>
      <w:pPr>
        <w:ind w:left="2640"/>
        <w:spacing w:after="0" w:line="230" w:lineRule="auto"/>
        <w:rPr>
          <w:sz w:val="20"/>
          <w:szCs w:val="20"/>
          <w:color w:val="auto"/>
        </w:rPr>
      </w:pPr>
      <w:r>
        <w:rPr>
          <w:rFonts w:ascii="Arial" w:cs="Arial" w:eastAsia="Arial" w:hAnsi="Arial"/>
          <w:sz w:val="22"/>
          <w:szCs w:val="22"/>
          <w:color w:val="auto"/>
        </w:rPr>
        <w:t>Palo Alto, CA 94304-1018</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Attention: Michael O’Donnell</w:t>
      </w:r>
    </w:p>
    <w:p>
      <w:pPr>
        <w:spacing w:after="0" w:line="188" w:lineRule="exact"/>
        <w:rPr>
          <w:sz w:val="20"/>
          <w:szCs w:val="20"/>
          <w:color w:val="auto"/>
        </w:rPr>
      </w:pPr>
    </w:p>
    <w:p>
      <w:pPr>
        <w:ind w:firstLine="877"/>
        <w:spacing w:after="0" w:line="258"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Force Majeure</w:t>
      </w:r>
      <w:r>
        <w:rPr>
          <w:rFonts w:ascii="Arial" w:cs="Arial" w:eastAsia="Arial" w:hAnsi="Arial"/>
          <w:sz w:val="21"/>
          <w:szCs w:val="21"/>
          <w:color w:val="auto"/>
        </w:rPr>
        <w:t>. Neither Party will be liable for any breach or delay in performance of any obligation under this Agreement to the extent caused by any of the following: war, terrorism, riot, fire, explosion, accident, flood, sabotage, changes in Applicable Laws, actions of Governmental Authorities, or any other event beyond the reasonable control of</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8" w:right="319" w:bottom="1440" w:gutter="0" w:footer="0" w:header="0"/>
        </w:sectPr>
      </w:pPr>
    </w:p>
    <w:bookmarkStart w:id="118" w:name="page119"/>
    <w:bookmarkEnd w:id="118"/>
    <w:p>
      <w:pPr>
        <w:ind w:right="60"/>
        <w:spacing w:after="0"/>
        <w:rPr>
          <w:sz w:val="20"/>
          <w:szCs w:val="20"/>
          <w:color w:val="auto"/>
        </w:rPr>
      </w:pPr>
      <w:r>
        <w:rPr>
          <w:rFonts w:ascii="Arial" w:cs="Arial" w:eastAsia="Arial" w:hAnsi="Arial"/>
          <w:sz w:val="22"/>
          <w:szCs w:val="22"/>
          <w:color w:val="auto"/>
        </w:rPr>
        <w:t>such Party. The Party invoking this Section must provide prompt written notice and full particulars of such event to the other Party and will use diligent and commercially reasonable efforts to mitigate the effects of any such force majeure event on such Party’s compliance with and performance under this Agreement.</w:t>
      </w:r>
    </w:p>
    <w:p>
      <w:pPr>
        <w:spacing w:after="0" w:line="186" w:lineRule="exact"/>
        <w:rPr>
          <w:sz w:val="20"/>
          <w:szCs w:val="20"/>
          <w:color w:val="auto"/>
        </w:rPr>
      </w:pPr>
    </w:p>
    <w:p>
      <w:pPr>
        <w:ind w:right="300" w:firstLine="877"/>
        <w:spacing w:after="0"/>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Use of Names</w:t>
      </w:r>
      <w:r>
        <w:rPr>
          <w:rFonts w:ascii="Arial" w:cs="Arial" w:eastAsia="Arial" w:hAnsi="Arial"/>
          <w:sz w:val="22"/>
          <w:szCs w:val="22"/>
          <w:color w:val="auto"/>
        </w:rPr>
        <w:t>. Neither Party will use the other Party’s nor any of its Affiliates’ (including the limited partners of SFJ’s) names or trademarks in any promotional materials or advertising without the prior written consent of the other Party except as otherwise expressly permitted in this Agreement.</w:t>
      </w:r>
    </w:p>
    <w:p>
      <w:pPr>
        <w:spacing w:after="0" w:line="186" w:lineRule="exact"/>
        <w:rPr>
          <w:sz w:val="20"/>
          <w:szCs w:val="20"/>
          <w:color w:val="auto"/>
        </w:rPr>
      </w:pPr>
    </w:p>
    <w:p>
      <w:pPr>
        <w:ind w:firstLine="877"/>
        <w:spacing w:after="0" w:line="269"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Without the prior written consent of the other Party hereto, neither Party will sell, transfer, assign, pledge or otherwise dispose of, whether voluntarily, involuntarily, by operation of law or otherwise, this Agreement or any of its rights or duties hereunder; provided, however, that either Party may assign, sublicense or transfer this Agreement and all of its rights and obligations hereunder, in their entirety, to any of its Affiliates or to a successor in connection with the sale or other transfer of all or substantially all of its assets to which this Agreement relates or in the event of its merger, consolidation, Change of Control (other than as set forth in clause (b) of its definition) or other similar transaction. Notwithstanding the foregoing, any assignment of the rights or obligations under this Agreement by Apellis (i) to an Affiliate shall require Apellis to guarantee the performance of such Affiliate’s financial and performance obligations hereunder (ii) or in connection with a sale of assets, merger, consolidation, or Change of Control (other than other than as set forth in clause (b) of its definition) of Apellis shall require the ultimate Affiliate controlling the other party in such transaction to guarantee Apellis’ financial and performance obligations hereunder and Apellis shall remain liable for such financial and performance obligations notwithstanding such sale of assets, merger, consolidation, or Change in Control. Furthermore, notwithstanding any of the foregoing, SFJ may assign its right to receive Approval Payments to (a) the limited partners in SFJ, provided that such limited partners agree that a majority in interest shall be entitled to take all actions and make any consents on behalf of SFJ hereunder and provided that such limited partners notify Apellis of a single account to which Apellis can make all payments that may become due hereunder and assume sole responsibility for distributing all such payments, or to a liquidating trust or similar entity that is established to receive and distribute Approval Payments for the benefit of the limited partners in SFJ, that is required to carry out such responsibilities as a single entity, and provided that such limited partners or liquidating trust takes such rights to receive and distribute Approval Payments subject to all of Apellis’ rights and defenses hereunder (and in any case under this clause (a), Apellis shall have the unconditional right to follow any instruction it receives or rely on any actions, consents and communications received from or taken by such limited partners or liquidating trust or similar entity without any duty to verify or otherwise determine the validity thereof) or (b) an other Third Party to which SFJ assigns this Agreement in its entirety as set forth above, </w:t>
      </w:r>
      <w:r>
        <w:rPr>
          <w:rFonts w:ascii="Arial" w:cs="Arial" w:eastAsia="Arial" w:hAnsi="Arial"/>
          <w:sz w:val="19"/>
          <w:szCs w:val="19"/>
          <w:u w:val="single" w:color="auto"/>
          <w:color w:val="auto"/>
        </w:rPr>
        <w:t>provided that</w:t>
      </w:r>
      <w:r>
        <w:rPr>
          <w:rFonts w:ascii="Arial" w:cs="Arial" w:eastAsia="Arial" w:hAnsi="Arial"/>
          <w:sz w:val="19"/>
          <w:szCs w:val="19"/>
          <w:color w:val="auto"/>
        </w:rPr>
        <w:t>, following any assignment of this Agreement by SFJ to a Third Party pursuant to the foregoing clause (b) the JSC shall terminate, such assignee shall not have any further rights under Article 5 and such assignee shall not have any further rights to approve or consent (and Apellis shall not have any further obligation to seek SFJ’s approval or consent) as to any matter relating to Apellis’ development and Commercialization of the Product. This Agreement is binding upon and will inure to the benefit of each of the Parties, its successors and permitted assigns.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19" w:name="page120"/>
    <w:bookmarkEnd w:id="119"/>
    <w:p>
      <w:pPr>
        <w:ind w:right="300" w:firstLine="877"/>
        <w:spacing w:after="0" w:line="251"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will execute such further reasonable documents and perform such further reasonable acts as may be necessary to comply with or more fully effectuate the terms of this Agreement.</w:t>
      </w:r>
    </w:p>
    <w:p>
      <w:pPr>
        <w:spacing w:after="0" w:line="173" w:lineRule="exact"/>
        <w:rPr>
          <w:sz w:val="20"/>
          <w:szCs w:val="20"/>
          <w:color w:val="auto"/>
        </w:rPr>
      </w:pPr>
    </w:p>
    <w:p>
      <w:pPr>
        <w:ind w:right="140" w:firstLine="877"/>
        <w:spacing w:after="0" w:line="251"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u w:val="single" w:color="auto"/>
          <w:color w:val="auto"/>
        </w:rPr>
        <w:t>Fees and Expenses</w:t>
      </w:r>
      <w:r>
        <w:rPr>
          <w:rFonts w:ascii="Arial" w:cs="Arial" w:eastAsia="Arial" w:hAnsi="Arial"/>
          <w:sz w:val="22"/>
          <w:szCs w:val="22"/>
          <w:color w:val="auto"/>
        </w:rPr>
        <w:t>. Each party to this Agreement will bear its own costs and expenses, including attorneys’ fees and expenses, in connection with the closing of the transactions contemplated hereby.</w:t>
      </w:r>
    </w:p>
    <w:p>
      <w:pPr>
        <w:spacing w:after="0" w:line="173" w:lineRule="exact"/>
        <w:rPr>
          <w:sz w:val="20"/>
          <w:szCs w:val="20"/>
          <w:color w:val="auto"/>
        </w:rPr>
      </w:pPr>
    </w:p>
    <w:p>
      <w:pPr>
        <w:jc w:val="both"/>
        <w:ind w:right="280" w:firstLine="877"/>
        <w:spacing w:after="0" w:line="238"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u w:val="single" w:color="auto"/>
          <w:color w:val="auto"/>
        </w:rPr>
        <w:t>Governing Law</w:t>
      </w:r>
      <w:r>
        <w:rPr>
          <w:rFonts w:ascii="Arial" w:cs="Arial" w:eastAsia="Arial" w:hAnsi="Arial"/>
          <w:sz w:val="22"/>
          <w:szCs w:val="22"/>
          <w:color w:val="auto"/>
        </w:rPr>
        <w:t>. The construction and validity of this Agreement and the provisions hereof, and the rights and obligations of the Parties hereunder, will be governed by the internal laws of the State of Delaware, USA, and, to the extent applicable to Patents and Trademarks, the applicable federal laws of the USA, in each instance without regard to conflict of laws principles.</w:t>
      </w:r>
    </w:p>
    <w:p>
      <w:pPr>
        <w:spacing w:after="0" w:line="185" w:lineRule="exact"/>
        <w:rPr>
          <w:sz w:val="20"/>
          <w:szCs w:val="20"/>
          <w:color w:val="auto"/>
        </w:rPr>
      </w:pPr>
    </w:p>
    <w:p>
      <w:pPr>
        <w:ind w:right="60" w:firstLine="877"/>
        <w:spacing w:after="0" w:line="248" w:lineRule="auto"/>
        <w:rPr>
          <w:sz w:val="20"/>
          <w:szCs w:val="20"/>
          <w:color w:val="auto"/>
        </w:rPr>
      </w:pPr>
      <w:r>
        <w:rPr>
          <w:rFonts w:ascii="Arial" w:cs="Arial" w:eastAsia="Arial" w:hAnsi="Arial"/>
          <w:sz w:val="21"/>
          <w:szCs w:val="21"/>
          <w:color w:val="auto"/>
        </w:rPr>
        <w:t xml:space="preserve">15.10 </w:t>
      </w:r>
      <w:r>
        <w:rPr>
          <w:rFonts w:ascii="Arial" w:cs="Arial" w:eastAsia="Arial" w:hAnsi="Arial"/>
          <w:sz w:val="21"/>
          <w:szCs w:val="21"/>
          <w:u w:val="single" w:color="auto"/>
          <w:color w:val="auto"/>
        </w:rPr>
        <w:t>Dispute Resolution</w:t>
      </w:r>
      <w:r>
        <w:rPr>
          <w:rFonts w:ascii="Arial" w:cs="Arial" w:eastAsia="Arial" w:hAnsi="Arial"/>
          <w:sz w:val="21"/>
          <w:szCs w:val="21"/>
          <w:color w:val="auto"/>
        </w:rPr>
        <w:t xml:space="preserve">. The Parties recognize that disputes as to certain matters relating to this Agreement may arise from time to time. It is the objective of the Parties to establish procedures to facilitate the resolution of disputes in an expedient manner by mutual cooperation and without resort to litigation. Accordingly, the Parties agree that any dispute, controversy or claim arising under, out of or in connection with this Agreement, including any subsequent amendments, or the validity, enforceability, construction, performance or breach hereof (and including the applicability of this </w:t>
      </w:r>
      <w:r>
        <w:rPr>
          <w:rFonts w:ascii="Arial" w:cs="Arial" w:eastAsia="Arial" w:hAnsi="Arial"/>
          <w:sz w:val="21"/>
          <w:szCs w:val="21"/>
          <w:u w:val="single" w:color="auto"/>
          <w:color w:val="auto"/>
        </w:rPr>
        <w:t>Section 15.10</w:t>
      </w:r>
      <w:r>
        <w:rPr>
          <w:rFonts w:ascii="Arial" w:cs="Arial" w:eastAsia="Arial" w:hAnsi="Arial"/>
          <w:sz w:val="21"/>
          <w:szCs w:val="21"/>
          <w:color w:val="auto"/>
        </w:rPr>
        <w:t xml:space="preserve"> to any such dispute, controversy or claim) (each a “</w:t>
      </w:r>
      <w:r>
        <w:rPr>
          <w:rFonts w:ascii="Arial" w:cs="Arial" w:eastAsia="Arial" w:hAnsi="Arial"/>
          <w:sz w:val="21"/>
          <w:szCs w:val="21"/>
          <w:u w:val="single" w:color="auto"/>
          <w:color w:val="auto"/>
        </w:rPr>
        <w:t>Dispute</w:t>
      </w:r>
      <w:r>
        <w:rPr>
          <w:rFonts w:ascii="Arial" w:cs="Arial" w:eastAsia="Arial" w:hAnsi="Arial"/>
          <w:sz w:val="21"/>
          <w:szCs w:val="21"/>
          <w:color w:val="auto"/>
        </w:rPr>
        <w:t>”) will be resolved by the Parties as follows:</w:t>
      </w:r>
    </w:p>
    <w:p>
      <w:pPr>
        <w:spacing w:after="0" w:line="177" w:lineRule="exact"/>
        <w:rPr>
          <w:sz w:val="20"/>
          <w:szCs w:val="20"/>
          <w:color w:val="auto"/>
        </w:rPr>
      </w:pPr>
    </w:p>
    <w:p>
      <w:pPr>
        <w:ind w:left="880" w:firstLine="1620"/>
        <w:spacing w:after="0" w:line="245" w:lineRule="auto"/>
        <w:rPr>
          <w:sz w:val="20"/>
          <w:szCs w:val="20"/>
          <w:color w:val="auto"/>
        </w:rPr>
      </w:pPr>
      <w:r>
        <w:rPr>
          <w:rFonts w:ascii="Arial" w:cs="Arial" w:eastAsia="Arial" w:hAnsi="Arial"/>
          <w:sz w:val="21"/>
          <w:szCs w:val="21"/>
          <w:color w:val="auto"/>
        </w:rPr>
        <w:t>15.10.1 Either Party shall have the right to refer such Dispute to the Executive Officers for attempted resolution by good faith negotiations during a period of [**]. Any final decision mutually agreed to by the Executive Officers in writing shall be conclusive and binding on the Parties. With respect to any other unresolved Dispute, then such Dispute shall be submitted to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xml:space="preserve">”) for final and binding arbitration pursuant to the arbitration clause set forth in </w:t>
      </w:r>
      <w:r>
        <w:rPr>
          <w:rFonts w:ascii="Arial" w:cs="Arial" w:eastAsia="Arial" w:hAnsi="Arial"/>
          <w:sz w:val="21"/>
          <w:szCs w:val="21"/>
          <w:u w:val="single" w:color="auto"/>
          <w:color w:val="auto"/>
        </w:rPr>
        <w:t>Section 15.10.2</w:t>
      </w:r>
      <w:r>
        <w:rPr>
          <w:rFonts w:ascii="Arial" w:cs="Arial" w:eastAsia="Arial" w:hAnsi="Arial"/>
          <w:sz w:val="21"/>
          <w:szCs w:val="21"/>
          <w:color w:val="auto"/>
        </w:rPr>
        <w:t>. Notwithstanding the foregoing, no matters relating to breach or alleged breach of the ownership of intellectual property or rights in intellectual property or the validity or enforceability thereof shall be subject to resolution by the AAA, but rather shall be determined by a U.S. federal court of appropriate jurisdiction. Notwithstanding anything in this Agreement to the contrary, either Party shall be entitled to seek preliminary injunctive relief in any court of competent jurisdiction immediately if necessary to prevent irreparable harm to that Party.</w:t>
      </w:r>
    </w:p>
    <w:p>
      <w:pPr>
        <w:spacing w:after="0" w:line="182" w:lineRule="exact"/>
        <w:rPr>
          <w:sz w:val="20"/>
          <w:szCs w:val="20"/>
          <w:color w:val="auto"/>
        </w:rPr>
      </w:pPr>
    </w:p>
    <w:p>
      <w:pPr>
        <w:ind w:left="1900"/>
        <w:spacing w:after="0"/>
        <w:tabs>
          <w:tab w:leader="none" w:pos="3180" w:val="left"/>
        </w:tabs>
        <w:rPr>
          <w:sz w:val="20"/>
          <w:szCs w:val="20"/>
          <w:color w:val="auto"/>
        </w:rPr>
      </w:pPr>
      <w:r>
        <w:rPr>
          <w:rFonts w:ascii="Arial" w:cs="Arial" w:eastAsia="Arial" w:hAnsi="Arial"/>
          <w:sz w:val="22"/>
          <w:szCs w:val="22"/>
          <w:color w:val="auto"/>
        </w:rPr>
        <w:t>15.10.2</w:t>
      </w:r>
      <w:r>
        <w:rPr>
          <w:sz w:val="20"/>
          <w:szCs w:val="20"/>
          <w:color w:val="auto"/>
        </w:rPr>
        <w:tab/>
      </w:r>
      <w:r>
        <w:rPr>
          <w:rFonts w:ascii="Arial" w:cs="Arial" w:eastAsia="Arial" w:hAnsi="Arial"/>
          <w:sz w:val="19"/>
          <w:szCs w:val="19"/>
          <w:u w:val="single" w:color="auto"/>
          <w:color w:val="auto"/>
        </w:rPr>
        <w:t>Arbitration Process</w:t>
      </w:r>
      <w:r>
        <w:rPr>
          <w:rFonts w:ascii="Arial" w:cs="Arial" w:eastAsia="Arial" w:hAnsi="Arial"/>
          <w:sz w:val="19"/>
          <w:szCs w:val="19"/>
          <w:color w:val="auto"/>
        </w:rPr>
        <w:t>.</w:t>
      </w:r>
    </w:p>
    <w:p>
      <w:pPr>
        <w:spacing w:after="0" w:line="206" w:lineRule="exact"/>
        <w:rPr>
          <w:sz w:val="20"/>
          <w:szCs w:val="20"/>
          <w:color w:val="auto"/>
        </w:rPr>
      </w:pPr>
    </w:p>
    <w:p>
      <w:pPr>
        <w:ind w:right="20" w:firstLine="2634"/>
        <w:spacing w:after="0" w:line="279" w:lineRule="auto"/>
        <w:rPr>
          <w:sz w:val="20"/>
          <w:szCs w:val="20"/>
          <w:color w:val="auto"/>
        </w:rPr>
      </w:pPr>
      <w:r>
        <w:rPr>
          <w:rFonts w:ascii="Arial" w:cs="Arial" w:eastAsia="Arial" w:hAnsi="Arial"/>
          <w:sz w:val="19"/>
          <w:szCs w:val="19"/>
          <w:color w:val="auto"/>
        </w:rPr>
        <w:t xml:space="preserve">15.10.2.1 The Parties shall attempt to resolve any and all disputes, claims or controversies arising out of or relating to this Agreement promptly by negotiation between executives who have authority to settle the controversy. If such disputes, claims or controversies are not resolved through such negotiation as set forth in </w:t>
      </w:r>
      <w:r>
        <w:rPr>
          <w:rFonts w:ascii="Arial" w:cs="Arial" w:eastAsia="Arial" w:hAnsi="Arial"/>
          <w:sz w:val="19"/>
          <w:szCs w:val="19"/>
          <w:u w:val="single" w:color="auto"/>
          <w:color w:val="auto"/>
        </w:rPr>
        <w:t>Section 15.10.1</w:t>
      </w:r>
      <w:r>
        <w:rPr>
          <w:rFonts w:ascii="Arial" w:cs="Arial" w:eastAsia="Arial" w:hAnsi="Arial"/>
          <w:sz w:val="19"/>
          <w:szCs w:val="19"/>
          <w:color w:val="auto"/>
        </w:rPr>
        <w:t>, then they shall be submitted for final and binding arbitration pursuant to the arbitration clause set forth below. Either Party may initiate arbitration with respect to the matters submitted to negotiation by filing a written demand for arbitration at any time following the initial negotiation session. Notwithstanding the foregoing, any dispute between the Parties as to whether entering into 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 xml:space="preserve">Licensing Transaction would have a Material Impact shall be resolved as set forth in </w:t>
      </w:r>
      <w:r>
        <w:rPr>
          <w:rFonts w:ascii="Arial" w:cs="Arial" w:eastAsia="Arial" w:hAnsi="Arial"/>
          <w:sz w:val="22"/>
          <w:szCs w:val="22"/>
          <w:u w:val="single" w:color="auto"/>
          <w:color w:val="auto"/>
        </w:rPr>
        <w:t>Section 7.5.5</w:t>
      </w:r>
      <w:r>
        <w:rPr>
          <w:rFonts w:ascii="Arial" w:cs="Arial" w:eastAsia="Arial" w:hAnsi="Arial"/>
          <w:sz w:val="22"/>
          <w:szCs w:val="22"/>
          <w:color w:val="auto"/>
        </w:rPr>
        <w:t>.</w:t>
      </w:r>
    </w:p>
    <w:p>
      <w:pPr>
        <w:spacing w:after="0" w:line="206" w:lineRule="exact"/>
        <w:rPr>
          <w:sz w:val="20"/>
          <w:szCs w:val="20"/>
          <w:color w:val="auto"/>
        </w:rPr>
      </w:pPr>
    </w:p>
    <w:p>
      <w:pPr>
        <w:ind w:right="100" w:firstLine="2634"/>
        <w:spacing w:after="0" w:line="245" w:lineRule="auto"/>
        <w:rPr>
          <w:sz w:val="20"/>
          <w:szCs w:val="20"/>
          <w:color w:val="auto"/>
        </w:rPr>
      </w:pPr>
      <w:r>
        <w:rPr>
          <w:rFonts w:ascii="Arial" w:cs="Arial" w:eastAsia="Arial" w:hAnsi="Arial"/>
          <w:sz w:val="21"/>
          <w:szCs w:val="21"/>
          <w:color w:val="auto"/>
        </w:rPr>
        <w:t>15.10.2.2 To the extent not resolved by mediation, any dispute, claim or controversy arising out of or relating to this Agreement or the breach, termination, enforcement, interpretation or validity thereof, including the determination of the scope or applicability of this agreement to arbitrate, shall be determined by arbitration in Delaware, in the language in which the contract was written. The arbitration shall be administered by the AAA pursuant to its arbitration rules and procedures. References herein to any arbitration rules or procedures mean such rules or procedures as amended from time to time, including any successor rules or procedures, and references herein to the AAA include any successor thereto. The arbitration shall be before three (3) arbitrators. The two (2) Party appointed arbitrators will select the third, who will serve as the panel’s chair or president. All three (3) arbitrators shall be professionals with substantial experience in development and Commercialization of biopharmaceutical products. This arbitration provision, and the arbitration itself, shall be governed by the laws of the state of Delaware and the Federal Arbitration Act, 9 U.S.C. §§ 1-16.</w:t>
      </w:r>
    </w:p>
    <w:p>
      <w:pPr>
        <w:spacing w:after="0" w:line="182" w:lineRule="exact"/>
        <w:rPr>
          <w:sz w:val="20"/>
          <w:szCs w:val="20"/>
          <w:color w:val="auto"/>
        </w:rPr>
      </w:pPr>
    </w:p>
    <w:p>
      <w:pPr>
        <w:ind w:firstLine="2634"/>
        <w:spacing w:after="0" w:line="270" w:lineRule="auto"/>
        <w:rPr>
          <w:sz w:val="20"/>
          <w:szCs w:val="20"/>
          <w:color w:val="auto"/>
        </w:rPr>
      </w:pPr>
      <w:r>
        <w:rPr>
          <w:rFonts w:ascii="Arial" w:cs="Arial" w:eastAsia="Arial" w:hAnsi="Arial"/>
          <w:sz w:val="19"/>
          <w:szCs w:val="19"/>
          <w:color w:val="auto"/>
        </w:rPr>
        <w:t>15.10.2.3 Consistent with the expedited nature of arbitration, each Party will, upon the written request of the other Party, promptly provide the other with copies of documents on which the producing Party may rely in support of or in opposition to any claim or defense. At the request of a Party, the arbitrators shall have the discretion to order examination by deposition of witnesses to the extent the arbitrator deems such additional discovery relevant and appropriate. Depositions shall be limited to a maximum of [**] per Party and shall be held within [**] after the grant of a request. Additional depositions may be scheduled only with the permission of the arbitrators, and for good cause shown. Each deposition shall be limited to a maximum of</w:t>
      </w:r>
    </w:p>
    <w:p>
      <w:pPr>
        <w:spacing w:after="0" w:line="2" w:lineRule="exact"/>
        <w:rPr>
          <w:sz w:val="20"/>
          <w:szCs w:val="20"/>
          <w:color w:val="auto"/>
        </w:rPr>
      </w:pPr>
    </w:p>
    <w:p>
      <w:pPr>
        <w:ind w:right="60" w:firstLine="8"/>
        <w:spacing w:after="0" w:line="267" w:lineRule="auto"/>
        <w:tabs>
          <w:tab w:leader="none" w:pos="414" w:val="left"/>
        </w:tabs>
        <w:numPr>
          <w:ilvl w:val="0"/>
          <w:numId w:val="43"/>
        </w:numPr>
        <w:rPr>
          <w:rFonts w:ascii="Arial" w:cs="Arial" w:eastAsia="Arial" w:hAnsi="Arial"/>
          <w:sz w:val="19"/>
          <w:szCs w:val="19"/>
          <w:color w:val="auto"/>
        </w:rPr>
      </w:pPr>
      <w:r>
        <w:rPr>
          <w:rFonts w:ascii="Arial" w:cs="Arial" w:eastAsia="Arial" w:hAnsi="Arial"/>
          <w:sz w:val="19"/>
          <w:szCs w:val="19"/>
          <w:color w:val="auto"/>
        </w:rPr>
        <w:t>duration. All objections are reserved for the arbitration hearing except for objections based on privilege and proprietary or confidential information. The Parties shall not utilize any other discovery mechanisms, including international processes and U.S. federal statutes, to obtain additional evidence for use in the arbitration. Any Dispute regarding discovery, or the relevance or scope thereof, shall be determined by the arbitrators, which determination shall be conclusive. All discovery shall be completed within</w:t>
      </w:r>
    </w:p>
    <w:p>
      <w:pPr>
        <w:ind w:right="60" w:firstLine="8"/>
        <w:spacing w:after="0" w:line="237" w:lineRule="auto"/>
        <w:tabs>
          <w:tab w:leader="none" w:pos="414" w:val="left"/>
        </w:tabs>
        <w:numPr>
          <w:ilvl w:val="0"/>
          <w:numId w:val="43"/>
        </w:numPr>
        <w:rPr>
          <w:rFonts w:ascii="Arial" w:cs="Arial" w:eastAsia="Arial" w:hAnsi="Arial"/>
          <w:sz w:val="22"/>
          <w:szCs w:val="22"/>
          <w:color w:val="auto"/>
        </w:rPr>
      </w:pPr>
      <w:r>
        <w:rPr>
          <w:rFonts w:ascii="Arial" w:cs="Arial" w:eastAsia="Arial" w:hAnsi="Arial"/>
          <w:sz w:val="22"/>
          <w:szCs w:val="22"/>
          <w:color w:val="auto"/>
        </w:rPr>
        <w:t>following the appointment of the arbitrators. All costs and/or fees relating to the retrieval, review and production of electronic discovery shall be paid by the Party requesting such discovery.</w:t>
      </w:r>
    </w:p>
    <w:p>
      <w:pPr>
        <w:spacing w:after="0" w:line="185" w:lineRule="exact"/>
        <w:rPr>
          <w:sz w:val="20"/>
          <w:szCs w:val="20"/>
          <w:color w:val="auto"/>
        </w:rPr>
      </w:pPr>
    </w:p>
    <w:p>
      <w:pPr>
        <w:ind w:right="160" w:firstLine="2634"/>
        <w:spacing w:after="0" w:line="275" w:lineRule="auto"/>
        <w:rPr>
          <w:sz w:val="20"/>
          <w:szCs w:val="20"/>
          <w:color w:val="auto"/>
        </w:rPr>
      </w:pPr>
      <w:r>
        <w:rPr>
          <w:rFonts w:ascii="Arial" w:cs="Arial" w:eastAsia="Arial" w:hAnsi="Arial"/>
          <w:sz w:val="19"/>
          <w:szCs w:val="19"/>
          <w:color w:val="auto"/>
        </w:rPr>
        <w:t>15.10.2.4 The arbitrators will have no authority to award punitive or other damages not measured by the prevailing Party’s actual damages, except as may be required by statute. Each Party expressly waives and foregoes any right to consequential, punitive, special, exemplary or similar damages or lost profits. The arbitrators shall have no power or authority, under the AAA arbitration rules and procedures or otherwise, to relieve the Parties from their agreement hereunder to arbitrate or otherwise to amend or disregard any provision of this Agreement. The award of the arbitrators shall be final, binding and the sole and exclusive remedy to the Parties. Either Party may seek to confirm and enforce any final award entered in arbitration, in any court of competent jurisdiction. The cost of the arbitration, including the fees of the arbitrators, shall be borne by the Party the arbitrator determines has not prevailed in the arbitration.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21" w:name="page122"/>
    <w:bookmarkEnd w:id="121"/>
    <w:p>
      <w:pPr>
        <w:ind w:right="40" w:firstLine="2634"/>
        <w:spacing w:after="0" w:line="282" w:lineRule="auto"/>
        <w:rPr>
          <w:sz w:val="20"/>
          <w:szCs w:val="20"/>
          <w:color w:val="auto"/>
        </w:rPr>
      </w:pPr>
      <w:r>
        <w:rPr>
          <w:rFonts w:ascii="Arial" w:cs="Arial" w:eastAsia="Arial" w:hAnsi="Arial"/>
          <w:sz w:val="19"/>
          <w:szCs w:val="19"/>
          <w:color w:val="auto"/>
        </w:rPr>
        <w:t>15.10.2.5 If an arbitral award does not impose an injunction on the losing Party or contain a money damages award in excess of [**] dollars USD ($[**]), then the arbitral award shall not be appealable and shall only be subject to such challenges as would otherwise be permissible under the Federal Arbitration Act, 9 U.S.C. §§ 1 16. In the event that the arbitration does result in an arbitral award, which imposes an injunction or a monetary award in excess of [**] dollars USD ($[**]), such award may be appealed to a tribunal of appellate arbitrators via the AAA arbitration rules and procedures.</w:t>
      </w:r>
    </w:p>
    <w:p>
      <w:pPr>
        <w:spacing w:after="0" w:line="148" w:lineRule="exact"/>
        <w:rPr>
          <w:sz w:val="20"/>
          <w:szCs w:val="20"/>
          <w:color w:val="auto"/>
        </w:rPr>
      </w:pPr>
    </w:p>
    <w:p>
      <w:pPr>
        <w:ind w:right="60" w:firstLine="2634"/>
        <w:spacing w:after="0" w:line="274" w:lineRule="auto"/>
        <w:rPr>
          <w:sz w:val="20"/>
          <w:szCs w:val="20"/>
          <w:color w:val="auto"/>
        </w:rPr>
      </w:pPr>
      <w:r>
        <w:rPr>
          <w:rFonts w:ascii="Arial" w:cs="Arial" w:eastAsia="Arial" w:hAnsi="Arial"/>
          <w:sz w:val="21"/>
          <w:szCs w:val="21"/>
          <w:color w:val="auto"/>
        </w:rPr>
        <w:t>15.10.2.6 Except as may be required by law, neither a Party nor an arbitrator may disclose the existence, content, or results of any arbitration hereunder without the prior written consent of both Parties.</w:t>
      </w:r>
    </w:p>
    <w:p>
      <w:pPr>
        <w:spacing w:after="0" w:line="151" w:lineRule="exact"/>
        <w:rPr>
          <w:sz w:val="20"/>
          <w:szCs w:val="20"/>
          <w:color w:val="auto"/>
        </w:rPr>
      </w:pPr>
    </w:p>
    <w:p>
      <w:pPr>
        <w:ind w:firstLine="877"/>
        <w:spacing w:after="0" w:line="243" w:lineRule="auto"/>
        <w:rPr>
          <w:sz w:val="20"/>
          <w:szCs w:val="20"/>
          <w:color w:val="auto"/>
        </w:rPr>
      </w:pPr>
      <w:r>
        <w:rPr>
          <w:rFonts w:ascii="Arial" w:cs="Arial" w:eastAsia="Arial" w:hAnsi="Arial"/>
          <w:sz w:val="21"/>
          <w:szCs w:val="21"/>
          <w:color w:val="auto"/>
        </w:rPr>
        <w:t xml:space="preserve">15.11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xml:space="preserve">. TO THE MAXIMUM EXTENT PERMITTED BY LAW AND NOTWITHSTANDING ANY PROVISION IN THIS AGREEMENT TO THE CONTRARY, NEITHER PARTY WILL BE LIABLE TO THE OTHER PARTY FOR ANY INDIRECT, INCIDENTAL, CONSEQUENTIAL, SPECIAL, RELIANCE OR PUNITIVE DAMAGES OR LOST OR IMPUTED PROFITS OR ROYALTIES OR COST OF PROCUREMENT OF SUBSTITUTE GOODS OR SERVICES, WHETHER LIABILITY IS ASSERTED IN CONTRACT, TORT (INCLUDING NEGLIGENCE AND STRICT PRODUCTS LIABILITY), INDEMNITY OR CONTRIBUTION, AND IRRESPECTIVE OF WHETHER THAT PARTY OR ANY REPRESENTATIVE OF THAT PARTY HAS BEEN ADVISED OF, OR OTHERWISE MIGHT HAVE ANTICIPATED THE POSSIBILITY OF, ANY SUCH LOSS OR DAMAGE. THE PARTIES AGREE THAT THE LIMITATIONS SPECIFIED IN THIS SECTION WILL APPLY EVEN IF ANY LIMITED REMEDY SPECIFIED IN THIS AGREEMENT IS FOUND TO HAVE FAILED OF ITS ESSENTIAL PURPOSE. WITHOUT LIMITING THE GENERALITY OF THE FOREGOING, “CONSEQUENTIAL DAMAGES” WILL BE DEEMED TO INCLUDE, AND NEITHER PARTY WILL BE LIABLE TO THE OTHER PARTY OR ANY OF SUCH OTHER PARTY’S AFFILIATES, REPRESENTATIVES OR STOCKHOLDERS FOR ANY DAMAGES BASED ON OR MEASURED BY LOSS OF PROJECTED OR SPECULATIVE FUTURE SALES OF THE PRODUCT, ANY PAYMENT DUE UPON ANY UNACHIEVED EVENT UNDER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OR ANY OTHER UNEARNED, SPECULATIVE OR OTHERWISE CONTINGENT PAYMENTS PROVIDED FOR IN THIS AGREEMENT. FOR THE AVOIDANCE OF DOUBT, THIS </w:t>
      </w:r>
      <w:r>
        <w:rPr>
          <w:rFonts w:ascii="Arial" w:cs="Arial" w:eastAsia="Arial" w:hAnsi="Arial"/>
          <w:sz w:val="21"/>
          <w:szCs w:val="21"/>
          <w:u w:val="single" w:color="auto"/>
          <w:color w:val="auto"/>
        </w:rPr>
        <w:t>SECTION 15.1</w:t>
      </w:r>
      <w:r>
        <w:rPr>
          <w:rFonts w:ascii="Arial" w:cs="Arial" w:eastAsia="Arial" w:hAnsi="Arial"/>
          <w:sz w:val="21"/>
          <w:szCs w:val="21"/>
          <w:color w:val="auto"/>
        </w:rPr>
        <w:t xml:space="preserve">3 IS NOT MEANT TO LIMIT APELLIS’ OBLIGATION TO PAY SFJ THE AMOUNTS SET FORTH IN ARTICLE 6 OR </w:t>
      </w:r>
      <w:r>
        <w:rPr>
          <w:rFonts w:ascii="Arial" w:cs="Arial" w:eastAsia="Arial" w:hAnsi="Arial"/>
          <w:sz w:val="21"/>
          <w:szCs w:val="21"/>
          <w:u w:val="single" w:color="auto"/>
          <w:color w:val="auto"/>
        </w:rPr>
        <w:t>SECTION 14.3</w:t>
      </w:r>
      <w:r>
        <w:rPr>
          <w:rFonts w:ascii="Arial" w:cs="Arial" w:eastAsia="Arial" w:hAnsi="Arial"/>
          <w:sz w:val="21"/>
          <w:szCs w:val="21"/>
          <w:color w:val="auto"/>
        </w:rPr>
        <w:t>.</w:t>
      </w:r>
    </w:p>
    <w:p>
      <w:pPr>
        <w:spacing w:after="0" w:line="192" w:lineRule="exact"/>
        <w:rPr>
          <w:sz w:val="20"/>
          <w:szCs w:val="20"/>
          <w:color w:val="auto"/>
        </w:rPr>
      </w:pPr>
    </w:p>
    <w:p>
      <w:pPr>
        <w:ind w:right="160" w:firstLine="877"/>
        <w:spacing w:after="0" w:line="258" w:lineRule="auto"/>
        <w:rPr>
          <w:sz w:val="20"/>
          <w:szCs w:val="20"/>
          <w:color w:val="auto"/>
        </w:rPr>
      </w:pPr>
      <w:r>
        <w:rPr>
          <w:rFonts w:ascii="Arial" w:cs="Arial" w:eastAsia="Arial" w:hAnsi="Arial"/>
          <w:sz w:val="21"/>
          <w:szCs w:val="21"/>
          <w:color w:val="auto"/>
        </w:rPr>
        <w:t xml:space="preserve">15.12 </w:t>
      </w:r>
      <w:r>
        <w:rPr>
          <w:rFonts w:ascii="Arial" w:cs="Arial" w:eastAsia="Arial" w:hAnsi="Arial"/>
          <w:sz w:val="21"/>
          <w:szCs w:val="21"/>
          <w:u w:val="single" w:color="auto"/>
          <w:color w:val="auto"/>
        </w:rPr>
        <w:t>Cumulative Remedies</w:t>
      </w:r>
      <w:r>
        <w:rPr>
          <w:rFonts w:ascii="Arial" w:cs="Arial" w:eastAsia="Arial" w:hAnsi="Arial"/>
          <w:sz w:val="21"/>
          <w:szCs w:val="21"/>
          <w:color w:val="auto"/>
        </w:rPr>
        <w:t>. Unless expressly set forth in this Agreement, all rights and remedies of the Parties, including all rights to payment, rights of termination, rights to injunctive relief, and other rights provided under this Agreement, will be cumulative and in addition to all other remedies provided for in this Agreement, in law, and in equity.</w:t>
      </w:r>
    </w:p>
    <w:p>
      <w:pPr>
        <w:spacing w:after="0" w:line="167"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2"/>
          <w:szCs w:val="22"/>
          <w:color w:val="auto"/>
        </w:rPr>
        <w:t>15.13</w:t>
      </w:r>
      <w:r>
        <w:rPr>
          <w:sz w:val="20"/>
          <w:szCs w:val="20"/>
          <w:color w:val="auto"/>
        </w:rPr>
        <w:tab/>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w:t>
      </w:r>
    </w:p>
    <w:p>
      <w:pPr>
        <w:spacing w:after="0" w:line="206" w:lineRule="exact"/>
        <w:rPr>
          <w:sz w:val="20"/>
          <w:szCs w:val="20"/>
          <w:color w:val="auto"/>
        </w:rPr>
      </w:pPr>
    </w:p>
    <w:p>
      <w:pPr>
        <w:jc w:val="both"/>
        <w:ind w:left="880" w:right="740" w:firstLine="1620"/>
        <w:spacing w:after="0"/>
        <w:rPr>
          <w:sz w:val="20"/>
          <w:szCs w:val="20"/>
          <w:color w:val="auto"/>
        </w:rPr>
      </w:pPr>
      <w:r>
        <w:rPr>
          <w:rFonts w:ascii="Arial" w:cs="Arial" w:eastAsia="Arial" w:hAnsi="Arial"/>
          <w:sz w:val="22"/>
          <w:szCs w:val="22"/>
          <w:color w:val="auto"/>
        </w:rPr>
        <w:t xml:space="preserve">15.13.1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Nothing contained herein will be deemed to create a partnership, joint venture, or similar relationship between the Parties. Neither Party is the agent, employee, joint venturer, partner, franchisee, or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22" w:name="page123"/>
    <w:bookmarkEnd w:id="122"/>
    <w:p>
      <w:pPr>
        <w:ind w:left="880"/>
        <w:spacing w:after="0" w:line="287" w:lineRule="auto"/>
        <w:rPr>
          <w:sz w:val="20"/>
          <w:szCs w:val="20"/>
          <w:color w:val="auto"/>
        </w:rPr>
      </w:pPr>
      <w:r>
        <w:rPr>
          <w:rFonts w:ascii="Arial" w:cs="Arial" w:eastAsia="Arial" w:hAnsi="Arial"/>
          <w:sz w:val="19"/>
          <w:szCs w:val="19"/>
          <w:color w:val="auto"/>
        </w:rPr>
        <w:t>representative of the other Party. Each Party specifically acknowledges that it does not have the authority to, and will not, incur any obligations or responsibilities on behalf of the other Party. Notwithstanding anything to the contrary in this Agreement, each Party (and its officers, directors, agents, employees, and members) will not hold themselves out as employees, agents, representatives, or franchisees of the other Party or enter into any agreements on such Party’s behalf.</w:t>
      </w:r>
    </w:p>
    <w:p>
      <w:pPr>
        <w:spacing w:after="0" w:line="143" w:lineRule="exact"/>
        <w:rPr>
          <w:sz w:val="20"/>
          <w:szCs w:val="20"/>
          <w:color w:val="auto"/>
        </w:rPr>
      </w:pPr>
    </w:p>
    <w:p>
      <w:pPr>
        <w:ind w:left="880" w:right="120" w:firstLine="1620"/>
        <w:spacing w:after="0" w:line="251" w:lineRule="auto"/>
        <w:rPr>
          <w:sz w:val="20"/>
          <w:szCs w:val="20"/>
          <w:color w:val="auto"/>
        </w:rPr>
      </w:pPr>
      <w:r>
        <w:rPr>
          <w:rFonts w:ascii="Arial" w:cs="Arial" w:eastAsia="Arial" w:hAnsi="Arial"/>
          <w:sz w:val="22"/>
          <w:szCs w:val="22"/>
          <w:color w:val="auto"/>
        </w:rPr>
        <w:t xml:space="preserve">15.13.2 </w:t>
      </w:r>
      <w:r>
        <w:rPr>
          <w:rFonts w:ascii="Arial" w:cs="Arial" w:eastAsia="Arial" w:hAnsi="Arial"/>
          <w:sz w:val="22"/>
          <w:szCs w:val="22"/>
          <w:u w:val="single" w:color="auto"/>
          <w:color w:val="auto"/>
        </w:rPr>
        <w:t>Direction</w:t>
      </w:r>
      <w:r>
        <w:rPr>
          <w:rFonts w:ascii="Arial" w:cs="Arial" w:eastAsia="Arial" w:hAnsi="Arial"/>
          <w:sz w:val="22"/>
          <w:szCs w:val="22"/>
          <w:color w:val="auto"/>
        </w:rPr>
        <w:t>. Neither Party will be subject to the supervisory direction of the other Party in regard to the conduct of the Trial.</w:t>
      </w:r>
    </w:p>
    <w:p>
      <w:pPr>
        <w:spacing w:after="0" w:line="173" w:lineRule="exact"/>
        <w:rPr>
          <w:sz w:val="20"/>
          <w:szCs w:val="20"/>
          <w:color w:val="auto"/>
        </w:rPr>
      </w:pPr>
    </w:p>
    <w:p>
      <w:pPr>
        <w:ind w:right="320" w:firstLine="877"/>
        <w:spacing w:after="0" w:line="251" w:lineRule="auto"/>
        <w:rPr>
          <w:sz w:val="20"/>
          <w:szCs w:val="20"/>
          <w:color w:val="auto"/>
        </w:rPr>
      </w:pPr>
      <w:r>
        <w:rPr>
          <w:rFonts w:ascii="Arial" w:cs="Arial" w:eastAsia="Arial" w:hAnsi="Arial"/>
          <w:sz w:val="22"/>
          <w:szCs w:val="22"/>
          <w:color w:val="auto"/>
        </w:rPr>
        <w:t xml:space="preserve">15.14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and the provisions herein are for the benefit of the Parties only, and are not intended to confer any rights or benefits to any Third Party.</w:t>
      </w:r>
    </w:p>
    <w:p>
      <w:pPr>
        <w:spacing w:after="0" w:line="173" w:lineRule="exact"/>
        <w:rPr>
          <w:sz w:val="20"/>
          <w:szCs w:val="20"/>
          <w:color w:val="auto"/>
        </w:rPr>
      </w:pPr>
    </w:p>
    <w:p>
      <w:pPr>
        <w:ind w:right="20" w:firstLine="877"/>
        <w:spacing w:after="0" w:line="250" w:lineRule="auto"/>
        <w:rPr>
          <w:sz w:val="20"/>
          <w:szCs w:val="20"/>
          <w:color w:val="auto"/>
        </w:rPr>
      </w:pPr>
      <w:r>
        <w:rPr>
          <w:rFonts w:ascii="Arial" w:cs="Arial" w:eastAsia="Arial" w:hAnsi="Arial"/>
          <w:sz w:val="21"/>
          <w:szCs w:val="21"/>
          <w:color w:val="auto"/>
        </w:rPr>
        <w:t xml:space="preserve">15.15 </w:t>
      </w:r>
      <w:r>
        <w:rPr>
          <w:rFonts w:ascii="Arial" w:cs="Arial" w:eastAsia="Arial" w:hAnsi="Arial"/>
          <w:sz w:val="21"/>
          <w:szCs w:val="21"/>
          <w:u w:val="single" w:color="auto"/>
          <w:color w:val="auto"/>
        </w:rPr>
        <w:t>Rights Reserved</w:t>
      </w:r>
      <w:r>
        <w:rPr>
          <w:rFonts w:ascii="Arial" w:cs="Arial" w:eastAsia="Arial" w:hAnsi="Arial"/>
          <w:sz w:val="21"/>
          <w:szCs w:val="21"/>
          <w:color w:val="auto"/>
        </w:rPr>
        <w:t>. No license or any other right is granted to either Party, by implication or otherwise, except as specifically set forth in this Agreement. All rights not exclusively granted to SFJ are reserved to Apellis and its</w:t>
      </w:r>
    </w:p>
    <w:p>
      <w:pPr>
        <w:spacing w:after="0" w:line="1"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Affiliates. Notwithstanding any other provision of this Agreement to the contrary, and for clarity, no Intellectual Property or other proprietary rights Controlled by Apellis or its Affiliates will be assigned or licensed to SFJ in connection with this Agreement.</w:t>
      </w:r>
    </w:p>
    <w:p>
      <w:pPr>
        <w:spacing w:after="0" w:line="123" w:lineRule="exact"/>
        <w:rPr>
          <w:sz w:val="20"/>
          <w:szCs w:val="20"/>
          <w:color w:val="auto"/>
        </w:rPr>
      </w:pPr>
    </w:p>
    <w:p>
      <w:pPr>
        <w:ind w:right="100" w:firstLine="877"/>
        <w:spacing w:after="0" w:line="249" w:lineRule="auto"/>
        <w:rPr>
          <w:sz w:val="20"/>
          <w:szCs w:val="20"/>
          <w:color w:val="auto"/>
        </w:rPr>
      </w:pPr>
      <w:r>
        <w:rPr>
          <w:rFonts w:ascii="Arial" w:cs="Arial" w:eastAsia="Arial" w:hAnsi="Arial"/>
          <w:sz w:val="21"/>
          <w:szCs w:val="21"/>
          <w:color w:val="auto"/>
        </w:rPr>
        <w:t xml:space="preserve">15.16 </w:t>
      </w: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Term and for a period of [**] thereafter, neither Party shall solicit an employee of the other Party who is or has been involved in the performance or oversight of any of the development activities hereunder to terminate his or her employment and accept employment or work as a consultant with the soliciting Party. Notwithstanding the foregoing, nothing herein shall restrict or preclude the Parties’ right to make generalized searches for employees by way of a general solicitation for employment placed in a trade journal, newspaper or website.</w:t>
      </w:r>
    </w:p>
    <w:p>
      <w:pPr>
        <w:spacing w:after="0" w:line="179" w:lineRule="exact"/>
        <w:rPr>
          <w:sz w:val="20"/>
          <w:szCs w:val="20"/>
          <w:color w:val="auto"/>
        </w:rPr>
      </w:pPr>
    </w:p>
    <w:p>
      <w:pPr>
        <w:ind w:right="40" w:firstLine="877"/>
        <w:spacing w:after="0" w:line="234" w:lineRule="auto"/>
        <w:rPr>
          <w:sz w:val="20"/>
          <w:szCs w:val="20"/>
          <w:color w:val="auto"/>
        </w:rPr>
      </w:pPr>
      <w:r>
        <w:rPr>
          <w:rFonts w:ascii="Arial" w:cs="Arial" w:eastAsia="Arial" w:hAnsi="Arial"/>
          <w:sz w:val="22"/>
          <w:szCs w:val="22"/>
          <w:color w:val="auto"/>
        </w:rPr>
        <w:t xml:space="preserve">15.17 </w:t>
      </w:r>
      <w:r>
        <w:rPr>
          <w:rFonts w:ascii="Arial" w:cs="Arial" w:eastAsia="Arial" w:hAnsi="Arial"/>
          <w:sz w:val="22"/>
          <w:szCs w:val="22"/>
          <w:u w:val="single" w:color="auto"/>
          <w:color w:val="auto"/>
        </w:rPr>
        <w:t>Amendments; No Waiver</w:t>
      </w:r>
      <w:r>
        <w:rPr>
          <w:rFonts w:ascii="Arial" w:cs="Arial" w:eastAsia="Arial" w:hAnsi="Arial"/>
          <w:sz w:val="22"/>
          <w:szCs w:val="22"/>
          <w:color w:val="auto"/>
        </w:rPr>
        <w:t>. Unless otherwise specified herein, no amendment, supplement, or modification of this Agreement will be binding on either Party unless it is in writing and signed by both Parties. No delay or failure on the part of a Party in the exercise of any right under this Agreement or available at law or equity will be construed as a waiver of such right, nor will any single or partial exercise thereof preclude any other exercise thereof. All waivers must be in writing and signed by the Party against whom the waiver is to be effective. Any such waiver will constitute a waiver only with respect to the specific matter described in such writing and will in no way impair the rights of the Party granting such waiver in any other respect or at any other time.</w:t>
      </w:r>
    </w:p>
    <w:p>
      <w:pPr>
        <w:spacing w:after="0" w:line="191" w:lineRule="exact"/>
        <w:rPr>
          <w:sz w:val="20"/>
          <w:szCs w:val="20"/>
          <w:color w:val="auto"/>
        </w:rPr>
      </w:pPr>
    </w:p>
    <w:p>
      <w:pPr>
        <w:ind w:right="120" w:firstLine="877"/>
        <w:spacing w:after="0" w:line="249" w:lineRule="auto"/>
        <w:rPr>
          <w:sz w:val="20"/>
          <w:szCs w:val="20"/>
          <w:color w:val="auto"/>
        </w:rPr>
      </w:pPr>
      <w:r>
        <w:rPr>
          <w:rFonts w:ascii="Arial" w:cs="Arial" w:eastAsia="Arial" w:hAnsi="Arial"/>
          <w:sz w:val="21"/>
          <w:szCs w:val="21"/>
          <w:color w:val="auto"/>
        </w:rPr>
        <w:t xml:space="preserve">15.18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portion thereof) of this Agreement is determined by a court or arbitration to be unenforceable as drafted by virtue of the scope, duration, extent, or character of any obligation contained herein, it is the Parties’ intention that such provision (or portion thereof) will be construed in a manner designed to effectuate the purposes of such provision to the maximum extent enforceable under such Applicable Law. The Parties will enter into whatever amendment to this Agreement as may be necessary to effectuate such purposes.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23" w:name="page124"/>
    <w:bookmarkEnd w:id="123"/>
    <w:p>
      <w:pPr>
        <w:jc w:val="both"/>
        <w:ind w:firstLine="877"/>
        <w:spacing w:after="0" w:line="297" w:lineRule="auto"/>
        <w:rPr>
          <w:sz w:val="20"/>
          <w:szCs w:val="20"/>
          <w:color w:val="auto"/>
        </w:rPr>
      </w:pPr>
      <w:r>
        <w:rPr>
          <w:rFonts w:ascii="Arial" w:cs="Arial" w:eastAsia="Arial" w:hAnsi="Arial"/>
          <w:sz w:val="19"/>
          <w:szCs w:val="19"/>
          <w:color w:val="auto"/>
        </w:rPr>
        <w:t xml:space="preserve">15.19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all Exhibits hereto, contains the entire understanding of the Parties and supersedes, revokes, terminates, and cancels any and all other arrangements, understandings, agreements, term sheets, or representations and warranties, whether oral or written, between the Parties relating to the subject matter of this Agreement.</w:t>
      </w:r>
    </w:p>
    <w:p>
      <w:pPr>
        <w:spacing w:after="0" w:line="134" w:lineRule="exact"/>
        <w:rPr>
          <w:sz w:val="20"/>
          <w:szCs w:val="20"/>
          <w:color w:val="auto"/>
        </w:rPr>
      </w:pPr>
    </w:p>
    <w:p>
      <w:pPr>
        <w:ind w:right="260" w:firstLine="877"/>
        <w:spacing w:after="0"/>
        <w:rPr>
          <w:sz w:val="20"/>
          <w:szCs w:val="20"/>
          <w:color w:val="auto"/>
        </w:rPr>
      </w:pPr>
      <w:r>
        <w:rPr>
          <w:rFonts w:ascii="Arial" w:cs="Arial" w:eastAsia="Arial" w:hAnsi="Arial"/>
          <w:sz w:val="22"/>
          <w:szCs w:val="22"/>
          <w:color w:val="auto"/>
        </w:rPr>
        <w:t xml:space="preserve">15.20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will be executed in two (2) counterparts, one (1) for either Party, which, taken together, will constitute one and the same agreement. This Agreement will not be binding on the Parties or otherwise effective unless and until executed by both Parties.</w:t>
      </w:r>
    </w:p>
    <w:p>
      <w:pPr>
        <w:spacing w:after="0" w:line="186" w:lineRule="exact"/>
        <w:rPr>
          <w:sz w:val="20"/>
          <w:szCs w:val="20"/>
          <w:color w:val="auto"/>
        </w:rPr>
      </w:pPr>
    </w:p>
    <w:p>
      <w:pPr>
        <w:ind w:right="540" w:firstLine="877"/>
        <w:spacing w:after="0" w:line="328" w:lineRule="auto"/>
        <w:rPr>
          <w:sz w:val="20"/>
          <w:szCs w:val="20"/>
          <w:color w:val="auto"/>
        </w:rPr>
      </w:pPr>
      <w:r>
        <w:rPr>
          <w:rFonts w:ascii="Arial" w:cs="Arial" w:eastAsia="Arial" w:hAnsi="Arial"/>
          <w:sz w:val="19"/>
          <w:szCs w:val="19"/>
          <w:color w:val="auto"/>
        </w:rPr>
        <w:t xml:space="preserve">15.21 </w:t>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has been negotiated by the Parties and their respective counsel. This Agreement will not be construed in favor of or against either Party by reason of the authorship of any provisions hereof.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47" w:right="439" w:bottom="1440" w:gutter="0" w:footer="0" w:header="0"/>
        </w:sectPr>
      </w:pPr>
    </w:p>
    <w:bookmarkStart w:id="124" w:name="page125"/>
    <w:bookmarkEnd w:id="124"/>
    <w:p>
      <w:pPr>
        <w:ind w:firstLine="877"/>
        <w:spacing w:after="0" w:line="251" w:lineRule="auto"/>
        <w:rPr>
          <w:sz w:val="20"/>
          <w:szCs w:val="20"/>
          <w:color w:val="auto"/>
        </w:rPr>
      </w:pPr>
      <w:r>
        <w:rPr>
          <w:rFonts w:ascii="Arial" w:cs="Arial" w:eastAsia="Arial" w:hAnsi="Arial"/>
          <w:sz w:val="22"/>
          <w:szCs w:val="22"/>
          <w:color w:val="auto"/>
        </w:rPr>
        <w:t>IN WITNESS WHEREOF, the Parties, intending to be legally bound hereby, have caused this Agreement to be executed in duplicate by their duly authorized representatives as of the Effective Date.</w:t>
      </w:r>
    </w:p>
    <w:p>
      <w:pPr>
        <w:spacing w:after="0" w:line="187"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APELLIS PHARMACEUTICALS, INC.</w:t>
      </w:r>
    </w:p>
    <w:p>
      <w:pPr>
        <w:spacing w:after="0" w:line="8" w:lineRule="exact"/>
        <w:rPr>
          <w:sz w:val="20"/>
          <w:szCs w:val="20"/>
          <w:color w:val="auto"/>
        </w:rPr>
      </w:pPr>
    </w:p>
    <w:p>
      <w:pPr>
        <w:ind w:left="5100"/>
        <w:spacing w:after="0"/>
        <w:tabs>
          <w:tab w:leader="none" w:pos="5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wp:posOffset>
            </wp:positionV>
            <wp:extent cx="35077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ind w:left="5900"/>
        <w:spacing w:after="0" w:line="234" w:lineRule="auto"/>
        <w:rPr>
          <w:sz w:val="20"/>
          <w:szCs w:val="20"/>
          <w:color w:val="auto"/>
        </w:rPr>
      </w:pPr>
      <w:r>
        <w:rPr>
          <w:rFonts w:ascii="Arial" w:cs="Arial" w:eastAsia="Arial" w:hAnsi="Arial"/>
          <w:sz w:val="22"/>
          <w:szCs w:val="22"/>
          <w:color w:val="auto"/>
        </w:rPr>
        <w:t>Name: Cedric Francois</w:t>
      </w:r>
    </w:p>
    <w:p>
      <w:pPr>
        <w:ind w:left="5900"/>
        <w:spacing w:after="0"/>
        <w:rPr>
          <w:sz w:val="20"/>
          <w:szCs w:val="20"/>
          <w:color w:val="auto"/>
        </w:rPr>
      </w:pPr>
      <w:r>
        <w:rPr>
          <w:rFonts w:ascii="Arial" w:cs="Arial" w:eastAsia="Arial" w:hAnsi="Arial"/>
          <w:sz w:val="22"/>
          <w:szCs w:val="22"/>
          <w:color w:val="auto"/>
        </w:rPr>
        <w:t>Title: CEO</w:t>
      </w:r>
    </w:p>
    <w:p>
      <w:pPr>
        <w:spacing w:after="0" w:line="202" w:lineRule="exact"/>
        <w:rPr>
          <w:sz w:val="20"/>
          <w:szCs w:val="20"/>
          <w:color w:val="auto"/>
        </w:rPr>
      </w:pPr>
    </w:p>
    <w:p>
      <w:pPr>
        <w:ind w:left="5100"/>
        <w:spacing w:after="0"/>
        <w:tabs>
          <w:tab w:leader="none" w:pos="58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7620</wp:posOffset>
            </wp:positionV>
            <wp:extent cx="35077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 THE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64" w:right="359" w:bottom="1440" w:gutter="0" w:footer="0" w:header="0"/>
        </w:sectPr>
      </w:pPr>
    </w:p>
    <w:bookmarkStart w:id="125" w:name="page126"/>
    <w:bookmarkEnd w:id="125"/>
    <w:p>
      <w:pPr>
        <w:ind w:right="120" w:firstLine="877"/>
        <w:spacing w:after="0" w:line="251" w:lineRule="auto"/>
        <w:rPr>
          <w:sz w:val="20"/>
          <w:szCs w:val="20"/>
          <w:color w:val="auto"/>
        </w:rPr>
      </w:pPr>
      <w:r>
        <w:rPr>
          <w:rFonts w:ascii="Arial" w:cs="Arial" w:eastAsia="Arial" w:hAnsi="Arial"/>
          <w:sz w:val="22"/>
          <w:szCs w:val="22"/>
          <w:color w:val="auto"/>
        </w:rPr>
        <w:t>IN WITNESS WHEREOF, the Parties, intending to be legally bound hereby, have caused this Agreement to be executed in duplicate by their duly authorized representatives as of the Effective Date.</w:t>
      </w:r>
    </w:p>
    <w:p>
      <w:pPr>
        <w:spacing w:after="0" w:line="17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SFJ PHARMACEUTICALS XI, L.P.</w:t>
      </w:r>
    </w:p>
    <w:p>
      <w:pPr>
        <w:spacing w:after="0" w:line="210"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gridSpan w:val="2"/>
          </w:tcPr>
          <w:p>
            <w:pPr>
              <w:ind w:left="140"/>
              <w:spacing w:after="0"/>
              <w:rPr>
                <w:sz w:val="20"/>
                <w:szCs w:val="20"/>
                <w:color w:val="auto"/>
              </w:rPr>
            </w:pPr>
            <w:r>
              <w:rPr>
                <w:rFonts w:ascii="Arial" w:cs="Arial" w:eastAsia="Arial" w:hAnsi="Arial"/>
                <w:sz w:val="22"/>
                <w:szCs w:val="22"/>
                <w:color w:val="auto"/>
              </w:rPr>
              <w:t>SFJ Pharmaceuticals General Partner XI, L.P.,</w:t>
            </w:r>
          </w:p>
        </w:tc>
      </w:tr>
      <w:tr>
        <w:trPr>
          <w:trHeight w:val="243"/>
        </w:trPr>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40" w:type="dxa"/>
            <w:vAlign w:val="bottom"/>
          </w:tcPr>
          <w:p>
            <w:pPr>
              <w:ind w:left="200"/>
              <w:spacing w:after="0" w:line="243" w:lineRule="exact"/>
              <w:rPr>
                <w:sz w:val="20"/>
                <w:szCs w:val="20"/>
                <w:color w:val="auto"/>
              </w:rPr>
            </w:pPr>
            <w:r>
              <w:rPr>
                <w:rFonts w:ascii="Arial" w:cs="Arial" w:eastAsia="Arial" w:hAnsi="Arial"/>
                <w:sz w:val="22"/>
                <w:szCs w:val="22"/>
                <w:color w:val="auto"/>
              </w:rPr>
              <w:t>a Delaware limited partnership</w:t>
            </w:r>
          </w:p>
        </w:tc>
      </w:t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Its:</w:t>
            </w:r>
          </w:p>
        </w:tc>
        <w:tc>
          <w:tcPr>
            <w:tcW w:w="5700" w:type="dxa"/>
            <w:vAlign w:val="bottom"/>
            <w:gridSpan w:val="2"/>
          </w:tcPr>
          <w:p>
            <w:pPr>
              <w:ind w:left="140"/>
              <w:spacing w:after="0"/>
              <w:rPr>
                <w:sz w:val="20"/>
                <w:szCs w:val="20"/>
                <w:color w:val="auto"/>
              </w:rPr>
            </w:pPr>
            <w:r>
              <w:rPr>
                <w:rFonts w:ascii="Arial" w:cs="Arial" w:eastAsia="Arial" w:hAnsi="Arial"/>
                <w:sz w:val="22"/>
                <w:szCs w:val="22"/>
                <w:color w:val="auto"/>
              </w:rPr>
              <w:t>General Partner</w:t>
            </w:r>
          </w:p>
        </w:tc>
      </w:tr>
      <w:tr>
        <w:trPr>
          <w:trHeight w:val="441"/>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gridSpan w:val="2"/>
          </w:tcPr>
          <w:p>
            <w:pPr>
              <w:ind w:left="140"/>
              <w:spacing w:after="0"/>
              <w:rPr>
                <w:sz w:val="20"/>
                <w:szCs w:val="20"/>
                <w:color w:val="auto"/>
              </w:rPr>
            </w:pPr>
            <w:r>
              <w:rPr>
                <w:rFonts w:ascii="Arial" w:cs="Arial" w:eastAsia="Arial" w:hAnsi="Arial"/>
                <w:sz w:val="22"/>
                <w:szCs w:val="22"/>
                <w:color w:val="auto"/>
              </w:rPr>
              <w:t>SFJ Pharmaceuticals GP Corp. XI,</w:t>
            </w:r>
          </w:p>
        </w:tc>
      </w:tr>
      <w:tr>
        <w:trPr>
          <w:trHeight w:val="243"/>
        </w:trPr>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40" w:type="dxa"/>
            <w:vAlign w:val="bottom"/>
          </w:tcPr>
          <w:p>
            <w:pPr>
              <w:ind w:left="200"/>
              <w:spacing w:after="0" w:line="243" w:lineRule="exact"/>
              <w:rPr>
                <w:sz w:val="20"/>
                <w:szCs w:val="20"/>
                <w:color w:val="auto"/>
              </w:rPr>
            </w:pPr>
            <w:r>
              <w:rPr>
                <w:rFonts w:ascii="Arial" w:cs="Arial" w:eastAsia="Arial" w:hAnsi="Arial"/>
                <w:sz w:val="22"/>
                <w:szCs w:val="22"/>
                <w:color w:val="auto"/>
              </w:rPr>
              <w:t>a Delaware corporation</w:t>
            </w:r>
          </w:p>
        </w:tc>
      </w:t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Its:</w:t>
            </w:r>
          </w:p>
        </w:tc>
        <w:tc>
          <w:tcPr>
            <w:tcW w:w="5700" w:type="dxa"/>
            <w:vAlign w:val="bottom"/>
            <w:gridSpan w:val="2"/>
          </w:tcPr>
          <w:p>
            <w:pPr>
              <w:ind w:left="140"/>
              <w:spacing w:after="0"/>
              <w:rPr>
                <w:sz w:val="20"/>
                <w:szCs w:val="20"/>
                <w:color w:val="auto"/>
              </w:rPr>
            </w:pPr>
            <w:r>
              <w:rPr>
                <w:rFonts w:ascii="Arial" w:cs="Arial" w:eastAsia="Arial" w:hAnsi="Arial"/>
                <w:sz w:val="22"/>
                <w:szCs w:val="22"/>
                <w:color w:val="auto"/>
              </w:rPr>
              <w:t>General Partner</w:t>
            </w:r>
          </w:p>
        </w:tc>
      </w:tr>
      <w:tr>
        <w:trPr>
          <w:trHeight w:val="692"/>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4"/>
                <w:szCs w:val="24"/>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DeBenedetto</w:t>
            </w:r>
          </w:p>
        </w:tc>
      </w:tr>
      <w:tr>
        <w:trPr>
          <w:trHeight w:val="215"/>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Arial" w:cs="Arial" w:eastAsia="Arial" w:hAnsi="Arial"/>
                <w:sz w:val="22"/>
                <w:szCs w:val="22"/>
                <w:color w:val="auto"/>
              </w:rPr>
              <w:t>Name: Robert DeBenedetto</w:t>
            </w:r>
          </w:p>
        </w:tc>
      </w:tr>
      <w:tr>
        <w:trPr>
          <w:trHeight w:val="275"/>
        </w:trPr>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540" w:type="dxa"/>
            <w:vAlign w:val="bottom"/>
          </w:tcPr>
          <w:p>
            <w:pPr>
              <w:spacing w:after="0"/>
              <w:rPr>
                <w:sz w:val="20"/>
                <w:szCs w:val="20"/>
                <w:color w:val="auto"/>
              </w:rPr>
            </w:pPr>
            <w:r>
              <w:rPr>
                <w:rFonts w:ascii="Arial" w:cs="Arial" w:eastAsia="Arial" w:hAnsi="Arial"/>
                <w:sz w:val="22"/>
                <w:szCs w:val="22"/>
                <w:color w:val="auto"/>
              </w:rPr>
              <w:t>Title: President and Chief Executive Officer</w:t>
            </w:r>
          </w:p>
        </w:tc>
      </w:tr>
      <w:tr>
        <w:trPr>
          <w:trHeight w:val="692"/>
        </w:trPr>
        <w:tc>
          <w:tcPr>
            <w:tcW w:w="600" w:type="dxa"/>
            <w:vAlign w:val="bottom"/>
          </w:tcPr>
          <w:p>
            <w:pPr>
              <w:spacing w:after="0"/>
              <w:rPr>
                <w:sz w:val="20"/>
                <w:szCs w:val="20"/>
                <w:color w:val="auto"/>
              </w:rPr>
            </w:pPr>
            <w:r>
              <w:rPr>
                <w:rFonts w:ascii="Arial" w:cs="Arial" w:eastAsia="Arial" w:hAnsi="Arial"/>
                <w:sz w:val="22"/>
                <w:szCs w:val="22"/>
                <w:color w:val="auto"/>
              </w:rPr>
              <w:t>Date:</w:t>
            </w:r>
          </w:p>
        </w:tc>
        <w:tc>
          <w:tcPr>
            <w:tcW w:w="160" w:type="dxa"/>
            <w:vAlign w:val="bottom"/>
          </w:tcPr>
          <w:p>
            <w:pPr>
              <w:spacing w:after="0"/>
              <w:rPr>
                <w:sz w:val="24"/>
                <w:szCs w:val="24"/>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February 28,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 THE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26" w:name="page127"/>
    <w:bookmarkEnd w:id="126"/>
    <w:p>
      <w:pPr>
        <w:ind w:left="4100"/>
        <w:spacing w:after="0"/>
        <w:rPr>
          <w:sz w:val="20"/>
          <w:szCs w:val="20"/>
          <w:color w:val="auto"/>
        </w:rPr>
      </w:pPr>
      <w:r>
        <w:rPr>
          <w:rFonts w:ascii="Arial" w:cs="Arial" w:eastAsia="Arial" w:hAnsi="Arial"/>
          <w:sz w:val="22"/>
          <w:szCs w:val="22"/>
          <w:b w:val="1"/>
          <w:bCs w:val="1"/>
          <w:color w:val="auto"/>
        </w:rPr>
        <w:t>EXHIBIT AND SCHEDULE LIST</w:t>
      </w:r>
    </w:p>
    <w:p>
      <w:pPr>
        <w:sectPr>
          <w:pgSz w:w="11900" w:h="16838" w:orient="portrait"/>
          <w:cols w:equalWidth="0" w:num="1">
            <w:col w:w="10219"/>
          </w:cols>
          <w:pgMar w:left="240" w:top="342" w:right="1440"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H</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J</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L</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Exhibit M</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Exhibit 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The Product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Current CROs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Current Vendors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Development Program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Anti-Bribery and Anti-Corruption Practices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Additional JSC Meeting Discussion Matters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Pre-Approved Financial Partners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Form of Warrant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Financial Statements and Reports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Protocol Specifications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Manufacturer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Funding Date Milestones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Pegasus Trial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Prince Trial</w:t>
      </w:r>
    </w:p>
    <w:p>
      <w:pPr>
        <w:sectPr>
          <w:pgSz w:w="11900" w:h="16838" w:orient="portrait"/>
          <w:cols w:equalWidth="0" w:num="2">
            <w:col w:w="1460" w:space="720"/>
            <w:col w:w="8039"/>
          </w:cols>
          <w:pgMar w:left="240" w:top="342" w:right="1440"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282828"/>
        </w:rPr>
        <w:t>STANDARD OFFICE 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282828"/>
        </w:rPr>
        <w:t>Between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282828"/>
        </w:rPr>
        <w:t>Geary-Market Investment Company, Ltd.,</w:t>
      </w:r>
    </w:p>
    <w:p>
      <w:pPr>
        <w:jc w:val="center"/>
        <w:spacing w:after="0"/>
        <w:rPr>
          <w:sz w:val="20"/>
          <w:szCs w:val="20"/>
          <w:color w:val="auto"/>
        </w:rPr>
      </w:pPr>
      <w:r>
        <w:rPr>
          <w:rFonts w:ascii="Arial" w:cs="Arial" w:eastAsia="Arial" w:hAnsi="Arial"/>
          <w:sz w:val="20"/>
          <w:szCs w:val="20"/>
          <w:color w:val="282828"/>
        </w:rPr>
        <w:t>a California corporation</w:t>
      </w:r>
    </w:p>
    <w:p>
      <w:pPr>
        <w:jc w:val="center"/>
        <w:spacing w:after="0"/>
        <w:rPr>
          <w:sz w:val="20"/>
          <w:szCs w:val="20"/>
          <w:color w:val="auto"/>
        </w:rPr>
      </w:pPr>
      <w:r>
        <w:rPr>
          <w:rFonts w:ascii="Arial" w:cs="Arial" w:eastAsia="Arial" w:hAnsi="Arial"/>
          <w:sz w:val="20"/>
          <w:szCs w:val="20"/>
          <w:color w:val="282828"/>
        </w:rPr>
        <w:t>(“Landlord”)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282828"/>
        </w:rPr>
        <w:t>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282828"/>
        </w:rPr>
        <w:t>Apellis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282828"/>
        </w:rPr>
        <w:t>a Delaware corporation</w:t>
      </w:r>
    </w:p>
    <w:p>
      <w:pPr>
        <w:jc w:val="center"/>
        <w:spacing w:after="0"/>
        <w:rPr>
          <w:sz w:val="20"/>
          <w:szCs w:val="20"/>
          <w:color w:val="auto"/>
        </w:rPr>
      </w:pPr>
      <w:r>
        <w:rPr>
          <w:rFonts w:ascii="Arial" w:cs="Arial" w:eastAsia="Arial" w:hAnsi="Arial"/>
          <w:sz w:val="20"/>
          <w:szCs w:val="20"/>
          <w:color w:val="282828"/>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09338.008 2450031v1</w:t>
      </w: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20"/>
          <w:szCs w:val="20"/>
          <w:b w:val="1"/>
          <w:bCs w:val="1"/>
          <w:color w:val="262626"/>
        </w:rPr>
        <w:t>STANDARD OFFICE LEASE</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8"/>
          <w:szCs w:val="18"/>
          <w:color w:val="262626"/>
        </w:rPr>
        <w:t>This Standard Office Lease (“Lease”) is made as of March 29, 2019 by and between Geary-Market Investment Company, Ltd., 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62626"/>
        </w:rPr>
        <w:t>California corporation (“Landlord”), and Apellis Pharmaceuticals, Inc.</w:t>
      </w:r>
      <w:r>
        <w:rPr>
          <w:rFonts w:ascii="Arial" w:cs="Arial" w:eastAsia="Arial" w:hAnsi="Arial"/>
          <w:sz w:val="20"/>
          <w:szCs w:val="20"/>
          <w:color w:val="3F3F3F"/>
        </w:rPr>
        <w:t>,</w:t>
      </w:r>
      <w:r>
        <w:rPr>
          <w:rFonts w:ascii="Arial" w:cs="Arial" w:eastAsia="Arial" w:hAnsi="Arial"/>
          <w:sz w:val="20"/>
          <w:szCs w:val="20"/>
          <w:color w:val="262626"/>
        </w:rPr>
        <w:t xml:space="preserve"> a Delaware corporation, (“Tenant”), who agree as follows: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262626"/>
        </w:rPr>
        <w:t>BASIC LEASE INFORMATION</w:t>
      </w:r>
    </w:p>
    <w:p>
      <w:pPr>
        <w:spacing w:after="0" w:line="202" w:lineRule="exact"/>
        <w:rPr>
          <w:sz w:val="20"/>
          <w:szCs w:val="20"/>
          <w:color w:val="auto"/>
        </w:rPr>
      </w:pPr>
    </w:p>
    <w:p>
      <w:pPr>
        <w:ind w:right="20" w:firstLine="877"/>
        <w:spacing w:after="0" w:line="260" w:lineRule="auto"/>
        <w:rPr>
          <w:sz w:val="20"/>
          <w:szCs w:val="20"/>
          <w:color w:val="auto"/>
        </w:rPr>
      </w:pPr>
      <w:r>
        <w:rPr>
          <w:rFonts w:ascii="Arial" w:cs="Arial" w:eastAsia="Arial" w:hAnsi="Arial"/>
          <w:sz w:val="20"/>
          <w:szCs w:val="20"/>
          <w:color w:val="262626"/>
        </w:rPr>
        <w:t>The following is the Basic Lease Information of this Lease. Other Sections of this Lease explain and define the Basic Lease Information in more detail and are to be read in conjunction herewith.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 w:type="dxa"/>
            <w:vAlign w:val="bottom"/>
          </w:tcPr>
          <w:p>
            <w:pPr>
              <w:spacing w:after="0"/>
              <w:rPr>
                <w:sz w:val="20"/>
                <w:szCs w:val="20"/>
                <w:color w:val="auto"/>
              </w:rPr>
            </w:pPr>
            <w:r>
              <w:rPr>
                <w:rFonts w:ascii="Arial" w:cs="Arial" w:eastAsia="Arial" w:hAnsi="Arial"/>
                <w:sz w:val="20"/>
                <w:szCs w:val="20"/>
                <w:b w:val="1"/>
                <w:bCs w:val="1"/>
                <w:color w:val="auto"/>
              </w:rPr>
              <w:t>1.</w:t>
            </w:r>
          </w:p>
        </w:tc>
        <w:tc>
          <w:tcPr>
            <w:tcW w:w="3940" w:type="dxa"/>
            <w:vAlign w:val="bottom"/>
          </w:tcPr>
          <w:p>
            <w:pPr>
              <w:ind w:left="340"/>
              <w:spacing w:after="0"/>
              <w:rPr>
                <w:sz w:val="20"/>
                <w:szCs w:val="20"/>
                <w:color w:val="auto"/>
              </w:rPr>
            </w:pPr>
            <w:r>
              <w:rPr>
                <w:rFonts w:ascii="Arial" w:cs="Arial" w:eastAsia="Arial" w:hAnsi="Arial"/>
                <w:sz w:val="20"/>
                <w:szCs w:val="20"/>
                <w:b w:val="1"/>
                <w:bCs w:val="1"/>
                <w:color w:val="262626"/>
              </w:rPr>
              <w:t>LANDLORD:</w:t>
            </w:r>
          </w:p>
        </w:tc>
        <w:tc>
          <w:tcPr>
            <w:tcW w:w="7020" w:type="dxa"/>
            <w:vAlign w:val="bottom"/>
          </w:tcPr>
          <w:p>
            <w:pPr>
              <w:ind w:left="1400"/>
              <w:spacing w:after="0"/>
              <w:rPr>
                <w:sz w:val="20"/>
                <w:szCs w:val="20"/>
                <w:color w:val="auto"/>
              </w:rPr>
            </w:pPr>
            <w:r>
              <w:rPr>
                <w:rFonts w:ascii="Arial" w:cs="Arial" w:eastAsia="Arial" w:hAnsi="Arial"/>
                <w:sz w:val="20"/>
                <w:szCs w:val="20"/>
                <w:color w:val="262626"/>
              </w:rPr>
              <w:t>Geary-Market Investment Company, Ltd</w:t>
            </w:r>
            <w:r>
              <w:rPr>
                <w:rFonts w:ascii="Arial" w:cs="Arial" w:eastAsia="Arial" w:hAnsi="Arial"/>
                <w:sz w:val="20"/>
                <w:szCs w:val="20"/>
                <w:color w:val="3F3F3F"/>
              </w:rPr>
              <w:t>.</w:t>
            </w:r>
            <w:r>
              <w:rPr>
                <w:rFonts w:ascii="Arial" w:cs="Arial" w:eastAsia="Arial" w:hAnsi="Arial"/>
                <w:sz w:val="20"/>
                <w:szCs w:val="20"/>
                <w:color w:val="262626"/>
              </w:rPr>
              <w:t xml:space="preserve"> 49 Geary St., West</w:t>
            </w:r>
          </w:p>
        </w:tc>
      </w:tr>
      <w:tr>
        <w:trPr>
          <w:trHeight w:val="250"/>
        </w:trPr>
        <w:tc>
          <w:tcPr>
            <w:tcW w:w="4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rPr>
              <w:t>Mezzanine San Francisco, California 94108</w:t>
            </w:r>
          </w:p>
        </w:tc>
      </w:tr>
      <w:tr>
        <w:trPr>
          <w:trHeight w:val="438"/>
        </w:trPr>
        <w:tc>
          <w:tcPr>
            <w:tcW w:w="480" w:type="dxa"/>
            <w:vAlign w:val="bottom"/>
          </w:tcPr>
          <w:p>
            <w:pPr>
              <w:spacing w:after="0"/>
              <w:rPr>
                <w:sz w:val="24"/>
                <w:szCs w:val="24"/>
                <w:color w:val="auto"/>
              </w:rPr>
            </w:pPr>
          </w:p>
        </w:tc>
        <w:tc>
          <w:tcPr>
            <w:tcW w:w="3940" w:type="dxa"/>
            <w:vAlign w:val="bottom"/>
          </w:tcPr>
          <w:p>
            <w:pPr>
              <w:ind w:left="340"/>
              <w:spacing w:after="0"/>
              <w:rPr>
                <w:sz w:val="20"/>
                <w:szCs w:val="20"/>
                <w:color w:val="auto"/>
              </w:rPr>
            </w:pPr>
            <w:r>
              <w:rPr>
                <w:rFonts w:ascii="Arial" w:cs="Arial" w:eastAsia="Arial" w:hAnsi="Arial"/>
                <w:sz w:val="20"/>
                <w:szCs w:val="20"/>
                <w:b w:val="1"/>
                <w:bCs w:val="1"/>
                <w:color w:val="262626"/>
              </w:rPr>
              <w:t>TENANT:</w:t>
            </w:r>
          </w:p>
        </w:tc>
        <w:tc>
          <w:tcPr>
            <w:tcW w:w="7020" w:type="dxa"/>
            <w:vAlign w:val="bottom"/>
          </w:tcPr>
          <w:p>
            <w:pPr>
              <w:ind w:left="1400"/>
              <w:spacing w:after="0"/>
              <w:rPr>
                <w:sz w:val="20"/>
                <w:szCs w:val="20"/>
                <w:color w:val="auto"/>
              </w:rPr>
            </w:pPr>
            <w:r>
              <w:rPr>
                <w:rFonts w:ascii="Arial" w:cs="Arial" w:eastAsia="Arial" w:hAnsi="Arial"/>
                <w:sz w:val="20"/>
                <w:szCs w:val="20"/>
                <w:color w:val="262626"/>
              </w:rPr>
              <w:t>Apellis Pharmaceuticals, Inc. 720 Market Street, Suite 500 San</w:t>
            </w:r>
          </w:p>
        </w:tc>
      </w:tr>
      <w:tr>
        <w:trPr>
          <w:trHeight w:val="250"/>
        </w:trPr>
        <w:tc>
          <w:tcPr>
            <w:tcW w:w="4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rPr>
              <w:t>Francisco, CA 94108</w:t>
            </w:r>
          </w:p>
        </w:tc>
      </w:tr>
      <w:tr>
        <w:trPr>
          <w:trHeight w:val="438"/>
        </w:trPr>
        <w:tc>
          <w:tcPr>
            <w:tcW w:w="480" w:type="dxa"/>
            <w:vAlign w:val="bottom"/>
          </w:tcPr>
          <w:p>
            <w:pPr>
              <w:spacing w:after="0"/>
              <w:rPr>
                <w:sz w:val="20"/>
                <w:szCs w:val="20"/>
                <w:color w:val="auto"/>
              </w:rPr>
            </w:pPr>
            <w:r>
              <w:rPr>
                <w:rFonts w:ascii="Arial" w:cs="Arial" w:eastAsia="Arial" w:hAnsi="Arial"/>
                <w:sz w:val="20"/>
                <w:szCs w:val="20"/>
                <w:b w:val="1"/>
                <w:bCs w:val="1"/>
                <w:color w:val="auto"/>
              </w:rPr>
              <w:t>2.</w:t>
            </w:r>
          </w:p>
        </w:tc>
        <w:tc>
          <w:tcPr>
            <w:tcW w:w="3940" w:type="dxa"/>
            <w:vAlign w:val="bottom"/>
          </w:tcPr>
          <w:p>
            <w:pPr>
              <w:ind w:left="340"/>
              <w:spacing w:after="0"/>
              <w:rPr>
                <w:sz w:val="20"/>
                <w:szCs w:val="20"/>
                <w:color w:val="auto"/>
              </w:rPr>
            </w:pPr>
            <w:r>
              <w:rPr>
                <w:rFonts w:ascii="Arial" w:cs="Arial" w:eastAsia="Arial" w:hAnsi="Arial"/>
                <w:sz w:val="20"/>
                <w:szCs w:val="20"/>
                <w:b w:val="1"/>
                <w:bCs w:val="1"/>
                <w:color w:val="262626"/>
              </w:rPr>
              <w:t>PREMISES:</w:t>
            </w:r>
          </w:p>
        </w:tc>
        <w:tc>
          <w:tcPr>
            <w:tcW w:w="7020" w:type="dxa"/>
            <w:vAlign w:val="bottom"/>
          </w:tcPr>
          <w:p>
            <w:pPr>
              <w:ind w:left="14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color w:val="262626"/>
              </w:rPr>
              <w:t>720 Market Street, Suite 500 San Francisco, CA 94108</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auto"/>
                <w:w w:val="94"/>
              </w:rPr>
              <w:t xml:space="preserve">(b)  </w:t>
            </w:r>
            <w:r>
              <w:rPr>
                <w:rFonts w:ascii="Arial" w:cs="Arial" w:eastAsia="Arial" w:hAnsi="Arial"/>
                <w:sz w:val="20"/>
                <w:szCs w:val="20"/>
                <w:color w:val="262626"/>
                <w:w w:val="94"/>
              </w:rPr>
              <w:t>Approximately 5</w:t>
            </w:r>
            <w:r>
              <w:rPr>
                <w:rFonts w:ascii="Arial" w:cs="Arial" w:eastAsia="Arial" w:hAnsi="Arial"/>
                <w:sz w:val="20"/>
                <w:szCs w:val="20"/>
                <w:color w:val="3F3F3F"/>
                <w:w w:val="94"/>
              </w:rPr>
              <w:t>,</w:t>
            </w:r>
            <w:r>
              <w:rPr>
                <w:rFonts w:ascii="Arial" w:cs="Arial" w:eastAsia="Arial" w:hAnsi="Arial"/>
                <w:sz w:val="20"/>
                <w:szCs w:val="20"/>
                <w:color w:val="262626"/>
                <w:w w:val="94"/>
              </w:rPr>
              <w:t>044 rentable square feet on the fifth (5</w:t>
            </w:r>
            <w:r>
              <w:rPr>
                <w:rFonts w:ascii="Arial" w:cs="Arial" w:eastAsia="Arial" w:hAnsi="Arial"/>
                <w:sz w:val="16"/>
                <w:szCs w:val="16"/>
                <w:color w:val="262626"/>
                <w:w w:val="94"/>
              </w:rPr>
              <w:t>th)</w:t>
            </w:r>
            <w:r>
              <w:rPr>
                <w:rFonts w:ascii="Arial" w:cs="Arial" w:eastAsia="Arial" w:hAnsi="Arial"/>
                <w:sz w:val="20"/>
                <w:szCs w:val="20"/>
                <w:color w:val="auto"/>
                <w:w w:val="94"/>
              </w:rPr>
              <w:t xml:space="preserve"> </w:t>
            </w:r>
            <w:r>
              <w:rPr>
                <w:rFonts w:ascii="Arial" w:cs="Arial" w:eastAsia="Arial" w:hAnsi="Arial"/>
                <w:sz w:val="20"/>
                <w:szCs w:val="20"/>
                <w:color w:val="262626"/>
                <w:w w:val="94"/>
              </w:rPr>
              <w:t>floor.</w:t>
            </w:r>
          </w:p>
        </w:tc>
      </w:tr>
      <w:tr>
        <w:trPr>
          <w:trHeight w:val="250"/>
        </w:trPr>
        <w:tc>
          <w:tcPr>
            <w:tcW w:w="4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color w:val="262626"/>
              </w:rPr>
              <w:t>Approximately 40,140 rentable square feet for the Building.</w:t>
            </w:r>
          </w:p>
        </w:tc>
      </w:tr>
      <w:tr>
        <w:trPr>
          <w:trHeight w:val="459"/>
        </w:trPr>
        <w:tc>
          <w:tcPr>
            <w:tcW w:w="480" w:type="dxa"/>
            <w:vAlign w:val="bottom"/>
          </w:tcPr>
          <w:p>
            <w:pPr>
              <w:spacing w:after="0"/>
              <w:rPr>
                <w:sz w:val="20"/>
                <w:szCs w:val="20"/>
                <w:color w:val="auto"/>
              </w:rPr>
            </w:pPr>
            <w:r>
              <w:rPr>
                <w:rFonts w:ascii="Arial" w:cs="Arial" w:eastAsia="Arial" w:hAnsi="Arial"/>
                <w:sz w:val="20"/>
                <w:szCs w:val="20"/>
                <w:b w:val="1"/>
                <w:bCs w:val="1"/>
                <w:color w:val="auto"/>
              </w:rPr>
              <w:t>3.</w:t>
            </w:r>
          </w:p>
        </w:tc>
        <w:tc>
          <w:tcPr>
            <w:tcW w:w="3940" w:type="dxa"/>
            <w:vAlign w:val="bottom"/>
          </w:tcPr>
          <w:p>
            <w:pPr>
              <w:ind w:left="340"/>
              <w:spacing w:after="0"/>
              <w:rPr>
                <w:sz w:val="20"/>
                <w:szCs w:val="20"/>
                <w:color w:val="auto"/>
              </w:rPr>
            </w:pPr>
            <w:r>
              <w:rPr>
                <w:rFonts w:ascii="Arial" w:cs="Arial" w:eastAsia="Arial" w:hAnsi="Arial"/>
                <w:sz w:val="20"/>
                <w:szCs w:val="20"/>
                <w:b w:val="1"/>
                <w:bCs w:val="1"/>
                <w:color w:val="262626"/>
              </w:rPr>
              <w:t>TERM:</w:t>
            </w:r>
          </w:p>
        </w:tc>
        <w:tc>
          <w:tcPr>
            <w:tcW w:w="7020" w:type="dxa"/>
            <w:vAlign w:val="bottom"/>
          </w:tcPr>
          <w:p>
            <w:pPr>
              <w:ind w:left="1400"/>
              <w:spacing w:after="0"/>
              <w:rPr>
                <w:sz w:val="20"/>
                <w:szCs w:val="20"/>
                <w:color w:val="auto"/>
              </w:rPr>
            </w:pPr>
            <w:r>
              <w:rPr>
                <w:rFonts w:ascii="Arial" w:cs="Arial" w:eastAsia="Arial" w:hAnsi="Arial"/>
                <w:sz w:val="20"/>
                <w:szCs w:val="20"/>
                <w:color w:val="262626"/>
              </w:rPr>
              <w:t>Five (5) years</w:t>
            </w:r>
          </w:p>
        </w:tc>
      </w:tr>
      <w:tr>
        <w:trPr>
          <w:trHeight w:val="438"/>
        </w:trPr>
        <w:tc>
          <w:tcPr>
            <w:tcW w:w="480" w:type="dxa"/>
            <w:vAlign w:val="bottom"/>
          </w:tcPr>
          <w:p>
            <w:pPr>
              <w:spacing w:after="0"/>
              <w:rPr>
                <w:sz w:val="20"/>
                <w:szCs w:val="20"/>
                <w:color w:val="auto"/>
              </w:rPr>
            </w:pPr>
            <w:r>
              <w:rPr>
                <w:rFonts w:ascii="Arial" w:cs="Arial" w:eastAsia="Arial" w:hAnsi="Arial"/>
                <w:sz w:val="20"/>
                <w:szCs w:val="20"/>
                <w:b w:val="1"/>
                <w:bCs w:val="1"/>
                <w:color w:val="auto"/>
              </w:rPr>
              <w:t>4.</w:t>
            </w:r>
          </w:p>
        </w:tc>
        <w:tc>
          <w:tcPr>
            <w:tcW w:w="3940" w:type="dxa"/>
            <w:vAlign w:val="bottom"/>
          </w:tcPr>
          <w:p>
            <w:pPr>
              <w:ind w:left="340"/>
              <w:spacing w:after="0"/>
              <w:rPr>
                <w:sz w:val="20"/>
                <w:szCs w:val="20"/>
                <w:color w:val="auto"/>
              </w:rPr>
            </w:pPr>
            <w:r>
              <w:rPr>
                <w:rFonts w:ascii="Arial" w:cs="Arial" w:eastAsia="Arial" w:hAnsi="Arial"/>
                <w:sz w:val="20"/>
                <w:szCs w:val="20"/>
                <w:b w:val="1"/>
                <w:bCs w:val="1"/>
                <w:color w:val="262626"/>
              </w:rPr>
              <w:t>COMMENCEMENT DATE:</w:t>
            </w:r>
          </w:p>
        </w:tc>
        <w:tc>
          <w:tcPr>
            <w:tcW w:w="7020" w:type="dxa"/>
            <w:vAlign w:val="bottom"/>
          </w:tcPr>
          <w:p>
            <w:pPr>
              <w:ind w:left="1400"/>
              <w:spacing w:after="0"/>
              <w:rPr>
                <w:sz w:val="20"/>
                <w:szCs w:val="20"/>
                <w:color w:val="auto"/>
              </w:rPr>
            </w:pPr>
            <w:r>
              <w:rPr>
                <w:rFonts w:ascii="Arial" w:cs="Arial" w:eastAsia="Arial" w:hAnsi="Arial"/>
                <w:sz w:val="20"/>
                <w:szCs w:val="20"/>
                <w:color w:val="262626"/>
              </w:rPr>
              <w:t>March 15, 2019 or upon substantial completion of the Tenant</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w w:val="90"/>
              </w:rPr>
              <w:t>Improvements, whichever i</w:t>
            </w:r>
            <w:r>
              <w:rPr>
                <w:rFonts w:ascii="Arial" w:cs="Arial" w:eastAsia="Arial" w:hAnsi="Arial"/>
                <w:sz w:val="20"/>
                <w:szCs w:val="20"/>
                <w:color w:val="3F3F3F"/>
                <w:w w:val="90"/>
              </w:rPr>
              <w:t>s</w:t>
            </w:r>
            <w:r>
              <w:rPr>
                <w:rFonts w:ascii="Arial" w:cs="Arial" w:eastAsia="Arial" w:hAnsi="Arial"/>
                <w:sz w:val="20"/>
                <w:szCs w:val="20"/>
                <w:color w:val="262626"/>
                <w:w w:val="90"/>
              </w:rPr>
              <w:t xml:space="preserve"> later. If the Commencement Date has not</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w w:val="90"/>
              </w:rPr>
              <w:t>occurred by May 1, 2019, Tenant shall receive one day of free rent for</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w w:val="92"/>
              </w:rPr>
              <w:t>each day from May 1, 2019 until the Commencement Date occurs. If</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w w:val="91"/>
              </w:rPr>
              <w:t>the Commencement Date has not occurred by June 15, 2019, Tenant</w:t>
            </w:r>
          </w:p>
        </w:tc>
      </w:tr>
      <w:tr>
        <w:trPr>
          <w:trHeight w:val="250"/>
        </w:trPr>
        <w:tc>
          <w:tcPr>
            <w:tcW w:w="4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62626"/>
              </w:rPr>
              <w:t>may terminate the Lease.</w:t>
            </w:r>
          </w:p>
        </w:tc>
      </w:tr>
      <w:tr>
        <w:trPr>
          <w:trHeight w:val="459"/>
        </w:trPr>
        <w:tc>
          <w:tcPr>
            <w:tcW w:w="480" w:type="dxa"/>
            <w:vAlign w:val="bottom"/>
          </w:tcPr>
          <w:p>
            <w:pPr>
              <w:spacing w:after="0"/>
              <w:rPr>
                <w:sz w:val="24"/>
                <w:szCs w:val="24"/>
                <w:color w:val="auto"/>
              </w:rPr>
            </w:pPr>
          </w:p>
        </w:tc>
        <w:tc>
          <w:tcPr>
            <w:tcW w:w="3940" w:type="dxa"/>
            <w:vAlign w:val="bottom"/>
          </w:tcPr>
          <w:p>
            <w:pPr>
              <w:ind w:left="340"/>
              <w:spacing w:after="0"/>
              <w:rPr>
                <w:sz w:val="20"/>
                <w:szCs w:val="20"/>
                <w:color w:val="auto"/>
              </w:rPr>
            </w:pPr>
            <w:r>
              <w:rPr>
                <w:rFonts w:ascii="Arial" w:cs="Arial" w:eastAsia="Arial" w:hAnsi="Arial"/>
                <w:sz w:val="20"/>
                <w:szCs w:val="20"/>
                <w:b w:val="1"/>
                <w:bCs w:val="1"/>
                <w:color w:val="262626"/>
              </w:rPr>
              <w:t>RENT COMMENCEMENT:</w:t>
            </w:r>
          </w:p>
        </w:tc>
        <w:tc>
          <w:tcPr>
            <w:tcW w:w="7020" w:type="dxa"/>
            <w:vAlign w:val="bottom"/>
          </w:tcPr>
          <w:p>
            <w:pPr>
              <w:ind w:left="1400"/>
              <w:spacing w:after="0"/>
              <w:rPr>
                <w:sz w:val="20"/>
                <w:szCs w:val="20"/>
                <w:color w:val="auto"/>
              </w:rPr>
            </w:pPr>
            <w:r>
              <w:rPr>
                <w:rFonts w:ascii="Arial" w:cs="Arial" w:eastAsia="Arial" w:hAnsi="Arial"/>
                <w:sz w:val="20"/>
                <w:szCs w:val="20"/>
                <w:color w:val="262626"/>
              </w:rPr>
              <w:t>Same as Commencement Date.</w:t>
            </w:r>
          </w:p>
        </w:tc>
      </w:tr>
      <w:tr>
        <w:trPr>
          <w:trHeight w:val="438"/>
        </w:trPr>
        <w:tc>
          <w:tcPr>
            <w:tcW w:w="480" w:type="dxa"/>
            <w:vAlign w:val="bottom"/>
          </w:tcPr>
          <w:p>
            <w:pPr>
              <w:spacing w:after="0"/>
              <w:rPr>
                <w:sz w:val="20"/>
                <w:szCs w:val="20"/>
                <w:color w:val="auto"/>
              </w:rPr>
            </w:pPr>
            <w:r>
              <w:rPr>
                <w:rFonts w:ascii="Arial" w:cs="Arial" w:eastAsia="Arial" w:hAnsi="Arial"/>
                <w:sz w:val="20"/>
                <w:szCs w:val="20"/>
                <w:b w:val="1"/>
                <w:bCs w:val="1"/>
                <w:color w:val="auto"/>
              </w:rPr>
              <w:t>5.</w:t>
            </w:r>
          </w:p>
        </w:tc>
        <w:tc>
          <w:tcPr>
            <w:tcW w:w="3940" w:type="dxa"/>
            <w:vAlign w:val="bottom"/>
          </w:tcPr>
          <w:p>
            <w:pPr>
              <w:ind w:left="340"/>
              <w:spacing w:after="0"/>
              <w:rPr>
                <w:sz w:val="20"/>
                <w:szCs w:val="20"/>
                <w:color w:val="auto"/>
              </w:rPr>
            </w:pPr>
            <w:r>
              <w:rPr>
                <w:rFonts w:ascii="Arial" w:cs="Arial" w:eastAsia="Arial" w:hAnsi="Arial"/>
                <w:sz w:val="20"/>
                <w:szCs w:val="20"/>
                <w:b w:val="1"/>
                <w:bCs w:val="1"/>
                <w:color w:val="242424"/>
              </w:rPr>
              <w:t>BASIC MONTHLY RENT:</w:t>
            </w:r>
          </w:p>
        </w:tc>
        <w:tc>
          <w:tcPr>
            <w:tcW w:w="7020" w:type="dxa"/>
            <w:vAlign w:val="bottom"/>
          </w:tcPr>
          <w:p>
            <w:pPr>
              <w:ind w:left="1400"/>
              <w:spacing w:after="0"/>
              <w:rPr>
                <w:sz w:val="20"/>
                <w:szCs w:val="20"/>
                <w:color w:val="auto"/>
              </w:rPr>
            </w:pPr>
            <w:r>
              <w:rPr>
                <w:rFonts w:ascii="Arial" w:cs="Arial" w:eastAsia="Arial" w:hAnsi="Arial"/>
                <w:sz w:val="20"/>
                <w:szCs w:val="20"/>
                <w:color w:val="242424"/>
              </w:rPr>
              <w:t>Months 1-12*: $27</w:t>
            </w:r>
            <w:r>
              <w:rPr>
                <w:rFonts w:ascii="Arial" w:cs="Arial" w:eastAsia="Arial" w:hAnsi="Arial"/>
                <w:sz w:val="20"/>
                <w:szCs w:val="20"/>
                <w:color w:val="3D3D3D"/>
              </w:rPr>
              <w:t>,</w:t>
            </w:r>
            <w:r>
              <w:rPr>
                <w:rFonts w:ascii="Arial" w:cs="Arial" w:eastAsia="Arial" w:hAnsi="Arial"/>
                <w:sz w:val="20"/>
                <w:szCs w:val="20"/>
                <w:color w:val="242424"/>
              </w:rPr>
              <w:t>321.66 per month</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42424"/>
              </w:rPr>
              <w:t>Months 13-24: $28</w:t>
            </w:r>
            <w:r>
              <w:rPr>
                <w:rFonts w:ascii="Arial" w:cs="Arial" w:eastAsia="Arial" w:hAnsi="Arial"/>
                <w:sz w:val="20"/>
                <w:szCs w:val="20"/>
                <w:color w:val="3D3D3D"/>
              </w:rPr>
              <w:t>,</w:t>
            </w:r>
            <w:r>
              <w:rPr>
                <w:rFonts w:ascii="Arial" w:cs="Arial" w:eastAsia="Arial" w:hAnsi="Arial"/>
                <w:sz w:val="20"/>
                <w:szCs w:val="20"/>
                <w:color w:val="242424"/>
              </w:rPr>
              <w:t>141.31 per month</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42424"/>
              </w:rPr>
              <w:t>Months 25-36: $28</w:t>
            </w:r>
            <w:r>
              <w:rPr>
                <w:rFonts w:ascii="Arial" w:cs="Arial" w:eastAsia="Arial" w:hAnsi="Arial"/>
                <w:sz w:val="20"/>
                <w:szCs w:val="20"/>
                <w:color w:val="3D3D3D"/>
              </w:rPr>
              <w:t>,</w:t>
            </w:r>
            <w:r>
              <w:rPr>
                <w:rFonts w:ascii="Arial" w:cs="Arial" w:eastAsia="Arial" w:hAnsi="Arial"/>
                <w:sz w:val="20"/>
                <w:szCs w:val="20"/>
                <w:color w:val="242424"/>
              </w:rPr>
              <w:t>985.55 per month</w:t>
            </w:r>
          </w:p>
        </w:tc>
      </w:tr>
      <w:tr>
        <w:trPr>
          <w:trHeight w:val="230"/>
        </w:trPr>
        <w:tc>
          <w:tcPr>
            <w:tcW w:w="4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42424"/>
              </w:rPr>
              <w:t>Months 37-48: $29,855.12 per month</w:t>
            </w:r>
          </w:p>
        </w:tc>
      </w:tr>
      <w:tr>
        <w:trPr>
          <w:trHeight w:val="250"/>
        </w:trPr>
        <w:tc>
          <w:tcPr>
            <w:tcW w:w="4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020" w:type="dxa"/>
            <w:vAlign w:val="bottom"/>
          </w:tcPr>
          <w:p>
            <w:pPr>
              <w:ind w:left="1400"/>
              <w:spacing w:after="0"/>
              <w:rPr>
                <w:sz w:val="20"/>
                <w:szCs w:val="20"/>
                <w:color w:val="auto"/>
              </w:rPr>
            </w:pPr>
            <w:r>
              <w:rPr>
                <w:rFonts w:ascii="Arial" w:cs="Arial" w:eastAsia="Arial" w:hAnsi="Arial"/>
                <w:sz w:val="20"/>
                <w:szCs w:val="20"/>
                <w:color w:val="242424"/>
              </w:rPr>
              <w:t>Months 49-60: $30</w:t>
            </w:r>
            <w:r>
              <w:rPr>
                <w:rFonts w:ascii="Arial" w:cs="Arial" w:eastAsia="Arial" w:hAnsi="Arial"/>
                <w:sz w:val="20"/>
                <w:szCs w:val="20"/>
                <w:color w:val="3D3D3D"/>
              </w:rPr>
              <w:t>,</w:t>
            </w:r>
            <w:r>
              <w:rPr>
                <w:rFonts w:ascii="Arial" w:cs="Arial" w:eastAsia="Arial" w:hAnsi="Arial"/>
                <w:sz w:val="20"/>
                <w:szCs w:val="20"/>
                <w:color w:val="242424"/>
              </w:rPr>
              <w:t>750.77 per month</w:t>
            </w:r>
          </w:p>
        </w:tc>
      </w:tr>
      <w:tr>
        <w:trPr>
          <w:trHeight w:val="882"/>
        </w:trPr>
        <w:tc>
          <w:tcPr>
            <w:tcW w:w="4420" w:type="dxa"/>
            <w:vAlign w:val="bottom"/>
            <w:gridSpan w:val="2"/>
          </w:tcPr>
          <w:p>
            <w:pPr>
              <w:spacing w:after="0"/>
              <w:rPr>
                <w:sz w:val="20"/>
                <w:szCs w:val="20"/>
                <w:color w:val="auto"/>
              </w:rPr>
            </w:pPr>
            <w:r>
              <w:rPr>
                <w:rFonts w:ascii="Arial" w:cs="Arial" w:eastAsia="Arial" w:hAnsi="Arial"/>
                <w:sz w:val="14"/>
                <w:szCs w:val="14"/>
                <w:color w:val="auto"/>
              </w:rPr>
              <w:t>09338.008 2450031v1</w:t>
            </w:r>
          </w:p>
        </w:tc>
        <w:tc>
          <w:tcPr>
            <w:tcW w:w="7020" w:type="dxa"/>
            <w:vAlign w:val="bottom"/>
          </w:tcPr>
          <w:p>
            <w:pPr>
              <w:ind w:left="1160"/>
              <w:spacing w:after="0"/>
              <w:rPr>
                <w:sz w:val="20"/>
                <w:szCs w:val="20"/>
                <w:color w:val="auto"/>
              </w:rPr>
            </w:pPr>
            <w:r>
              <w:rPr>
                <w:rFonts w:ascii="Arial" w:cs="Arial" w:eastAsia="Arial" w:hAnsi="Arial"/>
                <w:sz w:val="20"/>
                <w:szCs w:val="20"/>
                <w:color w:val="auto"/>
              </w:rPr>
              <w:t>1</w:t>
            </w:r>
          </w:p>
        </w:tc>
      </w:tr>
      <w:tr>
        <w:trPr>
          <w:trHeight w:val="182"/>
        </w:trPr>
        <w:tc>
          <w:tcPr>
            <w:tcW w:w="4420" w:type="dxa"/>
            <w:vAlign w:val="bottom"/>
            <w:gridSpan w:val="2"/>
          </w:tcPr>
          <w:p>
            <w:pPr>
              <w:spacing w:after="0"/>
              <w:rPr>
                <w:sz w:val="20"/>
                <w:szCs w:val="20"/>
                <w:color w:val="auto"/>
              </w:rPr>
            </w:pPr>
            <w:r>
              <w:rPr>
                <w:rFonts w:ascii="Arial" w:cs="Arial" w:eastAsia="Arial" w:hAnsi="Arial"/>
                <w:sz w:val="14"/>
                <w:szCs w:val="14"/>
                <w:color w:val="auto"/>
              </w:rPr>
              <w:t>ActiveUS 172034323v.3</w:t>
            </w:r>
          </w:p>
        </w:tc>
        <w:tc>
          <w:tcPr>
            <w:tcW w:w="7020" w:type="dxa"/>
            <w:vAlign w:val="bottom"/>
          </w:tcPr>
          <w:p>
            <w:pPr>
              <w:spacing w:after="0"/>
              <w:rPr>
                <w:sz w:val="15"/>
                <w:szCs w:val="15"/>
                <w:color w:val="auto"/>
              </w:rPr>
            </w:pPr>
          </w:p>
        </w:tc>
      </w:tr>
      <w:tr>
        <w:trPr>
          <w:trHeight w:val="100"/>
        </w:trPr>
        <w:tc>
          <w:tcPr>
            <w:tcW w:w="48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7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29" w:name="page130"/>
    <w:bookmarkEnd w:id="129"/>
    <w:p>
      <w:pPr>
        <w:ind w:left="820"/>
        <w:spacing w:after="0"/>
        <w:tabs>
          <w:tab w:leader="none" w:pos="5800" w:val="left"/>
        </w:tabs>
        <w:rPr>
          <w:sz w:val="20"/>
          <w:szCs w:val="20"/>
          <w:color w:val="auto"/>
        </w:rPr>
      </w:pPr>
      <w:r>
        <w:rPr>
          <w:rFonts w:ascii="Arial" w:cs="Arial" w:eastAsia="Arial" w:hAnsi="Arial"/>
          <w:sz w:val="20"/>
          <w:szCs w:val="20"/>
          <w:b w:val="1"/>
          <w:bCs w:val="1"/>
          <w:color w:val="242424"/>
        </w:rPr>
        <w:t>BASIC ANNUAL RENT:</w:t>
      </w:r>
      <w:r>
        <w:rPr>
          <w:sz w:val="20"/>
          <w:szCs w:val="20"/>
          <w:color w:val="auto"/>
        </w:rPr>
        <w:tab/>
      </w:r>
      <w:r>
        <w:rPr>
          <w:rFonts w:ascii="Arial" w:cs="Arial" w:eastAsia="Arial" w:hAnsi="Arial"/>
          <w:sz w:val="18"/>
          <w:szCs w:val="18"/>
          <w:color w:val="242424"/>
        </w:rPr>
        <w:t>Months 1-12*: $327</w:t>
      </w:r>
      <w:r>
        <w:rPr>
          <w:rFonts w:ascii="Arial" w:cs="Arial" w:eastAsia="Arial" w:hAnsi="Arial"/>
          <w:sz w:val="18"/>
          <w:szCs w:val="18"/>
          <w:color w:val="3D3D3D"/>
        </w:rPr>
        <w:t>,</w:t>
      </w:r>
      <w:r>
        <w:rPr>
          <w:rFonts w:ascii="Arial" w:cs="Arial" w:eastAsia="Arial" w:hAnsi="Arial"/>
          <w:sz w:val="18"/>
          <w:szCs w:val="18"/>
          <w:color w:val="242424"/>
        </w:rPr>
        <w:t>860.00 per annual ($65.00 rsf)</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242424"/>
        </w:rPr>
        <w:t>Months 13-24: $337</w:t>
      </w:r>
      <w:r>
        <w:rPr>
          <w:rFonts w:ascii="Arial" w:cs="Arial" w:eastAsia="Arial" w:hAnsi="Arial"/>
          <w:sz w:val="18"/>
          <w:szCs w:val="18"/>
          <w:color w:val="3D3D3D"/>
        </w:rPr>
        <w:t>,</w:t>
      </w:r>
      <w:r>
        <w:rPr>
          <w:rFonts w:ascii="Arial" w:cs="Arial" w:eastAsia="Arial" w:hAnsi="Arial"/>
          <w:sz w:val="18"/>
          <w:szCs w:val="18"/>
          <w:color w:val="242424"/>
        </w:rPr>
        <w:t>695.80 per annual ($66.95 rsf)</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9"/>
          <w:szCs w:val="19"/>
          <w:color w:val="242424"/>
        </w:rPr>
        <w:t>Months 25-36: $347,826.67 per annual ($68.95</w:t>
      </w:r>
    </w:p>
    <w:p>
      <w:pPr>
        <w:spacing w:after="0" w:line="11" w:lineRule="exact"/>
        <w:rPr>
          <w:sz w:val="20"/>
          <w:szCs w:val="20"/>
          <w:color w:val="auto"/>
        </w:rPr>
      </w:pPr>
    </w:p>
    <w:p>
      <w:pPr>
        <w:ind w:left="5820"/>
        <w:spacing w:after="0"/>
        <w:rPr>
          <w:sz w:val="20"/>
          <w:szCs w:val="20"/>
          <w:color w:val="auto"/>
        </w:rPr>
      </w:pPr>
      <w:r>
        <w:rPr>
          <w:rFonts w:ascii="Arial" w:cs="Arial" w:eastAsia="Arial" w:hAnsi="Arial"/>
          <w:sz w:val="20"/>
          <w:szCs w:val="20"/>
          <w:color w:val="242424"/>
        </w:rPr>
        <w:t>rsf)</w:t>
      </w:r>
    </w:p>
    <w:p>
      <w:pPr>
        <w:ind w:left="5820"/>
        <w:spacing w:after="0"/>
        <w:rPr>
          <w:sz w:val="20"/>
          <w:szCs w:val="20"/>
          <w:color w:val="auto"/>
        </w:rPr>
      </w:pPr>
      <w:r>
        <w:rPr>
          <w:rFonts w:ascii="Arial" w:cs="Arial" w:eastAsia="Arial" w:hAnsi="Arial"/>
          <w:sz w:val="18"/>
          <w:szCs w:val="18"/>
          <w:color w:val="242424"/>
        </w:rPr>
        <w:t>Months 37-48</w:t>
      </w:r>
      <w:r>
        <w:rPr>
          <w:rFonts w:ascii="Arial" w:cs="Arial" w:eastAsia="Arial" w:hAnsi="Arial"/>
          <w:sz w:val="18"/>
          <w:szCs w:val="18"/>
          <w:color w:val="3D3D3D"/>
        </w:rPr>
        <w:t>:</w:t>
      </w:r>
      <w:r>
        <w:rPr>
          <w:rFonts w:ascii="Arial" w:cs="Arial" w:eastAsia="Arial" w:hAnsi="Arial"/>
          <w:sz w:val="18"/>
          <w:szCs w:val="18"/>
          <w:color w:val="242424"/>
        </w:rPr>
        <w:t xml:space="preserve"> $358</w:t>
      </w:r>
      <w:r>
        <w:rPr>
          <w:rFonts w:ascii="Arial" w:cs="Arial" w:eastAsia="Arial" w:hAnsi="Arial"/>
          <w:sz w:val="18"/>
          <w:szCs w:val="18"/>
          <w:color w:val="3D3D3D"/>
        </w:rPr>
        <w:t>,</w:t>
      </w:r>
      <w:r>
        <w:rPr>
          <w:rFonts w:ascii="Arial" w:cs="Arial" w:eastAsia="Arial" w:hAnsi="Arial"/>
          <w:sz w:val="18"/>
          <w:szCs w:val="18"/>
          <w:color w:val="242424"/>
        </w:rPr>
        <w:t>261.47 per annual ($71.02 rsf)</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242424"/>
        </w:rPr>
        <w:t>Months 49-60</w:t>
      </w:r>
      <w:r>
        <w:rPr>
          <w:rFonts w:ascii="Arial" w:cs="Arial" w:eastAsia="Arial" w:hAnsi="Arial"/>
          <w:sz w:val="18"/>
          <w:szCs w:val="18"/>
          <w:color w:val="3D3D3D"/>
        </w:rPr>
        <w:t>:</w:t>
      </w:r>
      <w:r>
        <w:rPr>
          <w:rFonts w:ascii="Arial" w:cs="Arial" w:eastAsia="Arial" w:hAnsi="Arial"/>
          <w:sz w:val="18"/>
          <w:szCs w:val="18"/>
          <w:color w:val="242424"/>
        </w:rPr>
        <w:t xml:space="preserve"> $369</w:t>
      </w:r>
      <w:r>
        <w:rPr>
          <w:rFonts w:ascii="Arial" w:cs="Arial" w:eastAsia="Arial" w:hAnsi="Arial"/>
          <w:sz w:val="18"/>
          <w:szCs w:val="18"/>
          <w:color w:val="3D3D3D"/>
        </w:rPr>
        <w:t>,</w:t>
      </w:r>
      <w:r>
        <w:rPr>
          <w:rFonts w:ascii="Arial" w:cs="Arial" w:eastAsia="Arial" w:hAnsi="Arial"/>
          <w:sz w:val="18"/>
          <w:szCs w:val="18"/>
          <w:color w:val="242424"/>
        </w:rPr>
        <w:t>009.31 per annual ($73.15 rsf)</w:t>
      </w:r>
    </w:p>
    <w:p>
      <w:pPr>
        <w:sectPr>
          <w:pgSz w:w="11900" w:h="16838" w:orient="portrait"/>
          <w:cols w:equalWidth="0" w:num="1">
            <w:col w:w="11400"/>
          </w:cols>
          <w:pgMar w:left="240" w:top="1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right="120" w:hanging="812"/>
        <w:spacing w:after="0" w:line="293" w:lineRule="auto"/>
        <w:tabs>
          <w:tab w:leader="none" w:pos="82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242424"/>
        </w:rPr>
        <w:t>TENANT’S PRO RATA SHARE: ADD’L RENT, TAXES, COMMON AREA MAINTENANCE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242424"/>
        </w:rPr>
        <w:t>*If the Commencement Date does not occur on the first day of the month</w:t>
      </w:r>
      <w:r>
        <w:rPr>
          <w:rFonts w:ascii="Arial" w:cs="Arial" w:eastAsia="Arial" w:hAnsi="Arial"/>
          <w:sz w:val="20"/>
          <w:szCs w:val="20"/>
          <w:color w:val="3D3D3D"/>
        </w:rPr>
        <w:t>,</w:t>
      </w:r>
      <w:r>
        <w:rPr>
          <w:rFonts w:ascii="Arial" w:cs="Arial" w:eastAsia="Arial" w:hAnsi="Arial"/>
          <w:sz w:val="20"/>
          <w:szCs w:val="20"/>
          <w:color w:val="242424"/>
        </w:rPr>
        <w:t xml:space="preserve"> month 12 shall be deemed to end on the last day of the month in which the first anniversary of the Commencement Date occurs, such that month 13 shall begin on the first day of the applicable month.</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42424"/>
        </w:rPr>
        <w:t>Taxes and Operating expenses relating to the entire building: 12.57%</w:t>
      </w:r>
    </w:p>
    <w:p>
      <w:pPr>
        <w:spacing w:after="0" w:line="62" w:lineRule="exact"/>
        <w:rPr>
          <w:sz w:val="20"/>
          <w:szCs w:val="20"/>
          <w:color w:val="auto"/>
        </w:rPr>
      </w:pPr>
    </w:p>
    <w:p>
      <w:pPr>
        <w:ind w:right="560"/>
        <w:spacing w:after="0" w:line="241" w:lineRule="auto"/>
        <w:rPr>
          <w:sz w:val="20"/>
          <w:szCs w:val="20"/>
          <w:color w:val="auto"/>
        </w:rPr>
      </w:pPr>
      <w:r>
        <w:rPr>
          <w:rFonts w:ascii="Arial" w:cs="Arial" w:eastAsia="Arial" w:hAnsi="Arial"/>
          <w:sz w:val="20"/>
          <w:szCs w:val="20"/>
          <w:color w:val="242424"/>
        </w:rPr>
        <w:t>Operating expenses relating to Office Tenants only: 13.78%. Base Year: Calendar Year 2019 grossed up to represent a 100% occupied building.</w:t>
      </w:r>
    </w:p>
    <w:p>
      <w:pPr>
        <w:spacing w:after="0" w:line="200" w:lineRule="exact"/>
        <w:rPr>
          <w:sz w:val="20"/>
          <w:szCs w:val="20"/>
          <w:color w:val="auto"/>
        </w:rPr>
      </w:pPr>
    </w:p>
    <w:p>
      <w:pPr>
        <w:sectPr>
          <w:pgSz w:w="11900" w:h="16838" w:orient="portrait"/>
          <w:cols w:equalWidth="0" w:num="2">
            <w:col w:w="5100" w:space="720"/>
            <w:col w:w="5580"/>
          </w:cols>
          <w:pgMar w:left="240" w:top="116" w:right="25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 w:type="dxa"/>
            <w:vAlign w:val="bottom"/>
          </w:tcPr>
          <w:p>
            <w:pPr>
              <w:jc w:val="right"/>
              <w:ind w:right="221"/>
              <w:spacing w:after="0"/>
              <w:rPr>
                <w:sz w:val="20"/>
                <w:szCs w:val="20"/>
                <w:color w:val="auto"/>
              </w:rPr>
            </w:pPr>
            <w:r>
              <w:rPr>
                <w:rFonts w:ascii="Arial" w:cs="Arial" w:eastAsia="Arial" w:hAnsi="Arial"/>
                <w:sz w:val="20"/>
                <w:szCs w:val="20"/>
                <w:b w:val="1"/>
                <w:bCs w:val="1"/>
                <w:color w:val="auto"/>
                <w:w w:val="83"/>
              </w:rPr>
              <w:t>7.</w:t>
            </w:r>
          </w:p>
        </w:tc>
        <w:tc>
          <w:tcPr>
            <w:tcW w:w="3600" w:type="dxa"/>
            <w:vAlign w:val="bottom"/>
          </w:tcPr>
          <w:p>
            <w:pPr>
              <w:ind w:left="340"/>
              <w:spacing w:after="0"/>
              <w:rPr>
                <w:sz w:val="20"/>
                <w:szCs w:val="20"/>
                <w:color w:val="auto"/>
              </w:rPr>
            </w:pPr>
            <w:r>
              <w:rPr>
                <w:rFonts w:ascii="Arial" w:cs="Arial" w:eastAsia="Arial" w:hAnsi="Arial"/>
                <w:sz w:val="20"/>
                <w:szCs w:val="20"/>
                <w:b w:val="1"/>
                <w:bCs w:val="1"/>
                <w:color w:val="242424"/>
              </w:rPr>
              <w:t>PREPAID RENT:</w:t>
            </w:r>
          </w:p>
        </w:tc>
        <w:tc>
          <w:tcPr>
            <w:tcW w:w="7220" w:type="dxa"/>
            <w:vAlign w:val="bottom"/>
          </w:tcPr>
          <w:p>
            <w:pPr>
              <w:ind w:left="1740"/>
              <w:spacing w:after="0"/>
              <w:rPr>
                <w:sz w:val="20"/>
                <w:szCs w:val="20"/>
                <w:color w:val="auto"/>
              </w:rPr>
            </w:pPr>
            <w:r>
              <w:rPr>
                <w:rFonts w:ascii="Arial" w:cs="Arial" w:eastAsia="Arial" w:hAnsi="Arial"/>
                <w:sz w:val="20"/>
                <w:szCs w:val="20"/>
                <w:color w:val="3D3D3D"/>
                <w:w w:val="91"/>
              </w:rPr>
              <w:t>Te</w:t>
            </w:r>
            <w:r>
              <w:rPr>
                <w:rFonts w:ascii="Arial" w:cs="Arial" w:eastAsia="Arial" w:hAnsi="Arial"/>
                <w:sz w:val="20"/>
                <w:szCs w:val="20"/>
                <w:color w:val="242424"/>
                <w:w w:val="91"/>
              </w:rPr>
              <w:t>n</w:t>
            </w:r>
            <w:r>
              <w:rPr>
                <w:rFonts w:ascii="Arial" w:cs="Arial" w:eastAsia="Arial" w:hAnsi="Arial"/>
                <w:sz w:val="20"/>
                <w:szCs w:val="20"/>
                <w:color w:val="3D3D3D"/>
                <w:w w:val="91"/>
              </w:rPr>
              <w:t>a</w:t>
            </w:r>
            <w:r>
              <w:rPr>
                <w:rFonts w:ascii="Arial" w:cs="Arial" w:eastAsia="Arial" w:hAnsi="Arial"/>
                <w:sz w:val="20"/>
                <w:szCs w:val="20"/>
                <w:color w:val="242424"/>
                <w:w w:val="91"/>
              </w:rPr>
              <w:t>nt will pay to L</w:t>
            </w:r>
            <w:r>
              <w:rPr>
                <w:rFonts w:ascii="Arial" w:cs="Arial" w:eastAsia="Arial" w:hAnsi="Arial"/>
                <w:sz w:val="20"/>
                <w:szCs w:val="20"/>
                <w:color w:val="3D3D3D"/>
                <w:w w:val="91"/>
              </w:rPr>
              <w:t>an</w:t>
            </w:r>
            <w:r>
              <w:rPr>
                <w:rFonts w:ascii="Arial" w:cs="Arial" w:eastAsia="Arial" w:hAnsi="Arial"/>
                <w:sz w:val="20"/>
                <w:szCs w:val="20"/>
                <w:color w:val="242424"/>
                <w:w w:val="91"/>
              </w:rPr>
              <w:t>dl</w:t>
            </w:r>
            <w:r>
              <w:rPr>
                <w:rFonts w:ascii="Arial" w:cs="Arial" w:eastAsia="Arial" w:hAnsi="Arial"/>
                <w:sz w:val="20"/>
                <w:szCs w:val="20"/>
                <w:color w:val="3D3D3D"/>
                <w:w w:val="91"/>
              </w:rPr>
              <w:t>o</w:t>
            </w:r>
            <w:r>
              <w:rPr>
                <w:rFonts w:ascii="Arial" w:cs="Arial" w:eastAsia="Arial" w:hAnsi="Arial"/>
                <w:sz w:val="20"/>
                <w:szCs w:val="20"/>
                <w:color w:val="242424"/>
                <w:w w:val="91"/>
              </w:rPr>
              <w:t>rd Pr</w:t>
            </w:r>
            <w:r>
              <w:rPr>
                <w:rFonts w:ascii="Arial" w:cs="Arial" w:eastAsia="Arial" w:hAnsi="Arial"/>
                <w:sz w:val="20"/>
                <w:szCs w:val="20"/>
                <w:color w:val="3D3D3D"/>
                <w:w w:val="91"/>
              </w:rPr>
              <w:t>e</w:t>
            </w:r>
            <w:r>
              <w:rPr>
                <w:rFonts w:ascii="Arial" w:cs="Arial" w:eastAsia="Arial" w:hAnsi="Arial"/>
                <w:sz w:val="20"/>
                <w:szCs w:val="20"/>
                <w:color w:val="242424"/>
                <w:w w:val="91"/>
              </w:rPr>
              <w:t>paid R</w:t>
            </w:r>
            <w:r>
              <w:rPr>
                <w:rFonts w:ascii="Arial" w:cs="Arial" w:eastAsia="Arial" w:hAnsi="Arial"/>
                <w:sz w:val="20"/>
                <w:szCs w:val="20"/>
                <w:color w:val="3D3D3D"/>
                <w:w w:val="91"/>
              </w:rPr>
              <w:t>ent eq</w:t>
            </w:r>
            <w:r>
              <w:rPr>
                <w:rFonts w:ascii="Arial" w:cs="Arial" w:eastAsia="Arial" w:hAnsi="Arial"/>
                <w:sz w:val="20"/>
                <w:szCs w:val="20"/>
                <w:color w:val="242424"/>
                <w:w w:val="91"/>
              </w:rPr>
              <w:t>ual to</w:t>
            </w:r>
            <w:r>
              <w:rPr>
                <w:rFonts w:ascii="Arial" w:cs="Arial" w:eastAsia="Arial" w:hAnsi="Arial"/>
                <w:sz w:val="20"/>
                <w:szCs w:val="20"/>
                <w:color w:val="3D3D3D"/>
                <w:w w:val="91"/>
              </w:rPr>
              <w:t xml:space="preserve"> t</w:t>
            </w:r>
            <w:r>
              <w:rPr>
                <w:rFonts w:ascii="Arial" w:cs="Arial" w:eastAsia="Arial" w:hAnsi="Arial"/>
                <w:sz w:val="20"/>
                <w:szCs w:val="20"/>
                <w:color w:val="242424"/>
                <w:w w:val="91"/>
              </w:rPr>
              <w:t>h</w:t>
            </w:r>
            <w:r>
              <w:rPr>
                <w:rFonts w:ascii="Arial" w:cs="Arial" w:eastAsia="Arial" w:hAnsi="Arial"/>
                <w:sz w:val="20"/>
                <w:szCs w:val="20"/>
                <w:color w:val="3D3D3D"/>
                <w:w w:val="91"/>
              </w:rPr>
              <w:t xml:space="preserve">e </w:t>
            </w:r>
            <w:r>
              <w:rPr>
                <w:rFonts w:ascii="Arial" w:cs="Arial" w:eastAsia="Arial" w:hAnsi="Arial"/>
                <w:sz w:val="20"/>
                <w:szCs w:val="20"/>
                <w:color w:val="242424"/>
                <w:w w:val="91"/>
              </w:rPr>
              <w:t>Sixti</w:t>
            </w:r>
            <w:r>
              <w:rPr>
                <w:rFonts w:ascii="Arial" w:cs="Arial" w:eastAsia="Arial" w:hAnsi="Arial"/>
                <w:sz w:val="20"/>
                <w:szCs w:val="20"/>
                <w:color w:val="3D3D3D"/>
                <w:w w:val="91"/>
              </w:rPr>
              <w:t>e</w:t>
            </w:r>
            <w:r>
              <w:rPr>
                <w:rFonts w:ascii="Arial" w:cs="Arial" w:eastAsia="Arial" w:hAnsi="Arial"/>
                <w:sz w:val="20"/>
                <w:szCs w:val="20"/>
                <w:color w:val="242424"/>
                <w:w w:val="91"/>
              </w:rPr>
              <w:t>th (60</w:t>
            </w:r>
            <w:r>
              <w:rPr>
                <w:rFonts w:ascii="Arial" w:cs="Arial" w:eastAsia="Arial" w:hAnsi="Arial"/>
                <w:sz w:val="16"/>
                <w:szCs w:val="16"/>
                <w:color w:val="242424"/>
                <w:w w:val="91"/>
              </w:rPr>
              <w:t>th</w:t>
            </w:r>
            <w:r>
              <w:rPr>
                <w:rFonts w:ascii="Arial" w:cs="Arial" w:eastAsia="Arial" w:hAnsi="Arial"/>
                <w:sz w:val="20"/>
                <w:szCs w:val="20"/>
                <w:color w:val="242424"/>
                <w:w w:val="91"/>
              </w:rPr>
              <w:t>)</w:t>
            </w:r>
          </w:p>
        </w:tc>
      </w:tr>
      <w:tr>
        <w:trPr>
          <w:trHeight w:val="250"/>
        </w:trPr>
        <w:tc>
          <w:tcPr>
            <w:tcW w:w="4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7220" w:type="dxa"/>
            <w:vAlign w:val="bottom"/>
          </w:tcPr>
          <w:p>
            <w:pPr>
              <w:ind w:left="1740"/>
              <w:spacing w:after="0"/>
              <w:rPr>
                <w:sz w:val="20"/>
                <w:szCs w:val="20"/>
                <w:color w:val="auto"/>
              </w:rPr>
            </w:pPr>
            <w:r>
              <w:rPr>
                <w:rFonts w:ascii="Arial" w:cs="Arial" w:eastAsia="Arial" w:hAnsi="Arial"/>
                <w:sz w:val="20"/>
                <w:szCs w:val="20"/>
                <w:color w:val="242424"/>
              </w:rPr>
              <w:t>m</w:t>
            </w:r>
            <w:r>
              <w:rPr>
                <w:rFonts w:ascii="Arial" w:cs="Arial" w:eastAsia="Arial" w:hAnsi="Arial"/>
                <w:sz w:val="20"/>
                <w:szCs w:val="20"/>
                <w:color w:val="3D3D3D"/>
              </w:rPr>
              <w:t>o</w:t>
            </w:r>
            <w:r>
              <w:rPr>
                <w:rFonts w:ascii="Arial" w:cs="Arial" w:eastAsia="Arial" w:hAnsi="Arial"/>
                <w:sz w:val="20"/>
                <w:szCs w:val="20"/>
                <w:color w:val="242424"/>
              </w:rPr>
              <w:t>nth’s B</w:t>
            </w:r>
            <w:r>
              <w:rPr>
                <w:rFonts w:ascii="Arial" w:cs="Arial" w:eastAsia="Arial" w:hAnsi="Arial"/>
                <w:sz w:val="20"/>
                <w:szCs w:val="20"/>
                <w:color w:val="3D3D3D"/>
              </w:rPr>
              <w:t>as</w:t>
            </w:r>
            <w:r>
              <w:rPr>
                <w:rFonts w:ascii="Arial" w:cs="Arial" w:eastAsia="Arial" w:hAnsi="Arial"/>
                <w:sz w:val="20"/>
                <w:szCs w:val="20"/>
                <w:color w:val="242424"/>
              </w:rPr>
              <w:t xml:space="preserve">ic </w:t>
            </w:r>
            <w:r>
              <w:rPr>
                <w:rFonts w:ascii="Arial" w:cs="Arial" w:eastAsia="Arial" w:hAnsi="Arial"/>
                <w:sz w:val="20"/>
                <w:szCs w:val="20"/>
                <w:color w:val="3D3D3D"/>
              </w:rPr>
              <w:t>M</w:t>
            </w:r>
            <w:r>
              <w:rPr>
                <w:rFonts w:ascii="Arial" w:cs="Arial" w:eastAsia="Arial" w:hAnsi="Arial"/>
                <w:sz w:val="20"/>
                <w:szCs w:val="20"/>
                <w:color w:val="242424"/>
              </w:rPr>
              <w:t>onthl</w:t>
            </w:r>
            <w:r>
              <w:rPr>
                <w:rFonts w:ascii="Arial" w:cs="Arial" w:eastAsia="Arial" w:hAnsi="Arial"/>
                <w:sz w:val="20"/>
                <w:szCs w:val="20"/>
                <w:color w:val="3D3D3D"/>
              </w:rPr>
              <w:t>y</w:t>
            </w:r>
            <w:r>
              <w:rPr>
                <w:rFonts w:ascii="Arial" w:cs="Arial" w:eastAsia="Arial" w:hAnsi="Arial"/>
                <w:sz w:val="20"/>
                <w:szCs w:val="20"/>
                <w:color w:val="242424"/>
              </w:rPr>
              <w:t xml:space="preserve"> Rent: $30,750.77 in the form of Cash.</w:t>
            </w:r>
          </w:p>
        </w:tc>
      </w:tr>
      <w:tr>
        <w:trPr>
          <w:trHeight w:val="438"/>
        </w:trPr>
        <w:tc>
          <w:tcPr>
            <w:tcW w:w="480" w:type="dxa"/>
            <w:vAlign w:val="bottom"/>
          </w:tcPr>
          <w:p>
            <w:pPr>
              <w:jc w:val="right"/>
              <w:ind w:right="221"/>
              <w:spacing w:after="0"/>
              <w:rPr>
                <w:sz w:val="20"/>
                <w:szCs w:val="20"/>
                <w:color w:val="auto"/>
              </w:rPr>
            </w:pPr>
            <w:r>
              <w:rPr>
                <w:rFonts w:ascii="Arial" w:cs="Arial" w:eastAsia="Arial" w:hAnsi="Arial"/>
                <w:sz w:val="20"/>
                <w:szCs w:val="20"/>
                <w:b w:val="1"/>
                <w:bCs w:val="1"/>
                <w:color w:val="auto"/>
                <w:w w:val="83"/>
              </w:rPr>
              <w:t>8.</w:t>
            </w:r>
          </w:p>
        </w:tc>
        <w:tc>
          <w:tcPr>
            <w:tcW w:w="3600" w:type="dxa"/>
            <w:vAlign w:val="bottom"/>
          </w:tcPr>
          <w:p>
            <w:pPr>
              <w:ind w:left="340"/>
              <w:spacing w:after="0"/>
              <w:rPr>
                <w:sz w:val="20"/>
                <w:szCs w:val="20"/>
                <w:color w:val="auto"/>
              </w:rPr>
            </w:pPr>
            <w:r>
              <w:rPr>
                <w:rFonts w:ascii="Arial" w:cs="Arial" w:eastAsia="Arial" w:hAnsi="Arial"/>
                <w:sz w:val="20"/>
                <w:szCs w:val="20"/>
                <w:b w:val="1"/>
                <w:bCs w:val="1"/>
                <w:color w:val="242424"/>
              </w:rPr>
              <w:t>BROKERS:</w:t>
            </w:r>
          </w:p>
        </w:tc>
        <w:tc>
          <w:tcPr>
            <w:tcW w:w="7220" w:type="dxa"/>
            <w:vAlign w:val="bottom"/>
          </w:tcPr>
          <w:p>
            <w:pPr>
              <w:ind w:left="1740"/>
              <w:spacing w:after="0"/>
              <w:rPr>
                <w:sz w:val="20"/>
                <w:szCs w:val="20"/>
                <w:color w:val="auto"/>
              </w:rPr>
            </w:pPr>
            <w:r>
              <w:rPr>
                <w:rFonts w:ascii="Arial" w:cs="Arial" w:eastAsia="Arial" w:hAnsi="Arial"/>
                <w:sz w:val="20"/>
                <w:szCs w:val="20"/>
                <w:color w:val="242424"/>
                <w:w w:val="89"/>
              </w:rPr>
              <w:t>The parties acknowledge that T3 Advisors is representing the Tenant</w:t>
            </w:r>
          </w:p>
        </w:tc>
      </w:tr>
      <w:tr>
        <w:trPr>
          <w:trHeight w:val="246"/>
        </w:trPr>
        <w:tc>
          <w:tcPr>
            <w:tcW w:w="4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7220" w:type="dxa"/>
            <w:vAlign w:val="bottom"/>
          </w:tcPr>
          <w:p>
            <w:pPr>
              <w:ind w:left="1740"/>
              <w:spacing w:after="0"/>
              <w:rPr>
                <w:sz w:val="20"/>
                <w:szCs w:val="20"/>
                <w:color w:val="auto"/>
              </w:rPr>
            </w:pPr>
            <w:r>
              <w:rPr>
                <w:rFonts w:ascii="Arial" w:cs="Arial" w:eastAsia="Arial" w:hAnsi="Arial"/>
                <w:sz w:val="20"/>
                <w:szCs w:val="20"/>
                <w:color w:val="242424"/>
                <w:w w:val="91"/>
              </w:rPr>
              <w:t>in this transaction and Transwestern is representing Landlord in this</w:t>
            </w:r>
          </w:p>
        </w:tc>
      </w:tr>
    </w:tbl>
    <w:p>
      <w:pPr>
        <w:ind w:left="5820"/>
        <w:spacing w:after="0"/>
        <w:rPr>
          <w:sz w:val="20"/>
          <w:szCs w:val="20"/>
          <w:color w:val="auto"/>
        </w:rPr>
      </w:pPr>
      <w:r>
        <w:rPr>
          <w:rFonts w:ascii="Arial" w:cs="Arial" w:eastAsia="Arial" w:hAnsi="Arial"/>
          <w:sz w:val="20"/>
          <w:szCs w:val="20"/>
          <w:color w:val="242424"/>
        </w:rPr>
        <w:t>transaction. In the event of a lease between the parties being</w:t>
      </w:r>
    </w:p>
    <w:p>
      <w:pPr>
        <w:ind w:left="5820"/>
        <w:spacing w:after="0"/>
        <w:rPr>
          <w:sz w:val="20"/>
          <w:szCs w:val="20"/>
          <w:color w:val="auto"/>
        </w:rPr>
      </w:pPr>
      <w:r>
        <w:rPr>
          <w:rFonts w:ascii="Arial" w:cs="Arial" w:eastAsia="Arial" w:hAnsi="Arial"/>
          <w:sz w:val="18"/>
          <w:szCs w:val="18"/>
          <w:color w:val="242424"/>
        </w:rPr>
        <w:t>consummated, Landlord shall pay a brokerage commission equal to</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9"/>
          <w:szCs w:val="19"/>
          <w:color w:val="242424"/>
        </w:rPr>
        <w:t>Two Dollars ($2.00) per rentable square foot per year leased to T3</w:t>
      </w:r>
    </w:p>
    <w:p>
      <w:pPr>
        <w:spacing w:after="0" w:line="11" w:lineRule="exact"/>
        <w:rPr>
          <w:sz w:val="20"/>
          <w:szCs w:val="20"/>
          <w:color w:val="auto"/>
        </w:rPr>
      </w:pPr>
    </w:p>
    <w:p>
      <w:pPr>
        <w:ind w:left="5820"/>
        <w:spacing w:after="0"/>
        <w:rPr>
          <w:sz w:val="20"/>
          <w:szCs w:val="20"/>
          <w:color w:val="auto"/>
        </w:rPr>
      </w:pPr>
      <w:r>
        <w:rPr>
          <w:rFonts w:ascii="Arial" w:cs="Arial" w:eastAsia="Arial" w:hAnsi="Arial"/>
          <w:sz w:val="18"/>
          <w:szCs w:val="18"/>
          <w:color w:val="242424"/>
        </w:rPr>
        <w:t>Advisors</w:t>
      </w:r>
      <w:r>
        <w:rPr>
          <w:rFonts w:ascii="Arial" w:cs="Arial" w:eastAsia="Arial" w:hAnsi="Arial"/>
          <w:sz w:val="18"/>
          <w:szCs w:val="18"/>
          <w:color w:val="3D3D3D"/>
        </w:rPr>
        <w:t>,</w:t>
      </w:r>
      <w:r>
        <w:rPr>
          <w:rFonts w:ascii="Arial" w:cs="Arial" w:eastAsia="Arial" w:hAnsi="Arial"/>
          <w:sz w:val="18"/>
          <w:szCs w:val="18"/>
          <w:color w:val="242424"/>
        </w:rPr>
        <w:t xml:space="preserve"> as well as the brokerage commission due to Transwestern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6"/>
          <w:szCs w:val="16"/>
          <w:color w:val="242424"/>
        </w:rPr>
        <w:t>pursuant to a separate agreement between Landlord and Transwestern.</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8"/>
          <w:szCs w:val="18"/>
          <w:color w:val="242424"/>
        </w:rPr>
        <w:t>Commission shall be due to each broker, 50% upon Lease execution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20"/>
          <w:szCs w:val="20"/>
          <w:color w:val="242424"/>
        </w:rPr>
        <w:t>and 50% on the Commencement Date.</w:t>
      </w:r>
    </w:p>
    <w:p>
      <w:pPr>
        <w:sectPr>
          <w:pgSz w:w="11900" w:h="16838" w:orient="portrait"/>
          <w:cols w:equalWidth="0" w:num="1">
            <w:col w:w="11400"/>
          </w:cols>
          <w:pgMar w:left="240" w:top="116" w:right="259" w:bottom="1440" w:gutter="0" w:footer="0" w:header="0"/>
          <w:type w:val="continuous"/>
        </w:sectPr>
      </w:pPr>
    </w:p>
    <w:p>
      <w:pPr>
        <w:spacing w:after="0" w:line="207"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242424"/>
        </w:rPr>
        <w:t>PERMITTED USES:</w:t>
      </w:r>
    </w:p>
    <w:p>
      <w:pPr>
        <w:spacing w:after="0" w:line="229" w:lineRule="exact"/>
        <w:rPr>
          <w:rFonts w:ascii="Arial" w:cs="Arial" w:eastAsia="Arial" w:hAnsi="Arial"/>
          <w:sz w:val="20"/>
          <w:szCs w:val="20"/>
          <w:b w:val="1"/>
          <w:bCs w:val="1"/>
          <w:color w:val="auto"/>
        </w:rPr>
      </w:pPr>
    </w:p>
    <w:p>
      <w:pPr>
        <w:ind w:left="820" w:hanging="812"/>
        <w:spacing w:after="0"/>
        <w:tabs>
          <w:tab w:leader="none" w:pos="820"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242424"/>
        </w:rPr>
        <w:t>ACCESS/SECURITY: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09338.008 2450031v1</w:t>
      </w: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20"/>
          <w:szCs w:val="20"/>
          <w:color w:val="242424"/>
        </w:rPr>
        <w:t>Office, administration and any related storage uses.</w:t>
      </w:r>
    </w:p>
    <w:p>
      <w:pPr>
        <w:spacing w:after="0" w:line="229" w:lineRule="exact"/>
        <w:rPr>
          <w:sz w:val="20"/>
          <w:szCs w:val="20"/>
          <w:color w:val="auto"/>
        </w:rPr>
      </w:pPr>
    </w:p>
    <w:p>
      <w:pPr>
        <w:jc w:val="both"/>
        <w:ind w:left="240" w:right="220"/>
        <w:spacing w:after="0" w:line="246" w:lineRule="auto"/>
        <w:rPr>
          <w:sz w:val="20"/>
          <w:szCs w:val="20"/>
          <w:color w:val="auto"/>
        </w:rPr>
      </w:pPr>
      <w:r>
        <w:rPr>
          <w:rFonts w:ascii="Arial" w:cs="Arial" w:eastAsia="Arial" w:hAnsi="Arial"/>
          <w:sz w:val="20"/>
          <w:szCs w:val="20"/>
          <w:color w:val="242424"/>
        </w:rPr>
        <w:t>Tenant’s specified personnel will have 24-hour per day, 7 days per week, 52 weeks per year access to its premises in the building with key/card access and electric services being provided by Landlord at all times.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160655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860" w:space="720"/>
            <w:col w:w="5820"/>
          </w:cols>
          <w:pgMar w:left="240" w:top="116" w:right="25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20"/>
                <w:szCs w:val="20"/>
                <w:b w:val="1"/>
                <w:bCs w:val="1"/>
                <w:color w:val="auto"/>
              </w:rPr>
              <w:t>11.</w:t>
            </w:r>
          </w:p>
        </w:tc>
        <w:tc>
          <w:tcPr>
            <w:tcW w:w="4280" w:type="dxa"/>
            <w:vAlign w:val="bottom"/>
          </w:tcPr>
          <w:p>
            <w:pPr>
              <w:ind w:left="280"/>
              <w:spacing w:after="0"/>
              <w:rPr>
                <w:sz w:val="20"/>
                <w:szCs w:val="20"/>
                <w:color w:val="auto"/>
              </w:rPr>
            </w:pPr>
            <w:r>
              <w:rPr>
                <w:rFonts w:ascii="Arial" w:cs="Arial" w:eastAsia="Arial" w:hAnsi="Arial"/>
                <w:sz w:val="20"/>
                <w:szCs w:val="20"/>
                <w:b w:val="1"/>
                <w:bCs w:val="1"/>
                <w:color w:val="242424"/>
              </w:rPr>
              <w:t>TENANT IMPROVEMENTS:</w:t>
            </w:r>
          </w:p>
        </w:tc>
        <w:tc>
          <w:tcPr>
            <w:tcW w:w="6600" w:type="dxa"/>
            <w:vAlign w:val="bottom"/>
          </w:tcPr>
          <w:p>
            <w:pPr>
              <w:ind w:left="1000"/>
              <w:spacing w:after="0"/>
              <w:rPr>
                <w:sz w:val="20"/>
                <w:szCs w:val="20"/>
                <w:color w:val="auto"/>
              </w:rPr>
            </w:pPr>
            <w:r>
              <w:rPr>
                <w:rFonts w:ascii="Arial" w:cs="Arial" w:eastAsia="Arial" w:hAnsi="Arial"/>
                <w:sz w:val="20"/>
                <w:szCs w:val="20"/>
                <w:color w:val="242424"/>
                <w:w w:val="95"/>
              </w:rPr>
              <w:t>Except as otherwise provided in this Lease, the Premises shall be</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7"/>
              </w:rPr>
              <w:t>delivered in its “As Is” condition with the following improvements.</w:t>
            </w:r>
          </w:p>
        </w:tc>
      </w:tr>
      <w:tr>
        <w:trPr>
          <w:trHeight w:val="250"/>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rPr>
              <w:t>Landlord, at Landlord’s sole cost and expense, shall provide:</w:t>
            </w:r>
          </w:p>
        </w:tc>
      </w:tr>
      <w:tr>
        <w:trPr>
          <w:trHeight w:val="438"/>
        </w:trPr>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0" w:type="dxa"/>
            <w:vAlign w:val="bottom"/>
          </w:tcPr>
          <w:p>
            <w:pPr>
              <w:ind w:left="1340"/>
              <w:spacing w:after="0"/>
              <w:rPr>
                <w:sz w:val="20"/>
                <w:szCs w:val="20"/>
                <w:color w:val="auto"/>
              </w:rPr>
            </w:pPr>
            <w:r>
              <w:rPr>
                <w:rFonts w:ascii="Arial" w:cs="Arial" w:eastAsia="Arial" w:hAnsi="Arial"/>
                <w:sz w:val="20"/>
                <w:szCs w:val="20"/>
                <w:color w:val="242424"/>
                <w:w w:val="90"/>
              </w:rPr>
              <w:t>1.  New mutually agreed upon paint throughout the Premises with</w:t>
            </w:r>
          </w:p>
        </w:tc>
      </w:tr>
      <w:tr>
        <w:trPr>
          <w:trHeight w:val="250"/>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660"/>
              <w:spacing w:after="0"/>
              <w:rPr>
                <w:sz w:val="20"/>
                <w:szCs w:val="20"/>
                <w:color w:val="auto"/>
              </w:rPr>
            </w:pPr>
            <w:r>
              <w:rPr>
                <w:rFonts w:ascii="Arial" w:cs="Arial" w:eastAsia="Arial" w:hAnsi="Arial"/>
                <w:sz w:val="20"/>
                <w:szCs w:val="20"/>
                <w:color w:val="242424"/>
              </w:rPr>
              <w:t>up to two (2) accent colors.</w:t>
            </w:r>
          </w:p>
        </w:tc>
      </w:tr>
      <w:tr>
        <w:trPr>
          <w:trHeight w:val="438"/>
        </w:trPr>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0" w:type="dxa"/>
            <w:vAlign w:val="bottom"/>
          </w:tcPr>
          <w:p>
            <w:pPr>
              <w:ind w:left="1340"/>
              <w:spacing w:after="0"/>
              <w:rPr>
                <w:sz w:val="20"/>
                <w:szCs w:val="20"/>
                <w:color w:val="auto"/>
              </w:rPr>
            </w:pPr>
            <w:r>
              <w:rPr>
                <w:rFonts w:ascii="Arial" w:cs="Arial" w:eastAsia="Arial" w:hAnsi="Arial"/>
                <w:sz w:val="20"/>
                <w:szCs w:val="20"/>
                <w:color w:val="242424"/>
                <w:w w:val="97"/>
              </w:rPr>
              <w:t>2.  Installation of building standard carpet of mutually agreed</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660"/>
              <w:spacing w:after="0"/>
              <w:rPr>
                <w:sz w:val="20"/>
                <w:szCs w:val="20"/>
                <w:color w:val="auto"/>
              </w:rPr>
            </w:pPr>
            <w:r>
              <w:rPr>
                <w:rFonts w:ascii="Arial" w:cs="Arial" w:eastAsia="Arial" w:hAnsi="Arial"/>
                <w:sz w:val="20"/>
                <w:szCs w:val="20"/>
                <w:color w:val="242424"/>
              </w:rPr>
              <w:t>upon color/tone (collectively, the “Tenant Improvement</w:t>
            </w:r>
          </w:p>
        </w:tc>
      </w:tr>
      <w:tr>
        <w:trPr>
          <w:trHeight w:val="250"/>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660"/>
              <w:spacing w:after="0"/>
              <w:rPr>
                <w:sz w:val="20"/>
                <w:szCs w:val="20"/>
                <w:color w:val="auto"/>
              </w:rPr>
            </w:pPr>
            <w:r>
              <w:rPr>
                <w:rFonts w:ascii="Arial" w:cs="Arial" w:eastAsia="Arial" w:hAnsi="Arial"/>
                <w:sz w:val="20"/>
                <w:szCs w:val="20"/>
                <w:color w:val="242424"/>
              </w:rPr>
              <w:t>Work”).</w:t>
            </w:r>
          </w:p>
        </w:tc>
      </w:tr>
      <w:tr>
        <w:trPr>
          <w:trHeight w:val="438"/>
        </w:trPr>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0"/>
              </w:rPr>
              <w:t>Landlord and Tenant acknowledge and agree that they have mutually</w:t>
            </w:r>
          </w:p>
        </w:tc>
      </w:tr>
      <w:tr>
        <w:trPr>
          <w:trHeight w:val="250"/>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9"/>
              </w:rPr>
              <w:t>agreed on such paint and carpet colors prior to the date hereof.</w:t>
            </w:r>
          </w:p>
        </w:tc>
      </w:tr>
      <w:tr>
        <w:trPr>
          <w:trHeight w:val="438"/>
        </w:trPr>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4"/>
              </w:rPr>
              <w:t>Landlord shall be responsible for the compliance and good working</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89"/>
              </w:rPr>
              <w:t>order of all underlying building systems and improvements</w:t>
            </w:r>
            <w:r>
              <w:rPr>
                <w:rFonts w:ascii="Arial" w:cs="Arial" w:eastAsia="Arial" w:hAnsi="Arial"/>
                <w:sz w:val="20"/>
                <w:szCs w:val="20"/>
                <w:color w:val="3F3F3F"/>
                <w:w w:val="89"/>
              </w:rPr>
              <w:t>,</w:t>
            </w:r>
            <w:r>
              <w:rPr>
                <w:rFonts w:ascii="Arial" w:cs="Arial" w:eastAsia="Arial" w:hAnsi="Arial"/>
                <w:sz w:val="20"/>
                <w:szCs w:val="20"/>
                <w:color w:val="242424"/>
                <w:w w:val="89"/>
              </w:rPr>
              <w:t xml:space="preserve"> and on the</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4"/>
              </w:rPr>
              <w:t>Commencement Date, the Premises shall be in compliance with all</w:t>
            </w:r>
          </w:p>
        </w:tc>
      </w:tr>
      <w:tr>
        <w:trPr>
          <w:trHeight w:val="250"/>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rPr>
              <w:t>applicable laws.</w:t>
            </w:r>
          </w:p>
        </w:tc>
      </w:tr>
      <w:tr>
        <w:trPr>
          <w:trHeight w:val="438"/>
        </w:trPr>
        <w:tc>
          <w:tcPr>
            <w:tcW w:w="540" w:type="dxa"/>
            <w:vAlign w:val="bottom"/>
          </w:tcPr>
          <w:p>
            <w:pPr>
              <w:spacing w:after="0"/>
              <w:rPr>
                <w:sz w:val="24"/>
                <w:szCs w:val="24"/>
                <w:color w:val="auto"/>
              </w:rPr>
            </w:pPr>
          </w:p>
        </w:tc>
        <w:tc>
          <w:tcPr>
            <w:tcW w:w="4280" w:type="dxa"/>
            <w:vAlign w:val="bottom"/>
          </w:tcPr>
          <w:p>
            <w:pPr>
              <w:ind w:left="280"/>
              <w:spacing w:after="0"/>
              <w:rPr>
                <w:sz w:val="20"/>
                <w:szCs w:val="20"/>
                <w:color w:val="auto"/>
              </w:rPr>
            </w:pPr>
            <w:r>
              <w:rPr>
                <w:rFonts w:ascii="Arial" w:cs="Arial" w:eastAsia="Arial" w:hAnsi="Arial"/>
                <w:sz w:val="20"/>
                <w:szCs w:val="20"/>
                <w:b w:val="1"/>
                <w:bCs w:val="1"/>
                <w:color w:val="242424"/>
              </w:rPr>
              <w:t>Cosmetic Alterations:</w:t>
            </w:r>
          </w:p>
        </w:tc>
        <w:tc>
          <w:tcPr>
            <w:tcW w:w="6600" w:type="dxa"/>
            <w:vAlign w:val="bottom"/>
          </w:tcPr>
          <w:p>
            <w:pPr>
              <w:ind w:left="1000"/>
              <w:spacing w:after="0"/>
              <w:rPr>
                <w:sz w:val="20"/>
                <w:szCs w:val="20"/>
                <w:color w:val="auto"/>
              </w:rPr>
            </w:pPr>
            <w:r>
              <w:rPr>
                <w:rFonts w:ascii="Arial" w:cs="Arial" w:eastAsia="Arial" w:hAnsi="Arial"/>
                <w:sz w:val="20"/>
                <w:szCs w:val="20"/>
                <w:color w:val="242424"/>
                <w:w w:val="98"/>
              </w:rPr>
              <w:t>Tenant shall have the right to paint and recarpet and make non-</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4"/>
              </w:rPr>
              <w:t>structural cosmetic alterations up to $25,000.00 per project without</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0"/>
              </w:rPr>
              <w:t>Landlord consent and without payment of a construction management</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1"/>
              </w:rPr>
              <w:t>fee to Landlord. Tenant must still provide Landlord appropriate notice</w:t>
            </w:r>
          </w:p>
        </w:tc>
      </w:tr>
      <w:tr>
        <w:trPr>
          <w:trHeight w:val="230"/>
        </w:trPr>
        <w:tc>
          <w:tcPr>
            <w:tcW w:w="5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4"/>
              </w:rPr>
              <w:t>of work and comply with building procedures and as-built drawings</w:t>
            </w:r>
          </w:p>
        </w:tc>
      </w:tr>
      <w:tr>
        <w:trPr>
          <w:trHeight w:val="250"/>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rPr>
              <w:t>on completion, as further set forth in Article 9 hereof.</w:t>
            </w:r>
          </w:p>
        </w:tc>
      </w:tr>
      <w:tr>
        <w:trPr>
          <w:trHeight w:val="438"/>
        </w:trPr>
        <w:tc>
          <w:tcPr>
            <w:tcW w:w="540" w:type="dxa"/>
            <w:vAlign w:val="bottom"/>
          </w:tcPr>
          <w:p>
            <w:pPr>
              <w:spacing w:after="0"/>
              <w:rPr>
                <w:sz w:val="20"/>
                <w:szCs w:val="20"/>
                <w:color w:val="auto"/>
              </w:rPr>
            </w:pPr>
            <w:r>
              <w:rPr>
                <w:rFonts w:ascii="Arial" w:cs="Arial" w:eastAsia="Arial" w:hAnsi="Arial"/>
                <w:sz w:val="20"/>
                <w:szCs w:val="20"/>
                <w:b w:val="1"/>
                <w:bCs w:val="1"/>
                <w:color w:val="auto"/>
              </w:rPr>
              <w:t>12.</w:t>
            </w:r>
          </w:p>
        </w:tc>
        <w:tc>
          <w:tcPr>
            <w:tcW w:w="4280" w:type="dxa"/>
            <w:vAlign w:val="bottom"/>
          </w:tcPr>
          <w:p>
            <w:pPr>
              <w:ind w:left="280"/>
              <w:spacing w:after="0"/>
              <w:rPr>
                <w:sz w:val="20"/>
                <w:szCs w:val="20"/>
                <w:color w:val="auto"/>
              </w:rPr>
            </w:pPr>
            <w:r>
              <w:rPr>
                <w:rFonts w:ascii="Arial" w:cs="Arial" w:eastAsia="Arial" w:hAnsi="Arial"/>
                <w:sz w:val="20"/>
                <w:szCs w:val="20"/>
                <w:b w:val="1"/>
                <w:bCs w:val="1"/>
                <w:color w:val="242424"/>
              </w:rPr>
              <w:t>LANDLORD RESPONSIBIILITY:</w:t>
            </w:r>
          </w:p>
        </w:tc>
        <w:tc>
          <w:tcPr>
            <w:tcW w:w="6600" w:type="dxa"/>
            <w:vAlign w:val="bottom"/>
          </w:tcPr>
          <w:p>
            <w:pPr>
              <w:ind w:left="1000"/>
              <w:spacing w:after="0"/>
              <w:rPr>
                <w:sz w:val="20"/>
                <w:szCs w:val="20"/>
                <w:color w:val="auto"/>
              </w:rPr>
            </w:pPr>
            <w:r>
              <w:rPr>
                <w:rFonts w:ascii="Arial" w:cs="Arial" w:eastAsia="Arial" w:hAnsi="Arial"/>
                <w:sz w:val="20"/>
                <w:szCs w:val="20"/>
                <w:color w:val="242424"/>
              </w:rPr>
              <w:t>Landlord will be responsible for all path of travel and ADA</w:t>
            </w:r>
          </w:p>
        </w:tc>
      </w:tr>
      <w:tr>
        <w:trPr>
          <w:trHeight w:val="246"/>
        </w:trPr>
        <w:tc>
          <w:tcPr>
            <w:tcW w:w="5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0" w:type="dxa"/>
            <w:vAlign w:val="bottom"/>
          </w:tcPr>
          <w:p>
            <w:pPr>
              <w:ind w:left="1000"/>
              <w:spacing w:after="0"/>
              <w:rPr>
                <w:sz w:val="20"/>
                <w:szCs w:val="20"/>
                <w:color w:val="auto"/>
              </w:rPr>
            </w:pPr>
            <w:r>
              <w:rPr>
                <w:rFonts w:ascii="Arial" w:cs="Arial" w:eastAsia="Arial" w:hAnsi="Arial"/>
                <w:sz w:val="20"/>
                <w:szCs w:val="20"/>
                <w:color w:val="242424"/>
                <w:w w:val="93"/>
              </w:rPr>
              <w:t>compliance outside the Premises. Landlord shall be responsible for</w:t>
            </w:r>
          </w:p>
        </w:tc>
      </w:tr>
    </w:tbl>
    <w:p>
      <w:pPr>
        <w:ind w:left="5820"/>
        <w:spacing w:after="0"/>
        <w:rPr>
          <w:sz w:val="20"/>
          <w:szCs w:val="20"/>
          <w:color w:val="auto"/>
        </w:rPr>
      </w:pPr>
      <w:r>
        <w:rPr>
          <w:rFonts w:ascii="Arial" w:cs="Arial" w:eastAsia="Arial" w:hAnsi="Arial"/>
          <w:sz w:val="20"/>
          <w:szCs w:val="20"/>
          <w:color w:val="242424"/>
        </w:rPr>
        <w:t>any and all costs incurred in keeping with Title 24 compliance</w:t>
      </w:r>
    </w:p>
    <w:p>
      <w:pPr>
        <w:ind w:left="5820"/>
        <w:spacing w:after="0"/>
        <w:rPr>
          <w:sz w:val="20"/>
          <w:szCs w:val="20"/>
          <w:color w:val="auto"/>
        </w:rPr>
      </w:pPr>
      <w:r>
        <w:rPr>
          <w:rFonts w:ascii="Arial" w:cs="Arial" w:eastAsia="Arial" w:hAnsi="Arial"/>
          <w:sz w:val="20"/>
          <w:szCs w:val="20"/>
          <w:color w:val="242424"/>
        </w:rPr>
        <w:t>throughout the Tenant improvement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3</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31" w:name="page132"/>
    <w:bookmarkEnd w:id="131"/>
    <w:p>
      <w:pPr>
        <w:ind w:left="5200"/>
        <w:spacing w:after="0"/>
        <w:rPr>
          <w:sz w:val="20"/>
          <w:szCs w:val="20"/>
          <w:color w:val="auto"/>
        </w:rPr>
      </w:pPr>
      <w:r>
        <w:rPr>
          <w:rFonts w:ascii="Arial" w:cs="Arial" w:eastAsia="Arial" w:hAnsi="Arial"/>
          <w:sz w:val="20"/>
          <w:szCs w:val="20"/>
          <w:b w:val="1"/>
          <w:bCs w:val="1"/>
          <w:color w:val="262626"/>
        </w:rPr>
        <w:t>ARTICLE 1</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262626"/>
        </w:rPr>
        <w:t>PREMISES</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1.1</w:t>
      </w:r>
      <w:r>
        <w:rPr>
          <w:sz w:val="20"/>
          <w:szCs w:val="20"/>
          <w:color w:val="auto"/>
        </w:rPr>
        <w:tab/>
      </w:r>
      <w:r>
        <w:rPr>
          <w:rFonts w:ascii="Arial" w:cs="Arial" w:eastAsia="Arial" w:hAnsi="Arial"/>
          <w:sz w:val="16"/>
          <w:szCs w:val="16"/>
          <w:u w:val="single" w:color="auto"/>
          <w:color w:val="262626"/>
        </w:rPr>
        <w:t>Premises</w:t>
      </w:r>
    </w:p>
    <w:p>
      <w:pPr>
        <w:spacing w:after="0" w:line="189" w:lineRule="exact"/>
        <w:rPr>
          <w:sz w:val="20"/>
          <w:szCs w:val="20"/>
          <w:color w:val="auto"/>
        </w:rPr>
      </w:pPr>
    </w:p>
    <w:p>
      <w:pPr>
        <w:ind w:right="80" w:firstLine="877"/>
        <w:spacing w:after="0" w:line="282" w:lineRule="auto"/>
        <w:rPr>
          <w:sz w:val="20"/>
          <w:szCs w:val="20"/>
          <w:color w:val="auto"/>
        </w:rPr>
      </w:pPr>
      <w:r>
        <w:rPr>
          <w:rFonts w:ascii="Arial" w:cs="Arial" w:eastAsia="Arial" w:hAnsi="Arial"/>
          <w:sz w:val="18"/>
          <w:szCs w:val="18"/>
          <w:color w:val="262626"/>
        </w:rPr>
        <w:t>Landlord leases to Tenant and Tenant leases from Landlord, upon the provisions and conditions set forth herein, those certain premises (“Premises”) described on Exhibit A attached hereto, which Premises are located in that certain building known as 720 Market Street, San Francisco, California (“Building”) and situated upon that certain real property as more particularly described on Exhibit A (“Real Property”). The Real Property and the Building and the underlying land and improvements are referred to collectively herein as the “Project”.</w:t>
      </w:r>
    </w:p>
    <w:p>
      <w:pPr>
        <w:spacing w:after="0" w:line="14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1.2</w:t>
      </w:r>
      <w:r>
        <w:rPr>
          <w:sz w:val="20"/>
          <w:szCs w:val="20"/>
          <w:color w:val="auto"/>
        </w:rPr>
        <w:tab/>
      </w:r>
      <w:r>
        <w:rPr>
          <w:rFonts w:ascii="Arial" w:cs="Arial" w:eastAsia="Arial" w:hAnsi="Arial"/>
          <w:sz w:val="16"/>
          <w:szCs w:val="16"/>
          <w:u w:val="single" w:color="auto"/>
          <w:color w:val="262626"/>
        </w:rPr>
        <w:t>Rentable Square Footage</w:t>
      </w:r>
    </w:p>
    <w:p>
      <w:pPr>
        <w:spacing w:after="0" w:line="202" w:lineRule="exact"/>
        <w:rPr>
          <w:sz w:val="20"/>
          <w:szCs w:val="20"/>
          <w:color w:val="auto"/>
        </w:rPr>
      </w:pPr>
    </w:p>
    <w:p>
      <w:pPr>
        <w:ind w:right="120" w:firstLine="877"/>
        <w:spacing w:after="0" w:line="260" w:lineRule="auto"/>
        <w:rPr>
          <w:sz w:val="20"/>
          <w:szCs w:val="20"/>
          <w:color w:val="auto"/>
        </w:rPr>
      </w:pPr>
      <w:r>
        <w:rPr>
          <w:rFonts w:ascii="Arial" w:cs="Arial" w:eastAsia="Arial" w:hAnsi="Arial"/>
          <w:sz w:val="20"/>
          <w:szCs w:val="20"/>
          <w:color w:val="262626"/>
        </w:rPr>
        <w:t>The rentable area of Premises and the Building are agreed to be the numbers of square feet respectively specified in the Basic Lease Information.</w:t>
      </w:r>
    </w:p>
    <w:p>
      <w:pPr>
        <w:spacing w:after="0" w:line="15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1.3</w:t>
      </w:r>
      <w:r>
        <w:rPr>
          <w:sz w:val="20"/>
          <w:szCs w:val="20"/>
          <w:color w:val="auto"/>
        </w:rPr>
        <w:tab/>
      </w:r>
      <w:r>
        <w:rPr>
          <w:rFonts w:ascii="Arial" w:cs="Arial" w:eastAsia="Arial" w:hAnsi="Arial"/>
          <w:sz w:val="18"/>
          <w:szCs w:val="18"/>
          <w:u w:val="single" w:color="auto"/>
          <w:color w:val="262626"/>
        </w:rPr>
        <w:t>Common Areas</w:t>
      </w:r>
    </w:p>
    <w:p>
      <w:pPr>
        <w:spacing w:after="0" w:line="202" w:lineRule="exact"/>
        <w:rPr>
          <w:sz w:val="20"/>
          <w:szCs w:val="20"/>
          <w:color w:val="auto"/>
        </w:rPr>
      </w:pPr>
    </w:p>
    <w:p>
      <w:pPr>
        <w:jc w:val="both"/>
        <w:ind w:right="480" w:firstLine="877"/>
        <w:spacing w:after="0" w:line="250" w:lineRule="auto"/>
        <w:rPr>
          <w:sz w:val="20"/>
          <w:szCs w:val="20"/>
          <w:color w:val="auto"/>
        </w:rPr>
      </w:pPr>
      <w:r>
        <w:rPr>
          <w:rFonts w:ascii="Arial" w:cs="Arial" w:eastAsia="Arial" w:hAnsi="Arial"/>
          <w:sz w:val="20"/>
          <w:szCs w:val="20"/>
          <w:color w:val="262626"/>
        </w:rPr>
        <w:t>“Common Areas” shall mean the lobby and the open space and sidewalk areas on the Real Property, and any other areas of the Building or Real Property designated by Landlord from time to time for the common use or benefit of occupants of the Building, and their employees and invitees, or the public.</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2</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TERM</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2.1</w:t>
      </w:r>
      <w:r>
        <w:rPr>
          <w:sz w:val="20"/>
          <w:szCs w:val="20"/>
          <w:color w:val="auto"/>
        </w:rPr>
        <w:tab/>
      </w:r>
      <w:r>
        <w:rPr>
          <w:rFonts w:ascii="Arial" w:cs="Arial" w:eastAsia="Arial" w:hAnsi="Arial"/>
          <w:sz w:val="16"/>
          <w:szCs w:val="16"/>
          <w:u w:val="single" w:color="auto"/>
          <w:color w:val="3D3D3D"/>
        </w:rPr>
        <w:t xml:space="preserve">Term </w:t>
      </w:r>
      <w:r>
        <w:rPr>
          <w:rFonts w:ascii="Arial" w:cs="Arial" w:eastAsia="Arial" w:hAnsi="Arial"/>
          <w:sz w:val="16"/>
          <w:szCs w:val="16"/>
          <w:u w:val="single" w:color="auto"/>
          <w:color w:val="262626"/>
        </w:rPr>
        <w:t>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-14605</wp:posOffset>
            </wp:positionV>
            <wp:extent cx="387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8890"/>
                    </a:xfrm>
                    <a:prstGeom prst="rect">
                      <a:avLst/>
                    </a:prstGeom>
                    <a:noFill/>
                  </pic:spPr>
                </pic:pic>
              </a:graphicData>
            </a:graphic>
          </wp:anchor>
        </w:drawing>
      </w:r>
    </w:p>
    <w:p>
      <w:pPr>
        <w:spacing w:after="0" w:line="182" w:lineRule="exact"/>
        <w:rPr>
          <w:sz w:val="20"/>
          <w:szCs w:val="20"/>
          <w:color w:val="auto"/>
        </w:rPr>
      </w:pPr>
    </w:p>
    <w:p>
      <w:pPr>
        <w:ind w:right="140" w:firstLine="877"/>
        <w:spacing w:after="0" w:line="250" w:lineRule="auto"/>
        <w:rPr>
          <w:sz w:val="20"/>
          <w:szCs w:val="20"/>
          <w:color w:val="auto"/>
        </w:rPr>
      </w:pPr>
      <w:r>
        <w:rPr>
          <w:rFonts w:ascii="Arial" w:cs="Arial" w:eastAsia="Arial" w:hAnsi="Arial"/>
          <w:sz w:val="20"/>
          <w:szCs w:val="20"/>
          <w:color w:val="262626"/>
        </w:rPr>
        <w:t>The term of this Lease (“Term”) shall commence on the Commencement Date. Unless sooner terminated, as provided in this Lease, the Term shall end March 31, 2024 or on the last day of the sixtieth (60</w:t>
      </w:r>
      <w:r>
        <w:rPr>
          <w:rFonts w:ascii="Arial" w:cs="Arial" w:eastAsia="Arial" w:hAnsi="Arial"/>
          <w:sz w:val="16"/>
          <w:szCs w:val="16"/>
          <w:color w:val="262626"/>
        </w:rPr>
        <w:t>th)</w:t>
      </w:r>
      <w:r>
        <w:rPr>
          <w:rFonts w:ascii="Arial" w:cs="Arial" w:eastAsia="Arial" w:hAnsi="Arial"/>
          <w:sz w:val="20"/>
          <w:szCs w:val="20"/>
          <w:color w:val="262626"/>
        </w:rPr>
        <w:t xml:space="preserve"> full month after the Commencement Date, whichever occurs later. (“Term Expiration Date”).</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2.2</w:t>
      </w:r>
      <w:r>
        <w:rPr>
          <w:sz w:val="20"/>
          <w:szCs w:val="20"/>
          <w:color w:val="auto"/>
        </w:rPr>
        <w:tab/>
      </w:r>
      <w:r>
        <w:rPr>
          <w:rFonts w:ascii="Arial" w:cs="Arial" w:eastAsia="Arial" w:hAnsi="Arial"/>
          <w:sz w:val="16"/>
          <w:szCs w:val="16"/>
          <w:u w:val="single" w:color="auto"/>
          <w:color w:val="262626"/>
        </w:rPr>
        <w:t xml:space="preserve">Delivery </w:t>
      </w:r>
      <w:r>
        <w:rPr>
          <w:rFonts w:ascii="Arial" w:cs="Arial" w:eastAsia="Arial" w:hAnsi="Arial"/>
          <w:sz w:val="16"/>
          <w:szCs w:val="16"/>
          <w:u w:val="single" w:color="auto"/>
          <w:color w:val="3D3D3D"/>
        </w:rPr>
        <w:t>and</w:t>
      </w:r>
      <w:r>
        <w:rPr>
          <w:rFonts w:ascii="Arial" w:cs="Arial" w:eastAsia="Arial" w:hAnsi="Arial"/>
          <w:sz w:val="16"/>
          <w:szCs w:val="16"/>
          <w:u w:val="single" w:color="auto"/>
          <w:color w:val="262626"/>
        </w:rPr>
        <w:t xml:space="preserve"> Acceptance of Premises</w:t>
      </w:r>
    </w:p>
    <w:p>
      <w:pPr>
        <w:spacing w:after="0" w:line="189" w:lineRule="exact"/>
        <w:rPr>
          <w:sz w:val="20"/>
          <w:szCs w:val="20"/>
          <w:color w:val="auto"/>
        </w:rPr>
      </w:pPr>
    </w:p>
    <w:p>
      <w:pPr>
        <w:ind w:right="80" w:firstLine="877"/>
        <w:spacing w:after="0" w:line="270" w:lineRule="auto"/>
        <w:rPr>
          <w:sz w:val="20"/>
          <w:szCs w:val="20"/>
          <w:color w:val="auto"/>
        </w:rPr>
      </w:pPr>
      <w:r>
        <w:rPr>
          <w:rFonts w:ascii="Arial" w:cs="Arial" w:eastAsia="Arial" w:hAnsi="Arial"/>
          <w:sz w:val="18"/>
          <w:szCs w:val="18"/>
          <w:color w:val="262626"/>
        </w:rPr>
        <w:t>Tenant shall accept the Premises on the date when the Premises are “Ready for Delivery.” The Premises shall be deemed Ready for Delivery when Landlord has provided access to the Premises for Tenant, so as to be used for the Permitted Use and with the Tenant Improvement Work as described in the Basic Lease Information substantially completed. Landlord represents and warrants to Tenant that all Building Systems (as hereinafter defined) and Building improvements are, and throughout the Term will be, in good working order, and that on the Commencement Date, the Premises will be in compliance with all applicable laws. Subject to the foregoing, Tenant agrees to accept possession of the Premises in their “as is” condition on the date when the Premises are Ready for Delivery, without representation or warranty by Landlord, express or implied, and with no obligation of Landlord to repaint, remodel, repair, improve or alter the Premises, or to perform any construction, remodeling or other work of improvement upon the Premises, or contribute to the cost of any of the foregoing, except for the representations and warranties set forth above</w:t>
      </w:r>
      <w:r>
        <w:rPr>
          <w:rFonts w:ascii="Arial" w:cs="Arial" w:eastAsia="Arial" w:hAnsi="Arial"/>
          <w:sz w:val="18"/>
          <w:szCs w:val="18"/>
          <w:color w:val="3F3F3F"/>
        </w:rPr>
        <w:t>,</w:t>
      </w:r>
      <w:r>
        <w:rPr>
          <w:rFonts w:ascii="Arial" w:cs="Arial" w:eastAsia="Arial" w:hAnsi="Arial"/>
          <w:sz w:val="18"/>
          <w:szCs w:val="18"/>
          <w:color w:val="262626"/>
        </w:rPr>
        <w:t xml:space="preserve"> and except for Landlord</w:t>
      </w:r>
      <w:r>
        <w:rPr>
          <w:rFonts w:ascii="Arial" w:cs="Arial" w:eastAsia="Arial" w:hAnsi="Arial"/>
          <w:sz w:val="18"/>
          <w:szCs w:val="18"/>
          <w:color w:val="3F3F3F"/>
        </w:rPr>
        <w:t>’</w:t>
      </w:r>
      <w:r>
        <w:rPr>
          <w:rFonts w:ascii="Arial" w:cs="Arial" w:eastAsia="Arial" w:hAnsi="Arial"/>
          <w:sz w:val="18"/>
          <w:szCs w:val="18"/>
          <w:color w:val="262626"/>
        </w:rPr>
        <w:t>s obligation to complete the Tenant Improvement Work</w:t>
      </w:r>
      <w:r>
        <w:rPr>
          <w:rFonts w:ascii="Arial" w:cs="Arial" w:eastAsia="Arial" w:hAnsi="Arial"/>
          <w:sz w:val="18"/>
          <w:szCs w:val="18"/>
          <w:color w:val="3F3F3F"/>
        </w:rPr>
        <w:t>.</w:t>
      </w:r>
      <w:r>
        <w:rPr>
          <w:rFonts w:ascii="Arial" w:cs="Arial" w:eastAsia="Arial" w:hAnsi="Arial"/>
          <w:sz w:val="18"/>
          <w:szCs w:val="18"/>
          <w:color w:val="262626"/>
        </w:rPr>
        <w:t xml:space="preserve"> Tenant also acknowledges that</w:t>
      </w:r>
      <w:r>
        <w:rPr>
          <w:rFonts w:ascii="Arial" w:cs="Arial" w:eastAsia="Arial" w:hAnsi="Arial"/>
          <w:sz w:val="18"/>
          <w:szCs w:val="18"/>
          <w:color w:val="3F3F3F"/>
        </w:rPr>
        <w:t>,</w:t>
      </w:r>
      <w:r>
        <w:rPr>
          <w:rFonts w:ascii="Arial" w:cs="Arial" w:eastAsia="Arial" w:hAnsi="Arial"/>
          <w:sz w:val="18"/>
          <w:szCs w:val="18"/>
          <w:color w:val="262626"/>
        </w:rPr>
        <w:t xml:space="preserve"> except for the representations and warranties set forth in this Lease, neither Landlord nor any agent of Landlord has made any representation or warranty regarding the condition of the Premises or the Building. Tenant shall be deemed to have accepted possession of the Premises when Tenant first moves any of its personnel, furnishings and/or equipment into the Premises, except to the extent that Tenant is explicitly authorized in this Lease to do any o</w:t>
      </w:r>
      <w:r>
        <w:rPr>
          <w:rFonts w:ascii="Arial" w:cs="Arial" w:eastAsia="Arial" w:hAnsi="Arial"/>
          <w:sz w:val="18"/>
          <w:szCs w:val="18"/>
          <w:color w:val="3F3F3F"/>
        </w:rPr>
        <w:t>f</w:t>
      </w:r>
      <w:r>
        <w:rPr>
          <w:rFonts w:ascii="Arial" w:cs="Arial" w:eastAsia="Arial" w:hAnsi="Arial"/>
          <w:sz w:val="18"/>
          <w:szCs w:val="18"/>
          <w:color w:val="262626"/>
        </w:rPr>
        <w:t xml:space="preserve"> the foregoing without being deemed to have accepted possession of the Premises.</w:t>
      </w:r>
    </w:p>
    <w:p>
      <w:pPr>
        <w:spacing w:after="0" w:line="16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2.3</w:t>
      </w:r>
      <w:r>
        <w:rPr>
          <w:sz w:val="20"/>
          <w:szCs w:val="20"/>
          <w:color w:val="auto"/>
        </w:rPr>
        <w:tab/>
      </w:r>
      <w:r>
        <w:rPr>
          <w:rFonts w:ascii="Arial" w:cs="Arial" w:eastAsia="Arial" w:hAnsi="Arial"/>
          <w:sz w:val="19"/>
          <w:szCs w:val="19"/>
          <w:u w:val="single" w:color="auto"/>
          <w:color w:val="262626"/>
        </w:rPr>
        <w:t>IN</w:t>
      </w:r>
      <w:r>
        <w:rPr>
          <w:rFonts w:ascii="Arial" w:cs="Arial" w:eastAsia="Arial" w:hAnsi="Arial"/>
          <w:sz w:val="19"/>
          <w:szCs w:val="19"/>
          <w:u w:val="single" w:color="auto"/>
          <w:color w:val="3F3F3F"/>
        </w:rPr>
        <w:t>TE</w:t>
      </w:r>
      <w:r>
        <w:rPr>
          <w:rFonts w:ascii="Arial" w:cs="Arial" w:eastAsia="Arial" w:hAnsi="Arial"/>
          <w:sz w:val="19"/>
          <w:szCs w:val="19"/>
          <w:u w:val="single" w:color="auto"/>
          <w:color w:val="262626"/>
        </w:rPr>
        <w:t>NTIONA</w:t>
      </w:r>
      <w:r>
        <w:rPr>
          <w:rFonts w:ascii="Arial" w:cs="Arial" w:eastAsia="Arial" w:hAnsi="Arial"/>
          <w:sz w:val="19"/>
          <w:szCs w:val="19"/>
          <w:u w:val="single" w:color="auto"/>
          <w:color w:val="3F3F3F"/>
        </w:rPr>
        <w:t>LL</w:t>
      </w:r>
      <w:r>
        <w:rPr>
          <w:rFonts w:ascii="Arial" w:cs="Arial" w:eastAsia="Arial" w:hAnsi="Arial"/>
          <w:sz w:val="19"/>
          <w:szCs w:val="19"/>
          <w:u w:val="single" w:color="auto"/>
          <w:color w:val="262626"/>
        </w:rPr>
        <w:t>Y D</w:t>
      </w:r>
      <w:r>
        <w:rPr>
          <w:rFonts w:ascii="Arial" w:cs="Arial" w:eastAsia="Arial" w:hAnsi="Arial"/>
          <w:sz w:val="19"/>
          <w:szCs w:val="19"/>
          <w:u w:val="single" w:color="auto"/>
          <w:color w:val="3F3F3F"/>
        </w:rPr>
        <w:t>E</w:t>
      </w:r>
      <w:r>
        <w:rPr>
          <w:rFonts w:ascii="Arial" w:cs="Arial" w:eastAsia="Arial" w:hAnsi="Arial"/>
          <w:sz w:val="19"/>
          <w:szCs w:val="19"/>
          <w:u w:val="single" w:color="auto"/>
          <w:color w:val="262626"/>
        </w:rPr>
        <w:t>L</w:t>
      </w:r>
      <w:r>
        <w:rPr>
          <w:rFonts w:ascii="Arial" w:cs="Arial" w:eastAsia="Arial" w:hAnsi="Arial"/>
          <w:sz w:val="19"/>
          <w:szCs w:val="19"/>
          <w:u w:val="single" w:color="auto"/>
          <w:color w:val="3F3F3F"/>
        </w:rPr>
        <w:t>ETE</w:t>
      </w:r>
      <w:r>
        <w:rPr>
          <w:rFonts w:ascii="Arial" w:cs="Arial" w:eastAsia="Arial" w:hAnsi="Arial"/>
          <w:sz w:val="19"/>
          <w:szCs w:val="19"/>
          <w:u w:val="single" w:color="auto"/>
          <w:color w:val="262626"/>
        </w:rPr>
        <w:t>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4</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20"/>
          <w:szCs w:val="20"/>
          <w:b w:val="1"/>
          <w:bCs w:val="1"/>
          <w:color w:val="262626"/>
        </w:rPr>
        <w:t>ARTICLE 3</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RENT</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3.1</w:t>
      </w:r>
      <w:r>
        <w:rPr>
          <w:sz w:val="20"/>
          <w:szCs w:val="20"/>
          <w:color w:val="auto"/>
        </w:rPr>
        <w:tab/>
      </w:r>
      <w:r>
        <w:rPr>
          <w:rFonts w:ascii="Arial" w:cs="Arial" w:eastAsia="Arial" w:hAnsi="Arial"/>
          <w:sz w:val="18"/>
          <w:szCs w:val="18"/>
          <w:u w:val="single" w:color="auto"/>
          <w:color w:val="262626"/>
        </w:rPr>
        <w:t>B</w:t>
      </w:r>
      <w:r>
        <w:rPr>
          <w:rFonts w:ascii="Arial" w:cs="Arial" w:eastAsia="Arial" w:hAnsi="Arial"/>
          <w:sz w:val="18"/>
          <w:szCs w:val="18"/>
          <w:u w:val="single" w:color="auto"/>
          <w:color w:val="3F3F3F"/>
        </w:rPr>
        <w:t>as</w:t>
      </w:r>
      <w:r>
        <w:rPr>
          <w:rFonts w:ascii="Arial" w:cs="Arial" w:eastAsia="Arial" w:hAnsi="Arial"/>
          <w:sz w:val="18"/>
          <w:szCs w:val="18"/>
          <w:u w:val="single" w:color="auto"/>
          <w:color w:val="262626"/>
        </w:rPr>
        <w:t>i</w:t>
      </w:r>
      <w:r>
        <w:rPr>
          <w:rFonts w:ascii="Arial" w:cs="Arial" w:eastAsia="Arial" w:hAnsi="Arial"/>
          <w:sz w:val="18"/>
          <w:szCs w:val="18"/>
          <w:u w:val="single" w:color="auto"/>
          <w:color w:val="3F3F3F"/>
        </w:rPr>
        <w:t>c</w:t>
      </w:r>
      <w:r>
        <w:rPr>
          <w:rFonts w:ascii="Arial" w:cs="Arial" w:eastAsia="Arial" w:hAnsi="Arial"/>
          <w:sz w:val="18"/>
          <w:szCs w:val="18"/>
          <w:u w:val="single" w:color="auto"/>
          <w:color w:val="262626"/>
        </w:rPr>
        <w:t xml:space="preserve"> </w:t>
      </w:r>
      <w:r>
        <w:rPr>
          <w:rFonts w:ascii="Arial" w:cs="Arial" w:eastAsia="Arial" w:hAnsi="Arial"/>
          <w:sz w:val="18"/>
          <w:szCs w:val="18"/>
          <w:color w:val="262626"/>
        </w:rPr>
        <w:t>M</w:t>
      </w:r>
      <w:r>
        <w:rPr>
          <w:rFonts w:ascii="Arial" w:cs="Arial" w:eastAsia="Arial" w:hAnsi="Arial"/>
          <w:sz w:val="18"/>
          <w:szCs w:val="18"/>
          <w:u w:val="single" w:color="auto"/>
          <w:color w:val="3F3F3F"/>
        </w:rPr>
        <w:t>o</w:t>
      </w:r>
      <w:r>
        <w:rPr>
          <w:rFonts w:ascii="Arial" w:cs="Arial" w:eastAsia="Arial" w:hAnsi="Arial"/>
          <w:sz w:val="18"/>
          <w:szCs w:val="18"/>
          <w:u w:val="single" w:color="auto"/>
          <w:color w:val="262626"/>
        </w:rPr>
        <w:t>nthly R</w:t>
      </w:r>
      <w:r>
        <w:rPr>
          <w:rFonts w:ascii="Arial" w:cs="Arial" w:eastAsia="Arial" w:hAnsi="Arial"/>
          <w:sz w:val="18"/>
          <w:szCs w:val="18"/>
          <w:u w:val="single" w:color="auto"/>
          <w:color w:val="3F3F3F"/>
        </w:rPr>
        <w:t>e</w:t>
      </w:r>
      <w:r>
        <w:rPr>
          <w:rFonts w:ascii="Arial" w:cs="Arial" w:eastAsia="Arial" w:hAnsi="Arial"/>
          <w:sz w:val="18"/>
          <w:szCs w:val="18"/>
          <w:u w:val="single" w:color="auto"/>
          <w:color w:val="262626"/>
        </w:rPr>
        <w:t>n</w:t>
      </w:r>
      <w:r>
        <w:rPr>
          <w:rFonts w:ascii="Arial" w:cs="Arial" w:eastAsia="Arial" w:hAnsi="Arial"/>
          <w:sz w:val="18"/>
          <w:szCs w:val="18"/>
          <w:u w:val="single" w:color="auto"/>
          <w:color w:val="3F3F3F"/>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1418590</wp:posOffset>
            </wp:positionH>
            <wp:positionV relativeFrom="paragraph">
              <wp:posOffset>-14605</wp:posOffset>
            </wp:positionV>
            <wp:extent cx="1447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182" w:lineRule="exact"/>
        <w:rPr>
          <w:sz w:val="20"/>
          <w:szCs w:val="20"/>
          <w:color w:val="auto"/>
        </w:rPr>
      </w:pPr>
    </w:p>
    <w:p>
      <w:pPr>
        <w:ind w:right="80" w:firstLine="877"/>
        <w:spacing w:after="0" w:line="270" w:lineRule="auto"/>
        <w:rPr>
          <w:sz w:val="20"/>
          <w:szCs w:val="20"/>
          <w:color w:val="auto"/>
        </w:rPr>
      </w:pPr>
      <w:r>
        <w:rPr>
          <w:rFonts w:ascii="Arial" w:cs="Arial" w:eastAsia="Arial" w:hAnsi="Arial"/>
          <w:sz w:val="18"/>
          <w:szCs w:val="18"/>
          <w:color w:val="262626"/>
        </w:rPr>
        <w:t>Commencing on the Rent Commencement Date, Tenant shall pay to Landlord, as basic monthly rental (“Basic Monthly Rent”), the amount specified in Item 5 of the Basic Lease Information. Unless otherwise expressly provided in this Lease</w:t>
      </w:r>
      <w:r>
        <w:rPr>
          <w:rFonts w:ascii="Arial" w:cs="Arial" w:eastAsia="Arial" w:hAnsi="Arial"/>
          <w:sz w:val="18"/>
          <w:szCs w:val="18"/>
          <w:color w:val="3F3F3F"/>
        </w:rPr>
        <w:t>,</w:t>
      </w:r>
      <w:r>
        <w:rPr>
          <w:rFonts w:ascii="Arial" w:cs="Arial" w:eastAsia="Arial" w:hAnsi="Arial"/>
          <w:sz w:val="18"/>
          <w:szCs w:val="18"/>
          <w:color w:val="262626"/>
        </w:rPr>
        <w:t xml:space="preserve"> the Basic Monthly Rent and all other amounts payable hereunder shall be paid to Landlord in advance on the Rent Commencement Date and thereafter on or before the first day of each month during the Term without abatement, deduction or offset</w:t>
      </w:r>
      <w:r>
        <w:rPr>
          <w:rFonts w:ascii="Arial" w:cs="Arial" w:eastAsia="Arial" w:hAnsi="Arial"/>
          <w:sz w:val="18"/>
          <w:szCs w:val="18"/>
          <w:color w:val="3F3F3F"/>
        </w:rPr>
        <w:t>,</w:t>
      </w:r>
      <w:r>
        <w:rPr>
          <w:rFonts w:ascii="Arial" w:cs="Arial" w:eastAsia="Arial" w:hAnsi="Arial"/>
          <w:sz w:val="18"/>
          <w:szCs w:val="18"/>
          <w:color w:val="262626"/>
        </w:rPr>
        <w:t xml:space="preserve"> in lawful money of the United States of America at the office of the property manager as designated in writing by the Landlord</w:t>
      </w:r>
      <w:r>
        <w:rPr>
          <w:rFonts w:ascii="Arial" w:cs="Arial" w:eastAsia="Arial" w:hAnsi="Arial"/>
          <w:sz w:val="18"/>
          <w:szCs w:val="18"/>
          <w:color w:val="3F3F3F"/>
        </w:rPr>
        <w:t>,</w:t>
      </w:r>
      <w:r>
        <w:rPr>
          <w:rFonts w:ascii="Arial" w:cs="Arial" w:eastAsia="Arial" w:hAnsi="Arial"/>
          <w:sz w:val="18"/>
          <w:szCs w:val="18"/>
          <w:color w:val="262626"/>
        </w:rPr>
        <w:t xml:space="preserve"> or to such place as Landlord may designate in writing, except that a full month’s Basic Monthly Rent shall be paid to Landlord concurrent with Tenant’s execution of this Lease</w:t>
      </w:r>
      <w:r>
        <w:rPr>
          <w:rFonts w:ascii="Arial" w:cs="Arial" w:eastAsia="Arial" w:hAnsi="Arial"/>
          <w:sz w:val="18"/>
          <w:szCs w:val="18"/>
          <w:color w:val="3F3F3F"/>
        </w:rPr>
        <w:t>,</w:t>
      </w:r>
      <w:r>
        <w:rPr>
          <w:rFonts w:ascii="Arial" w:cs="Arial" w:eastAsia="Arial" w:hAnsi="Arial"/>
          <w:sz w:val="18"/>
          <w:szCs w:val="18"/>
          <w:color w:val="262626"/>
        </w:rPr>
        <w:t xml:space="preserve"> which payment shall be credited to the first month</w:t>
      </w:r>
      <w:r>
        <w:rPr>
          <w:rFonts w:ascii="Arial" w:cs="Arial" w:eastAsia="Arial" w:hAnsi="Arial"/>
          <w:sz w:val="18"/>
          <w:szCs w:val="18"/>
          <w:color w:val="3F3F3F"/>
        </w:rPr>
        <w:t>’</w:t>
      </w:r>
      <w:r>
        <w:rPr>
          <w:rFonts w:ascii="Arial" w:cs="Arial" w:eastAsia="Arial" w:hAnsi="Arial"/>
          <w:sz w:val="18"/>
          <w:szCs w:val="18"/>
          <w:color w:val="262626"/>
        </w:rPr>
        <w:t>s Basic Monthly Rent due on the Rent Commencement Date. If the Rent Commencement Date occurs on other than the first day of a calendar month, then there shall be deemed paid on the Rent Commencement Date a pro rata portion of the Basic Monthly Rent based upon the number of days remaining in such month and the remaining balance of any amount paid by Tenant upon Lease execution shall be credited towards the Basic Monthly Rent due in the second calendar month after the Rent Commencement Date. In the event the Term ends on a day other than the last day of the month, the last monthly payment of Basic Monthly Rent shall be prorated based upon the number of days in such month prior to and including the last day of the Term.</w:t>
      </w:r>
    </w:p>
    <w:p>
      <w:pPr>
        <w:spacing w:after="0" w:line="16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3.2</w:t>
      </w:r>
      <w:r>
        <w:rPr>
          <w:sz w:val="20"/>
          <w:szCs w:val="20"/>
          <w:color w:val="auto"/>
        </w:rPr>
        <w:tab/>
      </w:r>
      <w:r>
        <w:rPr>
          <w:rFonts w:ascii="Arial" w:cs="Arial" w:eastAsia="Arial" w:hAnsi="Arial"/>
          <w:sz w:val="16"/>
          <w:szCs w:val="16"/>
          <w:u w:val="single" w:color="auto"/>
          <w:color w:val="262626"/>
        </w:rPr>
        <w:t>Interest on Past Due Amounts</w:t>
      </w:r>
    </w:p>
    <w:p>
      <w:pPr>
        <w:spacing w:after="0" w:line="189" w:lineRule="exact"/>
        <w:rPr>
          <w:sz w:val="20"/>
          <w:szCs w:val="20"/>
          <w:color w:val="auto"/>
        </w:rPr>
      </w:pPr>
    </w:p>
    <w:p>
      <w:pPr>
        <w:ind w:right="80" w:firstLine="877"/>
        <w:spacing w:after="0" w:line="274" w:lineRule="auto"/>
        <w:rPr>
          <w:sz w:val="20"/>
          <w:szCs w:val="20"/>
          <w:color w:val="auto"/>
        </w:rPr>
      </w:pPr>
      <w:r>
        <w:rPr>
          <w:rFonts w:ascii="Arial" w:cs="Arial" w:eastAsia="Arial" w:hAnsi="Arial"/>
          <w:sz w:val="18"/>
          <w:szCs w:val="18"/>
          <w:color w:val="262626"/>
        </w:rPr>
        <w:t>Any Rent not paid when due shall bear interest from the date due until the date paid at the rate (the “Interest Rate”) equal to the Prime Rate (as hereinafter defined) as of such due date</w:t>
      </w:r>
      <w:r>
        <w:rPr>
          <w:rFonts w:ascii="Arial" w:cs="Arial" w:eastAsia="Arial" w:hAnsi="Arial"/>
          <w:sz w:val="18"/>
          <w:szCs w:val="18"/>
          <w:color w:val="3F3F3F"/>
        </w:rPr>
        <w:t>,</w:t>
      </w:r>
      <w:r>
        <w:rPr>
          <w:rFonts w:ascii="Arial" w:cs="Arial" w:eastAsia="Arial" w:hAnsi="Arial"/>
          <w:sz w:val="18"/>
          <w:szCs w:val="18"/>
          <w:color w:val="262626"/>
        </w:rPr>
        <w:t xml:space="preserve"> plus five percent (5%) per annum; provided, however, that Tenant’s total liability for interest payments under this Lease shall not exceed the limits, if any, imposed on such payments by the usury laws of the State of California. The payment of such interest shall not excuse or cure any Default or modify any obligation of Tenant under this Lease. The “Prime Rate” shall mean the prime rate (or base rate) reported in the Money Rates column or section of The Wall Street Journal as being the base rate on corporate loans at large U.S. money center commercial banks (whether or not such rate has actually been charged by any such bank) on the first day on which The Wall Street Journal is published in the month preceding the month in which the subject costs are payable or incurred.</w:t>
      </w:r>
    </w:p>
    <w:p>
      <w:pPr>
        <w:spacing w:after="0" w:line="15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3.3</w:t>
      </w:r>
      <w:r>
        <w:rPr>
          <w:sz w:val="20"/>
          <w:szCs w:val="20"/>
          <w:color w:val="auto"/>
        </w:rPr>
        <w:tab/>
      </w:r>
      <w:r>
        <w:rPr>
          <w:rFonts w:ascii="Arial" w:cs="Arial" w:eastAsia="Arial" w:hAnsi="Arial"/>
          <w:sz w:val="16"/>
          <w:szCs w:val="16"/>
          <w:u w:val="single" w:color="auto"/>
          <w:color w:val="363636"/>
        </w:rPr>
        <w:t xml:space="preserve">Late </w:t>
      </w:r>
      <w:r>
        <w:rPr>
          <w:rFonts w:ascii="Arial" w:cs="Arial" w:eastAsia="Arial" w:hAnsi="Arial"/>
          <w:sz w:val="16"/>
          <w:szCs w:val="16"/>
          <w:u w:val="single" w:color="auto"/>
          <w:color w:val="262626"/>
        </w:rPr>
        <w:t>Fee</w:t>
      </w:r>
    </w:p>
    <w:p>
      <w:pPr>
        <w:spacing w:after="0" w:line="202" w:lineRule="exact"/>
        <w:rPr>
          <w:sz w:val="20"/>
          <w:szCs w:val="20"/>
          <w:color w:val="auto"/>
        </w:rPr>
      </w:pPr>
    </w:p>
    <w:p>
      <w:pPr>
        <w:ind w:right="60" w:firstLine="877"/>
        <w:spacing w:after="0" w:line="274" w:lineRule="auto"/>
        <w:rPr>
          <w:sz w:val="20"/>
          <w:szCs w:val="20"/>
          <w:color w:val="auto"/>
        </w:rPr>
      </w:pPr>
      <w:r>
        <w:rPr>
          <w:rFonts w:ascii="Arial" w:cs="Arial" w:eastAsia="Arial" w:hAnsi="Arial"/>
          <w:sz w:val="18"/>
          <w:szCs w:val="18"/>
          <w:color w:val="363636"/>
        </w:rPr>
        <w:t xml:space="preserve">Tenant acknowledges that the </w:t>
      </w:r>
      <w:r>
        <w:rPr>
          <w:rFonts w:ascii="Arial" w:cs="Arial" w:eastAsia="Arial" w:hAnsi="Arial"/>
          <w:sz w:val="18"/>
          <w:szCs w:val="18"/>
          <w:color w:val="262626"/>
        </w:rPr>
        <w:t>late payment by</w:t>
      </w:r>
      <w:r>
        <w:rPr>
          <w:rFonts w:ascii="Arial" w:cs="Arial" w:eastAsia="Arial" w:hAnsi="Arial"/>
          <w:sz w:val="18"/>
          <w:szCs w:val="18"/>
          <w:color w:val="363636"/>
        </w:rPr>
        <w:t xml:space="preserve"> Tenant to Landlord of </w:t>
      </w:r>
      <w:r>
        <w:rPr>
          <w:rFonts w:ascii="Arial" w:cs="Arial" w:eastAsia="Arial" w:hAnsi="Arial"/>
          <w:sz w:val="18"/>
          <w:szCs w:val="18"/>
          <w:color w:val="262626"/>
        </w:rPr>
        <w:t>Rent</w:t>
      </w:r>
      <w:r>
        <w:rPr>
          <w:rFonts w:ascii="Arial" w:cs="Arial" w:eastAsia="Arial" w:hAnsi="Arial"/>
          <w:sz w:val="18"/>
          <w:szCs w:val="18"/>
          <w:color w:val="363636"/>
        </w:rPr>
        <w:t xml:space="preserve"> will </w:t>
      </w:r>
      <w:r>
        <w:rPr>
          <w:rFonts w:ascii="Arial" w:cs="Arial" w:eastAsia="Arial" w:hAnsi="Arial"/>
          <w:sz w:val="18"/>
          <w:szCs w:val="18"/>
          <w:color w:val="262626"/>
        </w:rPr>
        <w:t>cause</w:t>
      </w:r>
      <w:r>
        <w:rPr>
          <w:rFonts w:ascii="Arial" w:cs="Arial" w:eastAsia="Arial" w:hAnsi="Arial"/>
          <w:sz w:val="18"/>
          <w:szCs w:val="18"/>
          <w:color w:val="363636"/>
        </w:rPr>
        <w:t xml:space="preserve"> Landlord to </w:t>
      </w:r>
      <w:r>
        <w:rPr>
          <w:rFonts w:ascii="Arial" w:cs="Arial" w:eastAsia="Arial" w:hAnsi="Arial"/>
          <w:sz w:val="18"/>
          <w:szCs w:val="18"/>
          <w:color w:val="262626"/>
        </w:rPr>
        <w:t>incur</w:t>
      </w:r>
      <w:r>
        <w:rPr>
          <w:rFonts w:ascii="Arial" w:cs="Arial" w:eastAsia="Arial" w:hAnsi="Arial"/>
          <w:sz w:val="18"/>
          <w:szCs w:val="18"/>
          <w:color w:val="363636"/>
        </w:rPr>
        <w:t xml:space="preserve"> costs </w:t>
      </w:r>
      <w:r>
        <w:rPr>
          <w:rFonts w:ascii="Arial" w:cs="Arial" w:eastAsia="Arial" w:hAnsi="Arial"/>
          <w:sz w:val="18"/>
          <w:szCs w:val="18"/>
          <w:color w:val="262626"/>
        </w:rPr>
        <w:t>not contemplated</w:t>
      </w:r>
      <w:r>
        <w:rPr>
          <w:rFonts w:ascii="Arial" w:cs="Arial" w:eastAsia="Arial" w:hAnsi="Arial"/>
          <w:sz w:val="18"/>
          <w:szCs w:val="18"/>
          <w:color w:val="363636"/>
        </w:rPr>
        <w:t xml:space="preserve"> by </w:t>
      </w:r>
      <w:r>
        <w:rPr>
          <w:rFonts w:ascii="Arial" w:cs="Arial" w:eastAsia="Arial" w:hAnsi="Arial"/>
          <w:sz w:val="18"/>
          <w:szCs w:val="18"/>
          <w:color w:val="262626"/>
        </w:rPr>
        <w:t xml:space="preserve">this Lease, </w:t>
      </w:r>
      <w:r>
        <w:rPr>
          <w:rFonts w:ascii="Arial" w:cs="Arial" w:eastAsia="Arial" w:hAnsi="Arial"/>
          <w:sz w:val="18"/>
          <w:szCs w:val="18"/>
          <w:color w:val="363636"/>
        </w:rPr>
        <w:t>the exact amount</w:t>
      </w:r>
      <w:r>
        <w:rPr>
          <w:rFonts w:ascii="Arial" w:cs="Arial" w:eastAsia="Arial" w:hAnsi="Arial"/>
          <w:sz w:val="18"/>
          <w:szCs w:val="18"/>
          <w:color w:val="262626"/>
        </w:rPr>
        <w:t xml:space="preserve"> of which </w:t>
      </w:r>
      <w:r>
        <w:rPr>
          <w:rFonts w:ascii="Arial" w:cs="Arial" w:eastAsia="Arial" w:hAnsi="Arial"/>
          <w:sz w:val="18"/>
          <w:szCs w:val="18"/>
          <w:color w:val="363636"/>
        </w:rPr>
        <w:t>will</w:t>
      </w:r>
      <w:r>
        <w:rPr>
          <w:rFonts w:ascii="Arial" w:cs="Arial" w:eastAsia="Arial" w:hAnsi="Arial"/>
          <w:sz w:val="18"/>
          <w:szCs w:val="18"/>
          <w:color w:val="262626"/>
        </w:rPr>
        <w:t xml:space="preserve"> be </w:t>
      </w:r>
      <w:r>
        <w:rPr>
          <w:rFonts w:ascii="Arial" w:cs="Arial" w:eastAsia="Arial" w:hAnsi="Arial"/>
          <w:sz w:val="18"/>
          <w:szCs w:val="18"/>
          <w:color w:val="363636"/>
        </w:rPr>
        <w:t>difficult to ascertain. Such</w:t>
      </w:r>
      <w:r>
        <w:rPr>
          <w:rFonts w:ascii="Arial" w:cs="Arial" w:eastAsia="Arial" w:hAnsi="Arial"/>
          <w:sz w:val="18"/>
          <w:szCs w:val="18"/>
          <w:color w:val="262626"/>
        </w:rPr>
        <w:t xml:space="preserve"> costs may </w:t>
      </w:r>
      <w:r>
        <w:rPr>
          <w:rFonts w:ascii="Arial" w:cs="Arial" w:eastAsia="Arial" w:hAnsi="Arial"/>
          <w:sz w:val="18"/>
          <w:szCs w:val="18"/>
          <w:color w:val="363636"/>
        </w:rPr>
        <w:t>include, without</w:t>
      </w:r>
      <w:r>
        <w:rPr>
          <w:rFonts w:ascii="Arial" w:cs="Arial" w:eastAsia="Arial" w:hAnsi="Arial"/>
          <w:sz w:val="18"/>
          <w:szCs w:val="18"/>
          <w:color w:val="262626"/>
        </w:rPr>
        <w:t xml:space="preserve"> limitation, </w:t>
      </w:r>
      <w:r>
        <w:rPr>
          <w:rFonts w:ascii="Arial" w:cs="Arial" w:eastAsia="Arial" w:hAnsi="Arial"/>
          <w:sz w:val="18"/>
          <w:szCs w:val="18"/>
          <w:color w:val="363636"/>
        </w:rPr>
        <w:t>administrative costs</w:t>
      </w:r>
      <w:r>
        <w:rPr>
          <w:rFonts w:ascii="Arial" w:cs="Arial" w:eastAsia="Arial" w:hAnsi="Arial"/>
          <w:sz w:val="18"/>
          <w:szCs w:val="18"/>
          <w:color w:val="575757"/>
        </w:rPr>
        <w:t>,</w:t>
      </w:r>
      <w:r>
        <w:rPr>
          <w:rFonts w:ascii="Arial" w:cs="Arial" w:eastAsia="Arial" w:hAnsi="Arial"/>
          <w:sz w:val="18"/>
          <w:szCs w:val="18"/>
          <w:color w:val="262626"/>
        </w:rPr>
        <w:t xml:space="preserve"> processing </w:t>
      </w:r>
      <w:r>
        <w:rPr>
          <w:rFonts w:ascii="Arial" w:cs="Arial" w:eastAsia="Arial" w:hAnsi="Arial"/>
          <w:sz w:val="18"/>
          <w:szCs w:val="18"/>
          <w:color w:val="363636"/>
        </w:rPr>
        <w:t xml:space="preserve">and </w:t>
      </w:r>
      <w:r>
        <w:rPr>
          <w:rFonts w:ascii="Arial" w:cs="Arial" w:eastAsia="Arial" w:hAnsi="Arial"/>
          <w:sz w:val="18"/>
          <w:szCs w:val="18"/>
          <w:color w:val="262626"/>
        </w:rPr>
        <w:t>accounting charges, and late charges, which may be imposed on Landlord. Accordingly, if any payment of Rent shall not be received by</w:t>
      </w:r>
      <w:r>
        <w:rPr>
          <w:rFonts w:ascii="Arial" w:cs="Arial" w:eastAsia="Arial" w:hAnsi="Arial"/>
          <w:sz w:val="18"/>
          <w:szCs w:val="18"/>
          <w:color w:val="363636"/>
        </w:rPr>
        <w:t xml:space="preserve"> </w:t>
      </w:r>
      <w:r>
        <w:rPr>
          <w:rFonts w:ascii="Arial" w:cs="Arial" w:eastAsia="Arial" w:hAnsi="Arial"/>
          <w:sz w:val="18"/>
          <w:szCs w:val="18"/>
          <w:color w:val="262626"/>
        </w:rPr>
        <w:t xml:space="preserve">Landlord within five (5) days after the date that such payment is due and payable, then Tenant shall pay to Landlord, in addition to the interest provided above, a late charge in the amount of five percent (5%) of the amount due. The parties agree that such late charge represents a fair and </w:t>
      </w:r>
      <w:r>
        <w:rPr>
          <w:rFonts w:ascii="Arial" w:cs="Arial" w:eastAsia="Arial" w:hAnsi="Arial"/>
          <w:sz w:val="18"/>
          <w:szCs w:val="18"/>
          <w:color w:val="363636"/>
        </w:rPr>
        <w:t xml:space="preserve">reasonable </w:t>
      </w:r>
      <w:r>
        <w:rPr>
          <w:rFonts w:ascii="Arial" w:cs="Arial" w:eastAsia="Arial" w:hAnsi="Arial"/>
          <w:sz w:val="18"/>
          <w:szCs w:val="18"/>
          <w:color w:val="262626"/>
        </w:rPr>
        <w:t>estimate of the costs Landlord will incur by reason of late payment by the Tenant. Acceptance of such late charge by Landlord</w:t>
      </w:r>
      <w:r>
        <w:rPr>
          <w:rFonts w:ascii="Arial" w:cs="Arial" w:eastAsia="Arial" w:hAnsi="Arial"/>
          <w:sz w:val="18"/>
          <w:szCs w:val="18"/>
          <w:color w:val="363636"/>
        </w:rPr>
        <w:t xml:space="preserve"> shall </w:t>
      </w:r>
      <w:r>
        <w:rPr>
          <w:rFonts w:ascii="Arial" w:cs="Arial" w:eastAsia="Arial" w:hAnsi="Arial"/>
          <w:sz w:val="18"/>
          <w:szCs w:val="18"/>
          <w:color w:val="262626"/>
        </w:rPr>
        <w:t xml:space="preserve">not prevent the Landlord </w:t>
      </w:r>
      <w:r>
        <w:rPr>
          <w:rFonts w:ascii="Arial" w:cs="Arial" w:eastAsia="Arial" w:hAnsi="Arial"/>
          <w:sz w:val="18"/>
          <w:szCs w:val="18"/>
          <w:color w:val="363636"/>
        </w:rPr>
        <w:t>from</w:t>
      </w:r>
      <w:r>
        <w:rPr>
          <w:rFonts w:ascii="Arial" w:cs="Arial" w:eastAsia="Arial" w:hAnsi="Arial"/>
          <w:sz w:val="18"/>
          <w:szCs w:val="18"/>
          <w:color w:val="262626"/>
        </w:rPr>
        <w:t xml:space="preserve"> exercising any of </w:t>
      </w:r>
      <w:r>
        <w:rPr>
          <w:rFonts w:ascii="Arial" w:cs="Arial" w:eastAsia="Arial" w:hAnsi="Arial"/>
          <w:sz w:val="18"/>
          <w:szCs w:val="18"/>
          <w:color w:val="363636"/>
        </w:rPr>
        <w:t>its</w:t>
      </w:r>
      <w:r>
        <w:rPr>
          <w:rFonts w:ascii="Arial" w:cs="Arial" w:eastAsia="Arial" w:hAnsi="Arial"/>
          <w:sz w:val="18"/>
          <w:szCs w:val="18"/>
          <w:color w:val="262626"/>
        </w:rPr>
        <w:t xml:space="preserve"> rights or remedies hereunder.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5</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133" w:name="page134"/>
    <w:bookmarkEnd w:id="133"/>
    <w:p>
      <w:pPr>
        <w:ind w:left="880"/>
        <w:spacing w:after="0"/>
        <w:tabs>
          <w:tab w:leader="none" w:pos="1760" w:val="left"/>
        </w:tabs>
        <w:rPr>
          <w:sz w:val="20"/>
          <w:szCs w:val="20"/>
          <w:color w:val="auto"/>
        </w:rPr>
      </w:pPr>
      <w:r>
        <w:rPr>
          <w:rFonts w:ascii="Arial" w:cs="Arial" w:eastAsia="Arial" w:hAnsi="Arial"/>
          <w:sz w:val="20"/>
          <w:szCs w:val="20"/>
          <w:color w:val="262626"/>
        </w:rPr>
        <w:t>3.4</w:t>
      </w:r>
      <w:r>
        <w:rPr>
          <w:sz w:val="20"/>
          <w:szCs w:val="20"/>
          <w:color w:val="auto"/>
        </w:rPr>
        <w:tab/>
      </w:r>
      <w:r>
        <w:rPr>
          <w:rFonts w:ascii="Arial" w:cs="Arial" w:eastAsia="Arial" w:hAnsi="Arial"/>
          <w:sz w:val="16"/>
          <w:szCs w:val="16"/>
          <w:u w:val="single" w:color="auto"/>
          <w:color w:val="363636"/>
        </w:rPr>
        <w:t>Rent</w:t>
      </w:r>
    </w:p>
    <w:p>
      <w:pPr>
        <w:spacing w:after="0" w:line="189" w:lineRule="exact"/>
        <w:rPr>
          <w:sz w:val="20"/>
          <w:szCs w:val="20"/>
          <w:color w:val="auto"/>
        </w:rPr>
      </w:pPr>
    </w:p>
    <w:p>
      <w:pPr>
        <w:ind w:right="260" w:firstLine="877"/>
        <w:spacing w:after="0" w:line="287" w:lineRule="auto"/>
        <w:rPr>
          <w:sz w:val="20"/>
          <w:szCs w:val="20"/>
          <w:color w:val="auto"/>
        </w:rPr>
      </w:pPr>
      <w:r>
        <w:rPr>
          <w:rFonts w:ascii="Arial" w:cs="Arial" w:eastAsia="Arial" w:hAnsi="Arial"/>
          <w:sz w:val="19"/>
          <w:szCs w:val="19"/>
          <w:color w:val="262626"/>
        </w:rPr>
        <w:t xml:space="preserve">For purposes of this Lease, “Rent” and “rent” shall include all amounts payable by Tenant to </w:t>
      </w:r>
      <w:r>
        <w:rPr>
          <w:rFonts w:ascii="Arial" w:cs="Arial" w:eastAsia="Arial" w:hAnsi="Arial"/>
          <w:sz w:val="19"/>
          <w:szCs w:val="19"/>
          <w:color w:val="363636"/>
        </w:rPr>
        <w:t>Landlord</w:t>
      </w:r>
      <w:r>
        <w:rPr>
          <w:rFonts w:ascii="Arial" w:cs="Arial" w:eastAsia="Arial" w:hAnsi="Arial"/>
          <w:sz w:val="19"/>
          <w:szCs w:val="19"/>
          <w:color w:val="262626"/>
        </w:rPr>
        <w:t xml:space="preserve"> under this Lease, including Basic Monthly Rent and all additional rent and other charges hereunder, regardless of how described or denominated.</w:t>
      </w:r>
    </w:p>
    <w:p>
      <w:pPr>
        <w:spacing w:after="0" w:line="13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3.5</w:t>
      </w:r>
      <w:r>
        <w:rPr>
          <w:sz w:val="20"/>
          <w:szCs w:val="20"/>
          <w:color w:val="auto"/>
        </w:rPr>
        <w:tab/>
      </w:r>
      <w:r>
        <w:rPr>
          <w:rFonts w:ascii="Arial" w:cs="Arial" w:eastAsia="Arial" w:hAnsi="Arial"/>
          <w:sz w:val="16"/>
          <w:szCs w:val="16"/>
          <w:u w:val="single" w:color="auto"/>
          <w:color w:val="262626"/>
        </w:rPr>
        <w:t xml:space="preserve">Prepaid </w:t>
      </w:r>
      <w:r>
        <w:rPr>
          <w:rFonts w:ascii="Arial" w:cs="Arial" w:eastAsia="Arial" w:hAnsi="Arial"/>
          <w:sz w:val="16"/>
          <w:szCs w:val="16"/>
          <w:u w:val="single" w:color="auto"/>
          <w:color w:val="363636"/>
        </w:rPr>
        <w:t>Rent</w:t>
      </w:r>
    </w:p>
    <w:p>
      <w:pPr>
        <w:spacing w:after="0" w:line="202" w:lineRule="exact"/>
        <w:rPr>
          <w:sz w:val="20"/>
          <w:szCs w:val="20"/>
          <w:color w:val="auto"/>
        </w:rPr>
      </w:pPr>
    </w:p>
    <w:p>
      <w:pPr>
        <w:ind w:right="180" w:firstLine="877"/>
        <w:spacing w:after="0" w:line="244" w:lineRule="auto"/>
        <w:rPr>
          <w:sz w:val="20"/>
          <w:szCs w:val="20"/>
          <w:color w:val="auto"/>
        </w:rPr>
      </w:pPr>
      <w:r>
        <w:rPr>
          <w:rFonts w:ascii="Arial" w:cs="Arial" w:eastAsia="Arial" w:hAnsi="Arial"/>
          <w:sz w:val="20"/>
          <w:szCs w:val="20"/>
          <w:color w:val="262626"/>
        </w:rPr>
        <w:t xml:space="preserve">Tenant </w:t>
      </w:r>
      <w:r>
        <w:rPr>
          <w:rFonts w:ascii="Arial" w:cs="Arial" w:eastAsia="Arial" w:hAnsi="Arial"/>
          <w:sz w:val="20"/>
          <w:szCs w:val="20"/>
          <w:color w:val="363636"/>
        </w:rPr>
        <w:t>shall provide</w:t>
      </w:r>
      <w:r>
        <w:rPr>
          <w:rFonts w:ascii="Arial" w:cs="Arial" w:eastAsia="Arial" w:hAnsi="Arial"/>
          <w:sz w:val="20"/>
          <w:szCs w:val="20"/>
          <w:color w:val="262626"/>
        </w:rPr>
        <w:t xml:space="preserve"> Landlord </w:t>
      </w:r>
      <w:r>
        <w:rPr>
          <w:rFonts w:ascii="Arial" w:cs="Arial" w:eastAsia="Arial" w:hAnsi="Arial"/>
          <w:sz w:val="20"/>
          <w:szCs w:val="20"/>
          <w:color w:val="363636"/>
        </w:rPr>
        <w:t>with</w:t>
      </w:r>
      <w:r>
        <w:rPr>
          <w:rFonts w:ascii="Arial" w:cs="Arial" w:eastAsia="Arial" w:hAnsi="Arial"/>
          <w:sz w:val="20"/>
          <w:szCs w:val="20"/>
          <w:color w:val="262626"/>
        </w:rPr>
        <w:t xml:space="preserve"> prepaid rent in the amount of Thirty </w:t>
      </w:r>
      <w:r>
        <w:rPr>
          <w:rFonts w:ascii="Arial" w:cs="Arial" w:eastAsia="Arial" w:hAnsi="Arial"/>
          <w:sz w:val="20"/>
          <w:szCs w:val="20"/>
          <w:color w:val="363636"/>
        </w:rPr>
        <w:t>Thousand Seven</w:t>
      </w:r>
      <w:r>
        <w:rPr>
          <w:rFonts w:ascii="Arial" w:cs="Arial" w:eastAsia="Arial" w:hAnsi="Arial"/>
          <w:sz w:val="20"/>
          <w:szCs w:val="20"/>
          <w:color w:val="262626"/>
        </w:rPr>
        <w:t xml:space="preserve"> Hundred </w:t>
      </w:r>
      <w:r>
        <w:rPr>
          <w:rFonts w:ascii="Arial" w:cs="Arial" w:eastAsia="Arial" w:hAnsi="Arial"/>
          <w:sz w:val="20"/>
          <w:szCs w:val="20"/>
          <w:color w:val="363636"/>
        </w:rPr>
        <w:t>and Fifty Dollars</w:t>
      </w:r>
      <w:r>
        <w:rPr>
          <w:rFonts w:ascii="Arial" w:cs="Arial" w:eastAsia="Arial" w:hAnsi="Arial"/>
          <w:sz w:val="20"/>
          <w:szCs w:val="20"/>
          <w:color w:val="262626"/>
        </w:rPr>
        <w:t xml:space="preserve"> and Seventy-Seven Cents </w:t>
      </w:r>
      <w:r>
        <w:rPr>
          <w:rFonts w:ascii="Arial" w:cs="Arial" w:eastAsia="Arial" w:hAnsi="Arial"/>
          <w:sz w:val="20"/>
          <w:szCs w:val="20"/>
          <w:color w:val="363636"/>
        </w:rPr>
        <w:t>($30,</w:t>
      </w:r>
      <w:r>
        <w:rPr>
          <w:rFonts w:ascii="Arial" w:cs="Arial" w:eastAsia="Arial" w:hAnsi="Arial"/>
          <w:sz w:val="20"/>
          <w:szCs w:val="20"/>
          <w:color w:val="262626"/>
        </w:rPr>
        <w:t xml:space="preserve">750.77) (the </w:t>
      </w:r>
      <w:r>
        <w:rPr>
          <w:rFonts w:ascii="Arial" w:cs="Arial" w:eastAsia="Arial" w:hAnsi="Arial"/>
          <w:sz w:val="20"/>
          <w:szCs w:val="20"/>
          <w:b w:val="1"/>
          <w:bCs w:val="1"/>
          <w:color w:val="262626"/>
        </w:rPr>
        <w:t>“Prepaid Rent”)</w:t>
      </w:r>
      <w:r>
        <w:rPr>
          <w:rFonts w:ascii="Arial" w:cs="Arial" w:eastAsia="Arial" w:hAnsi="Arial"/>
          <w:sz w:val="20"/>
          <w:szCs w:val="20"/>
          <w:color w:val="262626"/>
        </w:rPr>
        <w:t xml:space="preserve"> to be submitted within Fifteen (15) days of the full execution of this </w:t>
      </w:r>
      <w:r>
        <w:rPr>
          <w:rFonts w:ascii="Arial" w:cs="Arial" w:eastAsia="Arial" w:hAnsi="Arial"/>
          <w:sz w:val="20"/>
          <w:szCs w:val="20"/>
          <w:color w:val="363636"/>
        </w:rPr>
        <w:t>Lease</w:t>
      </w:r>
      <w:r>
        <w:rPr>
          <w:rFonts w:ascii="Arial" w:cs="Arial" w:eastAsia="Arial" w:hAnsi="Arial"/>
          <w:sz w:val="20"/>
          <w:szCs w:val="20"/>
          <w:color w:val="262626"/>
        </w:rPr>
        <w:t xml:space="preserve"> (but in any event prior to the delivery of possession of the Premises to Tenant). The Prepaid Rent shall be held by Landlord. The use, application or retention of the Prepaid Rent, or </w:t>
      </w:r>
      <w:r>
        <w:rPr>
          <w:rFonts w:ascii="Arial" w:cs="Arial" w:eastAsia="Arial" w:hAnsi="Arial"/>
          <w:sz w:val="20"/>
          <w:szCs w:val="20"/>
          <w:color w:val="363636"/>
        </w:rPr>
        <w:t>any</w:t>
      </w:r>
      <w:r>
        <w:rPr>
          <w:rFonts w:ascii="Arial" w:cs="Arial" w:eastAsia="Arial" w:hAnsi="Arial"/>
          <w:sz w:val="20"/>
          <w:szCs w:val="20"/>
          <w:color w:val="262626"/>
        </w:rPr>
        <w:t xml:space="preserve"> portion thereof, by Landlord shall </w:t>
      </w:r>
      <w:r>
        <w:rPr>
          <w:rFonts w:ascii="Arial" w:cs="Arial" w:eastAsia="Arial" w:hAnsi="Arial"/>
          <w:sz w:val="20"/>
          <w:szCs w:val="20"/>
          <w:color w:val="363636"/>
        </w:rPr>
        <w:t>not</w:t>
      </w:r>
      <w:r>
        <w:rPr>
          <w:rFonts w:ascii="Arial" w:cs="Arial" w:eastAsia="Arial" w:hAnsi="Arial"/>
          <w:sz w:val="20"/>
          <w:szCs w:val="20"/>
          <w:color w:val="262626"/>
        </w:rPr>
        <w:t xml:space="preserve"> prevent Landlord from exercising any other right or remedy provided by this Lease or by any applicable law.</w:t>
      </w:r>
    </w:p>
    <w:p>
      <w:pPr>
        <w:spacing w:after="0" w:line="168" w:lineRule="exact"/>
        <w:rPr>
          <w:sz w:val="20"/>
          <w:szCs w:val="20"/>
          <w:color w:val="auto"/>
        </w:rPr>
      </w:pPr>
    </w:p>
    <w:p>
      <w:pPr>
        <w:ind w:right="20" w:firstLine="877"/>
        <w:spacing w:after="0" w:line="270" w:lineRule="auto"/>
        <w:rPr>
          <w:sz w:val="20"/>
          <w:szCs w:val="20"/>
          <w:color w:val="auto"/>
        </w:rPr>
      </w:pPr>
      <w:r>
        <w:rPr>
          <w:rFonts w:ascii="Arial" w:cs="Arial" w:eastAsia="Arial" w:hAnsi="Arial"/>
          <w:sz w:val="18"/>
          <w:szCs w:val="18"/>
          <w:color w:val="363636"/>
        </w:rPr>
        <w:t xml:space="preserve">Provided </w:t>
      </w:r>
      <w:r>
        <w:rPr>
          <w:rFonts w:ascii="Arial" w:cs="Arial" w:eastAsia="Arial" w:hAnsi="Arial"/>
          <w:sz w:val="18"/>
          <w:szCs w:val="18"/>
          <w:color w:val="262626"/>
        </w:rPr>
        <w:t>that</w:t>
      </w:r>
      <w:r>
        <w:rPr>
          <w:rFonts w:ascii="Arial" w:cs="Arial" w:eastAsia="Arial" w:hAnsi="Arial"/>
          <w:sz w:val="18"/>
          <w:szCs w:val="18"/>
          <w:color w:val="363636"/>
        </w:rPr>
        <w:t xml:space="preserve"> Tenant is </w:t>
      </w:r>
      <w:r>
        <w:rPr>
          <w:rFonts w:ascii="Arial" w:cs="Arial" w:eastAsia="Arial" w:hAnsi="Arial"/>
          <w:sz w:val="18"/>
          <w:szCs w:val="18"/>
          <w:color w:val="262626"/>
        </w:rPr>
        <w:t>not</w:t>
      </w:r>
      <w:r>
        <w:rPr>
          <w:rFonts w:ascii="Arial" w:cs="Arial" w:eastAsia="Arial" w:hAnsi="Arial"/>
          <w:sz w:val="18"/>
          <w:szCs w:val="18"/>
          <w:color w:val="363636"/>
        </w:rPr>
        <w:t xml:space="preserve"> in default of any Lease </w:t>
      </w:r>
      <w:r>
        <w:rPr>
          <w:rFonts w:ascii="Arial" w:cs="Arial" w:eastAsia="Arial" w:hAnsi="Arial"/>
          <w:sz w:val="18"/>
          <w:szCs w:val="18"/>
          <w:color w:val="262626"/>
        </w:rPr>
        <w:t>terms,</w:t>
      </w:r>
      <w:r>
        <w:rPr>
          <w:rFonts w:ascii="Arial" w:cs="Arial" w:eastAsia="Arial" w:hAnsi="Arial"/>
          <w:sz w:val="18"/>
          <w:szCs w:val="18"/>
          <w:color w:val="363636"/>
        </w:rPr>
        <w:t xml:space="preserve"> Landlord </w:t>
      </w:r>
      <w:r>
        <w:rPr>
          <w:rFonts w:ascii="Arial" w:cs="Arial" w:eastAsia="Arial" w:hAnsi="Arial"/>
          <w:sz w:val="18"/>
          <w:szCs w:val="18"/>
          <w:color w:val="262626"/>
        </w:rPr>
        <w:t>shall</w:t>
      </w:r>
      <w:r>
        <w:rPr>
          <w:rFonts w:ascii="Arial" w:cs="Arial" w:eastAsia="Arial" w:hAnsi="Arial"/>
          <w:sz w:val="18"/>
          <w:szCs w:val="18"/>
          <w:color w:val="363636"/>
        </w:rPr>
        <w:t xml:space="preserve"> repay </w:t>
      </w:r>
      <w:r>
        <w:rPr>
          <w:rFonts w:ascii="Arial" w:cs="Arial" w:eastAsia="Arial" w:hAnsi="Arial"/>
          <w:sz w:val="18"/>
          <w:szCs w:val="18"/>
          <w:color w:val="262626"/>
        </w:rPr>
        <w:t>to Tenant the</w:t>
      </w:r>
      <w:r>
        <w:rPr>
          <w:rFonts w:ascii="Arial" w:cs="Arial" w:eastAsia="Arial" w:hAnsi="Arial"/>
          <w:sz w:val="18"/>
          <w:szCs w:val="18"/>
          <w:color w:val="363636"/>
        </w:rPr>
        <w:t xml:space="preserve"> Prepaid </w:t>
      </w:r>
      <w:r>
        <w:rPr>
          <w:rFonts w:ascii="Arial" w:cs="Arial" w:eastAsia="Arial" w:hAnsi="Arial"/>
          <w:sz w:val="18"/>
          <w:szCs w:val="18"/>
          <w:color w:val="262626"/>
        </w:rPr>
        <w:t>Rent</w:t>
      </w:r>
      <w:r>
        <w:rPr>
          <w:rFonts w:ascii="Arial" w:cs="Arial" w:eastAsia="Arial" w:hAnsi="Arial"/>
          <w:sz w:val="18"/>
          <w:szCs w:val="18"/>
          <w:color w:val="363636"/>
        </w:rPr>
        <w:t xml:space="preserve"> to </w:t>
      </w:r>
      <w:r>
        <w:rPr>
          <w:rFonts w:ascii="Arial" w:cs="Arial" w:eastAsia="Arial" w:hAnsi="Arial"/>
          <w:sz w:val="18"/>
          <w:szCs w:val="18"/>
          <w:color w:val="262626"/>
        </w:rPr>
        <w:t>be</w:t>
      </w:r>
      <w:r>
        <w:rPr>
          <w:rFonts w:ascii="Arial" w:cs="Arial" w:eastAsia="Arial" w:hAnsi="Arial"/>
          <w:sz w:val="18"/>
          <w:szCs w:val="18"/>
          <w:color w:val="363636"/>
        </w:rPr>
        <w:t xml:space="preserve"> applied to </w:t>
      </w:r>
      <w:r>
        <w:rPr>
          <w:rFonts w:ascii="Arial" w:cs="Arial" w:eastAsia="Arial" w:hAnsi="Arial"/>
          <w:sz w:val="18"/>
          <w:szCs w:val="18"/>
          <w:color w:val="262626"/>
        </w:rPr>
        <w:t>the</w:t>
      </w:r>
      <w:r>
        <w:rPr>
          <w:rFonts w:ascii="Arial" w:cs="Arial" w:eastAsia="Arial" w:hAnsi="Arial"/>
          <w:sz w:val="18"/>
          <w:szCs w:val="18"/>
          <w:color w:val="363636"/>
        </w:rPr>
        <w:t xml:space="preserve"> sixtieth (60</w:t>
      </w:r>
      <w:r>
        <w:rPr>
          <w:rFonts w:ascii="Arial" w:cs="Arial" w:eastAsia="Arial" w:hAnsi="Arial"/>
          <w:sz w:val="14"/>
          <w:szCs w:val="14"/>
          <w:color w:val="363636"/>
        </w:rPr>
        <w:t>th</w:t>
      </w:r>
      <w:r>
        <w:rPr>
          <w:rFonts w:ascii="Arial" w:cs="Arial" w:eastAsia="Arial" w:hAnsi="Arial"/>
          <w:sz w:val="18"/>
          <w:szCs w:val="18"/>
          <w:color w:val="262626"/>
        </w:rPr>
        <w:t>) month</w:t>
      </w:r>
      <w:r>
        <w:rPr>
          <w:rFonts w:ascii="Arial" w:cs="Arial" w:eastAsia="Arial" w:hAnsi="Arial"/>
          <w:sz w:val="18"/>
          <w:szCs w:val="18"/>
          <w:color w:val="363636"/>
        </w:rPr>
        <w:t>’</w:t>
      </w:r>
      <w:r>
        <w:rPr>
          <w:rFonts w:ascii="Arial" w:cs="Arial" w:eastAsia="Arial" w:hAnsi="Arial"/>
          <w:sz w:val="18"/>
          <w:szCs w:val="18"/>
          <w:color w:val="262626"/>
        </w:rPr>
        <w:t>s rent</w:t>
      </w:r>
      <w:r>
        <w:rPr>
          <w:rFonts w:ascii="Arial" w:cs="Arial" w:eastAsia="Arial" w:hAnsi="Arial"/>
          <w:sz w:val="18"/>
          <w:szCs w:val="18"/>
          <w:color w:val="363636"/>
        </w:rPr>
        <w:t xml:space="preserve"> within </w:t>
      </w:r>
      <w:r>
        <w:rPr>
          <w:rFonts w:ascii="Arial" w:cs="Arial" w:eastAsia="Arial" w:hAnsi="Arial"/>
          <w:sz w:val="18"/>
          <w:szCs w:val="18"/>
          <w:color w:val="262626"/>
        </w:rPr>
        <w:t>thirty</w:t>
      </w:r>
      <w:r>
        <w:rPr>
          <w:rFonts w:ascii="Arial" w:cs="Arial" w:eastAsia="Arial" w:hAnsi="Arial"/>
          <w:sz w:val="18"/>
          <w:szCs w:val="18"/>
          <w:color w:val="363636"/>
        </w:rPr>
        <w:t xml:space="preserve"> (30) days </w:t>
      </w:r>
      <w:r>
        <w:rPr>
          <w:rFonts w:ascii="Arial" w:cs="Arial" w:eastAsia="Arial" w:hAnsi="Arial"/>
          <w:sz w:val="18"/>
          <w:szCs w:val="18"/>
          <w:color w:val="262626"/>
        </w:rPr>
        <w:t>of</w:t>
      </w:r>
      <w:r>
        <w:rPr>
          <w:rFonts w:ascii="Arial" w:cs="Arial" w:eastAsia="Arial" w:hAnsi="Arial"/>
          <w:sz w:val="18"/>
          <w:szCs w:val="18"/>
          <w:color w:val="363636"/>
        </w:rPr>
        <w:t xml:space="preserve"> written </w:t>
      </w:r>
      <w:r>
        <w:rPr>
          <w:rFonts w:ascii="Arial" w:cs="Arial" w:eastAsia="Arial" w:hAnsi="Arial"/>
          <w:sz w:val="18"/>
          <w:szCs w:val="18"/>
          <w:color w:val="262626"/>
        </w:rPr>
        <w:t>request</w:t>
      </w:r>
      <w:r>
        <w:rPr>
          <w:rFonts w:ascii="Arial" w:cs="Arial" w:eastAsia="Arial" w:hAnsi="Arial"/>
          <w:sz w:val="18"/>
          <w:szCs w:val="18"/>
          <w:color w:val="363636"/>
        </w:rPr>
        <w:t xml:space="preserve"> from Tenant. </w:t>
      </w:r>
      <w:r>
        <w:rPr>
          <w:rFonts w:ascii="Arial" w:cs="Arial" w:eastAsia="Arial" w:hAnsi="Arial"/>
          <w:sz w:val="18"/>
          <w:szCs w:val="18"/>
          <w:color w:val="262626"/>
        </w:rPr>
        <w:t>If</w:t>
      </w:r>
      <w:r>
        <w:rPr>
          <w:rFonts w:ascii="Arial" w:cs="Arial" w:eastAsia="Arial" w:hAnsi="Arial"/>
          <w:sz w:val="18"/>
          <w:szCs w:val="18"/>
          <w:color w:val="363636"/>
        </w:rPr>
        <w:t xml:space="preserve"> Tenant fails to </w:t>
      </w:r>
      <w:r>
        <w:rPr>
          <w:rFonts w:ascii="Arial" w:cs="Arial" w:eastAsia="Arial" w:hAnsi="Arial"/>
          <w:sz w:val="18"/>
          <w:szCs w:val="18"/>
          <w:color w:val="262626"/>
        </w:rPr>
        <w:t>pay</w:t>
      </w:r>
      <w:r>
        <w:rPr>
          <w:rFonts w:ascii="Arial" w:cs="Arial" w:eastAsia="Arial" w:hAnsi="Arial"/>
          <w:sz w:val="18"/>
          <w:szCs w:val="18"/>
          <w:color w:val="363636"/>
        </w:rPr>
        <w:t xml:space="preserve"> any Rent, </w:t>
      </w:r>
      <w:r>
        <w:rPr>
          <w:rFonts w:ascii="Arial" w:cs="Arial" w:eastAsia="Arial" w:hAnsi="Arial"/>
          <w:sz w:val="18"/>
          <w:szCs w:val="18"/>
          <w:color w:val="262626"/>
        </w:rPr>
        <w:t>or otherwise Defaults with</w:t>
      </w:r>
      <w:r>
        <w:rPr>
          <w:rFonts w:ascii="Arial" w:cs="Arial" w:eastAsia="Arial" w:hAnsi="Arial"/>
          <w:sz w:val="18"/>
          <w:szCs w:val="18"/>
          <w:color w:val="363636"/>
        </w:rPr>
        <w:t xml:space="preserve"> </w:t>
      </w:r>
      <w:r>
        <w:rPr>
          <w:rFonts w:ascii="Arial" w:cs="Arial" w:eastAsia="Arial" w:hAnsi="Arial"/>
          <w:sz w:val="18"/>
          <w:szCs w:val="18"/>
          <w:color w:val="262626"/>
        </w:rPr>
        <w:t xml:space="preserve">respect to any provision of the Lease, Landlord may (but shall not be obligated to), and without prejudice to any other </w:t>
      </w:r>
      <w:r>
        <w:rPr>
          <w:rFonts w:ascii="Arial" w:cs="Arial" w:eastAsia="Arial" w:hAnsi="Arial"/>
          <w:sz w:val="18"/>
          <w:szCs w:val="18"/>
          <w:color w:val="363636"/>
        </w:rPr>
        <w:t>remedy available</w:t>
      </w:r>
      <w:r>
        <w:rPr>
          <w:rFonts w:ascii="Arial" w:cs="Arial" w:eastAsia="Arial" w:hAnsi="Arial"/>
          <w:sz w:val="18"/>
          <w:szCs w:val="18"/>
          <w:color w:val="262626"/>
        </w:rPr>
        <w:t xml:space="preserve"> to Landlord</w:t>
      </w:r>
      <w:r>
        <w:rPr>
          <w:rFonts w:ascii="Arial" w:cs="Arial" w:eastAsia="Arial" w:hAnsi="Arial"/>
          <w:sz w:val="18"/>
          <w:szCs w:val="18"/>
          <w:color w:val="575757"/>
        </w:rPr>
        <w:t>,</w:t>
      </w:r>
      <w:r>
        <w:rPr>
          <w:rFonts w:ascii="Arial" w:cs="Arial" w:eastAsia="Arial" w:hAnsi="Arial"/>
          <w:sz w:val="18"/>
          <w:szCs w:val="18"/>
          <w:color w:val="262626"/>
        </w:rPr>
        <w:t xml:space="preserve"> use, </w:t>
      </w:r>
      <w:r>
        <w:rPr>
          <w:rFonts w:ascii="Arial" w:cs="Arial" w:eastAsia="Arial" w:hAnsi="Arial"/>
          <w:sz w:val="18"/>
          <w:szCs w:val="18"/>
          <w:color w:val="363636"/>
        </w:rPr>
        <w:t>apply</w:t>
      </w:r>
      <w:r>
        <w:rPr>
          <w:rFonts w:ascii="Arial" w:cs="Arial" w:eastAsia="Arial" w:hAnsi="Arial"/>
          <w:sz w:val="18"/>
          <w:szCs w:val="18"/>
          <w:color w:val="262626"/>
        </w:rPr>
        <w:t xml:space="preserve"> or retain all or any portion of the Repaid Rent for the payment of </w:t>
      </w:r>
      <w:r>
        <w:rPr>
          <w:rFonts w:ascii="Arial" w:cs="Arial" w:eastAsia="Arial" w:hAnsi="Arial"/>
          <w:sz w:val="18"/>
          <w:szCs w:val="18"/>
          <w:color w:val="363636"/>
        </w:rPr>
        <w:t>any</w:t>
      </w:r>
      <w:r>
        <w:rPr>
          <w:rFonts w:ascii="Arial" w:cs="Arial" w:eastAsia="Arial" w:hAnsi="Arial"/>
          <w:sz w:val="18"/>
          <w:szCs w:val="18"/>
          <w:color w:val="262626"/>
        </w:rPr>
        <w:t xml:space="preserve"> Rent then in </w:t>
      </w:r>
      <w:r>
        <w:rPr>
          <w:rFonts w:ascii="Arial" w:cs="Arial" w:eastAsia="Arial" w:hAnsi="Arial"/>
          <w:sz w:val="18"/>
          <w:szCs w:val="18"/>
          <w:color w:val="363636"/>
        </w:rPr>
        <w:t>default for the</w:t>
      </w:r>
      <w:r>
        <w:rPr>
          <w:rFonts w:ascii="Arial" w:cs="Arial" w:eastAsia="Arial" w:hAnsi="Arial"/>
          <w:sz w:val="18"/>
          <w:szCs w:val="18"/>
          <w:color w:val="262626"/>
        </w:rPr>
        <w:t xml:space="preserve"> payment of any other sum to which Landlord may become obligated by reason of Tenant’ Default, or to compensate Landlord for any loss or damage which Landlord may suffer thereby. Tenant waives the provisions of California Civil Code Section </w:t>
      </w:r>
      <w:r>
        <w:rPr>
          <w:rFonts w:ascii="Arial" w:cs="Arial" w:eastAsia="Arial" w:hAnsi="Arial"/>
          <w:sz w:val="18"/>
          <w:szCs w:val="18"/>
          <w:color w:val="363636"/>
        </w:rPr>
        <w:t>1950.</w:t>
      </w:r>
      <w:r>
        <w:rPr>
          <w:rFonts w:ascii="Arial" w:cs="Arial" w:eastAsia="Arial" w:hAnsi="Arial"/>
          <w:sz w:val="18"/>
          <w:szCs w:val="18"/>
          <w:color w:val="262626"/>
        </w:rPr>
        <w:t xml:space="preserve">7 and all other provisions of law now in force or that become in force </w:t>
      </w:r>
      <w:r>
        <w:rPr>
          <w:rFonts w:ascii="Arial" w:cs="Arial" w:eastAsia="Arial" w:hAnsi="Arial"/>
          <w:sz w:val="18"/>
          <w:szCs w:val="18"/>
          <w:color w:val="363636"/>
        </w:rPr>
        <w:t>after</w:t>
      </w:r>
      <w:r>
        <w:rPr>
          <w:rFonts w:ascii="Arial" w:cs="Arial" w:eastAsia="Arial" w:hAnsi="Arial"/>
          <w:sz w:val="18"/>
          <w:szCs w:val="18"/>
          <w:color w:val="262626"/>
        </w:rPr>
        <w:t xml:space="preserve"> the date of execution of this Lease that provide that Landlord may claim from the Prepaid Rent only those sums reasonably necessary to remedy Defaults in the payment of Rent, to repair damage caused by </w:t>
      </w:r>
      <w:r>
        <w:rPr>
          <w:rFonts w:ascii="Arial" w:cs="Arial" w:eastAsia="Arial" w:hAnsi="Arial"/>
          <w:sz w:val="18"/>
          <w:szCs w:val="18"/>
          <w:color w:val="363636"/>
        </w:rPr>
        <w:t>Tenant,</w:t>
      </w:r>
      <w:r>
        <w:rPr>
          <w:rFonts w:ascii="Arial" w:cs="Arial" w:eastAsia="Arial" w:hAnsi="Arial"/>
          <w:sz w:val="18"/>
          <w:szCs w:val="18"/>
          <w:color w:val="262626"/>
        </w:rPr>
        <w:t xml:space="preserve"> or to clean the Premises. If Landlord uses or </w:t>
      </w:r>
      <w:r>
        <w:rPr>
          <w:rFonts w:ascii="Arial" w:cs="Arial" w:eastAsia="Arial" w:hAnsi="Arial"/>
          <w:sz w:val="18"/>
          <w:szCs w:val="18"/>
          <w:color w:val="363636"/>
        </w:rPr>
        <w:t>applies</w:t>
      </w:r>
      <w:r>
        <w:rPr>
          <w:rFonts w:ascii="Arial" w:cs="Arial" w:eastAsia="Arial" w:hAnsi="Arial"/>
          <w:sz w:val="18"/>
          <w:szCs w:val="18"/>
          <w:color w:val="262626"/>
        </w:rPr>
        <w:t xml:space="preserve"> all or any portion of the Prepaid Rent as provided </w:t>
      </w:r>
      <w:r>
        <w:rPr>
          <w:rFonts w:ascii="Arial" w:cs="Arial" w:eastAsia="Arial" w:hAnsi="Arial"/>
          <w:sz w:val="18"/>
          <w:szCs w:val="18"/>
          <w:color w:val="363636"/>
        </w:rPr>
        <w:t>above,</w:t>
      </w:r>
      <w:r>
        <w:rPr>
          <w:rFonts w:ascii="Arial" w:cs="Arial" w:eastAsia="Arial" w:hAnsi="Arial"/>
          <w:sz w:val="18"/>
          <w:szCs w:val="18"/>
          <w:color w:val="262626"/>
        </w:rPr>
        <w:t xml:space="preserve"> Tenant shall, within ten </w:t>
      </w:r>
      <w:r>
        <w:rPr>
          <w:rFonts w:ascii="Arial" w:cs="Arial" w:eastAsia="Arial" w:hAnsi="Arial"/>
          <w:sz w:val="18"/>
          <w:szCs w:val="18"/>
          <w:color w:val="363636"/>
        </w:rPr>
        <w:t>(10)</w:t>
      </w:r>
      <w:r>
        <w:rPr>
          <w:rFonts w:ascii="Arial" w:cs="Arial" w:eastAsia="Arial" w:hAnsi="Arial"/>
          <w:sz w:val="18"/>
          <w:szCs w:val="18"/>
          <w:color w:val="262626"/>
        </w:rPr>
        <w:t xml:space="preserve"> days after demand therefor, deposit cash with Landlord in an amount sufficient to restore the Prepaid Rent to the full amount thereof, and Tenant’s failure to do so shall, at </w:t>
      </w:r>
      <w:r>
        <w:rPr>
          <w:rFonts w:ascii="Arial" w:cs="Arial" w:eastAsia="Arial" w:hAnsi="Arial"/>
          <w:sz w:val="18"/>
          <w:szCs w:val="18"/>
          <w:color w:val="363636"/>
        </w:rPr>
        <w:t>Landlord’s</w:t>
      </w:r>
      <w:r>
        <w:rPr>
          <w:rFonts w:ascii="Arial" w:cs="Arial" w:eastAsia="Arial" w:hAnsi="Arial"/>
          <w:sz w:val="18"/>
          <w:szCs w:val="18"/>
          <w:color w:val="262626"/>
        </w:rPr>
        <w:t xml:space="preserve"> option, be an </w:t>
      </w:r>
      <w:r>
        <w:rPr>
          <w:rFonts w:ascii="Arial" w:cs="Arial" w:eastAsia="Arial" w:hAnsi="Arial"/>
          <w:sz w:val="18"/>
          <w:szCs w:val="18"/>
          <w:color w:val="363636"/>
        </w:rPr>
        <w:t>Event</w:t>
      </w:r>
      <w:r>
        <w:rPr>
          <w:rFonts w:ascii="Arial" w:cs="Arial" w:eastAsia="Arial" w:hAnsi="Arial"/>
          <w:sz w:val="18"/>
          <w:szCs w:val="18"/>
          <w:color w:val="262626"/>
        </w:rPr>
        <w:t xml:space="preserve"> of Default (as defined in Section 16.1 below) under this Lease. Landlord shall not be required to keep the Prepaid Rent separate from its general accounts. If Tenant performs all of Tenant’s obligations hereunder, the Prepaid Rent, or so much thereof as has not theretofore been applied by Landlord, shall</w:t>
      </w:r>
      <w:r>
        <w:rPr>
          <w:rFonts w:ascii="Arial" w:cs="Arial" w:eastAsia="Arial" w:hAnsi="Arial"/>
          <w:sz w:val="18"/>
          <w:szCs w:val="18"/>
          <w:color w:val="3F3F3F"/>
        </w:rPr>
        <w:t>,</w:t>
      </w:r>
      <w:r>
        <w:rPr>
          <w:rFonts w:ascii="Arial" w:cs="Arial" w:eastAsia="Arial" w:hAnsi="Arial"/>
          <w:sz w:val="18"/>
          <w:szCs w:val="18"/>
          <w:color w:val="262626"/>
        </w:rPr>
        <w:t xml:space="preserve"> without payment of interest or other increment for its use pay Rent due for the last month of the Term. No trust relationship is created herein between Landlord and Tenant with respect to Prepaid Rent.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4</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ADDITIONAL RENT</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4.1</w:t>
      </w:r>
      <w:r>
        <w:rPr>
          <w:sz w:val="20"/>
          <w:szCs w:val="20"/>
          <w:color w:val="auto"/>
        </w:rPr>
        <w:tab/>
      </w:r>
      <w:r>
        <w:rPr>
          <w:rFonts w:ascii="Arial" w:cs="Arial" w:eastAsia="Arial" w:hAnsi="Arial"/>
          <w:sz w:val="18"/>
          <w:szCs w:val="18"/>
          <w:u w:val="single" w:color="auto"/>
          <w:color w:val="262626"/>
        </w:rPr>
        <w:t>In</w:t>
      </w:r>
      <w:r>
        <w:rPr>
          <w:rFonts w:ascii="Arial" w:cs="Arial" w:eastAsia="Arial" w:hAnsi="Arial"/>
          <w:sz w:val="18"/>
          <w:szCs w:val="18"/>
          <w:u w:val="single" w:color="auto"/>
          <w:color w:val="3F3F3F"/>
        </w:rPr>
        <w:t>c</w:t>
      </w:r>
      <w:r>
        <w:rPr>
          <w:rFonts w:ascii="Arial" w:cs="Arial" w:eastAsia="Arial" w:hAnsi="Arial"/>
          <w:sz w:val="18"/>
          <w:szCs w:val="18"/>
          <w:u w:val="single" w:color="auto"/>
          <w:color w:val="262626"/>
        </w:rPr>
        <w:t>re</w:t>
      </w:r>
      <w:r>
        <w:rPr>
          <w:rFonts w:ascii="Arial" w:cs="Arial" w:eastAsia="Arial" w:hAnsi="Arial"/>
          <w:sz w:val="18"/>
          <w:szCs w:val="18"/>
          <w:u w:val="single" w:color="auto"/>
          <w:color w:val="3F3F3F"/>
        </w:rPr>
        <w:t>ase</w:t>
      </w:r>
      <w:r>
        <w:rPr>
          <w:rFonts w:ascii="Arial" w:cs="Arial" w:eastAsia="Arial" w:hAnsi="Arial"/>
          <w:sz w:val="18"/>
          <w:szCs w:val="18"/>
          <w:u w:val="single" w:color="auto"/>
          <w:color w:val="262626"/>
        </w:rPr>
        <w:t>d Dir</w:t>
      </w:r>
      <w:r>
        <w:rPr>
          <w:rFonts w:ascii="Arial" w:cs="Arial" w:eastAsia="Arial" w:hAnsi="Arial"/>
          <w:sz w:val="18"/>
          <w:szCs w:val="18"/>
          <w:u w:val="single" w:color="auto"/>
          <w:color w:val="3F3F3F"/>
        </w:rPr>
        <w:t>e</w:t>
      </w:r>
      <w:r>
        <w:rPr>
          <w:rFonts w:ascii="Arial" w:cs="Arial" w:eastAsia="Arial" w:hAnsi="Arial"/>
          <w:sz w:val="18"/>
          <w:szCs w:val="18"/>
          <w:u w:val="single" w:color="auto"/>
          <w:color w:val="262626"/>
        </w:rPr>
        <w:t xml:space="preserve">ct </w:t>
      </w:r>
      <w:r>
        <w:rPr>
          <w:rFonts w:ascii="Arial" w:cs="Arial" w:eastAsia="Arial" w:hAnsi="Arial"/>
          <w:sz w:val="18"/>
          <w:szCs w:val="18"/>
          <w:u w:val="single" w:color="auto"/>
          <w:color w:val="3F3F3F"/>
        </w:rPr>
        <w:t>Expe</w:t>
      </w:r>
      <w:r>
        <w:rPr>
          <w:rFonts w:ascii="Arial" w:cs="Arial" w:eastAsia="Arial" w:hAnsi="Arial"/>
          <w:sz w:val="18"/>
          <w:szCs w:val="18"/>
          <w:u w:val="single" w:color="auto"/>
          <w:color w:val="262626"/>
        </w:rPr>
        <w:t>n</w:t>
      </w:r>
      <w:r>
        <w:rPr>
          <w:rFonts w:ascii="Arial" w:cs="Arial" w:eastAsia="Arial" w:hAnsi="Arial"/>
          <w:sz w:val="18"/>
          <w:szCs w:val="18"/>
          <w:u w:val="single" w:color="auto"/>
          <w:color w:val="3F3F3F"/>
        </w:rPr>
        <w:t>s</w:t>
      </w:r>
      <w:r>
        <w:rPr>
          <w:rFonts w:ascii="Arial" w:cs="Arial" w:eastAsia="Arial" w:hAnsi="Arial"/>
          <w:sz w:val="18"/>
          <w:szCs w:val="18"/>
          <w:u w:val="single" w:color="auto"/>
          <w:color w:val="262626"/>
        </w:rPr>
        <w:t>e</w:t>
      </w:r>
      <w:r>
        <w:rPr>
          <w:rFonts w:ascii="Arial" w:cs="Arial" w:eastAsia="Arial" w:hAnsi="Arial"/>
          <w:sz w:val="18"/>
          <w:szCs w:val="18"/>
          <w:u w:val="single" w:color="auto"/>
          <w:color w:val="3F3F3F"/>
        </w:rPr>
        <w:t>s</w:t>
      </w:r>
    </w:p>
    <w:p>
      <w:pPr>
        <w:spacing w:after="0" w:line="189" w:lineRule="exact"/>
        <w:rPr>
          <w:sz w:val="20"/>
          <w:szCs w:val="20"/>
          <w:color w:val="auto"/>
        </w:rPr>
      </w:pPr>
    </w:p>
    <w:p>
      <w:pPr>
        <w:ind w:right="80" w:firstLine="877"/>
        <w:spacing w:after="0" w:line="313" w:lineRule="auto"/>
        <w:rPr>
          <w:sz w:val="20"/>
          <w:szCs w:val="20"/>
          <w:color w:val="auto"/>
        </w:rPr>
      </w:pPr>
      <w:r>
        <w:rPr>
          <w:rFonts w:ascii="Arial" w:cs="Arial" w:eastAsia="Arial" w:hAnsi="Arial"/>
          <w:sz w:val="16"/>
          <w:szCs w:val="16"/>
          <w:color w:val="262626"/>
        </w:rPr>
        <w:t>The “Base Year” is that calendar year specified in Paragraph 6 of the Basic Lease Information</w:t>
      </w:r>
      <w:r>
        <w:rPr>
          <w:rFonts w:ascii="Arial" w:cs="Arial" w:eastAsia="Arial" w:hAnsi="Arial"/>
          <w:sz w:val="16"/>
          <w:szCs w:val="16"/>
          <w:color w:val="3F3F3F"/>
        </w:rPr>
        <w:t>.</w:t>
      </w:r>
      <w:r>
        <w:rPr>
          <w:rFonts w:ascii="Arial" w:cs="Arial" w:eastAsia="Arial" w:hAnsi="Arial"/>
          <w:sz w:val="16"/>
          <w:szCs w:val="16"/>
          <w:color w:val="262626"/>
        </w:rPr>
        <w:t xml:space="preserve"> During each calendar year of the Term subsequent to the Base Year Tenant shall pay to Landlord, as additional rent, Tenant’s Percentage Share (as specified in the Basic Lease Information) of any increase in Direct Expenses (as defined in Section 4.2) paid or incurred by the Landlord during such calendar year (which increase is hereinafter referred to as the “Increased Direct Expenses”). Landlord may, at or after the start of any calendar year subsequent to the Base Year, notify Tenant of the amount which Landlord estimates will be Tenant’s monthly share of Increased Direct Expenses for such calendar year, and Tenant shall pay such amount as additional rent on or before the first day of each month of the Term, along with the Basic Monthly Rent payments required to be made by Tenant in such year. If during the Base Year or any succeeding calendar year</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6</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34" w:name="page135"/>
    <w:bookmarkEnd w:id="134"/>
    <w:p>
      <w:pPr>
        <w:ind w:right="120"/>
        <w:spacing w:after="0" w:line="244" w:lineRule="auto"/>
        <w:rPr>
          <w:sz w:val="20"/>
          <w:szCs w:val="20"/>
          <w:color w:val="auto"/>
        </w:rPr>
      </w:pPr>
      <w:r>
        <w:rPr>
          <w:rFonts w:ascii="Arial" w:cs="Arial" w:eastAsia="Arial" w:hAnsi="Arial"/>
          <w:sz w:val="20"/>
          <w:szCs w:val="20"/>
          <w:color w:val="262626"/>
        </w:rPr>
        <w:t>less than one hundred percent (100%) of the Building is leased and occupied, then the amount of Direct Expenses allocable to the subject calendar year for purposes of Tenant’s Percentage Share of Increased Direct Expenses shall be increased to an amount reasonably estimated by Landlord to be the amount of Direct Expenses which would have been paid or incurred if one hundred percent (100%) of the Rentable Area of the Building had been occupied during the subject year. Tenant’s Percentage Share may be adjusted from time to time for certain Direct Expenses due to the pool of tenants who are provided such services.</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4.2</w:t>
      </w:r>
      <w:r>
        <w:rPr>
          <w:sz w:val="20"/>
          <w:szCs w:val="20"/>
          <w:color w:val="auto"/>
        </w:rPr>
        <w:tab/>
      </w:r>
      <w:r>
        <w:rPr>
          <w:rFonts w:ascii="Arial" w:cs="Arial" w:eastAsia="Arial" w:hAnsi="Arial"/>
          <w:sz w:val="18"/>
          <w:szCs w:val="18"/>
          <w:u w:val="single" w:color="auto"/>
          <w:color w:val="3F3F3F"/>
        </w:rPr>
        <w:t xml:space="preserve">Definition </w:t>
      </w:r>
      <w:r>
        <w:rPr>
          <w:rFonts w:ascii="Arial" w:cs="Arial" w:eastAsia="Arial" w:hAnsi="Arial"/>
          <w:sz w:val="18"/>
          <w:szCs w:val="18"/>
          <w:color w:val="262626"/>
        </w:rPr>
        <w:t>o</w:t>
      </w:r>
      <w:r>
        <w:rPr>
          <w:rFonts w:ascii="Arial" w:cs="Arial" w:eastAsia="Arial" w:hAnsi="Arial"/>
          <w:sz w:val="18"/>
          <w:szCs w:val="18"/>
          <w:u w:val="single" w:color="auto"/>
          <w:color w:val="3F3F3F"/>
        </w:rPr>
        <w:t xml:space="preserve">f </w:t>
      </w:r>
      <w:r>
        <w:rPr>
          <w:rFonts w:ascii="Arial" w:cs="Arial" w:eastAsia="Arial" w:hAnsi="Arial"/>
          <w:sz w:val="18"/>
          <w:szCs w:val="18"/>
          <w:u w:val="single" w:color="auto"/>
          <w:color w:val="262626"/>
        </w:rPr>
        <w:t>Dire</w:t>
      </w:r>
      <w:r>
        <w:rPr>
          <w:rFonts w:ascii="Arial" w:cs="Arial" w:eastAsia="Arial" w:hAnsi="Arial"/>
          <w:sz w:val="18"/>
          <w:szCs w:val="18"/>
          <w:u w:val="single" w:color="auto"/>
          <w:color w:val="3F3F3F"/>
        </w:rPr>
        <w:t>ct E</w:t>
      </w:r>
      <w:r>
        <w:rPr>
          <w:rFonts w:ascii="Arial" w:cs="Arial" w:eastAsia="Arial" w:hAnsi="Arial"/>
          <w:sz w:val="18"/>
          <w:szCs w:val="18"/>
          <w:u w:val="single" w:color="auto"/>
          <w:color w:val="262626"/>
        </w:rPr>
        <w:t>xp</w:t>
      </w:r>
      <w:r>
        <w:rPr>
          <w:rFonts w:ascii="Arial" w:cs="Arial" w:eastAsia="Arial" w:hAnsi="Arial"/>
          <w:sz w:val="18"/>
          <w:szCs w:val="18"/>
          <w:u w:val="single" w:color="auto"/>
          <w:color w:val="3F3F3F"/>
        </w:rPr>
        <w:t>e</w:t>
      </w:r>
      <w:r>
        <w:rPr>
          <w:rFonts w:ascii="Arial" w:cs="Arial" w:eastAsia="Arial" w:hAnsi="Arial"/>
          <w:sz w:val="18"/>
          <w:szCs w:val="18"/>
          <w:u w:val="single" w:color="auto"/>
          <w:color w:val="262626"/>
        </w:rPr>
        <w:t>ns</w:t>
      </w:r>
      <w:r>
        <w:rPr>
          <w:rFonts w:ascii="Arial" w:cs="Arial" w:eastAsia="Arial" w:hAnsi="Arial"/>
          <w:sz w:val="18"/>
          <w:szCs w:val="18"/>
          <w:u w:val="single" w:color="auto"/>
          <w:color w:val="3F3F3F"/>
        </w:rPr>
        <w: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-14605</wp:posOffset>
            </wp:positionV>
            <wp:extent cx="984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8425" cy="8890"/>
                    </a:xfrm>
                    <a:prstGeom prst="rect">
                      <a:avLst/>
                    </a:prstGeom>
                    <a:noFill/>
                  </pic:spPr>
                </pic:pic>
              </a:graphicData>
            </a:graphic>
          </wp:anchor>
        </w:drawing>
      </w:r>
    </w:p>
    <w:p>
      <w:pPr>
        <w:spacing w:after="0" w:line="182" w:lineRule="exact"/>
        <w:rPr>
          <w:sz w:val="20"/>
          <w:szCs w:val="20"/>
          <w:color w:val="auto"/>
        </w:rPr>
      </w:pPr>
    </w:p>
    <w:p>
      <w:pPr>
        <w:ind w:right="360" w:firstLine="877"/>
        <w:spacing w:after="0" w:line="260" w:lineRule="auto"/>
        <w:rPr>
          <w:sz w:val="20"/>
          <w:szCs w:val="20"/>
          <w:color w:val="auto"/>
        </w:rPr>
      </w:pPr>
      <w:r>
        <w:rPr>
          <w:rFonts w:ascii="Arial" w:cs="Arial" w:eastAsia="Arial" w:hAnsi="Arial"/>
          <w:sz w:val="20"/>
          <w:szCs w:val="20"/>
          <w:color w:val="262626"/>
        </w:rPr>
        <w:t>“Direct Expenses” as used herein shall include all costs, charges and expenses incurred in the course of ownership</w:t>
      </w:r>
      <w:r>
        <w:rPr>
          <w:rFonts w:ascii="Arial" w:cs="Arial" w:eastAsia="Arial" w:hAnsi="Arial"/>
          <w:sz w:val="20"/>
          <w:szCs w:val="20"/>
          <w:color w:val="3F3F3F"/>
        </w:rPr>
        <w:t>,</w:t>
      </w:r>
      <w:r>
        <w:rPr>
          <w:rFonts w:ascii="Arial" w:cs="Arial" w:eastAsia="Arial" w:hAnsi="Arial"/>
          <w:sz w:val="20"/>
          <w:szCs w:val="20"/>
          <w:color w:val="262626"/>
        </w:rPr>
        <w:t xml:space="preserve"> management</w:t>
      </w:r>
      <w:r>
        <w:rPr>
          <w:rFonts w:ascii="Arial" w:cs="Arial" w:eastAsia="Arial" w:hAnsi="Arial"/>
          <w:sz w:val="20"/>
          <w:szCs w:val="20"/>
          <w:color w:val="3F3F3F"/>
        </w:rPr>
        <w:t>,</w:t>
      </w:r>
      <w:r>
        <w:rPr>
          <w:rFonts w:ascii="Arial" w:cs="Arial" w:eastAsia="Arial" w:hAnsi="Arial"/>
          <w:sz w:val="20"/>
          <w:szCs w:val="20"/>
          <w:color w:val="262626"/>
        </w:rPr>
        <w:t xml:space="preserve"> operation, security, repair and maintenance of the Project including, without limitation:</w:t>
      </w:r>
    </w:p>
    <w:p>
      <w:pPr>
        <w:spacing w:after="0" w:line="163" w:lineRule="exact"/>
        <w:rPr>
          <w:sz w:val="20"/>
          <w:szCs w:val="20"/>
          <w:color w:val="auto"/>
        </w:rPr>
      </w:pPr>
    </w:p>
    <w:p>
      <w:pPr>
        <w:ind w:right="20" w:firstLine="1763"/>
        <w:spacing w:after="0" w:line="278" w:lineRule="auto"/>
        <w:tabs>
          <w:tab w:leader="none" w:pos="2620" w:val="left"/>
        </w:tabs>
        <w:numPr>
          <w:ilvl w:val="0"/>
          <w:numId w:val="46"/>
        </w:numPr>
        <w:rPr>
          <w:rFonts w:ascii="Arial" w:cs="Arial" w:eastAsia="Arial" w:hAnsi="Arial"/>
          <w:sz w:val="18"/>
          <w:szCs w:val="18"/>
          <w:color w:val="262626"/>
        </w:rPr>
      </w:pPr>
      <w:r>
        <w:rPr>
          <w:rFonts w:ascii="Arial" w:cs="Arial" w:eastAsia="Arial" w:hAnsi="Arial"/>
          <w:sz w:val="18"/>
          <w:szCs w:val="18"/>
          <w:color w:val="262626"/>
        </w:rPr>
        <w:t>Wages, salaries</w:t>
      </w:r>
      <w:r>
        <w:rPr>
          <w:rFonts w:ascii="Arial" w:cs="Arial" w:eastAsia="Arial" w:hAnsi="Arial"/>
          <w:sz w:val="18"/>
          <w:szCs w:val="18"/>
          <w:color w:val="3F3F3F"/>
        </w:rPr>
        <w:t>,</w:t>
      </w:r>
      <w:r>
        <w:rPr>
          <w:rFonts w:ascii="Arial" w:cs="Arial" w:eastAsia="Arial" w:hAnsi="Arial"/>
          <w:sz w:val="18"/>
          <w:szCs w:val="18"/>
          <w:color w:val="262626"/>
        </w:rPr>
        <w:t xml:space="preserve"> fringe benefits and other compensation of all employees of Landlord and its agents to the extent engaged in the management, security, repair, operation or maintenance of the Project, including, but not limited to, a Building superintendent and/or engineer and associated personnel; employer’s Social Security taxes, unemployment taxes and/or insurance, and other taxes to the extent levied upon such wages, salaries, fringe benefits or other compensation; the cost of disability and hospitalization insurance and pension or retirement benefits for such employees</w:t>
      </w:r>
      <w:r>
        <w:rPr>
          <w:rFonts w:ascii="Arial" w:cs="Arial" w:eastAsia="Arial" w:hAnsi="Arial"/>
          <w:sz w:val="18"/>
          <w:szCs w:val="18"/>
          <w:color w:val="3F3F3F"/>
        </w:rPr>
        <w:t>,</w:t>
      </w:r>
      <w:r>
        <w:rPr>
          <w:rFonts w:ascii="Arial" w:cs="Arial" w:eastAsia="Arial" w:hAnsi="Arial"/>
          <w:sz w:val="18"/>
          <w:szCs w:val="18"/>
          <w:color w:val="262626"/>
        </w:rPr>
        <w:t xml:space="preserve"> excluding however</w:t>
      </w:r>
      <w:r>
        <w:rPr>
          <w:rFonts w:ascii="Arial" w:cs="Arial" w:eastAsia="Arial" w:hAnsi="Arial"/>
          <w:sz w:val="18"/>
          <w:szCs w:val="18"/>
          <w:color w:val="3F3F3F"/>
        </w:rPr>
        <w:t>,</w:t>
      </w:r>
      <w:r>
        <w:rPr>
          <w:rFonts w:ascii="Arial" w:cs="Arial" w:eastAsia="Arial" w:hAnsi="Arial"/>
          <w:sz w:val="18"/>
          <w:szCs w:val="18"/>
          <w:color w:val="262626"/>
        </w:rPr>
        <w:t xml:space="preserve"> all executive salaries and brokerage commissions.</w:t>
      </w:r>
    </w:p>
    <w:p>
      <w:pPr>
        <w:spacing w:after="0" w:line="138" w:lineRule="exact"/>
        <w:rPr>
          <w:rFonts w:ascii="Arial" w:cs="Arial" w:eastAsia="Arial" w:hAnsi="Arial"/>
          <w:sz w:val="18"/>
          <w:szCs w:val="18"/>
          <w:color w:val="262626"/>
        </w:rPr>
      </w:pPr>
    </w:p>
    <w:p>
      <w:pPr>
        <w:ind w:right="320" w:firstLine="1763"/>
        <w:spacing w:after="0" w:line="291" w:lineRule="auto"/>
        <w:tabs>
          <w:tab w:leader="none" w:pos="2631" w:val="left"/>
        </w:tabs>
        <w:numPr>
          <w:ilvl w:val="0"/>
          <w:numId w:val="46"/>
        </w:numPr>
        <w:rPr>
          <w:rFonts w:ascii="Arial" w:cs="Arial" w:eastAsia="Arial" w:hAnsi="Arial"/>
          <w:sz w:val="18"/>
          <w:szCs w:val="18"/>
          <w:color w:val="343434"/>
        </w:rPr>
      </w:pPr>
      <w:r>
        <w:rPr>
          <w:rFonts w:ascii="Arial" w:cs="Arial" w:eastAsia="Arial" w:hAnsi="Arial"/>
          <w:sz w:val="18"/>
          <w:szCs w:val="18"/>
          <w:color w:val="343434"/>
        </w:rPr>
        <w:t xml:space="preserve">Costs of service, </w:t>
      </w:r>
      <w:r>
        <w:rPr>
          <w:rFonts w:ascii="Arial" w:cs="Arial" w:eastAsia="Arial" w:hAnsi="Arial"/>
          <w:sz w:val="18"/>
          <w:szCs w:val="18"/>
          <w:color w:val="262626"/>
        </w:rPr>
        <w:t>maintenance and inspection</w:t>
      </w:r>
      <w:r>
        <w:rPr>
          <w:rFonts w:ascii="Arial" w:cs="Arial" w:eastAsia="Arial" w:hAnsi="Arial"/>
          <w:sz w:val="18"/>
          <w:szCs w:val="18"/>
          <w:color w:val="343434"/>
        </w:rPr>
        <w:t xml:space="preserve"> contracts for </w:t>
      </w:r>
      <w:r>
        <w:rPr>
          <w:rFonts w:ascii="Arial" w:cs="Arial" w:eastAsia="Arial" w:hAnsi="Arial"/>
          <w:sz w:val="18"/>
          <w:szCs w:val="18"/>
          <w:color w:val="262626"/>
        </w:rPr>
        <w:t>land</w:t>
      </w:r>
      <w:r>
        <w:rPr>
          <w:rFonts w:ascii="Arial" w:cs="Arial" w:eastAsia="Arial" w:hAnsi="Arial"/>
          <w:sz w:val="18"/>
          <w:szCs w:val="18"/>
          <w:color w:val="444444"/>
        </w:rPr>
        <w:t>scap</w:t>
      </w:r>
      <w:r>
        <w:rPr>
          <w:rFonts w:ascii="Arial" w:cs="Arial" w:eastAsia="Arial" w:hAnsi="Arial"/>
          <w:sz w:val="18"/>
          <w:szCs w:val="18"/>
          <w:color w:val="262626"/>
        </w:rPr>
        <w:t>ing, janitorial, windo</w:t>
      </w:r>
      <w:r>
        <w:rPr>
          <w:rFonts w:ascii="Arial" w:cs="Arial" w:eastAsia="Arial" w:hAnsi="Arial"/>
          <w:sz w:val="18"/>
          <w:szCs w:val="18"/>
          <w:color w:val="444444"/>
        </w:rPr>
        <w:t>w</w:t>
      </w:r>
      <w:r>
        <w:rPr>
          <w:rFonts w:ascii="Arial" w:cs="Arial" w:eastAsia="Arial" w:hAnsi="Arial"/>
          <w:sz w:val="18"/>
          <w:szCs w:val="18"/>
          <w:color w:val="343434"/>
        </w:rPr>
        <w:t xml:space="preserve"> cleaning, rubbish removal, maintenance of Common Areas, </w:t>
      </w:r>
      <w:r>
        <w:rPr>
          <w:rFonts w:ascii="Arial" w:cs="Arial" w:eastAsia="Arial" w:hAnsi="Arial"/>
          <w:sz w:val="18"/>
          <w:szCs w:val="18"/>
          <w:color w:val="444444"/>
        </w:rPr>
        <w:t>exte</w:t>
      </w:r>
      <w:r>
        <w:rPr>
          <w:rFonts w:ascii="Arial" w:cs="Arial" w:eastAsia="Arial" w:hAnsi="Arial"/>
          <w:sz w:val="18"/>
          <w:szCs w:val="18"/>
          <w:color w:val="262626"/>
        </w:rPr>
        <w:t>rminating,</w:t>
      </w:r>
      <w:r>
        <w:rPr>
          <w:rFonts w:ascii="Arial" w:cs="Arial" w:eastAsia="Arial" w:hAnsi="Arial"/>
          <w:sz w:val="18"/>
          <w:szCs w:val="18"/>
          <w:color w:val="343434"/>
        </w:rPr>
        <w:t xml:space="preserve"> replacement of </w:t>
      </w:r>
      <w:r>
        <w:rPr>
          <w:rFonts w:ascii="Arial" w:cs="Arial" w:eastAsia="Arial" w:hAnsi="Arial"/>
          <w:sz w:val="18"/>
          <w:szCs w:val="18"/>
          <w:color w:val="262626"/>
        </w:rPr>
        <w:t>Building</w:t>
      </w:r>
      <w:r>
        <w:rPr>
          <w:rFonts w:ascii="Arial" w:cs="Arial" w:eastAsia="Arial" w:hAnsi="Arial"/>
          <w:sz w:val="18"/>
          <w:szCs w:val="18"/>
          <w:color w:val="343434"/>
        </w:rPr>
        <w:t xml:space="preserve"> </w:t>
      </w:r>
      <w:r>
        <w:rPr>
          <w:rFonts w:ascii="Arial" w:cs="Arial" w:eastAsia="Arial" w:hAnsi="Arial"/>
          <w:sz w:val="18"/>
          <w:szCs w:val="18"/>
          <w:color w:val="444444"/>
        </w:rPr>
        <w:t>s</w:t>
      </w:r>
      <w:r>
        <w:rPr>
          <w:rFonts w:ascii="Arial" w:cs="Arial" w:eastAsia="Arial" w:hAnsi="Arial"/>
          <w:sz w:val="18"/>
          <w:szCs w:val="18"/>
          <w:color w:val="262626"/>
        </w:rPr>
        <w:t>tandard ligh</w:t>
      </w:r>
      <w:r>
        <w:rPr>
          <w:rFonts w:ascii="Arial" w:cs="Arial" w:eastAsia="Arial" w:hAnsi="Arial"/>
          <w:sz w:val="18"/>
          <w:szCs w:val="18"/>
          <w:color w:val="444444"/>
        </w:rPr>
        <w:t>t</w:t>
      </w:r>
      <w:r>
        <w:rPr>
          <w:rFonts w:ascii="Arial" w:cs="Arial" w:eastAsia="Arial" w:hAnsi="Arial"/>
          <w:sz w:val="18"/>
          <w:szCs w:val="18"/>
          <w:color w:val="262626"/>
        </w:rPr>
        <w:t>ing, elevator, plumbing, electrical and</w:t>
      </w:r>
      <w:r>
        <w:rPr>
          <w:rFonts w:ascii="Arial" w:cs="Arial" w:eastAsia="Arial" w:hAnsi="Arial"/>
          <w:sz w:val="18"/>
          <w:szCs w:val="18"/>
          <w:color w:val="343434"/>
        </w:rPr>
        <w:t xml:space="preserve"> </w:t>
      </w:r>
      <w:r>
        <w:rPr>
          <w:rFonts w:ascii="Arial" w:cs="Arial" w:eastAsia="Arial" w:hAnsi="Arial"/>
          <w:sz w:val="18"/>
          <w:szCs w:val="18"/>
          <w:color w:val="262626"/>
        </w:rPr>
        <w:t xml:space="preserve">mechanical </w:t>
      </w:r>
      <w:r>
        <w:rPr>
          <w:rFonts w:ascii="Arial" w:cs="Arial" w:eastAsia="Arial" w:hAnsi="Arial"/>
          <w:sz w:val="18"/>
          <w:szCs w:val="18"/>
          <w:color w:val="343434"/>
        </w:rPr>
        <w:t>equipment and the costs of purchasing or</w:t>
      </w:r>
      <w:r>
        <w:rPr>
          <w:rFonts w:ascii="Arial" w:cs="Arial" w:eastAsia="Arial" w:hAnsi="Arial"/>
          <w:sz w:val="18"/>
          <w:szCs w:val="18"/>
          <w:color w:val="262626"/>
        </w:rPr>
        <w:t xml:space="preserve"> renting mechanical equipment, </w:t>
      </w:r>
      <w:r>
        <w:rPr>
          <w:rFonts w:ascii="Arial" w:cs="Arial" w:eastAsia="Arial" w:hAnsi="Arial"/>
          <w:sz w:val="18"/>
          <w:szCs w:val="18"/>
          <w:color w:val="343434"/>
        </w:rPr>
        <w:t>supplies,</w:t>
      </w:r>
      <w:r>
        <w:rPr>
          <w:rFonts w:ascii="Arial" w:cs="Arial" w:eastAsia="Arial" w:hAnsi="Arial"/>
          <w:sz w:val="18"/>
          <w:szCs w:val="18"/>
          <w:color w:val="262626"/>
        </w:rPr>
        <w:t xml:space="preserve"> tools, materials and uniforms.</w:t>
      </w:r>
    </w:p>
    <w:p>
      <w:pPr>
        <w:spacing w:after="0" w:line="138" w:lineRule="exact"/>
        <w:rPr>
          <w:rFonts w:ascii="Arial" w:cs="Arial" w:eastAsia="Arial" w:hAnsi="Arial"/>
          <w:sz w:val="18"/>
          <w:szCs w:val="18"/>
          <w:color w:val="343434"/>
        </w:rPr>
      </w:pPr>
    </w:p>
    <w:p>
      <w:pPr>
        <w:ind w:right="220" w:firstLine="1763"/>
        <w:spacing w:after="0" w:line="282" w:lineRule="auto"/>
        <w:tabs>
          <w:tab w:leader="none" w:pos="2620" w:val="left"/>
        </w:tabs>
        <w:numPr>
          <w:ilvl w:val="0"/>
          <w:numId w:val="46"/>
        </w:numPr>
        <w:rPr>
          <w:rFonts w:ascii="Arial" w:cs="Arial" w:eastAsia="Arial" w:hAnsi="Arial"/>
          <w:sz w:val="18"/>
          <w:szCs w:val="18"/>
          <w:color w:val="262626"/>
        </w:rPr>
      </w:pPr>
      <w:r>
        <w:rPr>
          <w:rFonts w:ascii="Arial" w:cs="Arial" w:eastAsia="Arial" w:hAnsi="Arial"/>
          <w:sz w:val="18"/>
          <w:szCs w:val="18"/>
          <w:color w:val="262626"/>
        </w:rPr>
        <w:t xml:space="preserve">Premiums and other charges for insurance, including, without limitation, </w:t>
      </w:r>
      <w:r>
        <w:rPr>
          <w:rFonts w:ascii="Arial" w:cs="Arial" w:eastAsia="Arial" w:hAnsi="Arial"/>
          <w:sz w:val="18"/>
          <w:szCs w:val="18"/>
          <w:color w:val="444444"/>
        </w:rPr>
        <w:t>a</w:t>
      </w:r>
      <w:r>
        <w:rPr>
          <w:rFonts w:ascii="Arial" w:cs="Arial" w:eastAsia="Arial" w:hAnsi="Arial"/>
          <w:sz w:val="18"/>
          <w:szCs w:val="18"/>
          <w:color w:val="262626"/>
        </w:rPr>
        <w:t>ll ri</w:t>
      </w:r>
      <w:r>
        <w:rPr>
          <w:rFonts w:ascii="Arial" w:cs="Arial" w:eastAsia="Arial" w:hAnsi="Arial"/>
          <w:sz w:val="18"/>
          <w:szCs w:val="18"/>
          <w:color w:val="444444"/>
        </w:rPr>
        <w:t>s</w:t>
      </w:r>
      <w:r>
        <w:rPr>
          <w:rFonts w:ascii="Arial" w:cs="Arial" w:eastAsia="Arial" w:hAnsi="Arial"/>
          <w:sz w:val="18"/>
          <w:szCs w:val="18"/>
          <w:color w:val="262626"/>
        </w:rPr>
        <w:t>k</w:t>
      </w:r>
      <w:r>
        <w:rPr>
          <w:rFonts w:ascii="Arial" w:cs="Arial" w:eastAsia="Arial" w:hAnsi="Arial"/>
          <w:sz w:val="18"/>
          <w:szCs w:val="18"/>
          <w:color w:val="444444"/>
        </w:rPr>
        <w:t>, ea</w:t>
      </w:r>
      <w:r>
        <w:rPr>
          <w:rFonts w:ascii="Arial" w:cs="Arial" w:eastAsia="Arial" w:hAnsi="Arial"/>
          <w:sz w:val="18"/>
          <w:szCs w:val="18"/>
          <w:color w:val="343434"/>
        </w:rPr>
        <w:t>rthquake,</w:t>
      </w:r>
      <w:r>
        <w:rPr>
          <w:rFonts w:ascii="Arial" w:cs="Arial" w:eastAsia="Arial" w:hAnsi="Arial"/>
          <w:sz w:val="18"/>
          <w:szCs w:val="18"/>
          <w:color w:val="262626"/>
        </w:rPr>
        <w:t xml:space="preserve"> public </w:t>
      </w:r>
      <w:r>
        <w:rPr>
          <w:rFonts w:ascii="Arial" w:cs="Arial" w:eastAsia="Arial" w:hAnsi="Arial"/>
          <w:sz w:val="18"/>
          <w:szCs w:val="18"/>
          <w:color w:val="343434"/>
        </w:rPr>
        <w:t>liability,</w:t>
      </w:r>
      <w:r>
        <w:rPr>
          <w:rFonts w:ascii="Arial" w:cs="Arial" w:eastAsia="Arial" w:hAnsi="Arial"/>
          <w:sz w:val="18"/>
          <w:szCs w:val="18"/>
          <w:color w:val="262626"/>
        </w:rPr>
        <w:t xml:space="preserve"> property damag</w:t>
      </w:r>
      <w:r>
        <w:rPr>
          <w:rFonts w:ascii="Arial" w:cs="Arial" w:eastAsia="Arial" w:hAnsi="Arial"/>
          <w:sz w:val="18"/>
          <w:szCs w:val="18"/>
          <w:color w:val="444444"/>
        </w:rPr>
        <w:t>e</w:t>
      </w:r>
      <w:r>
        <w:rPr>
          <w:rFonts w:ascii="Arial" w:cs="Arial" w:eastAsia="Arial" w:hAnsi="Arial"/>
          <w:sz w:val="18"/>
          <w:szCs w:val="18"/>
          <w:color w:val="262626"/>
        </w:rPr>
        <w:t xml:space="preserve"> </w:t>
      </w:r>
      <w:r>
        <w:rPr>
          <w:rFonts w:ascii="Arial" w:cs="Arial" w:eastAsia="Arial" w:hAnsi="Arial"/>
          <w:sz w:val="18"/>
          <w:szCs w:val="18"/>
          <w:color w:val="343434"/>
        </w:rPr>
        <w:t>and worker’s compensation</w:t>
      </w:r>
      <w:r>
        <w:rPr>
          <w:rFonts w:ascii="Arial" w:cs="Arial" w:eastAsia="Arial" w:hAnsi="Arial"/>
          <w:sz w:val="18"/>
          <w:szCs w:val="18"/>
          <w:color w:val="262626"/>
        </w:rPr>
        <w:t xml:space="preserve"> insurance, and such </w:t>
      </w:r>
      <w:r>
        <w:rPr>
          <w:rFonts w:ascii="Arial" w:cs="Arial" w:eastAsia="Arial" w:hAnsi="Arial"/>
          <w:sz w:val="18"/>
          <w:szCs w:val="18"/>
          <w:color w:val="343434"/>
        </w:rPr>
        <w:t>other</w:t>
      </w:r>
      <w:r>
        <w:rPr>
          <w:rFonts w:ascii="Arial" w:cs="Arial" w:eastAsia="Arial" w:hAnsi="Arial"/>
          <w:sz w:val="18"/>
          <w:szCs w:val="18"/>
          <w:color w:val="262626"/>
        </w:rPr>
        <w:t xml:space="preserve"> in</w:t>
      </w:r>
      <w:r>
        <w:rPr>
          <w:rFonts w:ascii="Arial" w:cs="Arial" w:eastAsia="Arial" w:hAnsi="Arial"/>
          <w:sz w:val="18"/>
          <w:szCs w:val="18"/>
          <w:color w:val="444444"/>
        </w:rPr>
        <w:t>s</w:t>
      </w:r>
      <w:r>
        <w:rPr>
          <w:rFonts w:ascii="Arial" w:cs="Arial" w:eastAsia="Arial" w:hAnsi="Arial"/>
          <w:sz w:val="18"/>
          <w:szCs w:val="18"/>
          <w:color w:val="262626"/>
        </w:rPr>
        <w:t xml:space="preserve">urance </w:t>
      </w:r>
      <w:r>
        <w:rPr>
          <w:rFonts w:ascii="Arial" w:cs="Arial" w:eastAsia="Arial" w:hAnsi="Arial"/>
          <w:sz w:val="18"/>
          <w:szCs w:val="18"/>
          <w:color w:val="343434"/>
        </w:rPr>
        <w:t>coverage</w:t>
      </w:r>
      <w:r>
        <w:rPr>
          <w:rFonts w:ascii="Arial" w:cs="Arial" w:eastAsia="Arial" w:hAnsi="Arial"/>
          <w:sz w:val="18"/>
          <w:szCs w:val="18"/>
          <w:color w:val="262626"/>
        </w:rPr>
        <w:t xml:space="preserve"> in such </w:t>
      </w:r>
      <w:r>
        <w:rPr>
          <w:rFonts w:ascii="Arial" w:cs="Arial" w:eastAsia="Arial" w:hAnsi="Arial"/>
          <w:sz w:val="18"/>
          <w:szCs w:val="18"/>
          <w:color w:val="343434"/>
        </w:rPr>
        <w:t>amounts</w:t>
      </w:r>
      <w:r>
        <w:rPr>
          <w:rFonts w:ascii="Arial" w:cs="Arial" w:eastAsia="Arial" w:hAnsi="Arial"/>
          <w:sz w:val="18"/>
          <w:szCs w:val="18"/>
          <w:color w:val="262626"/>
        </w:rPr>
        <w:t xml:space="preserve"> as </w:t>
      </w:r>
      <w:r>
        <w:rPr>
          <w:rFonts w:ascii="Arial" w:cs="Arial" w:eastAsia="Arial" w:hAnsi="Arial"/>
          <w:sz w:val="18"/>
          <w:szCs w:val="18"/>
          <w:color w:val="343434"/>
        </w:rPr>
        <w:t>Landlord,</w:t>
      </w:r>
      <w:r>
        <w:rPr>
          <w:rFonts w:ascii="Arial" w:cs="Arial" w:eastAsia="Arial" w:hAnsi="Arial"/>
          <w:sz w:val="18"/>
          <w:szCs w:val="18"/>
          <w:color w:val="262626"/>
        </w:rPr>
        <w:t xml:space="preserve"> in it</w:t>
      </w:r>
      <w:r>
        <w:rPr>
          <w:rFonts w:ascii="Arial" w:cs="Arial" w:eastAsia="Arial" w:hAnsi="Arial"/>
          <w:sz w:val="18"/>
          <w:szCs w:val="18"/>
          <w:color w:val="444444"/>
        </w:rPr>
        <w:t>s</w:t>
      </w:r>
      <w:r>
        <w:rPr>
          <w:rFonts w:ascii="Arial" w:cs="Arial" w:eastAsia="Arial" w:hAnsi="Arial"/>
          <w:sz w:val="18"/>
          <w:szCs w:val="18"/>
          <w:color w:val="262626"/>
        </w:rPr>
        <w:t xml:space="preserve"> r</w:t>
      </w:r>
      <w:r>
        <w:rPr>
          <w:rFonts w:ascii="Arial" w:cs="Arial" w:eastAsia="Arial" w:hAnsi="Arial"/>
          <w:sz w:val="18"/>
          <w:szCs w:val="18"/>
          <w:color w:val="444444"/>
        </w:rPr>
        <w:t>e</w:t>
      </w:r>
      <w:r>
        <w:rPr>
          <w:rFonts w:ascii="Arial" w:cs="Arial" w:eastAsia="Arial" w:hAnsi="Arial"/>
          <w:sz w:val="18"/>
          <w:szCs w:val="18"/>
          <w:color w:val="262626"/>
        </w:rPr>
        <w:t>a</w:t>
      </w:r>
      <w:r>
        <w:rPr>
          <w:rFonts w:ascii="Arial" w:cs="Arial" w:eastAsia="Arial" w:hAnsi="Arial"/>
          <w:sz w:val="18"/>
          <w:szCs w:val="18"/>
          <w:color w:val="444444"/>
        </w:rPr>
        <w:t>so</w:t>
      </w:r>
      <w:r>
        <w:rPr>
          <w:rFonts w:ascii="Arial" w:cs="Arial" w:eastAsia="Arial" w:hAnsi="Arial"/>
          <w:sz w:val="18"/>
          <w:szCs w:val="18"/>
          <w:color w:val="262626"/>
        </w:rPr>
        <w:t>nable discretion</w:t>
      </w:r>
      <w:r>
        <w:rPr>
          <w:rFonts w:ascii="Arial" w:cs="Arial" w:eastAsia="Arial" w:hAnsi="Arial"/>
          <w:sz w:val="18"/>
          <w:szCs w:val="18"/>
          <w:color w:val="444444"/>
        </w:rPr>
        <w:t>, s</w:t>
      </w:r>
      <w:r>
        <w:rPr>
          <w:rFonts w:ascii="Arial" w:cs="Arial" w:eastAsia="Arial" w:hAnsi="Arial"/>
          <w:sz w:val="18"/>
          <w:szCs w:val="18"/>
          <w:color w:val="262626"/>
        </w:rPr>
        <w:t xml:space="preserve">hall </w:t>
      </w:r>
      <w:r>
        <w:rPr>
          <w:rFonts w:ascii="Arial" w:cs="Arial" w:eastAsia="Arial" w:hAnsi="Arial"/>
          <w:sz w:val="18"/>
          <w:szCs w:val="18"/>
          <w:color w:val="343434"/>
        </w:rPr>
        <w:t>elect</w:t>
      </w:r>
      <w:r>
        <w:rPr>
          <w:rFonts w:ascii="Arial" w:cs="Arial" w:eastAsia="Arial" w:hAnsi="Arial"/>
          <w:sz w:val="18"/>
          <w:szCs w:val="18"/>
          <w:color w:val="262626"/>
        </w:rPr>
        <w:t xml:space="preserve"> </w:t>
      </w:r>
      <w:r>
        <w:rPr>
          <w:rFonts w:ascii="Arial" w:cs="Arial" w:eastAsia="Arial" w:hAnsi="Arial"/>
          <w:sz w:val="18"/>
          <w:szCs w:val="18"/>
          <w:color w:val="444444"/>
        </w:rPr>
        <w:t>to</w:t>
      </w:r>
      <w:r>
        <w:rPr>
          <w:rFonts w:ascii="Arial" w:cs="Arial" w:eastAsia="Arial" w:hAnsi="Arial"/>
          <w:sz w:val="18"/>
          <w:szCs w:val="18"/>
          <w:color w:val="262626"/>
        </w:rPr>
        <w:t xml:space="preserve"> </w:t>
      </w:r>
      <w:r>
        <w:rPr>
          <w:rFonts w:ascii="Arial" w:cs="Arial" w:eastAsia="Arial" w:hAnsi="Arial"/>
          <w:sz w:val="18"/>
          <w:szCs w:val="18"/>
          <w:color w:val="343434"/>
        </w:rPr>
        <w:t>maintain consistent with the requirements of other landlords of buildings located in the downtown San Francisco area,</w:t>
      </w:r>
      <w:r>
        <w:rPr>
          <w:rFonts w:ascii="Arial" w:cs="Arial" w:eastAsia="Arial" w:hAnsi="Arial"/>
          <w:sz w:val="18"/>
          <w:szCs w:val="18"/>
          <w:color w:val="262626"/>
        </w:rPr>
        <w:t xml:space="preserve"> </w:t>
      </w:r>
      <w:r>
        <w:rPr>
          <w:rFonts w:ascii="Arial" w:cs="Arial" w:eastAsia="Arial" w:hAnsi="Arial"/>
          <w:sz w:val="18"/>
          <w:szCs w:val="18"/>
          <w:color w:val="343434"/>
        </w:rPr>
        <w:t>or as may be required by the Holder of any Superior Interest (as such terms are defined in Article 18 below).</w:t>
      </w:r>
    </w:p>
    <w:p>
      <w:pPr>
        <w:spacing w:after="0" w:line="148" w:lineRule="exact"/>
        <w:rPr>
          <w:rFonts w:ascii="Arial" w:cs="Arial" w:eastAsia="Arial" w:hAnsi="Arial"/>
          <w:sz w:val="18"/>
          <w:szCs w:val="18"/>
          <w:color w:val="262626"/>
        </w:rPr>
      </w:pPr>
    </w:p>
    <w:p>
      <w:pPr>
        <w:ind w:right="300" w:firstLine="1763"/>
        <w:spacing w:after="0" w:line="260" w:lineRule="auto"/>
        <w:tabs>
          <w:tab w:leader="none" w:pos="2634" w:val="left"/>
        </w:tabs>
        <w:numPr>
          <w:ilvl w:val="0"/>
          <w:numId w:val="46"/>
        </w:numPr>
        <w:rPr>
          <w:rFonts w:ascii="Arial" w:cs="Arial" w:eastAsia="Arial" w:hAnsi="Arial"/>
          <w:sz w:val="20"/>
          <w:szCs w:val="20"/>
          <w:color w:val="343434"/>
        </w:rPr>
      </w:pPr>
      <w:r>
        <w:rPr>
          <w:rFonts w:ascii="Arial" w:cs="Arial" w:eastAsia="Arial" w:hAnsi="Arial"/>
          <w:sz w:val="20"/>
          <w:szCs w:val="20"/>
          <w:color w:val="343434"/>
        </w:rPr>
        <w:t>Costs of electricity, water, gas, steam, sewer and other utility services in order to maintain the Building in a manner, consistent with buildings of similar age and quality in the downtown San Francisco area.</w:t>
      </w:r>
    </w:p>
    <w:p>
      <w:pPr>
        <w:spacing w:after="0" w:line="149" w:lineRule="exact"/>
        <w:rPr>
          <w:rFonts w:ascii="Arial" w:cs="Arial" w:eastAsia="Arial" w:hAnsi="Arial"/>
          <w:sz w:val="20"/>
          <w:szCs w:val="20"/>
          <w:color w:val="343434"/>
        </w:rPr>
      </w:pPr>
    </w:p>
    <w:p>
      <w:pPr>
        <w:ind w:left="2640" w:hanging="877"/>
        <w:spacing w:after="0"/>
        <w:tabs>
          <w:tab w:leader="none" w:pos="2640" w:val="left"/>
        </w:tabs>
        <w:numPr>
          <w:ilvl w:val="0"/>
          <w:numId w:val="46"/>
        </w:numPr>
        <w:rPr>
          <w:rFonts w:ascii="Arial" w:cs="Arial" w:eastAsia="Arial" w:hAnsi="Arial"/>
          <w:sz w:val="18"/>
          <w:szCs w:val="18"/>
          <w:color w:val="343434"/>
        </w:rPr>
      </w:pPr>
      <w:r>
        <w:rPr>
          <w:rFonts w:ascii="Arial" w:cs="Arial" w:eastAsia="Arial" w:hAnsi="Arial"/>
          <w:sz w:val="18"/>
          <w:szCs w:val="18"/>
          <w:color w:val="343434"/>
        </w:rPr>
        <w:t>Sales, use, excise taxes on goods and services purchased or owned by Landlord for the operation, security or</w:t>
      </w:r>
    </w:p>
    <w:p>
      <w:pPr>
        <w:spacing w:after="0" w:line="38" w:lineRule="exact"/>
        <w:rPr>
          <w:rFonts w:ascii="Arial" w:cs="Arial" w:eastAsia="Arial" w:hAnsi="Arial"/>
          <w:sz w:val="18"/>
          <w:szCs w:val="18"/>
          <w:color w:val="343434"/>
        </w:rPr>
      </w:pPr>
    </w:p>
    <w:p>
      <w:pPr>
        <w:spacing w:after="0"/>
        <w:rPr>
          <w:rFonts w:ascii="Arial" w:cs="Arial" w:eastAsia="Arial" w:hAnsi="Arial"/>
          <w:sz w:val="18"/>
          <w:szCs w:val="18"/>
          <w:color w:val="343434"/>
        </w:rPr>
      </w:pPr>
      <w:r>
        <w:rPr>
          <w:rFonts w:ascii="Arial" w:cs="Arial" w:eastAsia="Arial" w:hAnsi="Arial"/>
          <w:sz w:val="20"/>
          <w:szCs w:val="20"/>
          <w:color w:val="343434"/>
        </w:rPr>
        <w:t>maintenance of the Building.</w:t>
      </w:r>
    </w:p>
    <w:p>
      <w:pPr>
        <w:spacing w:after="0" w:line="186" w:lineRule="exact"/>
        <w:rPr>
          <w:rFonts w:ascii="Arial" w:cs="Arial" w:eastAsia="Arial" w:hAnsi="Arial"/>
          <w:sz w:val="18"/>
          <w:szCs w:val="18"/>
          <w:color w:val="343434"/>
        </w:rPr>
      </w:pPr>
    </w:p>
    <w:p>
      <w:pPr>
        <w:ind w:right="140" w:firstLine="1763"/>
        <w:spacing w:after="0" w:line="250" w:lineRule="auto"/>
        <w:tabs>
          <w:tab w:leader="none" w:pos="2601" w:val="left"/>
        </w:tabs>
        <w:numPr>
          <w:ilvl w:val="0"/>
          <w:numId w:val="46"/>
        </w:numPr>
        <w:rPr>
          <w:rFonts w:ascii="Arial" w:cs="Arial" w:eastAsia="Arial" w:hAnsi="Arial"/>
          <w:sz w:val="20"/>
          <w:szCs w:val="20"/>
          <w:color w:val="343434"/>
        </w:rPr>
      </w:pPr>
      <w:r>
        <w:rPr>
          <w:rFonts w:ascii="Arial" w:cs="Arial" w:eastAsia="Arial" w:hAnsi="Arial"/>
          <w:sz w:val="20"/>
          <w:szCs w:val="20"/>
          <w:color w:val="343434"/>
        </w:rPr>
        <w:t>Permit and inspection fees and charges, the cost of contesting any governmental enactments which may affect Direct Expenses, and the costs incurred in connection with any transportation system management program or similar program, including the costs of operating any shuttle bus or similar program.</w:t>
      </w:r>
    </w:p>
    <w:p>
      <w:pPr>
        <w:spacing w:after="0" w:line="172" w:lineRule="exact"/>
        <w:rPr>
          <w:rFonts w:ascii="Arial" w:cs="Arial" w:eastAsia="Arial" w:hAnsi="Arial"/>
          <w:sz w:val="20"/>
          <w:szCs w:val="20"/>
          <w:color w:val="343434"/>
        </w:rPr>
      </w:pPr>
    </w:p>
    <w:p>
      <w:pPr>
        <w:ind w:right="80" w:firstLine="1763"/>
        <w:spacing w:after="0" w:line="260" w:lineRule="auto"/>
        <w:tabs>
          <w:tab w:leader="none" w:pos="2634" w:val="left"/>
        </w:tabs>
        <w:numPr>
          <w:ilvl w:val="0"/>
          <w:numId w:val="46"/>
        </w:numPr>
        <w:rPr>
          <w:rFonts w:ascii="Arial" w:cs="Arial" w:eastAsia="Arial" w:hAnsi="Arial"/>
          <w:sz w:val="20"/>
          <w:szCs w:val="20"/>
          <w:color w:val="343434"/>
        </w:rPr>
      </w:pPr>
      <w:r>
        <w:rPr>
          <w:rFonts w:ascii="Arial" w:cs="Arial" w:eastAsia="Arial" w:hAnsi="Arial"/>
          <w:sz w:val="20"/>
          <w:szCs w:val="20"/>
          <w:color w:val="343434"/>
        </w:rPr>
        <w:t>Ordinary legal, accounting and other professional, consulting or service fees and expenses, including the costs of audits by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7</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35" w:name="page136"/>
    <w:bookmarkEnd w:id="135"/>
    <w:p>
      <w:pPr>
        <w:ind w:right="260" w:firstLine="1763"/>
        <w:spacing w:after="0" w:line="250" w:lineRule="auto"/>
        <w:tabs>
          <w:tab w:leader="none" w:pos="2634" w:val="left"/>
        </w:tabs>
        <w:numPr>
          <w:ilvl w:val="0"/>
          <w:numId w:val="47"/>
        </w:numPr>
        <w:rPr>
          <w:rFonts w:ascii="Arial" w:cs="Arial" w:eastAsia="Arial" w:hAnsi="Arial"/>
          <w:sz w:val="20"/>
          <w:szCs w:val="20"/>
          <w:color w:val="343434"/>
        </w:rPr>
      </w:pPr>
      <w:r>
        <w:rPr>
          <w:rFonts w:ascii="Arial" w:cs="Arial" w:eastAsia="Arial" w:hAnsi="Arial"/>
          <w:sz w:val="20"/>
          <w:szCs w:val="20"/>
          <w:color w:val="343434"/>
        </w:rPr>
        <w:t>Fees for management services, whether provided by an independent management company, Landlord, or an affiliate of Landlord, including, but not limited to, fair market rental for the Building office, fees and expenses for accounting, financial management, data processing and information services, and costs of tenant service programs.</w:t>
      </w:r>
    </w:p>
    <w:p>
      <w:pPr>
        <w:spacing w:after="0" w:line="159" w:lineRule="exact"/>
        <w:rPr>
          <w:rFonts w:ascii="Arial" w:cs="Arial" w:eastAsia="Arial" w:hAnsi="Arial"/>
          <w:sz w:val="20"/>
          <w:szCs w:val="20"/>
          <w:color w:val="343434"/>
        </w:rPr>
      </w:pPr>
    </w:p>
    <w:p>
      <w:pPr>
        <w:ind w:right="20" w:firstLine="1763"/>
        <w:spacing w:after="0" w:line="255" w:lineRule="auto"/>
        <w:tabs>
          <w:tab w:leader="none" w:pos="2590" w:val="left"/>
        </w:tabs>
        <w:numPr>
          <w:ilvl w:val="0"/>
          <w:numId w:val="47"/>
        </w:numPr>
        <w:rPr>
          <w:rFonts w:ascii="Arial" w:cs="Arial" w:eastAsia="Arial" w:hAnsi="Arial"/>
          <w:sz w:val="19"/>
          <w:szCs w:val="19"/>
          <w:color w:val="343434"/>
        </w:rPr>
      </w:pPr>
      <w:r>
        <w:rPr>
          <w:rFonts w:ascii="Arial" w:cs="Arial" w:eastAsia="Arial" w:hAnsi="Arial"/>
          <w:sz w:val="19"/>
          <w:szCs w:val="19"/>
          <w:color w:val="343434"/>
        </w:rPr>
        <w:t xml:space="preserve">The costs of any capital improvements, equipment or devices installed or paid for by Landlord (1) to conform with any change in Laws after the date hereof (including to conform with any change </w:t>
      </w:r>
      <w:r>
        <w:rPr>
          <w:rFonts w:ascii="Arial" w:cs="Arial" w:eastAsia="Arial" w:hAnsi="Arial"/>
          <w:sz w:val="19"/>
          <w:szCs w:val="19"/>
          <w:color w:val="262626"/>
        </w:rPr>
        <w:t>in the Building’s or the Premises’ use or occupancy</w:t>
      </w:r>
      <w:r>
        <w:rPr>
          <w:rFonts w:ascii="Arial" w:cs="Arial" w:eastAsia="Arial" w:hAnsi="Arial"/>
          <w:sz w:val="19"/>
          <w:szCs w:val="19"/>
          <w:color w:val="343434"/>
        </w:rPr>
        <w:t xml:space="preserve"> </w:t>
      </w:r>
      <w:r>
        <w:rPr>
          <w:rFonts w:ascii="Arial" w:cs="Arial" w:eastAsia="Arial" w:hAnsi="Arial"/>
          <w:sz w:val="19"/>
          <w:szCs w:val="19"/>
          <w:color w:val="262626"/>
        </w:rPr>
        <w:t xml:space="preserve">classification) of any governmental or quasi-governmental authority having jurisdiction including any health or environmental protection authority or legislation or of the board of fire underwriters or similar insurance body or, </w:t>
      </w:r>
      <w:r>
        <w:rPr>
          <w:rFonts w:ascii="Arial" w:cs="Arial" w:eastAsia="Arial" w:hAnsi="Arial"/>
          <w:sz w:val="19"/>
          <w:szCs w:val="19"/>
          <w:color w:val="343434"/>
        </w:rPr>
        <w:t>(2)</w:t>
      </w:r>
      <w:r>
        <w:rPr>
          <w:rFonts w:ascii="Arial" w:cs="Arial" w:eastAsia="Arial" w:hAnsi="Arial"/>
          <w:sz w:val="19"/>
          <w:szCs w:val="19"/>
          <w:color w:val="262626"/>
        </w:rPr>
        <w:t xml:space="preserve"> to effect a labor saving, energy saving or other economy; amortized over the lesser of ten (10) years, the payback period, or the useful life of such capital improvement, equipment or device (as reasonably determined by Landlord), as well as interest on the unamortized balance at the Prime Rate plus 2% on the date the costs are incurred or </w:t>
      </w:r>
      <w:r>
        <w:rPr>
          <w:rFonts w:ascii="Arial" w:cs="Arial" w:eastAsia="Arial" w:hAnsi="Arial"/>
          <w:sz w:val="19"/>
          <w:szCs w:val="19"/>
          <w:color w:val="343434"/>
        </w:rPr>
        <w:t>such</w:t>
      </w:r>
      <w:r>
        <w:rPr>
          <w:rFonts w:ascii="Arial" w:cs="Arial" w:eastAsia="Arial" w:hAnsi="Arial"/>
          <w:sz w:val="19"/>
          <w:szCs w:val="19"/>
          <w:color w:val="262626"/>
        </w:rPr>
        <w:t xml:space="preserve"> higher rate as may have been paid by Landlord on borrowed funds. The </w:t>
      </w:r>
      <w:r>
        <w:rPr>
          <w:rFonts w:ascii="Arial" w:cs="Arial" w:eastAsia="Arial" w:hAnsi="Arial"/>
          <w:sz w:val="19"/>
          <w:szCs w:val="19"/>
          <w:i w:val="1"/>
          <w:iCs w:val="1"/>
          <w:color w:val="262626"/>
        </w:rPr>
        <w:t>‘‘pay back</w:t>
      </w:r>
      <w:r>
        <w:rPr>
          <w:rFonts w:ascii="Arial" w:cs="Arial" w:eastAsia="Arial" w:hAnsi="Arial"/>
          <w:sz w:val="19"/>
          <w:szCs w:val="19"/>
          <w:color w:val="262626"/>
        </w:rPr>
        <w:t xml:space="preserve"> </w:t>
      </w:r>
      <w:r>
        <w:rPr>
          <w:rFonts w:ascii="Arial" w:cs="Arial" w:eastAsia="Arial" w:hAnsi="Arial"/>
          <w:sz w:val="19"/>
          <w:szCs w:val="19"/>
          <w:i w:val="1"/>
          <w:iCs w:val="1"/>
          <w:color w:val="343434"/>
        </w:rPr>
        <w:t>period’’</w:t>
      </w:r>
      <w:r>
        <w:rPr>
          <w:rFonts w:ascii="Arial" w:cs="Arial" w:eastAsia="Arial" w:hAnsi="Arial"/>
          <w:sz w:val="19"/>
          <w:szCs w:val="19"/>
          <w:color w:val="262626"/>
        </w:rPr>
        <w:t xml:space="preserve"> shall be the period within </w:t>
      </w:r>
      <w:r>
        <w:rPr>
          <w:rFonts w:ascii="Arial" w:cs="Arial" w:eastAsia="Arial" w:hAnsi="Arial"/>
          <w:sz w:val="19"/>
          <w:szCs w:val="19"/>
          <w:color w:val="343434"/>
        </w:rPr>
        <w:t>which</w:t>
      </w:r>
      <w:r>
        <w:rPr>
          <w:rFonts w:ascii="Arial" w:cs="Arial" w:eastAsia="Arial" w:hAnsi="Arial"/>
          <w:sz w:val="19"/>
          <w:szCs w:val="19"/>
          <w:color w:val="262626"/>
        </w:rPr>
        <w:t xml:space="preserve"> the anticipated savings from the use of such capital improvement, equipment or device, as determined by Landlord, will equal the cost of the </w:t>
      </w:r>
      <w:r>
        <w:rPr>
          <w:rFonts w:ascii="Arial" w:cs="Arial" w:eastAsia="Arial" w:hAnsi="Arial"/>
          <w:sz w:val="19"/>
          <w:szCs w:val="19"/>
          <w:color w:val="343434"/>
        </w:rPr>
        <w:t>subject</w:t>
      </w:r>
      <w:r>
        <w:rPr>
          <w:rFonts w:ascii="Arial" w:cs="Arial" w:eastAsia="Arial" w:hAnsi="Arial"/>
          <w:sz w:val="19"/>
          <w:szCs w:val="19"/>
          <w:color w:val="262626"/>
        </w:rPr>
        <w:t xml:space="preserve"> capital improvement, equipment or device. Notwithstanding anything to the contrary contained herein, costs for capital expenditures not specifically described in this Section 4</w:t>
      </w:r>
      <w:r>
        <w:rPr>
          <w:rFonts w:ascii="Arial" w:cs="Arial" w:eastAsia="Arial" w:hAnsi="Arial"/>
          <w:sz w:val="19"/>
          <w:szCs w:val="19"/>
          <w:color w:val="444444"/>
        </w:rPr>
        <w:t>.</w:t>
      </w:r>
      <w:r>
        <w:rPr>
          <w:rFonts w:ascii="Arial" w:cs="Arial" w:eastAsia="Arial" w:hAnsi="Arial"/>
          <w:sz w:val="19"/>
          <w:szCs w:val="19"/>
          <w:color w:val="262626"/>
        </w:rPr>
        <w:t>2 shall not be includable in Direct Expenses, and further, all such includable capital expenditures shall be amortized as set forth in this subsection (i).</w:t>
      </w:r>
    </w:p>
    <w:p>
      <w:pPr>
        <w:spacing w:after="0" w:line="174" w:lineRule="exact"/>
        <w:rPr>
          <w:rFonts w:ascii="Arial" w:cs="Arial" w:eastAsia="Arial" w:hAnsi="Arial"/>
          <w:sz w:val="19"/>
          <w:szCs w:val="19"/>
          <w:color w:val="343434"/>
        </w:rPr>
      </w:pPr>
    </w:p>
    <w:p>
      <w:pPr>
        <w:ind w:right="180" w:firstLine="1763"/>
        <w:spacing w:after="0" w:line="260" w:lineRule="auto"/>
        <w:tabs>
          <w:tab w:leader="none" w:pos="2590" w:val="left"/>
        </w:tabs>
        <w:numPr>
          <w:ilvl w:val="0"/>
          <w:numId w:val="47"/>
        </w:numPr>
        <w:rPr>
          <w:rFonts w:ascii="Arial" w:cs="Arial" w:eastAsia="Arial" w:hAnsi="Arial"/>
          <w:sz w:val="19"/>
          <w:szCs w:val="19"/>
          <w:color w:val="262626"/>
        </w:rPr>
      </w:pPr>
      <w:r>
        <w:rPr>
          <w:rFonts w:ascii="Arial" w:cs="Arial" w:eastAsia="Arial" w:hAnsi="Arial"/>
          <w:sz w:val="19"/>
          <w:szCs w:val="19"/>
          <w:color w:val="262626"/>
        </w:rPr>
        <w:t>The costs of (i) carpeting</w:t>
      </w:r>
      <w:r>
        <w:rPr>
          <w:rFonts w:ascii="Arial" w:cs="Arial" w:eastAsia="Arial" w:hAnsi="Arial"/>
          <w:sz w:val="19"/>
          <w:szCs w:val="19"/>
          <w:color w:val="424242"/>
        </w:rPr>
        <w:t>,</w:t>
      </w:r>
      <w:r>
        <w:rPr>
          <w:rFonts w:ascii="Arial" w:cs="Arial" w:eastAsia="Arial" w:hAnsi="Arial"/>
          <w:sz w:val="19"/>
          <w:szCs w:val="19"/>
          <w:color w:val="262626"/>
        </w:rPr>
        <w:t xml:space="preserve"> draperies and wall coverings in the Common Areas, and (ii) other furnishings in Common Areas which</w:t>
      </w:r>
      <w:r>
        <w:rPr>
          <w:rFonts w:ascii="Arial" w:cs="Arial" w:eastAsia="Arial" w:hAnsi="Arial"/>
          <w:sz w:val="19"/>
          <w:szCs w:val="19"/>
          <w:color w:val="424242"/>
        </w:rPr>
        <w:t>,</w:t>
      </w:r>
      <w:r>
        <w:rPr>
          <w:rFonts w:ascii="Arial" w:cs="Arial" w:eastAsia="Arial" w:hAnsi="Arial"/>
          <w:sz w:val="19"/>
          <w:szCs w:val="19"/>
          <w:color w:val="262626"/>
        </w:rPr>
        <w:t xml:space="preserve"> as a result of normal use, require periodic replacement in order to maintain the Building in a first class manner, consistent with buildings of similar age and quality in the downtown San Francisco area, amortized over the useful life of such improvements (as reasonably determined by Landlord), together with interest on the unamortized balance at the Prime Rate on the date the costs are incurred or such higher rate as may have been paid by Landlord on borrowed fund.</w:t>
      </w:r>
    </w:p>
    <w:p>
      <w:pPr>
        <w:spacing w:after="0" w:line="167" w:lineRule="exact"/>
        <w:rPr>
          <w:rFonts w:ascii="Arial" w:cs="Arial" w:eastAsia="Arial" w:hAnsi="Arial"/>
          <w:sz w:val="19"/>
          <w:szCs w:val="19"/>
          <w:color w:val="262626"/>
        </w:rPr>
      </w:pPr>
    </w:p>
    <w:p>
      <w:pPr>
        <w:ind w:right="20" w:firstLine="1763"/>
        <w:spacing w:after="0" w:line="316" w:lineRule="auto"/>
        <w:tabs>
          <w:tab w:leader="none" w:pos="2634" w:val="left"/>
        </w:tabs>
        <w:numPr>
          <w:ilvl w:val="0"/>
          <w:numId w:val="47"/>
        </w:numPr>
        <w:rPr>
          <w:rFonts w:ascii="Arial" w:cs="Arial" w:eastAsia="Arial" w:hAnsi="Arial"/>
          <w:sz w:val="18"/>
          <w:szCs w:val="18"/>
          <w:color w:val="262626"/>
        </w:rPr>
      </w:pPr>
      <w:r>
        <w:rPr>
          <w:rFonts w:ascii="Arial" w:cs="Arial" w:eastAsia="Arial" w:hAnsi="Arial"/>
          <w:sz w:val="18"/>
          <w:szCs w:val="18"/>
          <w:color w:val="262626"/>
        </w:rPr>
        <w:t>The cost of operating (including power consumption) maintaining, repairing, servicing and replacing the entire heating</w:t>
      </w:r>
      <w:r>
        <w:rPr>
          <w:rFonts w:ascii="Arial" w:cs="Arial" w:eastAsia="Arial" w:hAnsi="Arial"/>
          <w:sz w:val="18"/>
          <w:szCs w:val="18"/>
          <w:color w:val="424242"/>
        </w:rPr>
        <w:t>,</w:t>
      </w:r>
      <w:r>
        <w:rPr>
          <w:rFonts w:ascii="Arial" w:cs="Arial" w:eastAsia="Arial" w:hAnsi="Arial"/>
          <w:sz w:val="18"/>
          <w:szCs w:val="18"/>
          <w:color w:val="262626"/>
        </w:rPr>
        <w:t xml:space="preserve"> ventilation and air conditioning (“HVAC”), mechanical, electrical, plumbing systems and other entire systems serving the Building.</w:t>
      </w:r>
    </w:p>
    <w:p>
      <w:pPr>
        <w:spacing w:after="0" w:line="10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4.3</w:t>
      </w:r>
      <w:r>
        <w:rPr>
          <w:sz w:val="20"/>
          <w:szCs w:val="20"/>
          <w:color w:val="auto"/>
        </w:rPr>
        <w:tab/>
      </w:r>
      <w:r>
        <w:rPr>
          <w:rFonts w:ascii="Arial" w:cs="Arial" w:eastAsia="Arial" w:hAnsi="Arial"/>
          <w:sz w:val="18"/>
          <w:szCs w:val="18"/>
          <w:u w:val="single" w:color="auto"/>
          <w:color w:val="262626"/>
        </w:rPr>
        <w:t>St</w:t>
      </w:r>
      <w:r>
        <w:rPr>
          <w:rFonts w:ascii="Arial" w:cs="Arial" w:eastAsia="Arial" w:hAnsi="Arial"/>
          <w:sz w:val="18"/>
          <w:szCs w:val="18"/>
          <w:u w:val="single" w:color="auto"/>
          <w:color w:val="424242"/>
        </w:rPr>
        <w:t>a</w:t>
      </w:r>
      <w:r>
        <w:rPr>
          <w:rFonts w:ascii="Arial" w:cs="Arial" w:eastAsia="Arial" w:hAnsi="Arial"/>
          <w:sz w:val="18"/>
          <w:szCs w:val="18"/>
          <w:u w:val="single" w:color="auto"/>
          <w:color w:val="262626"/>
        </w:rPr>
        <w:t>t</w:t>
      </w:r>
      <w:r>
        <w:rPr>
          <w:rFonts w:ascii="Arial" w:cs="Arial" w:eastAsia="Arial" w:hAnsi="Arial"/>
          <w:sz w:val="18"/>
          <w:szCs w:val="18"/>
          <w:u w:val="single" w:color="auto"/>
          <w:color w:val="424242"/>
        </w:rPr>
        <w:t>eme</w:t>
      </w:r>
      <w:r>
        <w:rPr>
          <w:rFonts w:ascii="Arial" w:cs="Arial" w:eastAsia="Arial" w:hAnsi="Arial"/>
          <w:sz w:val="18"/>
          <w:szCs w:val="18"/>
          <w:u w:val="single" w:color="auto"/>
          <w:color w:val="262626"/>
        </w:rPr>
        <w:t>n</w:t>
      </w:r>
      <w:r>
        <w:rPr>
          <w:rFonts w:ascii="Arial" w:cs="Arial" w:eastAsia="Arial" w:hAnsi="Arial"/>
          <w:sz w:val="18"/>
          <w:szCs w:val="18"/>
          <w:u w:val="single" w:color="auto"/>
          <w:color w:val="424242"/>
        </w:rPr>
        <w:t>t</w:t>
      </w:r>
      <w:r>
        <w:rPr>
          <w:rFonts w:ascii="Arial" w:cs="Arial" w:eastAsia="Arial" w:hAnsi="Arial"/>
          <w:sz w:val="18"/>
          <w:szCs w:val="18"/>
          <w:u w:val="single" w:color="auto"/>
          <w:color w:val="262626"/>
        </w:rPr>
        <w:t>s and Audit Righ</w:t>
      </w:r>
      <w:r>
        <w:rPr>
          <w:rFonts w:ascii="Arial" w:cs="Arial" w:eastAsia="Arial" w:hAnsi="Arial"/>
          <w:sz w:val="18"/>
          <w:szCs w:val="18"/>
          <w:u w:val="single" w:color="auto"/>
          <w:color w:val="424242"/>
        </w:rPr>
        <w:t>t</w:t>
      </w:r>
    </w:p>
    <w:p>
      <w:pPr>
        <w:spacing w:after="0" w:line="202" w:lineRule="exact"/>
        <w:rPr>
          <w:sz w:val="20"/>
          <w:szCs w:val="20"/>
          <w:color w:val="auto"/>
        </w:rPr>
      </w:pPr>
    </w:p>
    <w:p>
      <w:pPr>
        <w:ind w:right="60" w:firstLine="877"/>
        <w:spacing w:after="0" w:line="255" w:lineRule="auto"/>
        <w:rPr>
          <w:sz w:val="20"/>
          <w:szCs w:val="20"/>
          <w:color w:val="auto"/>
        </w:rPr>
      </w:pPr>
      <w:r>
        <w:rPr>
          <w:rFonts w:ascii="Arial" w:cs="Arial" w:eastAsia="Arial" w:hAnsi="Arial"/>
          <w:sz w:val="19"/>
          <w:szCs w:val="19"/>
          <w:color w:val="262626"/>
        </w:rPr>
        <w:t>A reasonably detailed statement (the “Statement”) of the Direct Expenses actually payable by Tenant shall be given to Tenant within one hundred eighty (180) days after the end of each calendar year or as soon thereafter as practicable. If Tenant’s Percentage Share of any Direct Expenses as shown on such Statement is greater or less than the total amount actually paid by Tenant during the calendar year covered by such Statement, then within thirty (30) days thereafter</w:t>
      </w:r>
      <w:r>
        <w:rPr>
          <w:rFonts w:ascii="Arial" w:cs="Arial" w:eastAsia="Arial" w:hAnsi="Arial"/>
          <w:sz w:val="19"/>
          <w:szCs w:val="19"/>
          <w:color w:val="424242"/>
        </w:rPr>
        <w:t>,</w:t>
      </w:r>
      <w:r>
        <w:rPr>
          <w:rFonts w:ascii="Arial" w:cs="Arial" w:eastAsia="Arial" w:hAnsi="Arial"/>
          <w:sz w:val="19"/>
          <w:szCs w:val="19"/>
          <w:color w:val="262626"/>
        </w:rPr>
        <w:t xml:space="preserve"> Tenant shall pay in cash any sums owed to Landlord or</w:t>
      </w:r>
      <w:r>
        <w:rPr>
          <w:rFonts w:ascii="Arial" w:cs="Arial" w:eastAsia="Arial" w:hAnsi="Arial"/>
          <w:sz w:val="19"/>
          <w:szCs w:val="19"/>
          <w:color w:val="424242"/>
        </w:rPr>
        <w:t>,</w:t>
      </w:r>
      <w:r>
        <w:rPr>
          <w:rFonts w:ascii="Arial" w:cs="Arial" w:eastAsia="Arial" w:hAnsi="Arial"/>
          <w:sz w:val="19"/>
          <w:szCs w:val="19"/>
          <w:color w:val="262626"/>
        </w:rPr>
        <w:t xml:space="preserve"> if applicable, Tenant shall receive a credit against any Rent next accruing for any sum owed Tenant. If, as of the ninetieth (90th) day after delivery to Tenant of a Statement, Tenant shall not have delivered to Landlord an Objection Notice (as defined below), then such Statement shall be final and binding upon Landlord and Tenant, and Tenant shall have no further right to object to such Statement. If within such ninety (90) day period, Tenant delivers to Landlord a written statement specifying objections to such Statement (an “Objection Notice”), then Tenant may elect to (i) perform an audit pursuant to th</w:t>
      </w:r>
      <w:r>
        <w:rPr>
          <w:rFonts w:ascii="Arial" w:cs="Arial" w:eastAsia="Arial" w:hAnsi="Arial"/>
          <w:sz w:val="19"/>
          <w:szCs w:val="19"/>
          <w:color w:val="424242"/>
        </w:rPr>
        <w:t>i</w:t>
      </w:r>
      <w:r>
        <w:rPr>
          <w:rFonts w:ascii="Arial" w:cs="Arial" w:eastAsia="Arial" w:hAnsi="Arial"/>
          <w:sz w:val="19"/>
          <w:szCs w:val="19"/>
          <w:color w:val="262626"/>
        </w:rPr>
        <w:t>s Section 4.3</w:t>
      </w:r>
      <w:r>
        <w:rPr>
          <w:rFonts w:ascii="Arial" w:cs="Arial" w:eastAsia="Arial" w:hAnsi="Arial"/>
          <w:sz w:val="19"/>
          <w:szCs w:val="19"/>
          <w:color w:val="424242"/>
        </w:rPr>
        <w:t>,</w:t>
      </w:r>
      <w:r>
        <w:rPr>
          <w:rFonts w:ascii="Arial" w:cs="Arial" w:eastAsia="Arial" w:hAnsi="Arial"/>
          <w:sz w:val="19"/>
          <w:szCs w:val="19"/>
          <w:color w:val="262626"/>
        </w:rPr>
        <w:t xml:space="preserve"> or (ii) meet with Landlord to attempt to resolve such objection within thirty (30) days after delivery of the Objection Notice. Landlord shall provide access for Tenant to review its pertinent records, during the period after delivery to Tenant of a Statement during which Tenant may perform an audit, during regular business hours in Landlord’s management office for the Building. Notwithstanding that any such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8</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36" w:name="page137"/>
    <w:bookmarkEnd w:id="136"/>
    <w:p>
      <w:pPr>
        <w:ind w:right="20"/>
        <w:spacing w:after="0" w:line="270" w:lineRule="auto"/>
        <w:rPr>
          <w:sz w:val="20"/>
          <w:szCs w:val="20"/>
          <w:color w:val="auto"/>
        </w:rPr>
      </w:pPr>
      <w:r>
        <w:rPr>
          <w:rFonts w:ascii="Arial" w:cs="Arial" w:eastAsia="Arial" w:hAnsi="Arial"/>
          <w:sz w:val="18"/>
          <w:szCs w:val="18"/>
          <w:color w:val="262626"/>
        </w:rPr>
        <w:t>dispute remains unresolved, Tenant shall be obligated to pay Landlord all Rent payable in accordance with this Lease (including any disputed amount). If such dispute results in an agreement that Tenant is entitled to a refund, Landlord shall</w:t>
      </w:r>
      <w:r>
        <w:rPr>
          <w:rFonts w:ascii="Arial" w:cs="Arial" w:eastAsia="Arial" w:hAnsi="Arial"/>
          <w:sz w:val="18"/>
          <w:szCs w:val="18"/>
          <w:color w:val="424242"/>
        </w:rPr>
        <w:t>,</w:t>
      </w:r>
      <w:r>
        <w:rPr>
          <w:rFonts w:ascii="Arial" w:cs="Arial" w:eastAsia="Arial" w:hAnsi="Arial"/>
          <w:sz w:val="18"/>
          <w:szCs w:val="18"/>
          <w:color w:val="262626"/>
        </w:rPr>
        <w:t xml:space="preserve"> at its option, either pay such refund or credit the amount thereof to the Basic Monthly Rent next becoming due from Tenant. The failure or delay by Landlord to provide Tenant with Landlord’s estimate of Tenant’s Percentage Share of Direct Expenses or a Statement for any calendar year shall not constitute a default by Landlord hereunder, or a waiver by Landlord of Tenant’s obligation to pay Tenant’s Percentage Share of Direct Expenses for such calendar year or of Landlord</w:t>
      </w:r>
      <w:r>
        <w:rPr>
          <w:rFonts w:ascii="Arial" w:cs="Arial" w:eastAsia="Arial" w:hAnsi="Arial"/>
          <w:sz w:val="18"/>
          <w:szCs w:val="18"/>
          <w:color w:val="424242"/>
        </w:rPr>
        <w:t>’</w:t>
      </w:r>
      <w:r>
        <w:rPr>
          <w:rFonts w:ascii="Arial" w:cs="Arial" w:eastAsia="Arial" w:hAnsi="Arial"/>
          <w:sz w:val="18"/>
          <w:szCs w:val="18"/>
          <w:color w:val="262626"/>
        </w:rPr>
        <w:t>s right to send to Tenant such an estimate or Statement, as the case may be. If the Term of this Lease expires or is terminated on a day other than the last day of a calendar year, the amount of Direct Expenses payable by Tenant during the calendar year in which the Term expires or is terminated shall be prorated on the basis which the number of days from the commencement of the calendar year to and including the date on which the Term expires or is terminated bears to three hundred sixty-five (365). Within one hundred twenty (120) days following expiration of the calendar year in which the Term expired or terminated, or as soon thereafter as practicable, Landlord shall give a final Statement to Tenant for such calendar year (“Final Statement”). If Tenant’s share of any Direct Expenses as shown on the Final Statement is greater or less than the total amounts of Direct Expenses actually paid by Tenant during the calendar year covered by the Final Statement, then within thirty (30) days thereafter the appropriate party shall pay to the other party any sums owed.</w:t>
      </w:r>
    </w:p>
    <w:p>
      <w:pPr>
        <w:spacing w:after="0" w:line="147" w:lineRule="exact"/>
        <w:rPr>
          <w:sz w:val="20"/>
          <w:szCs w:val="20"/>
          <w:color w:val="auto"/>
        </w:rPr>
      </w:pPr>
    </w:p>
    <w:p>
      <w:pPr>
        <w:ind w:right="160" w:firstLine="877"/>
        <w:spacing w:after="0" w:line="310" w:lineRule="auto"/>
        <w:rPr>
          <w:sz w:val="20"/>
          <w:szCs w:val="20"/>
          <w:color w:val="auto"/>
        </w:rPr>
      </w:pPr>
      <w:r>
        <w:rPr>
          <w:rFonts w:ascii="Arial" w:cs="Arial" w:eastAsia="Arial" w:hAnsi="Arial"/>
          <w:sz w:val="16"/>
          <w:szCs w:val="16"/>
          <w:color w:val="262626"/>
        </w:rPr>
        <w:t>Landlord shall keep complete books and records regarding all charges made by Landlord under Article 4 and Article 5 hereof. All records shall be retained for at least three (3) years and shall be available electronically. Tenant shall have the right to audit the applicable records of Landlord to confirm that the charges billed to Tenant under Article 4 and Article 5 are proper and conform to the provisions of such provisions. Such right shall be exercisable by Tenant within the ninety (90) day period after Tenant’s delivery to Landlord of an Objection Notice. Landlord shall cooperate with Tenant in providing Tenant reasonable access to Landlord’s books and records during normal business hours to enable Tenant to audit Landlord’s books and records as they relate to any costs or expenses passed through to Tenant pursuant to any provisions of this Lease. If the audit discloses any overpayment on the part of Tenant, then Tenant shall be entitled to a credit or refund as set forth above. In addition, in the event such audit by Tenant discloses such an overcharge in excess of the five percent (5%) of the amount payable in accordance with Sections 4.1 and 5.1 hereof, then Landlord shall pay to Tenant the reasonable costs and expenses of such audit.</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5</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TAX ADJUSTMENT</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5.1</w:t>
      </w:r>
      <w:r>
        <w:rPr>
          <w:sz w:val="20"/>
          <w:szCs w:val="20"/>
          <w:color w:val="auto"/>
        </w:rPr>
        <w:tab/>
      </w:r>
      <w:r>
        <w:rPr>
          <w:rFonts w:ascii="Arial" w:cs="Arial" w:eastAsia="Arial" w:hAnsi="Arial"/>
          <w:sz w:val="16"/>
          <w:szCs w:val="16"/>
          <w:u w:val="single" w:color="auto"/>
          <w:color w:val="262626"/>
        </w:rPr>
        <w:t>Increased Taxes</w:t>
      </w:r>
    </w:p>
    <w:p>
      <w:pPr>
        <w:spacing w:after="0" w:line="189" w:lineRule="exact"/>
        <w:rPr>
          <w:sz w:val="20"/>
          <w:szCs w:val="20"/>
          <w:color w:val="auto"/>
        </w:rPr>
      </w:pPr>
    </w:p>
    <w:p>
      <w:pPr>
        <w:ind w:right="140" w:firstLine="877"/>
        <w:spacing w:after="0" w:line="256" w:lineRule="auto"/>
        <w:rPr>
          <w:sz w:val="20"/>
          <w:szCs w:val="20"/>
          <w:color w:val="auto"/>
        </w:rPr>
      </w:pPr>
      <w:r>
        <w:rPr>
          <w:rFonts w:ascii="Arial" w:cs="Arial" w:eastAsia="Arial" w:hAnsi="Arial"/>
          <w:sz w:val="19"/>
          <w:szCs w:val="19"/>
          <w:color w:val="262626"/>
        </w:rPr>
        <w:t>During each calendar year of the Term subsequent to the Base Year, Tenant shall pay to Landlord, as additional rent, Tenant’s Percentage Share (as specified in the Basic Lease Information) of any increase in taxes (“Taxes” as defined in Section 5.2) paid or incurred by Landlord during such calendar year (which increase is hereinafter referred to as the “Increased Taxes”). Landlord may, at or after the start of any calendar year subsequent to the Base Year, notify Tenant of the amount of which Landlord estimates will be Tenant’s monthly share of Increased Taxes for such calendar year, and Tenant shall pay such amount as additional rent on or before the first day of each month of the Term, along with the Basic Monthly Rent payments required to be made by Tenant in such year. Statements of the Increased Taxes actually payable by Tenant for each year subsequent to the Base Year shall be given to Tenant within one hundred eighty (180) days after the end of each calendar year. If Tenant’s share of any Increased Taxes as shown on such statement is greater or less than the total amounts actually paid by Tenant during the year covered by such statement, then within thirty (30) days thereafter, Tenant shall pay in cash any sums owed Landlord or, if applicable, Tenant shall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9</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37" w:name="page138"/>
    <w:bookmarkEnd w:id="137"/>
    <w:p>
      <w:pPr>
        <w:ind w:right="20"/>
        <w:spacing w:after="0" w:line="242" w:lineRule="auto"/>
        <w:rPr>
          <w:sz w:val="20"/>
          <w:szCs w:val="20"/>
          <w:color w:val="auto"/>
        </w:rPr>
      </w:pPr>
      <w:r>
        <w:rPr>
          <w:rFonts w:ascii="Arial" w:cs="Arial" w:eastAsia="Arial" w:hAnsi="Arial"/>
          <w:sz w:val="20"/>
          <w:szCs w:val="20"/>
          <w:color w:val="262626"/>
        </w:rPr>
        <w:t xml:space="preserve">receive a credit against any Rent next accruing for any sum owed Tenant. If this Lease expires or is terminated on a day other than the last day of a calendar year, the amount of Increased Taxes payable by Tenant during the year in which the Lease expires or is terminated shall be prorated on the basis which the number of days from the commencement of the calendar year to and including the date on which the Lease expires or is terminated bears to three hundred sixty-five (365). Following expiration of the calendar year in which the Lease expired or was terminated, Landlord shall give a final </w:t>
      </w:r>
      <w:r>
        <w:rPr>
          <w:rFonts w:ascii="Arial" w:cs="Arial" w:eastAsia="Arial" w:hAnsi="Arial"/>
          <w:sz w:val="20"/>
          <w:szCs w:val="20"/>
          <w:color w:val="383838"/>
        </w:rPr>
        <w:t>statement,</w:t>
      </w:r>
      <w:r>
        <w:rPr>
          <w:rFonts w:ascii="Arial" w:cs="Arial" w:eastAsia="Arial" w:hAnsi="Arial"/>
          <w:sz w:val="20"/>
          <w:szCs w:val="20"/>
          <w:color w:val="262626"/>
        </w:rPr>
        <w:t xml:space="preserve"> subject </w:t>
      </w:r>
      <w:r>
        <w:rPr>
          <w:rFonts w:ascii="Arial" w:cs="Arial" w:eastAsia="Arial" w:hAnsi="Arial"/>
          <w:sz w:val="20"/>
          <w:szCs w:val="20"/>
          <w:color w:val="383838"/>
        </w:rPr>
        <w:t>to</w:t>
      </w:r>
      <w:r>
        <w:rPr>
          <w:rFonts w:ascii="Arial" w:cs="Arial" w:eastAsia="Arial" w:hAnsi="Arial"/>
          <w:sz w:val="20"/>
          <w:szCs w:val="20"/>
          <w:color w:val="262626"/>
        </w:rPr>
        <w:t xml:space="preserve"> revision, </w:t>
      </w:r>
      <w:r>
        <w:rPr>
          <w:rFonts w:ascii="Arial" w:cs="Arial" w:eastAsia="Arial" w:hAnsi="Arial"/>
          <w:sz w:val="20"/>
          <w:szCs w:val="20"/>
          <w:color w:val="383838"/>
        </w:rPr>
        <w:t>of</w:t>
      </w:r>
      <w:r>
        <w:rPr>
          <w:rFonts w:ascii="Arial" w:cs="Arial" w:eastAsia="Arial" w:hAnsi="Arial"/>
          <w:sz w:val="20"/>
          <w:szCs w:val="20"/>
          <w:color w:val="262626"/>
        </w:rPr>
        <w:t xml:space="preserve"> Increased </w:t>
      </w:r>
      <w:r>
        <w:rPr>
          <w:rFonts w:ascii="Arial" w:cs="Arial" w:eastAsia="Arial" w:hAnsi="Arial"/>
          <w:sz w:val="20"/>
          <w:szCs w:val="20"/>
          <w:color w:val="383838"/>
        </w:rPr>
        <w:t>Taxes for such ca</w:t>
      </w:r>
      <w:r>
        <w:rPr>
          <w:rFonts w:ascii="Arial" w:cs="Arial" w:eastAsia="Arial" w:hAnsi="Arial"/>
          <w:sz w:val="20"/>
          <w:szCs w:val="20"/>
          <w:color w:val="131313"/>
        </w:rPr>
        <w:t>l</w:t>
      </w:r>
      <w:r>
        <w:rPr>
          <w:rFonts w:ascii="Arial" w:cs="Arial" w:eastAsia="Arial" w:hAnsi="Arial"/>
          <w:sz w:val="20"/>
          <w:szCs w:val="20"/>
          <w:color w:val="383838"/>
        </w:rPr>
        <w:t>endar year</w:t>
      </w:r>
      <w:r>
        <w:rPr>
          <w:rFonts w:ascii="Arial" w:cs="Arial" w:eastAsia="Arial" w:hAnsi="Arial"/>
          <w:sz w:val="20"/>
          <w:szCs w:val="20"/>
          <w:color w:val="131313"/>
        </w:rPr>
        <w:t>.</w:t>
      </w:r>
      <w:r>
        <w:rPr>
          <w:rFonts w:ascii="Arial" w:cs="Arial" w:eastAsia="Arial" w:hAnsi="Arial"/>
          <w:sz w:val="20"/>
          <w:szCs w:val="20"/>
          <w:color w:val="262626"/>
        </w:rPr>
        <w:t xml:space="preserve"> If </w:t>
      </w:r>
      <w:r>
        <w:rPr>
          <w:rFonts w:ascii="Arial" w:cs="Arial" w:eastAsia="Arial" w:hAnsi="Arial"/>
          <w:sz w:val="20"/>
          <w:szCs w:val="20"/>
          <w:color w:val="383838"/>
        </w:rPr>
        <w:t>Tenant’s</w:t>
      </w:r>
      <w:r>
        <w:rPr>
          <w:rFonts w:ascii="Arial" w:cs="Arial" w:eastAsia="Arial" w:hAnsi="Arial"/>
          <w:sz w:val="20"/>
          <w:szCs w:val="20"/>
          <w:color w:val="262626"/>
        </w:rPr>
        <w:t xml:space="preserve"> </w:t>
      </w:r>
      <w:r>
        <w:rPr>
          <w:rFonts w:ascii="Arial" w:cs="Arial" w:eastAsia="Arial" w:hAnsi="Arial"/>
          <w:sz w:val="20"/>
          <w:szCs w:val="20"/>
          <w:color w:val="4D4D4D"/>
        </w:rPr>
        <w:t>s</w:t>
      </w:r>
      <w:r>
        <w:rPr>
          <w:rFonts w:ascii="Arial" w:cs="Arial" w:eastAsia="Arial" w:hAnsi="Arial"/>
          <w:sz w:val="20"/>
          <w:szCs w:val="20"/>
          <w:color w:val="262626"/>
        </w:rPr>
        <w:t xml:space="preserve">hare </w:t>
      </w:r>
      <w:r>
        <w:rPr>
          <w:rFonts w:ascii="Arial" w:cs="Arial" w:eastAsia="Arial" w:hAnsi="Arial"/>
          <w:sz w:val="20"/>
          <w:szCs w:val="20"/>
          <w:color w:val="383838"/>
        </w:rPr>
        <w:t>of any</w:t>
      </w:r>
      <w:r>
        <w:rPr>
          <w:rFonts w:ascii="Arial" w:cs="Arial" w:eastAsia="Arial" w:hAnsi="Arial"/>
          <w:sz w:val="20"/>
          <w:szCs w:val="20"/>
          <w:color w:val="262626"/>
        </w:rPr>
        <w:t xml:space="preserve"> </w:t>
      </w:r>
      <w:r>
        <w:rPr>
          <w:rFonts w:ascii="Arial" w:cs="Arial" w:eastAsia="Arial" w:hAnsi="Arial"/>
          <w:sz w:val="20"/>
          <w:szCs w:val="20"/>
          <w:color w:val="383838"/>
        </w:rPr>
        <w:t>Increased Taxes as shown on such fina</w:t>
      </w:r>
      <w:r>
        <w:rPr>
          <w:rFonts w:ascii="Arial" w:cs="Arial" w:eastAsia="Arial" w:hAnsi="Arial"/>
          <w:sz w:val="20"/>
          <w:szCs w:val="20"/>
          <w:color w:val="131313"/>
        </w:rPr>
        <w:t>l</w:t>
      </w:r>
      <w:r>
        <w:rPr>
          <w:rFonts w:ascii="Arial" w:cs="Arial" w:eastAsia="Arial" w:hAnsi="Arial"/>
          <w:sz w:val="20"/>
          <w:szCs w:val="20"/>
          <w:color w:val="383838"/>
        </w:rPr>
        <w:t xml:space="preserve"> statement </w:t>
      </w:r>
      <w:r>
        <w:rPr>
          <w:rFonts w:ascii="Arial" w:cs="Arial" w:eastAsia="Arial" w:hAnsi="Arial"/>
          <w:sz w:val="20"/>
          <w:szCs w:val="20"/>
          <w:color w:val="262626"/>
        </w:rPr>
        <w:t>i</w:t>
      </w:r>
      <w:r>
        <w:rPr>
          <w:rFonts w:ascii="Arial" w:cs="Arial" w:eastAsia="Arial" w:hAnsi="Arial"/>
          <w:sz w:val="20"/>
          <w:szCs w:val="20"/>
          <w:color w:val="383838"/>
        </w:rPr>
        <w:t>s g</w:t>
      </w:r>
      <w:r>
        <w:rPr>
          <w:rFonts w:ascii="Arial" w:cs="Arial" w:eastAsia="Arial" w:hAnsi="Arial"/>
          <w:sz w:val="20"/>
          <w:szCs w:val="20"/>
          <w:color w:val="131313"/>
        </w:rPr>
        <w:t>r</w:t>
      </w:r>
      <w:r>
        <w:rPr>
          <w:rFonts w:ascii="Arial" w:cs="Arial" w:eastAsia="Arial" w:hAnsi="Arial"/>
          <w:sz w:val="20"/>
          <w:szCs w:val="20"/>
          <w:color w:val="383838"/>
        </w:rPr>
        <w:t xml:space="preserve">eater or </w:t>
      </w:r>
      <w:r>
        <w:rPr>
          <w:rFonts w:ascii="Arial" w:cs="Arial" w:eastAsia="Arial" w:hAnsi="Arial"/>
          <w:sz w:val="20"/>
          <w:szCs w:val="20"/>
          <w:color w:val="262626"/>
        </w:rPr>
        <w:t>less</w:t>
      </w:r>
      <w:r>
        <w:rPr>
          <w:rFonts w:ascii="Arial" w:cs="Arial" w:eastAsia="Arial" w:hAnsi="Arial"/>
          <w:sz w:val="20"/>
          <w:szCs w:val="20"/>
          <w:color w:val="383838"/>
        </w:rPr>
        <w:t xml:space="preserve"> than the total amounts to the other party any of Increased Taxes actually paid </w:t>
      </w:r>
      <w:r>
        <w:rPr>
          <w:rFonts w:ascii="Arial" w:cs="Arial" w:eastAsia="Arial" w:hAnsi="Arial"/>
          <w:sz w:val="20"/>
          <w:szCs w:val="20"/>
          <w:color w:val="262626"/>
        </w:rPr>
        <w:t xml:space="preserve">by </w:t>
      </w:r>
      <w:r>
        <w:rPr>
          <w:rFonts w:ascii="Arial" w:cs="Arial" w:eastAsia="Arial" w:hAnsi="Arial"/>
          <w:sz w:val="20"/>
          <w:szCs w:val="20"/>
          <w:color w:val="383838"/>
        </w:rPr>
        <w:t>Tenant</w:t>
      </w:r>
      <w:r>
        <w:rPr>
          <w:rFonts w:ascii="Arial" w:cs="Arial" w:eastAsia="Arial" w:hAnsi="Arial"/>
          <w:sz w:val="20"/>
          <w:szCs w:val="20"/>
          <w:color w:val="262626"/>
        </w:rPr>
        <w:t xml:space="preserve"> during </w:t>
      </w:r>
      <w:r>
        <w:rPr>
          <w:rFonts w:ascii="Arial" w:cs="Arial" w:eastAsia="Arial" w:hAnsi="Arial"/>
          <w:sz w:val="20"/>
          <w:szCs w:val="20"/>
          <w:color w:val="383838"/>
        </w:rPr>
        <w:t>the year covered by</w:t>
      </w:r>
      <w:r>
        <w:rPr>
          <w:rFonts w:ascii="Arial" w:cs="Arial" w:eastAsia="Arial" w:hAnsi="Arial"/>
          <w:sz w:val="20"/>
          <w:szCs w:val="20"/>
          <w:color w:val="262626"/>
        </w:rPr>
        <w:t xml:space="preserve"> the </w:t>
      </w:r>
      <w:r>
        <w:rPr>
          <w:rFonts w:ascii="Arial" w:cs="Arial" w:eastAsia="Arial" w:hAnsi="Arial"/>
          <w:sz w:val="20"/>
          <w:szCs w:val="20"/>
          <w:color w:val="4D4D4D"/>
        </w:rPr>
        <w:t>state</w:t>
      </w:r>
      <w:r>
        <w:rPr>
          <w:rFonts w:ascii="Arial" w:cs="Arial" w:eastAsia="Arial" w:hAnsi="Arial"/>
          <w:sz w:val="20"/>
          <w:szCs w:val="20"/>
          <w:color w:val="262626"/>
        </w:rPr>
        <w:t xml:space="preserve">ment, </w:t>
      </w:r>
      <w:r>
        <w:rPr>
          <w:rFonts w:ascii="Arial" w:cs="Arial" w:eastAsia="Arial" w:hAnsi="Arial"/>
          <w:sz w:val="20"/>
          <w:szCs w:val="20"/>
          <w:color w:val="383838"/>
        </w:rPr>
        <w:t>then within</w:t>
      </w:r>
      <w:r>
        <w:rPr>
          <w:rFonts w:ascii="Arial" w:cs="Arial" w:eastAsia="Arial" w:hAnsi="Arial"/>
          <w:sz w:val="20"/>
          <w:szCs w:val="20"/>
          <w:color w:val="262626"/>
        </w:rPr>
        <w:t xml:space="preserve"> thirty </w:t>
      </w:r>
      <w:r>
        <w:rPr>
          <w:rFonts w:ascii="Arial" w:cs="Arial" w:eastAsia="Arial" w:hAnsi="Arial"/>
          <w:sz w:val="20"/>
          <w:szCs w:val="20"/>
          <w:color w:val="383838"/>
        </w:rPr>
        <w:t>(30)</w:t>
      </w:r>
      <w:r>
        <w:rPr>
          <w:rFonts w:ascii="Arial" w:cs="Arial" w:eastAsia="Arial" w:hAnsi="Arial"/>
          <w:sz w:val="20"/>
          <w:szCs w:val="20"/>
          <w:color w:val="262626"/>
        </w:rPr>
        <w:t xml:space="preserve"> days thereafter </w:t>
      </w:r>
      <w:r>
        <w:rPr>
          <w:rFonts w:ascii="Arial" w:cs="Arial" w:eastAsia="Arial" w:hAnsi="Arial"/>
          <w:sz w:val="20"/>
          <w:szCs w:val="20"/>
          <w:color w:val="383838"/>
        </w:rPr>
        <w:t>the appropriate</w:t>
      </w:r>
      <w:r>
        <w:rPr>
          <w:rFonts w:ascii="Arial" w:cs="Arial" w:eastAsia="Arial" w:hAnsi="Arial"/>
          <w:sz w:val="20"/>
          <w:szCs w:val="20"/>
          <w:color w:val="262626"/>
        </w:rPr>
        <w:t xml:space="preserve"> party </w:t>
      </w:r>
      <w:r>
        <w:rPr>
          <w:rFonts w:ascii="Arial" w:cs="Arial" w:eastAsia="Arial" w:hAnsi="Arial"/>
          <w:sz w:val="20"/>
          <w:szCs w:val="20"/>
          <w:color w:val="383838"/>
        </w:rPr>
        <w:t>shall</w:t>
      </w:r>
      <w:r>
        <w:rPr>
          <w:rFonts w:ascii="Arial" w:cs="Arial" w:eastAsia="Arial" w:hAnsi="Arial"/>
          <w:sz w:val="20"/>
          <w:szCs w:val="20"/>
          <w:color w:val="262626"/>
        </w:rPr>
        <w:t xml:space="preserve"> pay </w:t>
      </w:r>
      <w:r>
        <w:rPr>
          <w:rFonts w:ascii="Arial" w:cs="Arial" w:eastAsia="Arial" w:hAnsi="Arial"/>
          <w:sz w:val="20"/>
          <w:szCs w:val="20"/>
          <w:color w:val="383838"/>
        </w:rPr>
        <w:t>to</w:t>
      </w:r>
      <w:r>
        <w:rPr>
          <w:rFonts w:ascii="Arial" w:cs="Arial" w:eastAsia="Arial" w:hAnsi="Arial"/>
          <w:sz w:val="20"/>
          <w:szCs w:val="20"/>
          <w:color w:val="262626"/>
        </w:rPr>
        <w:t xml:space="preserve"> the </w:t>
      </w:r>
      <w:r>
        <w:rPr>
          <w:rFonts w:ascii="Arial" w:cs="Arial" w:eastAsia="Arial" w:hAnsi="Arial"/>
          <w:sz w:val="20"/>
          <w:szCs w:val="20"/>
          <w:color w:val="383838"/>
        </w:rPr>
        <w:t>other</w:t>
      </w:r>
      <w:r>
        <w:rPr>
          <w:rFonts w:ascii="Arial" w:cs="Arial" w:eastAsia="Arial" w:hAnsi="Arial"/>
          <w:sz w:val="20"/>
          <w:szCs w:val="20"/>
          <w:color w:val="262626"/>
        </w:rPr>
        <w:t xml:space="preserve"> party any sums owed.</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5.2</w:t>
      </w:r>
      <w:r>
        <w:rPr>
          <w:sz w:val="20"/>
          <w:szCs w:val="20"/>
          <w:color w:val="auto"/>
        </w:rPr>
        <w:tab/>
      </w:r>
      <w:r>
        <w:rPr>
          <w:rFonts w:ascii="Arial" w:cs="Arial" w:eastAsia="Arial" w:hAnsi="Arial"/>
          <w:sz w:val="18"/>
          <w:szCs w:val="18"/>
          <w:u w:val="single" w:color="auto"/>
          <w:color w:val="262626"/>
        </w:rPr>
        <w:t xml:space="preserve">Definition </w:t>
      </w:r>
      <w:r>
        <w:rPr>
          <w:rFonts w:ascii="Arial" w:cs="Arial" w:eastAsia="Arial" w:hAnsi="Arial"/>
          <w:sz w:val="18"/>
          <w:szCs w:val="18"/>
          <w:u w:val="single" w:color="auto"/>
          <w:color w:val="383838"/>
        </w:rPr>
        <w:t>of</w:t>
      </w:r>
      <w:r>
        <w:rPr>
          <w:rFonts w:ascii="Arial" w:cs="Arial" w:eastAsia="Arial" w:hAnsi="Arial"/>
          <w:sz w:val="18"/>
          <w:szCs w:val="18"/>
          <w:u w:val="single" w:color="auto"/>
          <w:color w:val="262626"/>
        </w:rPr>
        <w:t xml:space="preserve"> </w:t>
      </w:r>
      <w:r>
        <w:rPr>
          <w:rFonts w:ascii="Arial" w:cs="Arial" w:eastAsia="Arial" w:hAnsi="Arial"/>
          <w:sz w:val="18"/>
          <w:szCs w:val="18"/>
          <w:u w:val="single" w:color="auto"/>
          <w:color w:val="4D4D4D"/>
        </w:rPr>
        <w:t>Taxes</w:t>
      </w:r>
    </w:p>
    <w:p>
      <w:pPr>
        <w:spacing w:after="0" w:line="202" w:lineRule="exact"/>
        <w:rPr>
          <w:sz w:val="20"/>
          <w:szCs w:val="20"/>
          <w:color w:val="auto"/>
        </w:rPr>
      </w:pPr>
    </w:p>
    <w:p>
      <w:pPr>
        <w:ind w:right="140" w:firstLine="877"/>
        <w:spacing w:after="0" w:line="272" w:lineRule="auto"/>
        <w:rPr>
          <w:sz w:val="20"/>
          <w:szCs w:val="20"/>
          <w:color w:val="auto"/>
        </w:rPr>
      </w:pPr>
      <w:r>
        <w:rPr>
          <w:rFonts w:ascii="Arial" w:cs="Arial" w:eastAsia="Arial" w:hAnsi="Arial"/>
          <w:sz w:val="18"/>
          <w:szCs w:val="18"/>
          <w:color w:val="262626"/>
        </w:rPr>
        <w:t xml:space="preserve">“Taxes” as used herein shall mean all taxes, service payments, service payments in lieu of taxes, </w:t>
      </w:r>
      <w:r>
        <w:rPr>
          <w:rFonts w:ascii="Arial" w:cs="Arial" w:eastAsia="Arial" w:hAnsi="Arial"/>
          <w:sz w:val="18"/>
          <w:szCs w:val="18"/>
          <w:color w:val="383838"/>
        </w:rPr>
        <w:t>annual or periodic license</w:t>
      </w:r>
      <w:r>
        <w:rPr>
          <w:rFonts w:ascii="Arial" w:cs="Arial" w:eastAsia="Arial" w:hAnsi="Arial"/>
          <w:sz w:val="18"/>
          <w:szCs w:val="18"/>
          <w:color w:val="262626"/>
        </w:rPr>
        <w:t xml:space="preserve"> or use fees, </w:t>
      </w:r>
      <w:r>
        <w:rPr>
          <w:rFonts w:ascii="Arial" w:cs="Arial" w:eastAsia="Arial" w:hAnsi="Arial"/>
          <w:sz w:val="18"/>
          <w:szCs w:val="18"/>
          <w:color w:val="383838"/>
        </w:rPr>
        <w:t>excises,</w:t>
      </w:r>
      <w:r>
        <w:rPr>
          <w:rFonts w:ascii="Arial" w:cs="Arial" w:eastAsia="Arial" w:hAnsi="Arial"/>
          <w:sz w:val="18"/>
          <w:szCs w:val="18"/>
          <w:color w:val="262626"/>
        </w:rPr>
        <w:t xml:space="preserve"> transit charges, housing fund assessments or other housing charges, assessments, levies, </w:t>
      </w:r>
      <w:r>
        <w:rPr>
          <w:rFonts w:ascii="Arial" w:cs="Arial" w:eastAsia="Arial" w:hAnsi="Arial"/>
          <w:sz w:val="18"/>
          <w:szCs w:val="18"/>
          <w:color w:val="383838"/>
        </w:rPr>
        <w:t>fees or charges, gene</w:t>
      </w:r>
      <w:r>
        <w:rPr>
          <w:rFonts w:ascii="Arial" w:cs="Arial" w:eastAsia="Arial" w:hAnsi="Arial"/>
          <w:sz w:val="18"/>
          <w:szCs w:val="18"/>
          <w:color w:val="131313"/>
        </w:rPr>
        <w:t>r</w:t>
      </w:r>
      <w:r>
        <w:rPr>
          <w:rFonts w:ascii="Arial" w:cs="Arial" w:eastAsia="Arial" w:hAnsi="Arial"/>
          <w:sz w:val="18"/>
          <w:szCs w:val="18"/>
          <w:color w:val="383838"/>
        </w:rPr>
        <w:t>al</w:t>
      </w:r>
      <w:r>
        <w:rPr>
          <w:rFonts w:ascii="Arial" w:cs="Arial" w:eastAsia="Arial" w:hAnsi="Arial"/>
          <w:sz w:val="18"/>
          <w:szCs w:val="18"/>
          <w:color w:val="262626"/>
        </w:rPr>
        <w:t xml:space="preserve"> and </w:t>
      </w:r>
      <w:r>
        <w:rPr>
          <w:rFonts w:ascii="Arial" w:cs="Arial" w:eastAsia="Arial" w:hAnsi="Arial"/>
          <w:sz w:val="18"/>
          <w:szCs w:val="18"/>
          <w:color w:val="383838"/>
        </w:rPr>
        <w:t>special,</w:t>
      </w:r>
      <w:r>
        <w:rPr>
          <w:rFonts w:ascii="Arial" w:cs="Arial" w:eastAsia="Arial" w:hAnsi="Arial"/>
          <w:sz w:val="18"/>
          <w:szCs w:val="18"/>
          <w:color w:val="262626"/>
        </w:rPr>
        <w:t xml:space="preserve"> </w:t>
      </w:r>
      <w:r>
        <w:rPr>
          <w:rFonts w:ascii="Arial" w:cs="Arial" w:eastAsia="Arial" w:hAnsi="Arial"/>
          <w:sz w:val="18"/>
          <w:szCs w:val="18"/>
          <w:color w:val="383838"/>
        </w:rPr>
        <w:t xml:space="preserve">ordinary and extraordinary, </w:t>
      </w:r>
      <w:r>
        <w:rPr>
          <w:rFonts w:ascii="Arial" w:cs="Arial" w:eastAsia="Arial" w:hAnsi="Arial"/>
          <w:sz w:val="18"/>
          <w:szCs w:val="18"/>
          <w:color w:val="262626"/>
        </w:rPr>
        <w:t>unforeseen</w:t>
      </w:r>
      <w:r>
        <w:rPr>
          <w:rFonts w:ascii="Arial" w:cs="Arial" w:eastAsia="Arial" w:hAnsi="Arial"/>
          <w:sz w:val="18"/>
          <w:szCs w:val="18"/>
          <w:color w:val="383838"/>
        </w:rPr>
        <w:t xml:space="preserve"> as we</w:t>
      </w:r>
      <w:r>
        <w:rPr>
          <w:rFonts w:ascii="Arial" w:cs="Arial" w:eastAsia="Arial" w:hAnsi="Arial"/>
          <w:sz w:val="18"/>
          <w:szCs w:val="18"/>
          <w:color w:val="131313"/>
        </w:rPr>
        <w:t>ll</w:t>
      </w:r>
      <w:r>
        <w:rPr>
          <w:rFonts w:ascii="Arial" w:cs="Arial" w:eastAsia="Arial" w:hAnsi="Arial"/>
          <w:sz w:val="18"/>
          <w:szCs w:val="18"/>
          <w:color w:val="383838"/>
        </w:rPr>
        <w:t xml:space="preserve"> as foreseen, of any </w:t>
      </w:r>
      <w:r>
        <w:rPr>
          <w:rFonts w:ascii="Arial" w:cs="Arial" w:eastAsia="Arial" w:hAnsi="Arial"/>
          <w:sz w:val="18"/>
          <w:szCs w:val="18"/>
          <w:color w:val="262626"/>
        </w:rPr>
        <w:t>kind</w:t>
      </w:r>
      <w:r>
        <w:rPr>
          <w:rFonts w:ascii="Arial" w:cs="Arial" w:eastAsia="Arial" w:hAnsi="Arial"/>
          <w:sz w:val="18"/>
          <w:szCs w:val="18"/>
          <w:color w:val="383838"/>
        </w:rPr>
        <w:t xml:space="preserve"> which are assessed, </w:t>
      </w:r>
      <w:r>
        <w:rPr>
          <w:rFonts w:ascii="Arial" w:cs="Arial" w:eastAsia="Arial" w:hAnsi="Arial"/>
          <w:sz w:val="18"/>
          <w:szCs w:val="18"/>
          <w:color w:val="262626"/>
        </w:rPr>
        <w:t>levied,</w:t>
      </w:r>
      <w:r>
        <w:rPr>
          <w:rFonts w:ascii="Arial" w:cs="Arial" w:eastAsia="Arial" w:hAnsi="Arial"/>
          <w:sz w:val="18"/>
          <w:szCs w:val="18"/>
          <w:color w:val="383838"/>
        </w:rPr>
        <w:t xml:space="preserve"> charged, confirmed, or </w:t>
      </w:r>
      <w:r>
        <w:rPr>
          <w:rFonts w:ascii="Arial" w:cs="Arial" w:eastAsia="Arial" w:hAnsi="Arial"/>
          <w:sz w:val="18"/>
          <w:szCs w:val="18"/>
          <w:color w:val="262626"/>
        </w:rPr>
        <w:t>imposed by</w:t>
      </w:r>
      <w:r>
        <w:rPr>
          <w:rFonts w:ascii="Arial" w:cs="Arial" w:eastAsia="Arial" w:hAnsi="Arial"/>
          <w:sz w:val="18"/>
          <w:szCs w:val="18"/>
          <w:color w:val="383838"/>
        </w:rPr>
        <w:t xml:space="preserve"> any public authority </w:t>
      </w:r>
      <w:r>
        <w:rPr>
          <w:rFonts w:ascii="Arial" w:cs="Arial" w:eastAsia="Arial" w:hAnsi="Arial"/>
          <w:sz w:val="18"/>
          <w:szCs w:val="18"/>
          <w:color w:val="262626"/>
        </w:rPr>
        <w:t>upon</w:t>
      </w:r>
      <w:r>
        <w:rPr>
          <w:rFonts w:ascii="Arial" w:cs="Arial" w:eastAsia="Arial" w:hAnsi="Arial"/>
          <w:sz w:val="18"/>
          <w:szCs w:val="18"/>
          <w:color w:val="383838"/>
        </w:rPr>
        <w:t xml:space="preserve"> the Building, its operations, the rent or any portion or component </w:t>
      </w:r>
      <w:r>
        <w:rPr>
          <w:rFonts w:ascii="Arial" w:cs="Arial" w:eastAsia="Arial" w:hAnsi="Arial"/>
          <w:sz w:val="18"/>
          <w:szCs w:val="18"/>
          <w:color w:val="262626"/>
        </w:rPr>
        <w:t>thereof,</w:t>
      </w:r>
      <w:r>
        <w:rPr>
          <w:rFonts w:ascii="Arial" w:cs="Arial" w:eastAsia="Arial" w:hAnsi="Arial"/>
          <w:sz w:val="18"/>
          <w:szCs w:val="18"/>
          <w:color w:val="383838"/>
        </w:rPr>
        <w:t xml:space="preserve"> the </w:t>
      </w:r>
      <w:r>
        <w:rPr>
          <w:rFonts w:ascii="Arial" w:cs="Arial" w:eastAsia="Arial" w:hAnsi="Arial"/>
          <w:sz w:val="18"/>
          <w:szCs w:val="18"/>
          <w:color w:val="262626"/>
        </w:rPr>
        <w:t>Real</w:t>
      </w:r>
      <w:r>
        <w:rPr>
          <w:rFonts w:ascii="Arial" w:cs="Arial" w:eastAsia="Arial" w:hAnsi="Arial"/>
          <w:sz w:val="18"/>
          <w:szCs w:val="18"/>
          <w:color w:val="383838"/>
        </w:rPr>
        <w:t xml:space="preserve"> Property, or </w:t>
      </w:r>
      <w:r>
        <w:rPr>
          <w:rFonts w:ascii="Arial" w:cs="Arial" w:eastAsia="Arial" w:hAnsi="Arial"/>
          <w:sz w:val="18"/>
          <w:szCs w:val="18"/>
          <w:color w:val="262626"/>
        </w:rPr>
        <w:t>upon the</w:t>
      </w:r>
      <w:r>
        <w:rPr>
          <w:rFonts w:ascii="Arial" w:cs="Arial" w:eastAsia="Arial" w:hAnsi="Arial"/>
          <w:sz w:val="18"/>
          <w:szCs w:val="18"/>
          <w:color w:val="383838"/>
        </w:rPr>
        <w:t xml:space="preserve"> personal property of Landlord </w:t>
      </w:r>
      <w:r>
        <w:rPr>
          <w:rFonts w:ascii="Arial" w:cs="Arial" w:eastAsia="Arial" w:hAnsi="Arial"/>
          <w:sz w:val="18"/>
          <w:szCs w:val="18"/>
          <w:color w:val="262626"/>
        </w:rPr>
        <w:t>used in</w:t>
      </w:r>
      <w:r>
        <w:rPr>
          <w:rFonts w:ascii="Arial" w:cs="Arial" w:eastAsia="Arial" w:hAnsi="Arial"/>
          <w:sz w:val="18"/>
          <w:szCs w:val="18"/>
          <w:color w:val="383838"/>
        </w:rPr>
        <w:t xml:space="preserve"> the operation of </w:t>
      </w:r>
      <w:r>
        <w:rPr>
          <w:rFonts w:ascii="Arial" w:cs="Arial" w:eastAsia="Arial" w:hAnsi="Arial"/>
          <w:sz w:val="18"/>
          <w:szCs w:val="18"/>
          <w:color w:val="262626"/>
        </w:rPr>
        <w:t>the Building</w:t>
      </w:r>
      <w:r>
        <w:rPr>
          <w:rFonts w:ascii="Arial" w:cs="Arial" w:eastAsia="Arial" w:hAnsi="Arial"/>
          <w:sz w:val="18"/>
          <w:szCs w:val="18"/>
          <w:color w:val="383838"/>
        </w:rPr>
        <w:t xml:space="preserve"> or the </w:t>
      </w:r>
      <w:r>
        <w:rPr>
          <w:rFonts w:ascii="Arial" w:cs="Arial" w:eastAsia="Arial" w:hAnsi="Arial"/>
          <w:sz w:val="18"/>
          <w:szCs w:val="18"/>
          <w:color w:val="262626"/>
        </w:rPr>
        <w:t>Real Property, fees and payments except: (a) inheritance</w:t>
      </w:r>
      <w:r>
        <w:rPr>
          <w:rFonts w:ascii="Arial" w:cs="Arial" w:eastAsia="Arial" w:hAnsi="Arial"/>
          <w:sz w:val="18"/>
          <w:szCs w:val="18"/>
          <w:color w:val="383838"/>
        </w:rPr>
        <w:t xml:space="preserve"> or estate taxes </w:t>
      </w:r>
      <w:r>
        <w:rPr>
          <w:rFonts w:ascii="Arial" w:cs="Arial" w:eastAsia="Arial" w:hAnsi="Arial"/>
          <w:sz w:val="18"/>
          <w:szCs w:val="18"/>
          <w:color w:val="262626"/>
        </w:rPr>
        <w:t xml:space="preserve">imposed </w:t>
      </w:r>
      <w:r>
        <w:rPr>
          <w:rFonts w:ascii="Arial" w:cs="Arial" w:eastAsia="Arial" w:hAnsi="Arial"/>
          <w:sz w:val="18"/>
          <w:szCs w:val="18"/>
          <w:color w:val="383838"/>
        </w:rPr>
        <w:t>upon or assessed aga</w:t>
      </w:r>
      <w:r>
        <w:rPr>
          <w:rFonts w:ascii="Arial" w:cs="Arial" w:eastAsia="Arial" w:hAnsi="Arial"/>
          <w:sz w:val="18"/>
          <w:szCs w:val="18"/>
          <w:color w:val="131313"/>
        </w:rPr>
        <w:t>in</w:t>
      </w:r>
      <w:r>
        <w:rPr>
          <w:rFonts w:ascii="Arial" w:cs="Arial" w:eastAsia="Arial" w:hAnsi="Arial"/>
          <w:sz w:val="18"/>
          <w:szCs w:val="18"/>
          <w:color w:val="4D4D4D"/>
        </w:rPr>
        <w:t>st</w:t>
      </w:r>
      <w:r>
        <w:rPr>
          <w:rFonts w:ascii="Arial" w:cs="Arial" w:eastAsia="Arial" w:hAnsi="Arial"/>
          <w:sz w:val="18"/>
          <w:szCs w:val="18"/>
          <w:color w:val="262626"/>
        </w:rPr>
        <w:t xml:space="preserve"> Landlord or the Building or any part thereof or </w:t>
      </w:r>
      <w:r>
        <w:rPr>
          <w:rFonts w:ascii="Arial" w:cs="Arial" w:eastAsia="Arial" w:hAnsi="Arial"/>
          <w:sz w:val="18"/>
          <w:szCs w:val="18"/>
          <w:color w:val="383838"/>
        </w:rPr>
        <w:t>interest therein, (b) taxes</w:t>
      </w:r>
      <w:r>
        <w:rPr>
          <w:rFonts w:ascii="Arial" w:cs="Arial" w:eastAsia="Arial" w:hAnsi="Arial"/>
          <w:sz w:val="18"/>
          <w:szCs w:val="18"/>
          <w:color w:val="262626"/>
        </w:rPr>
        <w:t xml:space="preserve"> computed upon the basis of the net income derived </w:t>
      </w:r>
      <w:r>
        <w:rPr>
          <w:rFonts w:ascii="Arial" w:cs="Arial" w:eastAsia="Arial" w:hAnsi="Arial"/>
          <w:sz w:val="18"/>
          <w:szCs w:val="18"/>
          <w:color w:val="383838"/>
        </w:rPr>
        <w:t>from</w:t>
      </w:r>
      <w:r>
        <w:rPr>
          <w:rFonts w:ascii="Arial" w:cs="Arial" w:eastAsia="Arial" w:hAnsi="Arial"/>
          <w:sz w:val="18"/>
          <w:szCs w:val="18"/>
          <w:color w:val="262626"/>
        </w:rPr>
        <w:t xml:space="preserve"> the Building by </w:t>
      </w:r>
      <w:r>
        <w:rPr>
          <w:rFonts w:ascii="Arial" w:cs="Arial" w:eastAsia="Arial" w:hAnsi="Arial"/>
          <w:sz w:val="18"/>
          <w:szCs w:val="18"/>
          <w:color w:val="383838"/>
        </w:rPr>
        <w:t>Landlord or the owner of any</w:t>
      </w:r>
      <w:r>
        <w:rPr>
          <w:rFonts w:ascii="Arial" w:cs="Arial" w:eastAsia="Arial" w:hAnsi="Arial"/>
          <w:sz w:val="18"/>
          <w:szCs w:val="18"/>
          <w:color w:val="262626"/>
        </w:rPr>
        <w:t xml:space="preserve"> interest there</w:t>
      </w:r>
      <w:r>
        <w:rPr>
          <w:rFonts w:ascii="Arial" w:cs="Arial" w:eastAsia="Arial" w:hAnsi="Arial"/>
          <w:sz w:val="18"/>
          <w:szCs w:val="18"/>
          <w:color w:val="383838"/>
        </w:rPr>
        <w:t>in,</w:t>
      </w:r>
      <w:r>
        <w:rPr>
          <w:rFonts w:ascii="Arial" w:cs="Arial" w:eastAsia="Arial" w:hAnsi="Arial"/>
          <w:sz w:val="18"/>
          <w:szCs w:val="18"/>
          <w:color w:val="262626"/>
        </w:rPr>
        <w:t xml:space="preserve"> and (c) any penalties or </w:t>
      </w:r>
      <w:r>
        <w:rPr>
          <w:rFonts w:ascii="Arial" w:cs="Arial" w:eastAsia="Arial" w:hAnsi="Arial"/>
          <w:sz w:val="18"/>
          <w:szCs w:val="18"/>
          <w:color w:val="383838"/>
        </w:rPr>
        <w:t>charges associated</w:t>
      </w:r>
      <w:r>
        <w:rPr>
          <w:rFonts w:ascii="Arial" w:cs="Arial" w:eastAsia="Arial" w:hAnsi="Arial"/>
          <w:sz w:val="18"/>
          <w:szCs w:val="18"/>
          <w:color w:val="262626"/>
        </w:rPr>
        <w:t xml:space="preserve"> with delinquent taxes, </w:t>
      </w:r>
      <w:r>
        <w:rPr>
          <w:rFonts w:ascii="Arial" w:cs="Arial" w:eastAsia="Arial" w:hAnsi="Arial"/>
          <w:sz w:val="18"/>
          <w:szCs w:val="18"/>
          <w:color w:val="383838"/>
        </w:rPr>
        <w:t>taxes</w:t>
      </w:r>
      <w:r>
        <w:rPr>
          <w:rFonts w:ascii="Arial" w:cs="Arial" w:eastAsia="Arial" w:hAnsi="Arial"/>
          <w:sz w:val="18"/>
          <w:szCs w:val="18"/>
          <w:color w:val="262626"/>
        </w:rPr>
        <w:t xml:space="preserve"> pertaining </w:t>
      </w:r>
      <w:r>
        <w:rPr>
          <w:rFonts w:ascii="Arial" w:cs="Arial" w:eastAsia="Arial" w:hAnsi="Arial"/>
          <w:sz w:val="18"/>
          <w:szCs w:val="18"/>
          <w:color w:val="383838"/>
        </w:rPr>
        <w:t>to per</w:t>
      </w:r>
      <w:r>
        <w:rPr>
          <w:rFonts w:ascii="Arial" w:cs="Arial" w:eastAsia="Arial" w:hAnsi="Arial"/>
          <w:sz w:val="18"/>
          <w:szCs w:val="18"/>
          <w:color w:val="131313"/>
        </w:rPr>
        <w:t>iod</w:t>
      </w:r>
      <w:r>
        <w:rPr>
          <w:rFonts w:ascii="Arial" w:cs="Arial" w:eastAsia="Arial" w:hAnsi="Arial"/>
          <w:sz w:val="18"/>
          <w:szCs w:val="18"/>
          <w:color w:val="383838"/>
        </w:rPr>
        <w:t>s prior</w:t>
      </w:r>
      <w:r>
        <w:rPr>
          <w:rFonts w:ascii="Arial" w:cs="Arial" w:eastAsia="Arial" w:hAnsi="Arial"/>
          <w:sz w:val="18"/>
          <w:szCs w:val="18"/>
          <w:color w:val="262626"/>
        </w:rPr>
        <w:t xml:space="preserve"> to or </w:t>
      </w:r>
      <w:r>
        <w:rPr>
          <w:rFonts w:ascii="Arial" w:cs="Arial" w:eastAsia="Arial" w:hAnsi="Arial"/>
          <w:sz w:val="18"/>
          <w:szCs w:val="18"/>
          <w:color w:val="383838"/>
        </w:rPr>
        <w:t>after</w:t>
      </w:r>
      <w:r>
        <w:rPr>
          <w:rFonts w:ascii="Arial" w:cs="Arial" w:eastAsia="Arial" w:hAnsi="Arial"/>
          <w:sz w:val="18"/>
          <w:szCs w:val="18"/>
          <w:color w:val="262626"/>
        </w:rPr>
        <w:t xml:space="preserve"> the Term. “Taxes” shall also include </w:t>
      </w:r>
      <w:r>
        <w:rPr>
          <w:rFonts w:ascii="Arial" w:cs="Arial" w:eastAsia="Arial" w:hAnsi="Arial"/>
          <w:sz w:val="18"/>
          <w:szCs w:val="18"/>
          <w:color w:val="383838"/>
        </w:rPr>
        <w:t>any and al</w:t>
      </w:r>
      <w:r>
        <w:rPr>
          <w:rFonts w:ascii="Arial" w:cs="Arial" w:eastAsia="Arial" w:hAnsi="Arial"/>
          <w:sz w:val="18"/>
          <w:szCs w:val="18"/>
          <w:color w:val="131313"/>
        </w:rPr>
        <w:t>l</w:t>
      </w:r>
      <w:r>
        <w:rPr>
          <w:rFonts w:ascii="Arial" w:cs="Arial" w:eastAsia="Arial" w:hAnsi="Arial"/>
          <w:sz w:val="18"/>
          <w:szCs w:val="18"/>
          <w:color w:val="262626"/>
        </w:rPr>
        <w:t xml:space="preserve"> </w:t>
      </w:r>
      <w:r>
        <w:rPr>
          <w:rFonts w:ascii="Arial" w:cs="Arial" w:eastAsia="Arial" w:hAnsi="Arial"/>
          <w:sz w:val="18"/>
          <w:szCs w:val="18"/>
          <w:color w:val="383838"/>
        </w:rPr>
        <w:t>supplemental Taxes, escape assessments</w:t>
      </w:r>
      <w:r>
        <w:rPr>
          <w:rFonts w:ascii="Arial" w:cs="Arial" w:eastAsia="Arial" w:hAnsi="Arial"/>
          <w:sz w:val="18"/>
          <w:szCs w:val="18"/>
          <w:color w:val="262626"/>
        </w:rPr>
        <w:t xml:space="preserve"> or increases of Taxes for or </w:t>
      </w:r>
      <w:r>
        <w:rPr>
          <w:rFonts w:ascii="Arial" w:cs="Arial" w:eastAsia="Arial" w:hAnsi="Arial"/>
          <w:sz w:val="18"/>
          <w:szCs w:val="18"/>
          <w:color w:val="383838"/>
        </w:rPr>
        <w:t>as</w:t>
      </w:r>
      <w:r>
        <w:rPr>
          <w:rFonts w:ascii="Arial" w:cs="Arial" w:eastAsia="Arial" w:hAnsi="Arial"/>
          <w:sz w:val="18"/>
          <w:szCs w:val="18"/>
          <w:color w:val="262626"/>
        </w:rPr>
        <w:t xml:space="preserve"> a result </w:t>
      </w:r>
      <w:r>
        <w:rPr>
          <w:rFonts w:ascii="Arial" w:cs="Arial" w:eastAsia="Arial" w:hAnsi="Arial"/>
          <w:sz w:val="18"/>
          <w:szCs w:val="18"/>
          <w:color w:val="383838"/>
        </w:rPr>
        <w:t>of any</w:t>
      </w:r>
      <w:r>
        <w:rPr>
          <w:rFonts w:ascii="Arial" w:cs="Arial" w:eastAsia="Arial" w:hAnsi="Arial"/>
          <w:sz w:val="18"/>
          <w:szCs w:val="18"/>
          <w:color w:val="262626"/>
        </w:rPr>
        <w:t xml:space="preserve"> reason </w:t>
      </w:r>
      <w:r>
        <w:rPr>
          <w:rFonts w:ascii="Arial" w:cs="Arial" w:eastAsia="Arial" w:hAnsi="Arial"/>
          <w:sz w:val="18"/>
          <w:szCs w:val="18"/>
          <w:color w:val="383838"/>
        </w:rPr>
        <w:t>whatsoever.</w:t>
      </w:r>
    </w:p>
    <w:p>
      <w:pPr>
        <w:spacing w:after="0" w:line="158" w:lineRule="exact"/>
        <w:rPr>
          <w:sz w:val="20"/>
          <w:szCs w:val="20"/>
          <w:color w:val="auto"/>
        </w:rPr>
      </w:pPr>
    </w:p>
    <w:p>
      <w:pPr>
        <w:ind w:right="40" w:firstLine="877"/>
        <w:spacing w:after="0" w:line="250" w:lineRule="auto"/>
        <w:rPr>
          <w:sz w:val="20"/>
          <w:szCs w:val="20"/>
          <w:color w:val="auto"/>
        </w:rPr>
      </w:pPr>
      <w:r>
        <w:rPr>
          <w:rFonts w:ascii="Arial" w:cs="Arial" w:eastAsia="Arial" w:hAnsi="Arial"/>
          <w:sz w:val="20"/>
          <w:szCs w:val="20"/>
          <w:color w:val="262626"/>
        </w:rPr>
        <w:t xml:space="preserve">“Taxes” shall also include Landlord’s cost of contesting by appropriate proceeding the amount or validity of any of the aforementioned taxes. Landlord shall credit a pro rata share of any tax rebate or refund against </w:t>
      </w:r>
      <w:r>
        <w:rPr>
          <w:rFonts w:ascii="Arial" w:cs="Arial" w:eastAsia="Arial" w:hAnsi="Arial"/>
          <w:sz w:val="20"/>
          <w:szCs w:val="20"/>
          <w:color w:val="383838"/>
        </w:rPr>
        <w:t>all</w:t>
      </w:r>
      <w:r>
        <w:rPr>
          <w:rFonts w:ascii="Arial" w:cs="Arial" w:eastAsia="Arial" w:hAnsi="Arial"/>
          <w:sz w:val="20"/>
          <w:szCs w:val="20"/>
          <w:color w:val="262626"/>
        </w:rPr>
        <w:t xml:space="preserve"> Rent due hereunder from and </w:t>
      </w:r>
      <w:r>
        <w:rPr>
          <w:rFonts w:ascii="Arial" w:cs="Arial" w:eastAsia="Arial" w:hAnsi="Arial"/>
          <w:sz w:val="20"/>
          <w:szCs w:val="20"/>
          <w:color w:val="383838"/>
        </w:rPr>
        <w:t>after</w:t>
      </w:r>
      <w:r>
        <w:rPr>
          <w:rFonts w:ascii="Arial" w:cs="Arial" w:eastAsia="Arial" w:hAnsi="Arial"/>
          <w:sz w:val="20"/>
          <w:szCs w:val="20"/>
          <w:color w:val="262626"/>
        </w:rPr>
        <w:t xml:space="preserve"> the date of Landlord’s recovery </w:t>
      </w:r>
      <w:r>
        <w:rPr>
          <w:rFonts w:ascii="Arial" w:cs="Arial" w:eastAsia="Arial" w:hAnsi="Arial"/>
          <w:sz w:val="20"/>
          <w:szCs w:val="20"/>
          <w:color w:val="383838"/>
        </w:rPr>
        <w:t>and</w:t>
      </w:r>
      <w:r>
        <w:rPr>
          <w:rFonts w:ascii="Arial" w:cs="Arial" w:eastAsia="Arial" w:hAnsi="Arial"/>
          <w:sz w:val="20"/>
          <w:szCs w:val="20"/>
          <w:color w:val="262626"/>
        </w:rPr>
        <w:t xml:space="preserve"> adjust Tenant’s Percentage Share of all future Taxes as of such date.</w:t>
      </w:r>
    </w:p>
    <w:p>
      <w:pPr>
        <w:spacing w:after="0" w:line="15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5.3</w:t>
      </w:r>
      <w:r>
        <w:rPr>
          <w:sz w:val="20"/>
          <w:szCs w:val="20"/>
          <w:color w:val="auto"/>
        </w:rPr>
        <w:tab/>
      </w:r>
      <w:r>
        <w:rPr>
          <w:rFonts w:ascii="Arial" w:cs="Arial" w:eastAsia="Arial" w:hAnsi="Arial"/>
          <w:sz w:val="18"/>
          <w:szCs w:val="18"/>
          <w:u w:val="single" w:color="auto"/>
          <w:color w:val="262626"/>
        </w:rPr>
        <w:t xml:space="preserve">Additional </w:t>
      </w:r>
      <w:r>
        <w:rPr>
          <w:rFonts w:ascii="Arial" w:cs="Arial" w:eastAsia="Arial" w:hAnsi="Arial"/>
          <w:sz w:val="18"/>
          <w:szCs w:val="18"/>
          <w:u w:val="single" w:color="auto"/>
          <w:color w:val="383838"/>
        </w:rPr>
        <w:t>Taxes</w:t>
      </w:r>
    </w:p>
    <w:p>
      <w:pPr>
        <w:spacing w:after="0" w:line="202" w:lineRule="exact"/>
        <w:rPr>
          <w:sz w:val="20"/>
          <w:szCs w:val="20"/>
          <w:color w:val="auto"/>
        </w:rPr>
      </w:pPr>
    </w:p>
    <w:p>
      <w:pPr>
        <w:ind w:right="60" w:firstLine="877"/>
        <w:spacing w:after="0" w:line="309" w:lineRule="auto"/>
        <w:rPr>
          <w:sz w:val="20"/>
          <w:szCs w:val="20"/>
          <w:color w:val="auto"/>
        </w:rPr>
      </w:pPr>
      <w:r>
        <w:rPr>
          <w:rFonts w:ascii="Arial" w:cs="Arial" w:eastAsia="Arial" w:hAnsi="Arial"/>
          <w:sz w:val="16"/>
          <w:szCs w:val="16"/>
          <w:color w:val="262626"/>
        </w:rPr>
        <w:t xml:space="preserve">In addition to the </w:t>
      </w:r>
      <w:r>
        <w:rPr>
          <w:rFonts w:ascii="Arial" w:cs="Arial" w:eastAsia="Arial" w:hAnsi="Arial"/>
          <w:sz w:val="16"/>
          <w:szCs w:val="16"/>
          <w:color w:val="383838"/>
        </w:rPr>
        <w:t>Basic Monthly</w:t>
      </w:r>
      <w:r>
        <w:rPr>
          <w:rFonts w:ascii="Arial" w:cs="Arial" w:eastAsia="Arial" w:hAnsi="Arial"/>
          <w:sz w:val="16"/>
          <w:szCs w:val="16"/>
          <w:color w:val="262626"/>
        </w:rPr>
        <w:t xml:space="preserve"> Rent and other charges to be paid by Tenant hereunder, Tenant shall reimburse Landlord upon demand for any and all taxes, surcharges, levies, assessments, fees and charges payable by Landlord, whether or not now customary or within the contemplation of the </w:t>
      </w:r>
      <w:r>
        <w:rPr>
          <w:rFonts w:ascii="Arial" w:cs="Arial" w:eastAsia="Arial" w:hAnsi="Arial"/>
          <w:sz w:val="16"/>
          <w:szCs w:val="16"/>
          <w:color w:val="383838"/>
        </w:rPr>
        <w:t>parties</w:t>
      </w:r>
      <w:r>
        <w:rPr>
          <w:rFonts w:ascii="Arial" w:cs="Arial" w:eastAsia="Arial" w:hAnsi="Arial"/>
          <w:sz w:val="16"/>
          <w:szCs w:val="16"/>
          <w:color w:val="262626"/>
        </w:rPr>
        <w:t xml:space="preserve"> hereto: </w:t>
      </w:r>
      <w:r>
        <w:rPr>
          <w:rFonts w:ascii="Arial" w:cs="Arial" w:eastAsia="Arial" w:hAnsi="Arial"/>
          <w:sz w:val="16"/>
          <w:szCs w:val="16"/>
          <w:color w:val="383838"/>
        </w:rPr>
        <w:t>(a)</w:t>
      </w:r>
      <w:r>
        <w:rPr>
          <w:rFonts w:ascii="Arial" w:cs="Arial" w:eastAsia="Arial" w:hAnsi="Arial"/>
          <w:sz w:val="16"/>
          <w:szCs w:val="16"/>
          <w:color w:val="262626"/>
        </w:rPr>
        <w:t xml:space="preserve"> upon, measured </w:t>
      </w:r>
      <w:r>
        <w:rPr>
          <w:rFonts w:ascii="Arial" w:cs="Arial" w:eastAsia="Arial" w:hAnsi="Arial"/>
          <w:sz w:val="16"/>
          <w:szCs w:val="16"/>
          <w:color w:val="383838"/>
        </w:rPr>
        <w:t>by, or</w:t>
      </w:r>
      <w:r>
        <w:rPr>
          <w:rFonts w:ascii="Arial" w:cs="Arial" w:eastAsia="Arial" w:hAnsi="Arial"/>
          <w:sz w:val="16"/>
          <w:szCs w:val="16"/>
          <w:color w:val="262626"/>
        </w:rPr>
        <w:t xml:space="preserve"> reasonably </w:t>
      </w:r>
      <w:r>
        <w:rPr>
          <w:rFonts w:ascii="Arial" w:cs="Arial" w:eastAsia="Arial" w:hAnsi="Arial"/>
          <w:sz w:val="16"/>
          <w:szCs w:val="16"/>
          <w:color w:val="383838"/>
        </w:rPr>
        <w:t>attributable</w:t>
      </w:r>
      <w:r>
        <w:rPr>
          <w:rFonts w:ascii="Arial" w:cs="Arial" w:eastAsia="Arial" w:hAnsi="Arial"/>
          <w:sz w:val="16"/>
          <w:szCs w:val="16"/>
          <w:color w:val="262626"/>
        </w:rPr>
        <w:t xml:space="preserve"> to the cost or </w:t>
      </w:r>
      <w:r>
        <w:rPr>
          <w:rFonts w:ascii="Arial" w:cs="Arial" w:eastAsia="Arial" w:hAnsi="Arial"/>
          <w:sz w:val="16"/>
          <w:szCs w:val="16"/>
          <w:color w:val="383838"/>
        </w:rPr>
        <w:t>value</w:t>
      </w:r>
      <w:r>
        <w:rPr>
          <w:rFonts w:ascii="Arial" w:cs="Arial" w:eastAsia="Arial" w:hAnsi="Arial"/>
          <w:sz w:val="16"/>
          <w:szCs w:val="16"/>
          <w:color w:val="262626"/>
        </w:rPr>
        <w:t xml:space="preserve"> of Tenant’s </w:t>
      </w:r>
      <w:r>
        <w:rPr>
          <w:rFonts w:ascii="Arial" w:cs="Arial" w:eastAsia="Arial" w:hAnsi="Arial"/>
          <w:sz w:val="16"/>
          <w:szCs w:val="16"/>
          <w:color w:val="383838"/>
        </w:rPr>
        <w:t>equipment, furniture,</w:t>
      </w:r>
      <w:r>
        <w:rPr>
          <w:rFonts w:ascii="Arial" w:cs="Arial" w:eastAsia="Arial" w:hAnsi="Arial"/>
          <w:sz w:val="16"/>
          <w:szCs w:val="16"/>
          <w:color w:val="262626"/>
        </w:rPr>
        <w:t xml:space="preserve"> fixtures and other </w:t>
      </w:r>
      <w:r>
        <w:rPr>
          <w:rFonts w:ascii="Arial" w:cs="Arial" w:eastAsia="Arial" w:hAnsi="Arial"/>
          <w:sz w:val="16"/>
          <w:szCs w:val="16"/>
          <w:color w:val="383838"/>
        </w:rPr>
        <w:t>personal</w:t>
      </w:r>
      <w:r>
        <w:rPr>
          <w:rFonts w:ascii="Arial" w:cs="Arial" w:eastAsia="Arial" w:hAnsi="Arial"/>
          <w:sz w:val="16"/>
          <w:szCs w:val="16"/>
          <w:color w:val="262626"/>
        </w:rPr>
        <w:t xml:space="preserve"> property located in the Premises, or the cost or value of any leasehold improvements, regardless </w:t>
      </w:r>
      <w:r>
        <w:rPr>
          <w:rFonts w:ascii="Arial" w:cs="Arial" w:eastAsia="Arial" w:hAnsi="Arial"/>
          <w:sz w:val="16"/>
          <w:szCs w:val="16"/>
          <w:color w:val="383838"/>
        </w:rPr>
        <w:t>of whether title to</w:t>
      </w:r>
      <w:r>
        <w:rPr>
          <w:rFonts w:ascii="Arial" w:cs="Arial" w:eastAsia="Arial" w:hAnsi="Arial"/>
          <w:sz w:val="16"/>
          <w:szCs w:val="16"/>
          <w:color w:val="262626"/>
        </w:rPr>
        <w:t xml:space="preserve"> such improvements shall be in Tenant or Landlord; (b) upon, </w:t>
      </w:r>
      <w:r>
        <w:rPr>
          <w:rFonts w:ascii="Arial" w:cs="Arial" w:eastAsia="Arial" w:hAnsi="Arial"/>
          <w:sz w:val="16"/>
          <w:szCs w:val="16"/>
          <w:color w:val="383838"/>
        </w:rPr>
        <w:t>or</w:t>
      </w:r>
      <w:r>
        <w:rPr>
          <w:rFonts w:ascii="Arial" w:cs="Arial" w:eastAsia="Arial" w:hAnsi="Arial"/>
          <w:sz w:val="16"/>
          <w:szCs w:val="16"/>
          <w:color w:val="262626"/>
        </w:rPr>
        <w:t xml:space="preserve"> measured by, </w:t>
      </w:r>
      <w:r>
        <w:rPr>
          <w:rFonts w:ascii="Arial" w:cs="Arial" w:eastAsia="Arial" w:hAnsi="Arial"/>
          <w:sz w:val="16"/>
          <w:szCs w:val="16"/>
          <w:color w:val="383838"/>
        </w:rPr>
        <w:t>any</w:t>
      </w:r>
      <w:r>
        <w:rPr>
          <w:rFonts w:ascii="Arial" w:cs="Arial" w:eastAsia="Arial" w:hAnsi="Arial"/>
          <w:sz w:val="16"/>
          <w:szCs w:val="16"/>
          <w:color w:val="262626"/>
        </w:rPr>
        <w:t xml:space="preserve"> Rent or </w:t>
      </w:r>
      <w:r>
        <w:rPr>
          <w:rFonts w:ascii="Arial" w:cs="Arial" w:eastAsia="Arial" w:hAnsi="Arial"/>
          <w:sz w:val="16"/>
          <w:szCs w:val="16"/>
          <w:color w:val="383838"/>
        </w:rPr>
        <w:t>other</w:t>
      </w:r>
      <w:r>
        <w:rPr>
          <w:rFonts w:ascii="Arial" w:cs="Arial" w:eastAsia="Arial" w:hAnsi="Arial"/>
          <w:sz w:val="16"/>
          <w:szCs w:val="16"/>
          <w:color w:val="262626"/>
        </w:rPr>
        <w:t xml:space="preserve"> amount payable hereunder or otherwise in connection with the Project, including, without limitation, any business tax, business license </w:t>
      </w:r>
      <w:r>
        <w:rPr>
          <w:rFonts w:ascii="Arial" w:cs="Arial" w:eastAsia="Arial" w:hAnsi="Arial"/>
          <w:sz w:val="16"/>
          <w:szCs w:val="16"/>
          <w:color w:val="383838"/>
        </w:rPr>
        <w:t>tax,</w:t>
      </w:r>
      <w:r>
        <w:rPr>
          <w:rFonts w:ascii="Arial" w:cs="Arial" w:eastAsia="Arial" w:hAnsi="Arial"/>
          <w:sz w:val="16"/>
          <w:szCs w:val="16"/>
          <w:color w:val="262626"/>
        </w:rPr>
        <w:t xml:space="preserve"> payroll </w:t>
      </w:r>
      <w:r>
        <w:rPr>
          <w:rFonts w:ascii="Arial" w:cs="Arial" w:eastAsia="Arial" w:hAnsi="Arial"/>
          <w:sz w:val="16"/>
          <w:szCs w:val="16"/>
          <w:color w:val="383838"/>
        </w:rPr>
        <w:t>tax,</w:t>
      </w:r>
      <w:r>
        <w:rPr>
          <w:rFonts w:ascii="Arial" w:cs="Arial" w:eastAsia="Arial" w:hAnsi="Arial"/>
          <w:sz w:val="16"/>
          <w:szCs w:val="16"/>
          <w:color w:val="262626"/>
        </w:rPr>
        <w:t xml:space="preserve"> gross receipts </w:t>
      </w:r>
      <w:r>
        <w:rPr>
          <w:rFonts w:ascii="Arial" w:cs="Arial" w:eastAsia="Arial" w:hAnsi="Arial"/>
          <w:sz w:val="16"/>
          <w:szCs w:val="16"/>
          <w:color w:val="383838"/>
        </w:rPr>
        <w:t>tax or excise</w:t>
      </w:r>
      <w:r>
        <w:rPr>
          <w:rFonts w:ascii="Arial" w:cs="Arial" w:eastAsia="Arial" w:hAnsi="Arial"/>
          <w:sz w:val="16"/>
          <w:szCs w:val="16"/>
          <w:color w:val="262626"/>
        </w:rPr>
        <w:t xml:space="preserve"> tax levied by the city </w:t>
      </w:r>
      <w:r>
        <w:rPr>
          <w:rFonts w:ascii="Arial" w:cs="Arial" w:eastAsia="Arial" w:hAnsi="Arial"/>
          <w:sz w:val="16"/>
          <w:szCs w:val="16"/>
          <w:color w:val="383838"/>
        </w:rPr>
        <w:t>and/or</w:t>
      </w:r>
      <w:r>
        <w:rPr>
          <w:rFonts w:ascii="Arial" w:cs="Arial" w:eastAsia="Arial" w:hAnsi="Arial"/>
          <w:sz w:val="16"/>
          <w:szCs w:val="16"/>
          <w:color w:val="262626"/>
        </w:rPr>
        <w:t xml:space="preserve"> county </w:t>
      </w:r>
      <w:r>
        <w:rPr>
          <w:rFonts w:ascii="Arial" w:cs="Arial" w:eastAsia="Arial" w:hAnsi="Arial"/>
          <w:sz w:val="16"/>
          <w:szCs w:val="16"/>
          <w:color w:val="383838"/>
        </w:rPr>
        <w:t>where</w:t>
      </w:r>
      <w:r>
        <w:rPr>
          <w:rFonts w:ascii="Arial" w:cs="Arial" w:eastAsia="Arial" w:hAnsi="Arial"/>
          <w:sz w:val="16"/>
          <w:szCs w:val="16"/>
          <w:color w:val="262626"/>
        </w:rPr>
        <w:t xml:space="preserve"> the </w:t>
      </w:r>
      <w:r>
        <w:rPr>
          <w:rFonts w:ascii="Arial" w:cs="Arial" w:eastAsia="Arial" w:hAnsi="Arial"/>
          <w:sz w:val="16"/>
          <w:szCs w:val="16"/>
          <w:color w:val="383838"/>
        </w:rPr>
        <w:t>Building</w:t>
      </w:r>
      <w:r>
        <w:rPr>
          <w:rFonts w:ascii="Arial" w:cs="Arial" w:eastAsia="Arial" w:hAnsi="Arial"/>
          <w:sz w:val="16"/>
          <w:szCs w:val="16"/>
          <w:color w:val="262626"/>
        </w:rPr>
        <w:t xml:space="preserve"> is located, the State </w:t>
      </w:r>
      <w:r>
        <w:rPr>
          <w:rFonts w:ascii="Arial" w:cs="Arial" w:eastAsia="Arial" w:hAnsi="Arial"/>
          <w:sz w:val="16"/>
          <w:szCs w:val="16"/>
          <w:color w:val="383838"/>
        </w:rPr>
        <w:t>of California,</w:t>
      </w:r>
      <w:r>
        <w:rPr>
          <w:rFonts w:ascii="Arial" w:cs="Arial" w:eastAsia="Arial" w:hAnsi="Arial"/>
          <w:sz w:val="16"/>
          <w:szCs w:val="16"/>
          <w:color w:val="262626"/>
        </w:rPr>
        <w:t xml:space="preserve"> the federal </w:t>
      </w:r>
      <w:r>
        <w:rPr>
          <w:rFonts w:ascii="Arial" w:cs="Arial" w:eastAsia="Arial" w:hAnsi="Arial"/>
          <w:sz w:val="16"/>
          <w:szCs w:val="16"/>
          <w:color w:val="383838"/>
        </w:rPr>
        <w:t>government</w:t>
      </w:r>
      <w:r>
        <w:rPr>
          <w:rFonts w:ascii="Arial" w:cs="Arial" w:eastAsia="Arial" w:hAnsi="Arial"/>
          <w:sz w:val="16"/>
          <w:szCs w:val="16"/>
          <w:color w:val="262626"/>
        </w:rPr>
        <w:t xml:space="preserve"> of the United States or </w:t>
      </w:r>
      <w:r>
        <w:rPr>
          <w:rFonts w:ascii="Arial" w:cs="Arial" w:eastAsia="Arial" w:hAnsi="Arial"/>
          <w:sz w:val="16"/>
          <w:szCs w:val="16"/>
          <w:color w:val="383838"/>
        </w:rPr>
        <w:t>any other</w:t>
      </w:r>
      <w:r>
        <w:rPr>
          <w:rFonts w:ascii="Arial" w:cs="Arial" w:eastAsia="Arial" w:hAnsi="Arial"/>
          <w:sz w:val="16"/>
          <w:szCs w:val="16"/>
          <w:color w:val="262626"/>
        </w:rPr>
        <w:t xml:space="preserve"> governmental body with respect to the receipt of </w:t>
      </w:r>
      <w:r>
        <w:rPr>
          <w:rFonts w:ascii="Arial" w:cs="Arial" w:eastAsia="Arial" w:hAnsi="Arial"/>
          <w:sz w:val="16"/>
          <w:szCs w:val="16"/>
          <w:color w:val="4D4D4D"/>
        </w:rPr>
        <w:t>s</w:t>
      </w:r>
      <w:r>
        <w:rPr>
          <w:rFonts w:ascii="Arial" w:cs="Arial" w:eastAsia="Arial" w:hAnsi="Arial"/>
          <w:sz w:val="16"/>
          <w:szCs w:val="16"/>
          <w:color w:val="262626"/>
        </w:rPr>
        <w:t xml:space="preserve">uch Ren </w:t>
      </w:r>
      <w:r>
        <w:rPr>
          <w:rFonts w:ascii="Arial" w:cs="Arial" w:eastAsia="Arial" w:hAnsi="Arial"/>
          <w:sz w:val="16"/>
          <w:szCs w:val="16"/>
          <w:color w:val="4D4D4D"/>
        </w:rPr>
        <w:t>t</w:t>
      </w:r>
      <w:r>
        <w:rPr>
          <w:rFonts w:ascii="Arial" w:cs="Arial" w:eastAsia="Arial" w:hAnsi="Arial"/>
          <w:sz w:val="16"/>
          <w:szCs w:val="16"/>
          <w:color w:val="262626"/>
        </w:rPr>
        <w:t xml:space="preserve"> or other amounts payable under </w:t>
      </w:r>
      <w:r>
        <w:rPr>
          <w:rFonts w:ascii="Arial" w:cs="Arial" w:eastAsia="Arial" w:hAnsi="Arial"/>
          <w:sz w:val="16"/>
          <w:szCs w:val="16"/>
          <w:color w:val="383838"/>
        </w:rPr>
        <w:t>this Lease;</w:t>
      </w:r>
      <w:r>
        <w:rPr>
          <w:rFonts w:ascii="Arial" w:cs="Arial" w:eastAsia="Arial" w:hAnsi="Arial"/>
          <w:sz w:val="16"/>
          <w:szCs w:val="16"/>
          <w:color w:val="262626"/>
        </w:rPr>
        <w:t xml:space="preserve"> (c) upon, or with respect to the possession, leasing, operation, management, maintenance, alteration, repair, use or occupancy by Tenant of </w:t>
      </w:r>
      <w:r>
        <w:rPr>
          <w:rFonts w:ascii="Arial" w:cs="Arial" w:eastAsia="Arial" w:hAnsi="Arial"/>
          <w:sz w:val="16"/>
          <w:szCs w:val="16"/>
          <w:color w:val="383838"/>
        </w:rPr>
        <w:t>the</w:t>
      </w:r>
      <w:r>
        <w:rPr>
          <w:rFonts w:ascii="Arial" w:cs="Arial" w:eastAsia="Arial" w:hAnsi="Arial"/>
          <w:sz w:val="16"/>
          <w:szCs w:val="16"/>
          <w:color w:val="262626"/>
        </w:rPr>
        <w:t xml:space="preserve"> Premises or any portion thereof; </w:t>
      </w:r>
      <w:r>
        <w:rPr>
          <w:rFonts w:ascii="Arial" w:cs="Arial" w:eastAsia="Arial" w:hAnsi="Arial"/>
          <w:sz w:val="16"/>
          <w:szCs w:val="16"/>
          <w:color w:val="383838"/>
        </w:rPr>
        <w:t xml:space="preserve">or (d) </w:t>
      </w:r>
      <w:r>
        <w:rPr>
          <w:rFonts w:ascii="Arial" w:cs="Arial" w:eastAsia="Arial" w:hAnsi="Arial"/>
          <w:sz w:val="16"/>
          <w:szCs w:val="16"/>
          <w:color w:val="262626"/>
        </w:rPr>
        <w:t>upon this transaction or</w:t>
      </w:r>
      <w:r>
        <w:rPr>
          <w:rFonts w:ascii="Arial" w:cs="Arial" w:eastAsia="Arial" w:hAnsi="Arial"/>
          <w:sz w:val="16"/>
          <w:szCs w:val="16"/>
          <w:color w:val="383838"/>
        </w:rPr>
        <w:t xml:space="preserve"> any document </w:t>
      </w:r>
      <w:r>
        <w:rPr>
          <w:rFonts w:ascii="Arial" w:cs="Arial" w:eastAsia="Arial" w:hAnsi="Arial"/>
          <w:sz w:val="16"/>
          <w:szCs w:val="16"/>
          <w:color w:val="262626"/>
        </w:rPr>
        <w:t>to which</w:t>
      </w:r>
      <w:r>
        <w:rPr>
          <w:rFonts w:ascii="Arial" w:cs="Arial" w:eastAsia="Arial" w:hAnsi="Arial"/>
          <w:sz w:val="16"/>
          <w:szCs w:val="16"/>
          <w:color w:val="383838"/>
        </w:rPr>
        <w:t xml:space="preserve"> Tenant </w:t>
      </w:r>
      <w:r>
        <w:rPr>
          <w:rFonts w:ascii="Arial" w:cs="Arial" w:eastAsia="Arial" w:hAnsi="Arial"/>
          <w:sz w:val="16"/>
          <w:szCs w:val="16"/>
          <w:color w:val="262626"/>
        </w:rPr>
        <w:t>is a party creating</w:t>
      </w:r>
      <w:r>
        <w:rPr>
          <w:rFonts w:ascii="Arial" w:cs="Arial" w:eastAsia="Arial" w:hAnsi="Arial"/>
          <w:sz w:val="16"/>
          <w:szCs w:val="16"/>
          <w:color w:val="383838"/>
        </w:rPr>
        <w:t xml:space="preserve"> or transferring an </w:t>
      </w:r>
      <w:r>
        <w:rPr>
          <w:rFonts w:ascii="Arial" w:cs="Arial" w:eastAsia="Arial" w:hAnsi="Arial"/>
          <w:sz w:val="16"/>
          <w:szCs w:val="16"/>
          <w:color w:val="262626"/>
        </w:rPr>
        <w:t>interest or an estate in</w:t>
      </w:r>
      <w:r>
        <w:rPr>
          <w:rFonts w:ascii="Arial" w:cs="Arial" w:eastAsia="Arial" w:hAnsi="Arial"/>
          <w:sz w:val="16"/>
          <w:szCs w:val="16"/>
          <w:color w:val="383838"/>
        </w:rPr>
        <w:t xml:space="preserve">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10</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20"/>
          <w:szCs w:val="20"/>
          <w:b w:val="1"/>
          <w:bCs w:val="1"/>
          <w:color w:val="262626"/>
        </w:rPr>
        <w:t>ARTICLE 6</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USE</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6.1</w:t>
      </w:r>
      <w:r>
        <w:rPr>
          <w:sz w:val="20"/>
          <w:szCs w:val="20"/>
          <w:color w:val="auto"/>
        </w:rPr>
        <w:tab/>
      </w:r>
      <w:r>
        <w:rPr>
          <w:rFonts w:ascii="Arial" w:cs="Arial" w:eastAsia="Arial" w:hAnsi="Arial"/>
          <w:sz w:val="16"/>
          <w:szCs w:val="16"/>
          <w:u w:val="single" w:color="auto"/>
          <w:color w:val="262626"/>
        </w:rPr>
        <w:t>General</w:t>
      </w:r>
    </w:p>
    <w:p>
      <w:pPr>
        <w:spacing w:after="0" w:line="202" w:lineRule="exact"/>
        <w:rPr>
          <w:sz w:val="20"/>
          <w:szCs w:val="20"/>
          <w:color w:val="auto"/>
        </w:rPr>
      </w:pPr>
    </w:p>
    <w:p>
      <w:pPr>
        <w:ind w:right="160" w:firstLine="877"/>
        <w:spacing w:after="0" w:line="316" w:lineRule="auto"/>
        <w:rPr>
          <w:sz w:val="20"/>
          <w:szCs w:val="20"/>
          <w:color w:val="auto"/>
        </w:rPr>
      </w:pPr>
      <w:r>
        <w:rPr>
          <w:rFonts w:ascii="Arial" w:cs="Arial" w:eastAsia="Arial" w:hAnsi="Arial"/>
          <w:sz w:val="18"/>
          <w:szCs w:val="18"/>
          <w:color w:val="383838"/>
        </w:rPr>
        <w:t xml:space="preserve">The </w:t>
      </w:r>
      <w:r>
        <w:rPr>
          <w:rFonts w:ascii="Arial" w:cs="Arial" w:eastAsia="Arial" w:hAnsi="Arial"/>
          <w:sz w:val="18"/>
          <w:szCs w:val="18"/>
          <w:color w:val="262626"/>
        </w:rPr>
        <w:t>Premises</w:t>
      </w:r>
      <w:r>
        <w:rPr>
          <w:rFonts w:ascii="Arial" w:cs="Arial" w:eastAsia="Arial" w:hAnsi="Arial"/>
          <w:sz w:val="18"/>
          <w:szCs w:val="18"/>
          <w:color w:val="383838"/>
        </w:rPr>
        <w:t xml:space="preserve"> shall </w:t>
      </w:r>
      <w:r>
        <w:rPr>
          <w:rFonts w:ascii="Arial" w:cs="Arial" w:eastAsia="Arial" w:hAnsi="Arial"/>
          <w:sz w:val="18"/>
          <w:szCs w:val="18"/>
          <w:color w:val="262626"/>
        </w:rPr>
        <w:t>be used</w:t>
      </w:r>
      <w:r>
        <w:rPr>
          <w:rFonts w:ascii="Arial" w:cs="Arial" w:eastAsia="Arial" w:hAnsi="Arial"/>
          <w:sz w:val="18"/>
          <w:szCs w:val="18"/>
          <w:color w:val="383838"/>
        </w:rPr>
        <w:t xml:space="preserve"> only for the Permitted Uses specified in Item </w:t>
      </w:r>
      <w:r>
        <w:rPr>
          <w:rFonts w:ascii="Arial" w:cs="Arial" w:eastAsia="Arial" w:hAnsi="Arial"/>
          <w:sz w:val="18"/>
          <w:szCs w:val="18"/>
          <w:color w:val="262626"/>
        </w:rPr>
        <w:t>9</w:t>
      </w:r>
      <w:r>
        <w:rPr>
          <w:rFonts w:ascii="Arial" w:cs="Arial" w:eastAsia="Arial" w:hAnsi="Arial"/>
          <w:sz w:val="18"/>
          <w:szCs w:val="18"/>
          <w:color w:val="383838"/>
        </w:rPr>
        <w:t xml:space="preserve"> of the </w:t>
      </w:r>
      <w:r>
        <w:rPr>
          <w:rFonts w:ascii="Arial" w:cs="Arial" w:eastAsia="Arial" w:hAnsi="Arial"/>
          <w:sz w:val="18"/>
          <w:szCs w:val="18"/>
          <w:color w:val="262626"/>
        </w:rPr>
        <w:t>Basic Lease</w:t>
      </w:r>
      <w:r>
        <w:rPr>
          <w:rFonts w:ascii="Arial" w:cs="Arial" w:eastAsia="Arial" w:hAnsi="Arial"/>
          <w:sz w:val="18"/>
          <w:szCs w:val="18"/>
          <w:color w:val="383838"/>
        </w:rPr>
        <w:t xml:space="preserve"> Information and for </w:t>
      </w:r>
      <w:r>
        <w:rPr>
          <w:rFonts w:ascii="Arial" w:cs="Arial" w:eastAsia="Arial" w:hAnsi="Arial"/>
          <w:sz w:val="18"/>
          <w:szCs w:val="18"/>
          <w:color w:val="262626"/>
        </w:rPr>
        <w:t>no</w:t>
      </w:r>
      <w:r>
        <w:rPr>
          <w:rFonts w:ascii="Arial" w:cs="Arial" w:eastAsia="Arial" w:hAnsi="Arial"/>
          <w:sz w:val="18"/>
          <w:szCs w:val="18"/>
          <w:color w:val="383838"/>
        </w:rPr>
        <w:t xml:space="preserve"> other purpose whatsoever, </w:t>
      </w:r>
      <w:r>
        <w:rPr>
          <w:rFonts w:ascii="Arial" w:cs="Arial" w:eastAsia="Arial" w:hAnsi="Arial"/>
          <w:sz w:val="18"/>
          <w:szCs w:val="18"/>
          <w:color w:val="262626"/>
        </w:rPr>
        <w:t>without</w:t>
      </w:r>
      <w:r>
        <w:rPr>
          <w:rFonts w:ascii="Arial" w:cs="Arial" w:eastAsia="Arial" w:hAnsi="Arial"/>
          <w:sz w:val="18"/>
          <w:szCs w:val="18"/>
          <w:color w:val="383838"/>
        </w:rPr>
        <w:t xml:space="preserve"> the </w:t>
      </w:r>
      <w:r>
        <w:rPr>
          <w:rFonts w:ascii="Arial" w:cs="Arial" w:eastAsia="Arial" w:hAnsi="Arial"/>
          <w:sz w:val="18"/>
          <w:szCs w:val="18"/>
          <w:color w:val="262626"/>
        </w:rPr>
        <w:t>prior</w:t>
      </w:r>
      <w:r>
        <w:rPr>
          <w:rFonts w:ascii="Arial" w:cs="Arial" w:eastAsia="Arial" w:hAnsi="Arial"/>
          <w:sz w:val="18"/>
          <w:szCs w:val="18"/>
          <w:color w:val="383838"/>
        </w:rPr>
        <w:t xml:space="preserve"> written consent </w:t>
      </w:r>
      <w:r>
        <w:rPr>
          <w:rFonts w:ascii="Arial" w:cs="Arial" w:eastAsia="Arial" w:hAnsi="Arial"/>
          <w:sz w:val="18"/>
          <w:szCs w:val="18"/>
          <w:color w:val="262626"/>
        </w:rPr>
        <w:t>of</w:t>
      </w:r>
      <w:r>
        <w:rPr>
          <w:rFonts w:ascii="Arial" w:cs="Arial" w:eastAsia="Arial" w:hAnsi="Arial"/>
          <w:sz w:val="18"/>
          <w:szCs w:val="18"/>
          <w:color w:val="383838"/>
        </w:rPr>
        <w:t xml:space="preserve"> Landlord which shall </w:t>
      </w:r>
      <w:r>
        <w:rPr>
          <w:rFonts w:ascii="Arial" w:cs="Arial" w:eastAsia="Arial" w:hAnsi="Arial"/>
          <w:sz w:val="18"/>
          <w:szCs w:val="18"/>
          <w:color w:val="262626"/>
        </w:rPr>
        <w:t>be</w:t>
      </w:r>
      <w:r>
        <w:rPr>
          <w:rFonts w:ascii="Arial" w:cs="Arial" w:eastAsia="Arial" w:hAnsi="Arial"/>
          <w:sz w:val="18"/>
          <w:szCs w:val="18"/>
          <w:color w:val="383838"/>
        </w:rPr>
        <w:t xml:space="preserve"> given or withheld </w:t>
      </w:r>
      <w:r>
        <w:rPr>
          <w:rFonts w:ascii="Arial" w:cs="Arial" w:eastAsia="Arial" w:hAnsi="Arial"/>
          <w:sz w:val="18"/>
          <w:szCs w:val="18"/>
          <w:color w:val="262626"/>
        </w:rPr>
        <w:t>in</w:t>
      </w:r>
      <w:r>
        <w:rPr>
          <w:rFonts w:ascii="Arial" w:cs="Arial" w:eastAsia="Arial" w:hAnsi="Arial"/>
          <w:sz w:val="18"/>
          <w:szCs w:val="18"/>
          <w:color w:val="383838"/>
        </w:rPr>
        <w:t xml:space="preserve"> Landlord’s sole and absolute discretion.</w:t>
      </w:r>
    </w:p>
    <w:p>
      <w:pPr>
        <w:spacing w:after="0" w:line="11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6.2</w:t>
      </w:r>
      <w:r>
        <w:rPr>
          <w:sz w:val="20"/>
          <w:szCs w:val="20"/>
          <w:color w:val="auto"/>
        </w:rPr>
        <w:tab/>
      </w:r>
      <w:r>
        <w:rPr>
          <w:rFonts w:ascii="Arial" w:cs="Arial" w:eastAsia="Arial" w:hAnsi="Arial"/>
          <w:sz w:val="16"/>
          <w:szCs w:val="16"/>
          <w:u w:val="single" w:color="auto"/>
          <w:color w:val="383838"/>
        </w:rPr>
        <w:t xml:space="preserve">No </w:t>
      </w:r>
      <w:r>
        <w:rPr>
          <w:rFonts w:ascii="Arial" w:cs="Arial" w:eastAsia="Arial" w:hAnsi="Arial"/>
          <w:sz w:val="16"/>
          <w:szCs w:val="16"/>
          <w:u w:val="single" w:color="auto"/>
          <w:color w:val="262626"/>
        </w:rPr>
        <w:t>Nuisance</w:t>
      </w:r>
      <w:r>
        <w:rPr>
          <w:rFonts w:ascii="Arial" w:cs="Arial" w:eastAsia="Arial" w:hAnsi="Arial"/>
          <w:sz w:val="16"/>
          <w:szCs w:val="16"/>
          <w:u w:val="single" w:color="auto"/>
          <w:color w:val="383838"/>
        </w:rPr>
        <w:t xml:space="preserve"> </w:t>
      </w:r>
      <w:r>
        <w:rPr>
          <w:rFonts w:ascii="Arial" w:cs="Arial" w:eastAsia="Arial" w:hAnsi="Arial"/>
          <w:sz w:val="16"/>
          <w:szCs w:val="16"/>
          <w:color w:val="383838"/>
        </w:rPr>
        <w:t>or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-14605</wp:posOffset>
            </wp:positionV>
            <wp:extent cx="4883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169" w:lineRule="exact"/>
        <w:rPr>
          <w:sz w:val="20"/>
          <w:szCs w:val="20"/>
          <w:color w:val="auto"/>
        </w:rPr>
      </w:pPr>
    </w:p>
    <w:p>
      <w:pPr>
        <w:ind w:right="220" w:firstLine="877"/>
        <w:spacing w:after="0" w:line="263" w:lineRule="auto"/>
        <w:rPr>
          <w:sz w:val="20"/>
          <w:szCs w:val="20"/>
          <w:color w:val="auto"/>
        </w:rPr>
      </w:pPr>
      <w:r>
        <w:rPr>
          <w:rFonts w:ascii="Arial" w:cs="Arial" w:eastAsia="Arial" w:hAnsi="Arial"/>
          <w:sz w:val="19"/>
          <w:szCs w:val="19"/>
          <w:color w:val="383838"/>
        </w:rPr>
        <w:t xml:space="preserve">Tenant </w:t>
      </w:r>
      <w:r>
        <w:rPr>
          <w:rFonts w:ascii="Arial" w:cs="Arial" w:eastAsia="Arial" w:hAnsi="Arial"/>
          <w:sz w:val="19"/>
          <w:szCs w:val="19"/>
          <w:color w:val="262626"/>
        </w:rPr>
        <w:t>shall not do or knowingly permit</w:t>
      </w:r>
      <w:r>
        <w:rPr>
          <w:rFonts w:ascii="Arial" w:cs="Arial" w:eastAsia="Arial" w:hAnsi="Arial"/>
          <w:sz w:val="19"/>
          <w:szCs w:val="19"/>
          <w:color w:val="383838"/>
        </w:rPr>
        <w:t xml:space="preserve"> anything to </w:t>
      </w:r>
      <w:r>
        <w:rPr>
          <w:rFonts w:ascii="Arial" w:cs="Arial" w:eastAsia="Arial" w:hAnsi="Arial"/>
          <w:sz w:val="19"/>
          <w:szCs w:val="19"/>
          <w:color w:val="262626"/>
        </w:rPr>
        <w:t>be</w:t>
      </w:r>
      <w:r>
        <w:rPr>
          <w:rFonts w:ascii="Arial" w:cs="Arial" w:eastAsia="Arial" w:hAnsi="Arial"/>
          <w:sz w:val="19"/>
          <w:szCs w:val="19"/>
          <w:color w:val="383838"/>
        </w:rPr>
        <w:t xml:space="preserve"> done in or about the Premises </w:t>
      </w:r>
      <w:r>
        <w:rPr>
          <w:rFonts w:ascii="Arial" w:cs="Arial" w:eastAsia="Arial" w:hAnsi="Arial"/>
          <w:sz w:val="19"/>
          <w:szCs w:val="19"/>
          <w:color w:val="262626"/>
        </w:rPr>
        <w:t>which</w:t>
      </w:r>
      <w:r>
        <w:rPr>
          <w:rFonts w:ascii="Arial" w:cs="Arial" w:eastAsia="Arial" w:hAnsi="Arial"/>
          <w:sz w:val="19"/>
          <w:szCs w:val="19"/>
          <w:color w:val="383838"/>
        </w:rPr>
        <w:t xml:space="preserve"> will </w:t>
      </w:r>
      <w:r>
        <w:rPr>
          <w:rFonts w:ascii="Arial" w:cs="Arial" w:eastAsia="Arial" w:hAnsi="Arial"/>
          <w:sz w:val="19"/>
          <w:szCs w:val="19"/>
          <w:color w:val="262626"/>
        </w:rPr>
        <w:t>in any way obstruct or inte</w:t>
      </w:r>
      <w:r>
        <w:rPr>
          <w:rFonts w:ascii="Arial" w:cs="Arial" w:eastAsia="Arial" w:hAnsi="Arial"/>
          <w:sz w:val="19"/>
          <w:szCs w:val="19"/>
          <w:color w:val="383838"/>
        </w:rPr>
        <w:t xml:space="preserve">rfere </w:t>
      </w:r>
      <w:r>
        <w:rPr>
          <w:rFonts w:ascii="Arial" w:cs="Arial" w:eastAsia="Arial" w:hAnsi="Arial"/>
          <w:sz w:val="19"/>
          <w:szCs w:val="19"/>
          <w:color w:val="262626"/>
        </w:rPr>
        <w:t xml:space="preserve">with </w:t>
      </w:r>
      <w:r>
        <w:rPr>
          <w:rFonts w:ascii="Arial" w:cs="Arial" w:eastAsia="Arial" w:hAnsi="Arial"/>
          <w:sz w:val="19"/>
          <w:szCs w:val="19"/>
          <w:color w:val="383838"/>
        </w:rPr>
        <w:t>the</w:t>
      </w:r>
      <w:r>
        <w:rPr>
          <w:rFonts w:ascii="Arial" w:cs="Arial" w:eastAsia="Arial" w:hAnsi="Arial"/>
          <w:sz w:val="19"/>
          <w:szCs w:val="19"/>
          <w:color w:val="262626"/>
        </w:rPr>
        <w:t xml:space="preserve"> rights </w:t>
      </w:r>
      <w:r>
        <w:rPr>
          <w:rFonts w:ascii="Arial" w:cs="Arial" w:eastAsia="Arial" w:hAnsi="Arial"/>
          <w:sz w:val="19"/>
          <w:szCs w:val="19"/>
          <w:color w:val="383838"/>
        </w:rPr>
        <w:t>of other</w:t>
      </w:r>
      <w:r>
        <w:rPr>
          <w:rFonts w:ascii="Arial" w:cs="Arial" w:eastAsia="Arial" w:hAnsi="Arial"/>
          <w:sz w:val="19"/>
          <w:szCs w:val="19"/>
          <w:color w:val="262626"/>
        </w:rPr>
        <w:t xml:space="preserve"> tenants or </w:t>
      </w:r>
      <w:r>
        <w:rPr>
          <w:rFonts w:ascii="Arial" w:cs="Arial" w:eastAsia="Arial" w:hAnsi="Arial"/>
          <w:sz w:val="19"/>
          <w:szCs w:val="19"/>
          <w:color w:val="383838"/>
        </w:rPr>
        <w:t>occupants of the</w:t>
      </w:r>
      <w:r>
        <w:rPr>
          <w:rFonts w:ascii="Arial" w:cs="Arial" w:eastAsia="Arial" w:hAnsi="Arial"/>
          <w:sz w:val="19"/>
          <w:szCs w:val="19"/>
          <w:color w:val="262626"/>
        </w:rPr>
        <w:t xml:space="preserve"> Building or injure or annoy them or use or allow </w:t>
      </w:r>
      <w:r>
        <w:rPr>
          <w:rFonts w:ascii="Arial" w:cs="Arial" w:eastAsia="Arial" w:hAnsi="Arial"/>
          <w:sz w:val="19"/>
          <w:szCs w:val="19"/>
          <w:color w:val="383838"/>
        </w:rPr>
        <w:t>the</w:t>
      </w:r>
      <w:r>
        <w:rPr>
          <w:rFonts w:ascii="Arial" w:cs="Arial" w:eastAsia="Arial" w:hAnsi="Arial"/>
          <w:sz w:val="19"/>
          <w:szCs w:val="19"/>
          <w:color w:val="262626"/>
        </w:rPr>
        <w:t xml:space="preserve"> Premises </w:t>
      </w:r>
      <w:r>
        <w:rPr>
          <w:rFonts w:ascii="Arial" w:cs="Arial" w:eastAsia="Arial" w:hAnsi="Arial"/>
          <w:sz w:val="19"/>
          <w:szCs w:val="19"/>
          <w:color w:val="383838"/>
        </w:rPr>
        <w:t>to</w:t>
      </w:r>
      <w:r>
        <w:rPr>
          <w:rFonts w:ascii="Arial" w:cs="Arial" w:eastAsia="Arial" w:hAnsi="Arial"/>
          <w:sz w:val="19"/>
          <w:szCs w:val="19"/>
          <w:color w:val="262626"/>
        </w:rPr>
        <w:t xml:space="preserve"> be </w:t>
      </w:r>
      <w:r>
        <w:rPr>
          <w:rFonts w:ascii="Arial" w:cs="Arial" w:eastAsia="Arial" w:hAnsi="Arial"/>
          <w:sz w:val="19"/>
          <w:szCs w:val="19"/>
          <w:color w:val="383838"/>
        </w:rPr>
        <w:t>used for any improper,</w:t>
      </w:r>
      <w:r>
        <w:rPr>
          <w:rFonts w:ascii="Arial" w:cs="Arial" w:eastAsia="Arial" w:hAnsi="Arial"/>
          <w:sz w:val="19"/>
          <w:szCs w:val="19"/>
          <w:color w:val="262626"/>
        </w:rPr>
        <w:t xml:space="preserve"> immoral or objectionable purpose, nor shall Tenant cause, maintain or knowingly permit any nuisance in, on, or about the Premises. Tenant agrees not to commit or suffer to be committed any waste in or upon the Premises.</w:t>
      </w:r>
    </w:p>
    <w:p>
      <w:pPr>
        <w:spacing w:after="0" w:line="16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6.3</w:t>
      </w:r>
      <w:r>
        <w:rPr>
          <w:sz w:val="20"/>
          <w:szCs w:val="20"/>
          <w:color w:val="auto"/>
        </w:rPr>
        <w:tab/>
      </w:r>
      <w:r>
        <w:rPr>
          <w:rFonts w:ascii="Arial" w:cs="Arial" w:eastAsia="Arial" w:hAnsi="Arial"/>
          <w:sz w:val="18"/>
          <w:szCs w:val="18"/>
          <w:u w:val="single" w:color="auto"/>
          <w:color w:val="262626"/>
        </w:rPr>
        <w:t xml:space="preserve">Compliance With </w:t>
      </w:r>
      <w:r>
        <w:rPr>
          <w:rFonts w:ascii="Arial" w:cs="Arial" w:eastAsia="Arial" w:hAnsi="Arial"/>
          <w:sz w:val="18"/>
          <w:szCs w:val="18"/>
          <w:u w:val="single" w:color="auto"/>
          <w:color w:val="383838"/>
        </w:rPr>
        <w:t>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-14605</wp:posOffset>
            </wp:positionV>
            <wp:extent cx="311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82" w:lineRule="exact"/>
        <w:rPr>
          <w:sz w:val="20"/>
          <w:szCs w:val="20"/>
          <w:color w:val="auto"/>
        </w:rPr>
      </w:pPr>
    </w:p>
    <w:p>
      <w:pPr>
        <w:ind w:left="2620" w:hanging="857"/>
        <w:spacing w:after="0"/>
        <w:tabs>
          <w:tab w:leader="none" w:pos="2620" w:val="left"/>
        </w:tabs>
        <w:numPr>
          <w:ilvl w:val="0"/>
          <w:numId w:val="48"/>
        </w:numPr>
        <w:rPr>
          <w:rFonts w:ascii="Arial" w:cs="Arial" w:eastAsia="Arial" w:hAnsi="Arial"/>
          <w:sz w:val="20"/>
          <w:szCs w:val="20"/>
          <w:color w:val="383838"/>
        </w:rPr>
      </w:pPr>
      <w:r>
        <w:rPr>
          <w:rFonts w:ascii="Arial" w:cs="Arial" w:eastAsia="Arial" w:hAnsi="Arial"/>
          <w:sz w:val="20"/>
          <w:szCs w:val="20"/>
          <w:u w:val="single" w:color="auto"/>
          <w:color w:val="262626"/>
        </w:rPr>
        <w:t xml:space="preserve">No Illegal </w:t>
      </w:r>
      <w:r>
        <w:rPr>
          <w:rFonts w:ascii="Arial" w:cs="Arial" w:eastAsia="Arial" w:hAnsi="Arial"/>
          <w:sz w:val="20"/>
          <w:szCs w:val="20"/>
          <w:u w:val="single" w:color="auto"/>
          <w:color w:val="383838"/>
        </w:rPr>
        <w:t>Use</w:t>
      </w:r>
    </w:p>
    <w:p>
      <w:pPr>
        <w:spacing w:after="0" w:line="189" w:lineRule="exact"/>
        <w:rPr>
          <w:sz w:val="20"/>
          <w:szCs w:val="20"/>
          <w:color w:val="auto"/>
        </w:rPr>
      </w:pPr>
    </w:p>
    <w:p>
      <w:pPr>
        <w:ind w:right="160" w:firstLine="877"/>
        <w:spacing w:after="0" w:line="268" w:lineRule="auto"/>
        <w:rPr>
          <w:sz w:val="20"/>
          <w:szCs w:val="20"/>
          <w:color w:val="auto"/>
        </w:rPr>
      </w:pPr>
      <w:r>
        <w:rPr>
          <w:rFonts w:ascii="Arial" w:cs="Arial" w:eastAsia="Arial" w:hAnsi="Arial"/>
          <w:sz w:val="18"/>
          <w:szCs w:val="18"/>
          <w:color w:val="262626"/>
        </w:rPr>
        <w:t xml:space="preserve">Tenant shall not use the Premises or knowingly permit anything to be done in or about </w:t>
      </w:r>
      <w:r>
        <w:rPr>
          <w:rFonts w:ascii="Arial" w:cs="Arial" w:eastAsia="Arial" w:hAnsi="Arial"/>
          <w:sz w:val="18"/>
          <w:szCs w:val="18"/>
          <w:color w:val="383838"/>
        </w:rPr>
        <w:t>the</w:t>
      </w:r>
      <w:r>
        <w:rPr>
          <w:rFonts w:ascii="Arial" w:cs="Arial" w:eastAsia="Arial" w:hAnsi="Arial"/>
          <w:sz w:val="18"/>
          <w:szCs w:val="18"/>
          <w:color w:val="262626"/>
        </w:rPr>
        <w:t xml:space="preserve"> Premises </w:t>
      </w:r>
      <w:r>
        <w:rPr>
          <w:rFonts w:ascii="Arial" w:cs="Arial" w:eastAsia="Arial" w:hAnsi="Arial"/>
          <w:sz w:val="18"/>
          <w:szCs w:val="18"/>
          <w:color w:val="383838"/>
        </w:rPr>
        <w:t>which will</w:t>
      </w:r>
      <w:r>
        <w:rPr>
          <w:rFonts w:ascii="Arial" w:cs="Arial" w:eastAsia="Arial" w:hAnsi="Arial"/>
          <w:sz w:val="18"/>
          <w:szCs w:val="18"/>
          <w:color w:val="262626"/>
        </w:rPr>
        <w:t xml:space="preserve"> </w:t>
      </w:r>
      <w:r>
        <w:rPr>
          <w:rFonts w:ascii="Arial" w:cs="Arial" w:eastAsia="Arial" w:hAnsi="Arial"/>
          <w:sz w:val="18"/>
          <w:szCs w:val="18"/>
          <w:color w:val="CDCDCD"/>
        </w:rPr>
        <w:t>.</w:t>
      </w:r>
      <w:r>
        <w:rPr>
          <w:rFonts w:ascii="Arial" w:cs="Arial" w:eastAsia="Arial" w:hAnsi="Arial"/>
          <w:sz w:val="18"/>
          <w:szCs w:val="18"/>
          <w:color w:val="383838"/>
        </w:rPr>
        <w:t>in any way conflict</w:t>
      </w:r>
      <w:r>
        <w:rPr>
          <w:rFonts w:ascii="Arial" w:cs="Arial" w:eastAsia="Arial" w:hAnsi="Arial"/>
          <w:sz w:val="18"/>
          <w:szCs w:val="18"/>
          <w:color w:val="262626"/>
        </w:rPr>
        <w:t xml:space="preserve"> </w:t>
      </w:r>
      <w:r>
        <w:rPr>
          <w:rFonts w:ascii="Arial" w:cs="Arial" w:eastAsia="Arial" w:hAnsi="Arial"/>
          <w:sz w:val="18"/>
          <w:szCs w:val="18"/>
          <w:color w:val="383838"/>
        </w:rPr>
        <w:t xml:space="preserve">with </w:t>
      </w:r>
      <w:r>
        <w:rPr>
          <w:rFonts w:ascii="Arial" w:cs="Arial" w:eastAsia="Arial" w:hAnsi="Arial"/>
          <w:sz w:val="18"/>
          <w:szCs w:val="18"/>
          <w:color w:val="262626"/>
        </w:rPr>
        <w:t>any law, statute, ordinance, or governmental rule,</w:t>
      </w:r>
      <w:r>
        <w:rPr>
          <w:rFonts w:ascii="Arial" w:cs="Arial" w:eastAsia="Arial" w:hAnsi="Arial"/>
          <w:sz w:val="18"/>
          <w:szCs w:val="18"/>
          <w:color w:val="383838"/>
        </w:rPr>
        <w:t xml:space="preserve"> regulation or </w:t>
      </w:r>
      <w:r>
        <w:rPr>
          <w:rFonts w:ascii="Arial" w:cs="Arial" w:eastAsia="Arial" w:hAnsi="Arial"/>
          <w:sz w:val="18"/>
          <w:szCs w:val="18"/>
          <w:color w:val="262626"/>
        </w:rPr>
        <w:t>requirement, including,</w:t>
      </w:r>
      <w:r>
        <w:rPr>
          <w:rFonts w:ascii="Arial" w:cs="Arial" w:eastAsia="Arial" w:hAnsi="Arial"/>
          <w:sz w:val="18"/>
          <w:szCs w:val="18"/>
          <w:color w:val="383838"/>
        </w:rPr>
        <w:t xml:space="preserve"> without </w:t>
      </w:r>
      <w:r>
        <w:rPr>
          <w:rFonts w:ascii="Arial" w:cs="Arial" w:eastAsia="Arial" w:hAnsi="Arial"/>
          <w:sz w:val="18"/>
          <w:szCs w:val="18"/>
          <w:color w:val="262626"/>
        </w:rPr>
        <w:t>limitation, Disability Access Laws, as</w:t>
      </w:r>
      <w:r>
        <w:rPr>
          <w:rFonts w:ascii="Arial" w:cs="Arial" w:eastAsia="Arial" w:hAnsi="Arial"/>
          <w:sz w:val="18"/>
          <w:szCs w:val="18"/>
          <w:color w:val="383838"/>
        </w:rPr>
        <w:t xml:space="preserve"> </w:t>
      </w:r>
      <w:r>
        <w:rPr>
          <w:rFonts w:ascii="Arial" w:cs="Arial" w:eastAsia="Arial" w:hAnsi="Arial"/>
          <w:sz w:val="18"/>
          <w:szCs w:val="18"/>
          <w:color w:val="262626"/>
        </w:rPr>
        <w:t>defined in S</w:t>
      </w:r>
      <w:r>
        <w:rPr>
          <w:rFonts w:ascii="Arial" w:cs="Arial" w:eastAsia="Arial" w:hAnsi="Arial"/>
          <w:sz w:val="18"/>
          <w:szCs w:val="18"/>
          <w:color w:val="383838"/>
        </w:rPr>
        <w:t>ection 6.3(b),</w:t>
      </w:r>
      <w:r>
        <w:rPr>
          <w:rFonts w:ascii="Arial" w:cs="Arial" w:eastAsia="Arial" w:hAnsi="Arial"/>
          <w:sz w:val="18"/>
          <w:szCs w:val="18"/>
          <w:color w:val="262626"/>
        </w:rPr>
        <w:t xml:space="preserve"> now in </w:t>
      </w:r>
      <w:r>
        <w:rPr>
          <w:rFonts w:ascii="Arial" w:cs="Arial" w:eastAsia="Arial" w:hAnsi="Arial"/>
          <w:sz w:val="18"/>
          <w:szCs w:val="18"/>
          <w:color w:val="383838"/>
        </w:rPr>
        <w:t>force or which</w:t>
      </w:r>
      <w:r>
        <w:rPr>
          <w:rFonts w:ascii="Arial" w:cs="Arial" w:eastAsia="Arial" w:hAnsi="Arial"/>
          <w:sz w:val="18"/>
          <w:szCs w:val="18"/>
          <w:color w:val="262626"/>
        </w:rPr>
        <w:t xml:space="preserve"> may hereafter </w:t>
      </w:r>
      <w:r>
        <w:rPr>
          <w:rFonts w:ascii="Arial" w:cs="Arial" w:eastAsia="Arial" w:hAnsi="Arial"/>
          <w:sz w:val="18"/>
          <w:szCs w:val="18"/>
          <w:color w:val="383838"/>
        </w:rPr>
        <w:t>be enacted or</w:t>
      </w:r>
      <w:r>
        <w:rPr>
          <w:rFonts w:ascii="Arial" w:cs="Arial" w:eastAsia="Arial" w:hAnsi="Arial"/>
          <w:sz w:val="18"/>
          <w:szCs w:val="18"/>
          <w:color w:val="262626"/>
        </w:rPr>
        <w:t xml:space="preserve"> promulgated (“Law” or </w:t>
      </w:r>
      <w:r>
        <w:rPr>
          <w:rFonts w:ascii="Arial" w:cs="Arial" w:eastAsia="Arial" w:hAnsi="Arial"/>
          <w:sz w:val="18"/>
          <w:szCs w:val="18"/>
          <w:color w:val="383838"/>
        </w:rPr>
        <w:t>“Laws’’), or which might result in any</w:t>
      </w:r>
      <w:r>
        <w:rPr>
          <w:rFonts w:ascii="Arial" w:cs="Arial" w:eastAsia="Arial" w:hAnsi="Arial"/>
          <w:sz w:val="18"/>
          <w:szCs w:val="18"/>
          <w:color w:val="262626"/>
        </w:rPr>
        <w:t xml:space="preserve"> </w:t>
      </w:r>
      <w:r>
        <w:rPr>
          <w:rFonts w:ascii="Arial" w:cs="Arial" w:eastAsia="Arial" w:hAnsi="Arial"/>
          <w:sz w:val="18"/>
          <w:szCs w:val="18"/>
          <w:color w:val="383838"/>
        </w:rPr>
        <w:t xml:space="preserve">change in the Building’s </w:t>
      </w:r>
      <w:r>
        <w:rPr>
          <w:rFonts w:ascii="Arial" w:cs="Arial" w:eastAsia="Arial" w:hAnsi="Arial"/>
          <w:sz w:val="18"/>
          <w:szCs w:val="18"/>
          <w:color w:val="262626"/>
        </w:rPr>
        <w:t>or</w:t>
      </w:r>
      <w:r>
        <w:rPr>
          <w:rFonts w:ascii="Arial" w:cs="Arial" w:eastAsia="Arial" w:hAnsi="Arial"/>
          <w:sz w:val="18"/>
          <w:szCs w:val="18"/>
          <w:color w:val="383838"/>
        </w:rPr>
        <w:t xml:space="preserve"> the Premises’ </w:t>
      </w:r>
      <w:r>
        <w:rPr>
          <w:rFonts w:ascii="Arial" w:cs="Arial" w:eastAsia="Arial" w:hAnsi="Arial"/>
          <w:sz w:val="18"/>
          <w:szCs w:val="18"/>
          <w:color w:val="262626"/>
        </w:rPr>
        <w:t>use or</w:t>
      </w:r>
      <w:r>
        <w:rPr>
          <w:rFonts w:ascii="Arial" w:cs="Arial" w:eastAsia="Arial" w:hAnsi="Arial"/>
          <w:sz w:val="18"/>
          <w:szCs w:val="18"/>
          <w:color w:val="383838"/>
        </w:rPr>
        <w:t xml:space="preserve"> occupancy </w:t>
      </w:r>
      <w:r>
        <w:rPr>
          <w:rFonts w:ascii="Arial" w:cs="Arial" w:eastAsia="Arial" w:hAnsi="Arial"/>
          <w:sz w:val="18"/>
          <w:szCs w:val="18"/>
          <w:color w:val="262626"/>
        </w:rPr>
        <w:t>classification.</w:t>
      </w:r>
      <w:r>
        <w:rPr>
          <w:rFonts w:ascii="Arial" w:cs="Arial" w:eastAsia="Arial" w:hAnsi="Arial"/>
          <w:sz w:val="18"/>
          <w:szCs w:val="18"/>
          <w:color w:val="383838"/>
        </w:rPr>
        <w:t xml:space="preserve"> At </w:t>
      </w:r>
      <w:r>
        <w:rPr>
          <w:rFonts w:ascii="Arial" w:cs="Arial" w:eastAsia="Arial" w:hAnsi="Arial"/>
          <w:sz w:val="18"/>
          <w:szCs w:val="18"/>
          <w:color w:val="262626"/>
        </w:rPr>
        <w:t>its</w:t>
      </w:r>
      <w:r>
        <w:rPr>
          <w:rFonts w:ascii="Arial" w:cs="Arial" w:eastAsia="Arial" w:hAnsi="Arial"/>
          <w:sz w:val="18"/>
          <w:szCs w:val="18"/>
          <w:color w:val="383838"/>
        </w:rPr>
        <w:t xml:space="preserve"> sole </w:t>
      </w:r>
      <w:r>
        <w:rPr>
          <w:rFonts w:ascii="Arial" w:cs="Arial" w:eastAsia="Arial" w:hAnsi="Arial"/>
          <w:sz w:val="18"/>
          <w:szCs w:val="18"/>
          <w:color w:val="262626"/>
        </w:rPr>
        <w:t>cost</w:t>
      </w:r>
      <w:r>
        <w:rPr>
          <w:rFonts w:ascii="Arial" w:cs="Arial" w:eastAsia="Arial" w:hAnsi="Arial"/>
          <w:sz w:val="18"/>
          <w:szCs w:val="18"/>
          <w:color w:val="383838"/>
        </w:rPr>
        <w:t xml:space="preserve"> and expense, Tenant shall </w:t>
      </w:r>
      <w:r>
        <w:rPr>
          <w:rFonts w:ascii="Arial" w:cs="Arial" w:eastAsia="Arial" w:hAnsi="Arial"/>
          <w:sz w:val="18"/>
          <w:szCs w:val="18"/>
          <w:color w:val="262626"/>
        </w:rPr>
        <w:t>promptly</w:t>
      </w:r>
      <w:r>
        <w:rPr>
          <w:rFonts w:ascii="Arial" w:cs="Arial" w:eastAsia="Arial" w:hAnsi="Arial"/>
          <w:sz w:val="18"/>
          <w:szCs w:val="18"/>
          <w:color w:val="383838"/>
        </w:rPr>
        <w:t xml:space="preserve"> comply </w:t>
      </w:r>
      <w:r>
        <w:rPr>
          <w:rFonts w:ascii="Arial" w:cs="Arial" w:eastAsia="Arial" w:hAnsi="Arial"/>
          <w:sz w:val="18"/>
          <w:szCs w:val="18"/>
          <w:color w:val="262626"/>
        </w:rPr>
        <w:t>with</w:t>
      </w:r>
      <w:r>
        <w:rPr>
          <w:rFonts w:ascii="Arial" w:cs="Arial" w:eastAsia="Arial" w:hAnsi="Arial"/>
          <w:sz w:val="18"/>
          <w:szCs w:val="18"/>
          <w:color w:val="383838"/>
        </w:rPr>
        <w:t xml:space="preserve"> all Laws which </w:t>
      </w:r>
      <w:r>
        <w:rPr>
          <w:rFonts w:ascii="Arial" w:cs="Arial" w:eastAsia="Arial" w:hAnsi="Arial"/>
          <w:sz w:val="18"/>
          <w:szCs w:val="18"/>
          <w:color w:val="262626"/>
        </w:rPr>
        <w:t>relate</w:t>
      </w:r>
      <w:r>
        <w:rPr>
          <w:rFonts w:ascii="Arial" w:cs="Arial" w:eastAsia="Arial" w:hAnsi="Arial"/>
          <w:sz w:val="18"/>
          <w:szCs w:val="18"/>
          <w:color w:val="383838"/>
        </w:rPr>
        <w:t xml:space="preserve"> to (i) Tenant’s </w:t>
      </w:r>
      <w:r>
        <w:rPr>
          <w:rFonts w:ascii="Arial" w:cs="Arial" w:eastAsia="Arial" w:hAnsi="Arial"/>
          <w:sz w:val="18"/>
          <w:szCs w:val="18"/>
          <w:color w:val="262626"/>
        </w:rPr>
        <w:t>use</w:t>
      </w:r>
      <w:r>
        <w:rPr>
          <w:rFonts w:ascii="Arial" w:cs="Arial" w:eastAsia="Arial" w:hAnsi="Arial"/>
          <w:sz w:val="18"/>
          <w:szCs w:val="18"/>
          <w:color w:val="383838"/>
        </w:rPr>
        <w:t xml:space="preserve"> of the Premises, (ii) </w:t>
      </w:r>
      <w:r>
        <w:rPr>
          <w:rFonts w:ascii="Arial" w:cs="Arial" w:eastAsia="Arial" w:hAnsi="Arial"/>
          <w:sz w:val="18"/>
          <w:szCs w:val="18"/>
          <w:color w:val="262626"/>
        </w:rPr>
        <w:t>any</w:t>
      </w:r>
      <w:r>
        <w:rPr>
          <w:rFonts w:ascii="Arial" w:cs="Arial" w:eastAsia="Arial" w:hAnsi="Arial"/>
          <w:sz w:val="18"/>
          <w:szCs w:val="18"/>
          <w:color w:val="383838"/>
        </w:rPr>
        <w:t xml:space="preserve"> Alterations </w:t>
      </w:r>
      <w:r>
        <w:rPr>
          <w:rFonts w:ascii="Arial" w:cs="Arial" w:eastAsia="Arial" w:hAnsi="Arial"/>
          <w:sz w:val="18"/>
          <w:szCs w:val="18"/>
          <w:color w:val="262626"/>
        </w:rPr>
        <w:t>made by</w:t>
      </w:r>
      <w:r>
        <w:rPr>
          <w:rFonts w:ascii="Arial" w:cs="Arial" w:eastAsia="Arial" w:hAnsi="Arial"/>
          <w:sz w:val="18"/>
          <w:szCs w:val="18"/>
          <w:color w:val="383838"/>
        </w:rPr>
        <w:t xml:space="preserve"> Tenant to the Premises, or (iii) </w:t>
      </w:r>
      <w:r>
        <w:rPr>
          <w:rFonts w:ascii="Arial" w:cs="Arial" w:eastAsia="Arial" w:hAnsi="Arial"/>
          <w:sz w:val="18"/>
          <w:szCs w:val="18"/>
          <w:color w:val="262626"/>
        </w:rPr>
        <w:t>the</w:t>
      </w:r>
      <w:r>
        <w:rPr>
          <w:rFonts w:ascii="Arial" w:cs="Arial" w:eastAsia="Arial" w:hAnsi="Arial"/>
          <w:sz w:val="18"/>
          <w:szCs w:val="18"/>
          <w:color w:val="383838"/>
        </w:rPr>
        <w:t xml:space="preserve"> portions of the Building </w:t>
      </w:r>
      <w:r>
        <w:rPr>
          <w:rFonts w:ascii="Arial" w:cs="Arial" w:eastAsia="Arial" w:hAnsi="Arial"/>
          <w:sz w:val="18"/>
          <w:szCs w:val="18"/>
          <w:color w:val="262626"/>
        </w:rPr>
        <w:t xml:space="preserve">outside </w:t>
      </w:r>
      <w:r>
        <w:rPr>
          <w:rFonts w:ascii="Arial" w:cs="Arial" w:eastAsia="Arial" w:hAnsi="Arial"/>
          <w:sz w:val="18"/>
          <w:szCs w:val="18"/>
          <w:color w:val="383838"/>
        </w:rPr>
        <w:t>of</w:t>
      </w:r>
      <w:r>
        <w:rPr>
          <w:rFonts w:ascii="Arial" w:cs="Arial" w:eastAsia="Arial" w:hAnsi="Arial"/>
          <w:sz w:val="18"/>
          <w:szCs w:val="18"/>
          <w:color w:val="262626"/>
        </w:rPr>
        <w:t xml:space="preserve"> the </w:t>
      </w:r>
      <w:r>
        <w:rPr>
          <w:rFonts w:ascii="Arial" w:cs="Arial" w:eastAsia="Arial" w:hAnsi="Arial"/>
          <w:sz w:val="18"/>
          <w:szCs w:val="18"/>
          <w:color w:val="383838"/>
        </w:rPr>
        <w:t>Premises,</w:t>
      </w:r>
      <w:r>
        <w:rPr>
          <w:rFonts w:ascii="Arial" w:cs="Arial" w:eastAsia="Arial" w:hAnsi="Arial"/>
          <w:sz w:val="18"/>
          <w:szCs w:val="18"/>
          <w:color w:val="262626"/>
        </w:rPr>
        <w:t xml:space="preserve"> but </w:t>
      </w:r>
      <w:r>
        <w:rPr>
          <w:rFonts w:ascii="Arial" w:cs="Arial" w:eastAsia="Arial" w:hAnsi="Arial"/>
          <w:sz w:val="18"/>
          <w:szCs w:val="18"/>
          <w:color w:val="383838"/>
        </w:rPr>
        <w:t>only to the extent such obligations are triggered</w:t>
      </w:r>
      <w:r>
        <w:rPr>
          <w:rFonts w:ascii="Arial" w:cs="Arial" w:eastAsia="Arial" w:hAnsi="Arial"/>
          <w:sz w:val="18"/>
          <w:szCs w:val="18"/>
          <w:color w:val="262626"/>
        </w:rPr>
        <w:t xml:space="preserve"> by </w:t>
      </w:r>
      <w:r>
        <w:rPr>
          <w:rFonts w:ascii="Arial" w:cs="Arial" w:eastAsia="Arial" w:hAnsi="Arial"/>
          <w:sz w:val="18"/>
          <w:szCs w:val="18"/>
          <w:color w:val="383838"/>
        </w:rPr>
        <w:t>Alterations</w:t>
      </w:r>
      <w:r>
        <w:rPr>
          <w:rFonts w:ascii="Arial" w:cs="Arial" w:eastAsia="Arial" w:hAnsi="Arial"/>
          <w:sz w:val="18"/>
          <w:szCs w:val="18"/>
          <w:color w:val="262626"/>
        </w:rPr>
        <w:t xml:space="preserve"> made by </w:t>
      </w:r>
      <w:r>
        <w:rPr>
          <w:rFonts w:ascii="Arial" w:cs="Arial" w:eastAsia="Arial" w:hAnsi="Arial"/>
          <w:sz w:val="18"/>
          <w:szCs w:val="18"/>
          <w:color w:val="383838"/>
        </w:rPr>
        <w:t>Tenant to</w:t>
      </w:r>
      <w:r>
        <w:rPr>
          <w:rFonts w:ascii="Arial" w:cs="Arial" w:eastAsia="Arial" w:hAnsi="Arial"/>
          <w:sz w:val="18"/>
          <w:szCs w:val="18"/>
          <w:color w:val="262626"/>
        </w:rPr>
        <w:t xml:space="preserve"> the Premis</w:t>
      </w:r>
      <w:r>
        <w:rPr>
          <w:rFonts w:ascii="Arial" w:cs="Arial" w:eastAsia="Arial" w:hAnsi="Arial"/>
          <w:sz w:val="18"/>
          <w:szCs w:val="18"/>
          <w:color w:val="383838"/>
        </w:rPr>
        <w:t>es or</w:t>
      </w:r>
      <w:r>
        <w:rPr>
          <w:rFonts w:ascii="Arial" w:cs="Arial" w:eastAsia="Arial" w:hAnsi="Arial"/>
          <w:sz w:val="18"/>
          <w:szCs w:val="18"/>
          <w:color w:val="262626"/>
        </w:rPr>
        <w:t xml:space="preserve"> triggered by </w:t>
      </w:r>
      <w:r>
        <w:rPr>
          <w:rFonts w:ascii="Arial" w:cs="Arial" w:eastAsia="Arial" w:hAnsi="Arial"/>
          <w:sz w:val="18"/>
          <w:szCs w:val="18"/>
          <w:color w:val="383838"/>
        </w:rPr>
        <w:t xml:space="preserve">Tenant’s </w:t>
      </w:r>
      <w:r>
        <w:rPr>
          <w:rFonts w:ascii="Arial" w:cs="Arial" w:eastAsia="Arial" w:hAnsi="Arial"/>
          <w:sz w:val="18"/>
          <w:szCs w:val="18"/>
          <w:color w:val="262626"/>
        </w:rPr>
        <w:t>use</w:t>
      </w:r>
      <w:r>
        <w:rPr>
          <w:rFonts w:ascii="Arial" w:cs="Arial" w:eastAsia="Arial" w:hAnsi="Arial"/>
          <w:sz w:val="18"/>
          <w:szCs w:val="18"/>
          <w:color w:val="383838"/>
        </w:rPr>
        <w:t xml:space="preserve"> of the </w:t>
      </w:r>
      <w:r>
        <w:rPr>
          <w:rFonts w:ascii="Arial" w:cs="Arial" w:eastAsia="Arial" w:hAnsi="Arial"/>
          <w:sz w:val="18"/>
          <w:szCs w:val="18"/>
          <w:color w:val="262626"/>
        </w:rPr>
        <w:t>Premises</w:t>
      </w:r>
      <w:r>
        <w:rPr>
          <w:rFonts w:ascii="Arial" w:cs="Arial" w:eastAsia="Arial" w:hAnsi="Arial"/>
          <w:sz w:val="18"/>
          <w:szCs w:val="18"/>
          <w:color w:val="383838"/>
        </w:rPr>
        <w:t xml:space="preserve"> for other </w:t>
      </w:r>
      <w:r>
        <w:rPr>
          <w:rFonts w:ascii="Arial" w:cs="Arial" w:eastAsia="Arial" w:hAnsi="Arial"/>
          <w:sz w:val="18"/>
          <w:szCs w:val="18"/>
          <w:color w:val="262626"/>
        </w:rPr>
        <w:t>than</w:t>
      </w:r>
      <w:r>
        <w:rPr>
          <w:rFonts w:ascii="Arial" w:cs="Arial" w:eastAsia="Arial" w:hAnsi="Arial"/>
          <w:sz w:val="18"/>
          <w:szCs w:val="18"/>
          <w:color w:val="383838"/>
        </w:rPr>
        <w:t xml:space="preserve"> general office </w:t>
      </w:r>
      <w:r>
        <w:rPr>
          <w:rFonts w:ascii="Arial" w:cs="Arial" w:eastAsia="Arial" w:hAnsi="Arial"/>
          <w:sz w:val="18"/>
          <w:szCs w:val="18"/>
          <w:color w:val="262626"/>
        </w:rPr>
        <w:t>use,</w:t>
      </w:r>
      <w:r>
        <w:rPr>
          <w:rFonts w:ascii="Arial" w:cs="Arial" w:eastAsia="Arial" w:hAnsi="Arial"/>
          <w:sz w:val="18"/>
          <w:szCs w:val="18"/>
          <w:color w:val="383838"/>
        </w:rPr>
        <w:t xml:space="preserve"> and excepting compliance which is the Landlord’s </w:t>
      </w:r>
      <w:r>
        <w:rPr>
          <w:rFonts w:ascii="Arial" w:cs="Arial" w:eastAsia="Arial" w:hAnsi="Arial"/>
          <w:sz w:val="18"/>
          <w:szCs w:val="18"/>
          <w:color w:val="262626"/>
        </w:rPr>
        <w:t>responsibility under</w:t>
      </w:r>
      <w:r>
        <w:rPr>
          <w:rFonts w:ascii="Arial" w:cs="Arial" w:eastAsia="Arial" w:hAnsi="Arial"/>
          <w:sz w:val="18"/>
          <w:szCs w:val="18"/>
          <w:color w:val="383838"/>
        </w:rPr>
        <w:t xml:space="preserve"> Section</w:t>
      </w:r>
    </w:p>
    <w:p>
      <w:pPr>
        <w:spacing w:after="0" w:line="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383838"/>
        </w:rPr>
        <w:t xml:space="preserve">2.2 </w:t>
      </w:r>
      <w:r>
        <w:rPr>
          <w:rFonts w:ascii="Arial" w:cs="Arial" w:eastAsia="Arial" w:hAnsi="Arial"/>
          <w:sz w:val="18"/>
          <w:szCs w:val="18"/>
          <w:color w:val="262626"/>
        </w:rPr>
        <w:t>and S</w:t>
      </w:r>
      <w:r>
        <w:rPr>
          <w:rFonts w:ascii="Arial" w:cs="Arial" w:eastAsia="Arial" w:hAnsi="Arial"/>
          <w:sz w:val="18"/>
          <w:szCs w:val="18"/>
          <w:color w:val="383838"/>
        </w:rPr>
        <w:t xml:space="preserve">ection 6.3(b) hereof, and provided that Landlord </w:t>
      </w:r>
      <w:r>
        <w:rPr>
          <w:rFonts w:ascii="Arial" w:cs="Arial" w:eastAsia="Arial" w:hAnsi="Arial"/>
          <w:sz w:val="18"/>
          <w:szCs w:val="18"/>
          <w:color w:val="262626"/>
        </w:rPr>
        <w:t>has</w:t>
      </w:r>
      <w:r>
        <w:rPr>
          <w:rFonts w:ascii="Arial" w:cs="Arial" w:eastAsia="Arial" w:hAnsi="Arial"/>
          <w:sz w:val="18"/>
          <w:szCs w:val="18"/>
          <w:color w:val="383838"/>
        </w:rPr>
        <w:t xml:space="preserve"> the </w:t>
      </w:r>
      <w:r>
        <w:rPr>
          <w:rFonts w:ascii="Arial" w:cs="Arial" w:eastAsia="Arial" w:hAnsi="Arial"/>
          <w:sz w:val="18"/>
          <w:szCs w:val="18"/>
          <w:color w:val="262626"/>
        </w:rPr>
        <w:t>right to perform</w:t>
      </w:r>
      <w:r>
        <w:rPr>
          <w:rFonts w:ascii="Arial" w:cs="Arial" w:eastAsia="Arial" w:hAnsi="Arial"/>
          <w:sz w:val="18"/>
          <w:szCs w:val="18"/>
          <w:color w:val="383838"/>
        </w:rPr>
        <w:t xml:space="preserve"> such work at Tenant’s cost. Tenant shall </w:t>
      </w:r>
      <w:r>
        <w:rPr>
          <w:rFonts w:ascii="Arial" w:cs="Arial" w:eastAsia="Arial" w:hAnsi="Arial"/>
          <w:sz w:val="18"/>
          <w:szCs w:val="18"/>
          <w:color w:val="262626"/>
        </w:rPr>
        <w:t>not do</w:t>
      </w:r>
      <w:r>
        <w:rPr>
          <w:rFonts w:ascii="Arial" w:cs="Arial" w:eastAsia="Arial" w:hAnsi="Arial"/>
          <w:sz w:val="18"/>
          <w:szCs w:val="18"/>
          <w:color w:val="383838"/>
        </w:rPr>
        <w:t xml:space="preserve"> or knowingly permit anything to be </w:t>
      </w:r>
      <w:r>
        <w:rPr>
          <w:rFonts w:ascii="Arial" w:cs="Arial" w:eastAsia="Arial" w:hAnsi="Arial"/>
          <w:sz w:val="18"/>
          <w:szCs w:val="18"/>
          <w:color w:val="262626"/>
        </w:rPr>
        <w:t>done</w:t>
      </w:r>
      <w:r>
        <w:rPr>
          <w:rFonts w:ascii="Arial" w:cs="Arial" w:eastAsia="Arial" w:hAnsi="Arial"/>
          <w:sz w:val="18"/>
          <w:szCs w:val="18"/>
          <w:color w:val="383838"/>
        </w:rPr>
        <w:t xml:space="preserve"> in or about the Premises or bring or keep </w:t>
      </w:r>
      <w:r>
        <w:rPr>
          <w:rFonts w:ascii="Arial" w:cs="Arial" w:eastAsia="Arial" w:hAnsi="Arial"/>
          <w:sz w:val="18"/>
          <w:szCs w:val="18"/>
          <w:color w:val="262626"/>
        </w:rPr>
        <w:t>anything herein</w:t>
      </w:r>
      <w:r>
        <w:rPr>
          <w:rFonts w:ascii="Arial" w:cs="Arial" w:eastAsia="Arial" w:hAnsi="Arial"/>
          <w:sz w:val="18"/>
          <w:szCs w:val="18"/>
          <w:color w:val="383838"/>
        </w:rPr>
        <w:t xml:space="preserve"> which will </w:t>
      </w:r>
      <w:r>
        <w:rPr>
          <w:rFonts w:ascii="Arial" w:cs="Arial" w:eastAsia="Arial" w:hAnsi="Arial"/>
          <w:sz w:val="18"/>
          <w:szCs w:val="18"/>
          <w:color w:val="262626"/>
        </w:rPr>
        <w:t>in</w:t>
      </w:r>
      <w:r>
        <w:rPr>
          <w:rFonts w:ascii="Arial" w:cs="Arial" w:eastAsia="Arial" w:hAnsi="Arial"/>
          <w:sz w:val="18"/>
          <w:szCs w:val="18"/>
          <w:color w:val="383838"/>
        </w:rPr>
        <w:t xml:space="preserve"> any way </w:t>
      </w:r>
      <w:r>
        <w:rPr>
          <w:rFonts w:ascii="Arial" w:cs="Arial" w:eastAsia="Arial" w:hAnsi="Arial"/>
          <w:sz w:val="18"/>
          <w:szCs w:val="18"/>
          <w:color w:val="262626"/>
        </w:rPr>
        <w:t>increase</w:t>
      </w:r>
      <w:r>
        <w:rPr>
          <w:rFonts w:ascii="Arial" w:cs="Arial" w:eastAsia="Arial" w:hAnsi="Arial"/>
          <w:sz w:val="18"/>
          <w:szCs w:val="18"/>
          <w:color w:val="383838"/>
        </w:rPr>
        <w:t xml:space="preserve"> the rate of fire insurance </w:t>
      </w:r>
      <w:r>
        <w:rPr>
          <w:rFonts w:ascii="Arial" w:cs="Arial" w:eastAsia="Arial" w:hAnsi="Arial"/>
          <w:sz w:val="18"/>
          <w:szCs w:val="18"/>
          <w:color w:val="262626"/>
        </w:rPr>
        <w:t xml:space="preserve">upon the </w:t>
      </w:r>
      <w:r>
        <w:rPr>
          <w:rFonts w:ascii="Arial" w:cs="Arial" w:eastAsia="Arial" w:hAnsi="Arial"/>
          <w:sz w:val="18"/>
          <w:szCs w:val="18"/>
          <w:color w:val="383838"/>
        </w:rPr>
        <w:t>Building or any of</w:t>
      </w:r>
      <w:r>
        <w:rPr>
          <w:rFonts w:ascii="Arial" w:cs="Arial" w:eastAsia="Arial" w:hAnsi="Arial"/>
          <w:sz w:val="18"/>
          <w:szCs w:val="18"/>
          <w:color w:val="262626"/>
        </w:rPr>
        <w:t xml:space="preserve"> its </w:t>
      </w:r>
      <w:r>
        <w:rPr>
          <w:rFonts w:ascii="Arial" w:cs="Arial" w:eastAsia="Arial" w:hAnsi="Arial"/>
          <w:sz w:val="18"/>
          <w:szCs w:val="18"/>
          <w:color w:val="383838"/>
        </w:rPr>
        <w:t>contents, and Tenant shall, at</w:t>
      </w:r>
      <w:r>
        <w:rPr>
          <w:rFonts w:ascii="Arial" w:cs="Arial" w:eastAsia="Arial" w:hAnsi="Arial"/>
          <w:sz w:val="18"/>
          <w:szCs w:val="18"/>
          <w:color w:val="262626"/>
        </w:rPr>
        <w:t xml:space="preserve"> its </w:t>
      </w:r>
      <w:r>
        <w:rPr>
          <w:rFonts w:ascii="Arial" w:cs="Arial" w:eastAsia="Arial" w:hAnsi="Arial"/>
          <w:sz w:val="18"/>
          <w:szCs w:val="18"/>
          <w:color w:val="383838"/>
        </w:rPr>
        <w:t>sole cost and expense, promptly comply with</w:t>
      </w:r>
      <w:r>
        <w:rPr>
          <w:rFonts w:ascii="Arial" w:cs="Arial" w:eastAsia="Arial" w:hAnsi="Arial"/>
          <w:sz w:val="18"/>
          <w:szCs w:val="18"/>
          <w:color w:val="262626"/>
        </w:rPr>
        <w:t xml:space="preserve"> the </w:t>
      </w:r>
      <w:r>
        <w:rPr>
          <w:rFonts w:ascii="Arial" w:cs="Arial" w:eastAsia="Arial" w:hAnsi="Arial"/>
          <w:sz w:val="18"/>
          <w:szCs w:val="18"/>
          <w:color w:val="383838"/>
        </w:rPr>
        <w:t>requirements of any</w:t>
      </w:r>
      <w:r>
        <w:rPr>
          <w:rFonts w:ascii="Arial" w:cs="Arial" w:eastAsia="Arial" w:hAnsi="Arial"/>
          <w:sz w:val="18"/>
          <w:szCs w:val="18"/>
          <w:color w:val="262626"/>
        </w:rPr>
        <w:t xml:space="preserve"> board </w:t>
      </w:r>
      <w:r>
        <w:rPr>
          <w:rFonts w:ascii="Arial" w:cs="Arial" w:eastAsia="Arial" w:hAnsi="Arial"/>
          <w:sz w:val="18"/>
          <w:szCs w:val="18"/>
          <w:color w:val="383838"/>
        </w:rPr>
        <w:t>of</w:t>
      </w:r>
      <w:r>
        <w:rPr>
          <w:rFonts w:ascii="Arial" w:cs="Arial" w:eastAsia="Arial" w:hAnsi="Arial"/>
          <w:sz w:val="18"/>
          <w:szCs w:val="18"/>
          <w:color w:val="262626"/>
        </w:rPr>
        <w:t xml:space="preserve"> </w:t>
      </w:r>
      <w:r>
        <w:rPr>
          <w:rFonts w:ascii="Arial" w:cs="Arial" w:eastAsia="Arial" w:hAnsi="Arial"/>
          <w:sz w:val="18"/>
          <w:szCs w:val="18"/>
          <w:color w:val="383838"/>
        </w:rPr>
        <w:t xml:space="preserve">fire </w:t>
      </w:r>
      <w:r>
        <w:rPr>
          <w:rFonts w:ascii="Arial" w:cs="Arial" w:eastAsia="Arial" w:hAnsi="Arial"/>
          <w:sz w:val="18"/>
          <w:szCs w:val="18"/>
          <w:color w:val="262626"/>
        </w:rPr>
        <w:t>underwriters</w:t>
      </w:r>
      <w:r>
        <w:rPr>
          <w:rFonts w:ascii="Arial" w:cs="Arial" w:eastAsia="Arial" w:hAnsi="Arial"/>
          <w:sz w:val="18"/>
          <w:szCs w:val="18"/>
          <w:color w:val="383838"/>
        </w:rPr>
        <w:t xml:space="preserve"> or other similar </w:t>
      </w:r>
      <w:r>
        <w:rPr>
          <w:rFonts w:ascii="Arial" w:cs="Arial" w:eastAsia="Arial" w:hAnsi="Arial"/>
          <w:sz w:val="18"/>
          <w:szCs w:val="18"/>
          <w:color w:val="262626"/>
        </w:rPr>
        <w:t>body now</w:t>
      </w:r>
      <w:r>
        <w:rPr>
          <w:rFonts w:ascii="Arial" w:cs="Arial" w:eastAsia="Arial" w:hAnsi="Arial"/>
          <w:sz w:val="18"/>
          <w:szCs w:val="18"/>
          <w:color w:val="383838"/>
        </w:rPr>
        <w:t xml:space="preserve"> or </w:t>
      </w:r>
      <w:r>
        <w:rPr>
          <w:rFonts w:ascii="Arial" w:cs="Arial" w:eastAsia="Arial" w:hAnsi="Arial"/>
          <w:sz w:val="18"/>
          <w:szCs w:val="18"/>
          <w:color w:val="262626"/>
        </w:rPr>
        <w:t>hereafter</w:t>
      </w:r>
      <w:r>
        <w:rPr>
          <w:rFonts w:ascii="Arial" w:cs="Arial" w:eastAsia="Arial" w:hAnsi="Arial"/>
          <w:sz w:val="18"/>
          <w:szCs w:val="18"/>
          <w:color w:val="383838"/>
        </w:rPr>
        <w:t xml:space="preserve"> cons</w:t>
      </w:r>
      <w:r>
        <w:rPr>
          <w:rFonts w:ascii="Arial" w:cs="Arial" w:eastAsia="Arial" w:hAnsi="Arial"/>
          <w:sz w:val="18"/>
          <w:szCs w:val="18"/>
          <w:color w:val="262626"/>
        </w:rPr>
        <w:t>tituted relating</w:t>
      </w:r>
      <w:r>
        <w:rPr>
          <w:rFonts w:ascii="Arial" w:cs="Arial" w:eastAsia="Arial" w:hAnsi="Arial"/>
          <w:sz w:val="18"/>
          <w:szCs w:val="18"/>
          <w:color w:val="383838"/>
        </w:rPr>
        <w:t xml:space="preserve"> to Tenant’s use or occupancy of the </w:t>
      </w:r>
      <w:r>
        <w:rPr>
          <w:rFonts w:ascii="Arial" w:cs="Arial" w:eastAsia="Arial" w:hAnsi="Arial"/>
          <w:sz w:val="18"/>
          <w:szCs w:val="18"/>
          <w:color w:val="262626"/>
        </w:rPr>
        <w:t>Premises.</w:t>
      </w:r>
      <w:r>
        <w:rPr>
          <w:rFonts w:ascii="Arial" w:cs="Arial" w:eastAsia="Arial" w:hAnsi="Arial"/>
          <w:sz w:val="18"/>
          <w:szCs w:val="18"/>
          <w:color w:val="383838"/>
        </w:rPr>
        <w:t xml:space="preserve"> The judgment of </w:t>
      </w:r>
      <w:r>
        <w:rPr>
          <w:rFonts w:ascii="Arial" w:cs="Arial" w:eastAsia="Arial" w:hAnsi="Arial"/>
          <w:sz w:val="18"/>
          <w:szCs w:val="18"/>
          <w:color w:val="262626"/>
        </w:rPr>
        <w:t>any</w:t>
      </w:r>
      <w:r>
        <w:rPr>
          <w:rFonts w:ascii="Arial" w:cs="Arial" w:eastAsia="Arial" w:hAnsi="Arial"/>
          <w:sz w:val="18"/>
          <w:szCs w:val="18"/>
          <w:color w:val="383838"/>
        </w:rPr>
        <w:t xml:space="preserve"> court of competent juris</w:t>
      </w:r>
      <w:r>
        <w:rPr>
          <w:rFonts w:ascii="Arial" w:cs="Arial" w:eastAsia="Arial" w:hAnsi="Arial"/>
          <w:sz w:val="18"/>
          <w:szCs w:val="18"/>
          <w:color w:val="262626"/>
        </w:rPr>
        <w:t>diction</w:t>
      </w:r>
      <w:r>
        <w:rPr>
          <w:rFonts w:ascii="Arial" w:cs="Arial" w:eastAsia="Arial" w:hAnsi="Arial"/>
          <w:sz w:val="18"/>
          <w:szCs w:val="18"/>
          <w:color w:val="383838"/>
        </w:rPr>
        <w:t xml:space="preserve"> or the admission of Tenant in an action against Tenant, whether Landlord </w:t>
      </w:r>
      <w:r>
        <w:rPr>
          <w:rFonts w:ascii="Arial" w:cs="Arial" w:eastAsia="Arial" w:hAnsi="Arial"/>
          <w:sz w:val="18"/>
          <w:szCs w:val="18"/>
          <w:color w:val="262626"/>
        </w:rPr>
        <w:t>be</w:t>
      </w:r>
      <w:r>
        <w:rPr>
          <w:rFonts w:ascii="Arial" w:cs="Arial" w:eastAsia="Arial" w:hAnsi="Arial"/>
          <w:sz w:val="18"/>
          <w:szCs w:val="18"/>
          <w:color w:val="383838"/>
        </w:rPr>
        <w:t xml:space="preserve"> a </w:t>
      </w:r>
      <w:r>
        <w:rPr>
          <w:rFonts w:ascii="Arial" w:cs="Arial" w:eastAsia="Arial" w:hAnsi="Arial"/>
          <w:sz w:val="18"/>
          <w:szCs w:val="18"/>
          <w:color w:val="262626"/>
        </w:rPr>
        <w:t>party thereto</w:t>
      </w:r>
      <w:r>
        <w:rPr>
          <w:rFonts w:ascii="Arial" w:cs="Arial" w:eastAsia="Arial" w:hAnsi="Arial"/>
          <w:sz w:val="18"/>
          <w:szCs w:val="18"/>
          <w:color w:val="383838"/>
        </w:rPr>
        <w:t xml:space="preserve"> or </w:t>
      </w:r>
      <w:r>
        <w:rPr>
          <w:rFonts w:ascii="Arial" w:cs="Arial" w:eastAsia="Arial" w:hAnsi="Arial"/>
          <w:sz w:val="18"/>
          <w:szCs w:val="18"/>
          <w:color w:val="262626"/>
        </w:rPr>
        <w:t>not, that</w:t>
      </w:r>
      <w:r>
        <w:rPr>
          <w:rFonts w:ascii="Arial" w:cs="Arial" w:eastAsia="Arial" w:hAnsi="Arial"/>
          <w:sz w:val="18"/>
          <w:szCs w:val="18"/>
          <w:color w:val="383838"/>
        </w:rPr>
        <w:t xml:space="preserve"> Tenant </w:t>
      </w:r>
      <w:r>
        <w:rPr>
          <w:rFonts w:ascii="Arial" w:cs="Arial" w:eastAsia="Arial" w:hAnsi="Arial"/>
          <w:sz w:val="18"/>
          <w:szCs w:val="18"/>
          <w:color w:val="262626"/>
        </w:rPr>
        <w:t xml:space="preserve">has </w:t>
      </w:r>
      <w:r>
        <w:rPr>
          <w:rFonts w:ascii="Arial" w:cs="Arial" w:eastAsia="Arial" w:hAnsi="Arial"/>
          <w:sz w:val="18"/>
          <w:szCs w:val="18"/>
          <w:color w:val="383838"/>
        </w:rPr>
        <w:t>so violated any Law shall be</w:t>
      </w:r>
      <w:r>
        <w:rPr>
          <w:rFonts w:ascii="Arial" w:cs="Arial" w:eastAsia="Arial" w:hAnsi="Arial"/>
          <w:sz w:val="18"/>
          <w:szCs w:val="18"/>
          <w:color w:val="262626"/>
        </w:rPr>
        <w:t xml:space="preserve"> conclusive </w:t>
      </w:r>
      <w:r>
        <w:rPr>
          <w:rFonts w:ascii="Arial" w:cs="Arial" w:eastAsia="Arial" w:hAnsi="Arial"/>
          <w:sz w:val="18"/>
          <w:szCs w:val="18"/>
          <w:color w:val="383838"/>
        </w:rPr>
        <w:t>of such violation as between Landlord</w:t>
      </w:r>
      <w:r>
        <w:rPr>
          <w:rFonts w:ascii="Arial" w:cs="Arial" w:eastAsia="Arial" w:hAnsi="Arial"/>
          <w:sz w:val="18"/>
          <w:szCs w:val="18"/>
          <w:color w:val="262626"/>
        </w:rPr>
        <w:t xml:space="preserve"> and Tenant.</w:t>
      </w:r>
    </w:p>
    <w:p>
      <w:pPr>
        <w:spacing w:after="0" w:line="157" w:lineRule="exact"/>
        <w:rPr>
          <w:sz w:val="20"/>
          <w:szCs w:val="20"/>
          <w:color w:val="auto"/>
        </w:rPr>
      </w:pPr>
    </w:p>
    <w:p>
      <w:pPr>
        <w:ind w:left="2640" w:hanging="877"/>
        <w:spacing w:after="0"/>
        <w:tabs>
          <w:tab w:leader="none" w:pos="2640" w:val="left"/>
        </w:tabs>
        <w:numPr>
          <w:ilvl w:val="0"/>
          <w:numId w:val="49"/>
        </w:numPr>
        <w:rPr>
          <w:rFonts w:ascii="Arial" w:cs="Arial" w:eastAsia="Arial" w:hAnsi="Arial"/>
          <w:sz w:val="20"/>
          <w:szCs w:val="20"/>
          <w:color w:val="262626"/>
        </w:rPr>
      </w:pPr>
      <w:r>
        <w:rPr>
          <w:rFonts w:ascii="Arial" w:cs="Arial" w:eastAsia="Arial" w:hAnsi="Arial"/>
          <w:sz w:val="20"/>
          <w:szCs w:val="20"/>
          <w:u w:val="single" w:color="auto"/>
          <w:color w:val="383838"/>
        </w:rPr>
        <w:t xml:space="preserve">Compliance </w:t>
      </w:r>
      <w:r>
        <w:rPr>
          <w:rFonts w:ascii="Arial" w:cs="Arial" w:eastAsia="Arial" w:hAnsi="Arial"/>
          <w:sz w:val="20"/>
          <w:szCs w:val="20"/>
          <w:u w:val="single" w:color="auto"/>
          <w:color w:val="262626"/>
        </w:rPr>
        <w:t>with Disability</w:t>
      </w:r>
      <w:r>
        <w:rPr>
          <w:rFonts w:ascii="Arial" w:cs="Arial" w:eastAsia="Arial" w:hAnsi="Arial"/>
          <w:sz w:val="20"/>
          <w:szCs w:val="20"/>
          <w:u w:val="single" w:color="auto"/>
          <w:color w:val="383838"/>
        </w:rPr>
        <w:t xml:space="preserve"> Access Laws</w:t>
      </w:r>
    </w:p>
    <w:p>
      <w:pPr>
        <w:spacing w:after="0" w:line="202" w:lineRule="exact"/>
        <w:rPr>
          <w:rFonts w:ascii="Arial" w:cs="Arial" w:eastAsia="Arial" w:hAnsi="Arial"/>
          <w:sz w:val="20"/>
          <w:szCs w:val="20"/>
          <w:color w:val="262626"/>
        </w:rPr>
      </w:pPr>
    </w:p>
    <w:p>
      <w:pPr>
        <w:ind w:right="100" w:firstLine="2642"/>
        <w:spacing w:after="0" w:line="313" w:lineRule="auto"/>
        <w:tabs>
          <w:tab w:leader="none" w:pos="3466" w:val="left"/>
        </w:tabs>
        <w:numPr>
          <w:ilvl w:val="1"/>
          <w:numId w:val="49"/>
        </w:numPr>
        <w:rPr>
          <w:rFonts w:ascii="Arial" w:cs="Arial" w:eastAsia="Arial" w:hAnsi="Arial"/>
          <w:sz w:val="16"/>
          <w:szCs w:val="16"/>
          <w:color w:val="383838"/>
        </w:rPr>
      </w:pPr>
      <w:r>
        <w:rPr>
          <w:rFonts w:ascii="Arial" w:cs="Arial" w:eastAsia="Arial" w:hAnsi="Arial"/>
          <w:sz w:val="16"/>
          <w:szCs w:val="16"/>
          <w:color w:val="383838"/>
        </w:rPr>
        <w:t xml:space="preserve">The </w:t>
      </w:r>
      <w:r>
        <w:rPr>
          <w:rFonts w:ascii="Arial" w:cs="Arial" w:eastAsia="Arial" w:hAnsi="Arial"/>
          <w:sz w:val="16"/>
          <w:szCs w:val="16"/>
          <w:color w:val="262626"/>
        </w:rPr>
        <w:t>Premises</w:t>
      </w:r>
      <w:r>
        <w:rPr>
          <w:rFonts w:ascii="Arial" w:cs="Arial" w:eastAsia="Arial" w:hAnsi="Arial"/>
          <w:sz w:val="16"/>
          <w:szCs w:val="16"/>
          <w:color w:val="383838"/>
        </w:rPr>
        <w:t xml:space="preserve"> and/or the Building </w:t>
      </w:r>
      <w:r>
        <w:rPr>
          <w:rFonts w:ascii="Arial" w:cs="Arial" w:eastAsia="Arial" w:hAnsi="Arial"/>
          <w:sz w:val="16"/>
          <w:szCs w:val="16"/>
          <w:color w:val="262626"/>
        </w:rPr>
        <w:t>are</w:t>
      </w:r>
      <w:r>
        <w:rPr>
          <w:rFonts w:ascii="Arial" w:cs="Arial" w:eastAsia="Arial" w:hAnsi="Arial"/>
          <w:sz w:val="16"/>
          <w:szCs w:val="16"/>
          <w:color w:val="383838"/>
        </w:rPr>
        <w:t xml:space="preserve"> subject </w:t>
      </w:r>
      <w:r>
        <w:rPr>
          <w:rFonts w:ascii="Arial" w:cs="Arial" w:eastAsia="Arial" w:hAnsi="Arial"/>
          <w:sz w:val="16"/>
          <w:szCs w:val="16"/>
          <w:color w:val="262626"/>
        </w:rPr>
        <w:t>to,</w:t>
      </w:r>
      <w:r>
        <w:rPr>
          <w:rFonts w:ascii="Arial" w:cs="Arial" w:eastAsia="Arial" w:hAnsi="Arial"/>
          <w:sz w:val="16"/>
          <w:szCs w:val="16"/>
          <w:color w:val="383838"/>
        </w:rPr>
        <w:t xml:space="preserve"> among </w:t>
      </w:r>
      <w:r>
        <w:rPr>
          <w:rFonts w:ascii="Arial" w:cs="Arial" w:eastAsia="Arial" w:hAnsi="Arial"/>
          <w:sz w:val="16"/>
          <w:szCs w:val="16"/>
          <w:color w:val="262626"/>
        </w:rPr>
        <w:t>other Laws, the requirements</w:t>
      </w:r>
      <w:r>
        <w:rPr>
          <w:rFonts w:ascii="Arial" w:cs="Arial" w:eastAsia="Arial" w:hAnsi="Arial"/>
          <w:sz w:val="16"/>
          <w:szCs w:val="16"/>
          <w:color w:val="383838"/>
        </w:rPr>
        <w:t xml:space="preserve"> of the Americans with </w:t>
      </w:r>
      <w:r>
        <w:rPr>
          <w:rFonts w:ascii="Arial" w:cs="Arial" w:eastAsia="Arial" w:hAnsi="Arial"/>
          <w:sz w:val="16"/>
          <w:szCs w:val="16"/>
          <w:color w:val="262626"/>
        </w:rPr>
        <w:t>Disabilities</w:t>
      </w:r>
      <w:r>
        <w:rPr>
          <w:rFonts w:ascii="Arial" w:cs="Arial" w:eastAsia="Arial" w:hAnsi="Arial"/>
          <w:sz w:val="16"/>
          <w:szCs w:val="16"/>
          <w:color w:val="383838"/>
        </w:rPr>
        <w:t xml:space="preserve"> Act, </w:t>
      </w:r>
      <w:r>
        <w:rPr>
          <w:rFonts w:ascii="Arial" w:cs="Arial" w:eastAsia="Arial" w:hAnsi="Arial"/>
          <w:sz w:val="16"/>
          <w:szCs w:val="16"/>
          <w:color w:val="262626"/>
        </w:rPr>
        <w:t>a federal law</w:t>
      </w:r>
      <w:r>
        <w:rPr>
          <w:rFonts w:ascii="Arial" w:cs="Arial" w:eastAsia="Arial" w:hAnsi="Arial"/>
          <w:sz w:val="16"/>
          <w:szCs w:val="16"/>
          <w:color w:val="383838"/>
        </w:rPr>
        <w:t xml:space="preserve"> codified </w:t>
      </w:r>
      <w:r>
        <w:rPr>
          <w:rFonts w:ascii="Arial" w:cs="Arial" w:eastAsia="Arial" w:hAnsi="Arial"/>
          <w:sz w:val="16"/>
          <w:szCs w:val="16"/>
          <w:color w:val="262626"/>
        </w:rPr>
        <w:t>at 42 U.S.C. 12101 et</w:t>
      </w:r>
      <w:r>
        <w:rPr>
          <w:rFonts w:ascii="Arial" w:cs="Arial" w:eastAsia="Arial" w:hAnsi="Arial"/>
          <w:sz w:val="16"/>
          <w:szCs w:val="16"/>
          <w:color w:val="383838"/>
        </w:rPr>
        <w:t xml:space="preserve"> seq., </w:t>
      </w:r>
      <w:r>
        <w:rPr>
          <w:rFonts w:ascii="Arial" w:cs="Arial" w:eastAsia="Arial" w:hAnsi="Arial"/>
          <w:sz w:val="16"/>
          <w:szCs w:val="16"/>
          <w:color w:val="262626"/>
        </w:rPr>
        <w:t>including,</w:t>
      </w:r>
      <w:r>
        <w:rPr>
          <w:rFonts w:ascii="Arial" w:cs="Arial" w:eastAsia="Arial" w:hAnsi="Arial"/>
          <w:sz w:val="16"/>
          <w:szCs w:val="16"/>
          <w:color w:val="383838"/>
        </w:rPr>
        <w:t xml:space="preserve"> but </w:t>
      </w:r>
      <w:r>
        <w:rPr>
          <w:rFonts w:ascii="Arial" w:cs="Arial" w:eastAsia="Arial" w:hAnsi="Arial"/>
          <w:sz w:val="16"/>
          <w:szCs w:val="16"/>
          <w:color w:val="262626"/>
        </w:rPr>
        <w:t>not limited</w:t>
      </w:r>
      <w:r>
        <w:rPr>
          <w:rFonts w:ascii="Arial" w:cs="Arial" w:eastAsia="Arial" w:hAnsi="Arial"/>
          <w:sz w:val="16"/>
          <w:szCs w:val="16"/>
          <w:color w:val="383838"/>
        </w:rPr>
        <w:t xml:space="preserve"> to </w:t>
      </w:r>
      <w:r>
        <w:rPr>
          <w:rFonts w:ascii="Arial" w:cs="Arial" w:eastAsia="Arial" w:hAnsi="Arial"/>
          <w:sz w:val="16"/>
          <w:szCs w:val="16"/>
          <w:color w:val="262626"/>
        </w:rPr>
        <w:t>Title III thereof, and all</w:t>
      </w:r>
      <w:r>
        <w:rPr>
          <w:rFonts w:ascii="Arial" w:cs="Arial" w:eastAsia="Arial" w:hAnsi="Arial"/>
          <w:sz w:val="16"/>
          <w:szCs w:val="16"/>
          <w:color w:val="383838"/>
        </w:rPr>
        <w:t xml:space="preserve"> </w:t>
      </w:r>
      <w:r>
        <w:rPr>
          <w:rFonts w:ascii="Arial" w:cs="Arial" w:eastAsia="Arial" w:hAnsi="Arial"/>
          <w:sz w:val="16"/>
          <w:szCs w:val="16"/>
          <w:color w:val="262626"/>
        </w:rPr>
        <w:t>regulations and guidelines related thereto, together with any and all similar laws, rules, regulations, ordinances, codes and statutes now in force or which may hereafter be enacted or promulgated, including, without limitation, Title 24 of the California Code of Regulations, the Unruh Civil Rights Act, California Civil Code Sections 51 through 51.3, and San Francisco Administrative Code Section 38, as the same may be in effect on the date of this Lease and may be hereafter modified, amended or supplemented (collectively, the “Disability Access Laws”). The Premises have not undergone inspection by a Certified Access Specialist (CASp), as defined in Section 55.52 of the California Civil Code, and Tenant is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81"/>
              <w:spacing w:after="0"/>
              <w:rPr>
                <w:sz w:val="20"/>
                <w:szCs w:val="20"/>
                <w:color w:val="auto"/>
              </w:rPr>
            </w:pPr>
            <w:r>
              <w:rPr>
                <w:rFonts w:ascii="Arial" w:cs="Arial" w:eastAsia="Arial" w:hAnsi="Arial"/>
                <w:sz w:val="20"/>
                <w:szCs w:val="20"/>
                <w:color w:val="auto"/>
              </w:rPr>
              <w:t>11</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139" w:name="page140"/>
    <w:bookmarkEnd w:id="139"/>
    <w:p>
      <w:pPr>
        <w:ind w:right="100"/>
        <w:spacing w:after="0" w:line="268" w:lineRule="auto"/>
        <w:rPr>
          <w:sz w:val="20"/>
          <w:szCs w:val="20"/>
          <w:color w:val="auto"/>
        </w:rPr>
      </w:pPr>
      <w:r>
        <w:rPr>
          <w:rFonts w:ascii="Arial" w:cs="Arial" w:eastAsia="Arial" w:hAnsi="Arial"/>
          <w:sz w:val="18"/>
          <w:szCs w:val="18"/>
          <w:color w:val="3B3B3B"/>
        </w:rPr>
        <w:t xml:space="preserve">responsible </w:t>
      </w:r>
      <w:r>
        <w:rPr>
          <w:rFonts w:ascii="Arial" w:cs="Arial" w:eastAsia="Arial" w:hAnsi="Arial"/>
          <w:sz w:val="18"/>
          <w:szCs w:val="18"/>
          <w:color w:val="262626"/>
        </w:rPr>
        <w:t>for inspecting the Premises to ensure that the Premises comply with Disability Access Laws. Subject to reimbursement pursuant to</w:t>
      </w:r>
      <w:r>
        <w:rPr>
          <w:rFonts w:ascii="Arial" w:cs="Arial" w:eastAsia="Arial" w:hAnsi="Arial"/>
          <w:sz w:val="18"/>
          <w:szCs w:val="18"/>
          <w:color w:val="3B3B3B"/>
        </w:rPr>
        <w:t xml:space="preserve"> </w:t>
      </w:r>
      <w:r>
        <w:rPr>
          <w:rFonts w:ascii="Arial" w:cs="Arial" w:eastAsia="Arial" w:hAnsi="Arial"/>
          <w:sz w:val="18"/>
          <w:szCs w:val="18"/>
          <w:color w:val="262626"/>
        </w:rPr>
        <w:t>Article 4 above, if any work is required to the Building outside the Premises under Disability Access Laws, then such work shall be the responsibility of Landlord; provided, that, if such work is required under Disability Access Laws as a result of Tenant’s use of the Premises for other than general office use or any work or Alteration made to the Premises by or on behalf of Tenant, then, at Landlord’s option, such work shall be performed by Landlord or Tenant, at the sole cost and expense of Tenant. Notwithstanding anything to the contrary contained herein, Landlord, at Landlord’s sole cost and expense (and without reimbursement pursuant to Article 4), shall be responsible for compliance with the “path of travel” requirements of the Disability Access Laws. Except as otherwise expressly provided in this provision, Tenant shall be responsible at its sole cost and expense for fully and faithfully complying with all applicable requirements of Disability Access Laws. Within ten</w:t>
      </w:r>
    </w:p>
    <w:p>
      <w:pPr>
        <w:spacing w:after="0" w:line="4" w:lineRule="exact"/>
        <w:rPr>
          <w:sz w:val="20"/>
          <w:szCs w:val="20"/>
          <w:color w:val="auto"/>
        </w:rPr>
      </w:pPr>
    </w:p>
    <w:p>
      <w:pPr>
        <w:ind w:right="60" w:firstLine="8"/>
        <w:spacing w:after="0" w:line="254" w:lineRule="auto"/>
        <w:tabs>
          <w:tab w:leader="none" w:pos="375" w:val="left"/>
        </w:tabs>
        <w:numPr>
          <w:ilvl w:val="0"/>
          <w:numId w:val="50"/>
        </w:numPr>
        <w:rPr>
          <w:rFonts w:ascii="Arial" w:cs="Arial" w:eastAsia="Arial" w:hAnsi="Arial"/>
          <w:sz w:val="19"/>
          <w:szCs w:val="19"/>
          <w:color w:val="262626"/>
        </w:rPr>
      </w:pPr>
      <w:r>
        <w:rPr>
          <w:rFonts w:ascii="Arial" w:cs="Arial" w:eastAsia="Arial" w:hAnsi="Arial"/>
          <w:sz w:val="19"/>
          <w:szCs w:val="19"/>
          <w:color w:val="262626"/>
        </w:rPr>
        <w:t>days after receipt, Tenant shall advise Landlord in writing, and provide Landlord with copies of (as applicable), any notices alleging violation of Disability Access Laws relating to any portion of the Premises or the Building; any claims made or threatened orally or in writing regarding noncompliance with Disability Access Laws and relating to any portion of the Premises or the Building; or any governmental or regulatory actions or investigations instituted or threatened regarding noncompliance with Disability Access Laws and relating to any portion of the Premises or the Building. Tenant shall and hereby agrees to protect, defend (with counsel acceptable to Landlord) and hold Landlord and the Indemnitees harmless and indemnify Landlord and the Indemnitees from and against all liabilities, damages, claims, losses, penalties, judgments, charges and expenses (including attorneys’ fees, costs of court and expenses necessary in the prosecution or defense of any litigation including the enforcement of this provision) arising from or in any way related to, directly or indirectly, Tenant’s or Tenant Parties’ violation or alleged violation of Disability Access Laws. Tenant agrees that the obligations of Tenant herein shall survive the expiration or earlier termination of this Lease.</w:t>
      </w:r>
    </w:p>
    <w:p>
      <w:pPr>
        <w:spacing w:after="0" w:line="156" w:lineRule="exact"/>
        <w:rPr>
          <w:rFonts w:ascii="Arial" w:cs="Arial" w:eastAsia="Arial" w:hAnsi="Arial"/>
          <w:sz w:val="19"/>
          <w:szCs w:val="19"/>
          <w:color w:val="262626"/>
        </w:rPr>
      </w:pPr>
    </w:p>
    <w:p>
      <w:pPr>
        <w:ind w:right="60" w:firstLine="2642"/>
        <w:spacing w:after="0" w:line="244" w:lineRule="auto"/>
        <w:tabs>
          <w:tab w:leader="none" w:pos="3520" w:val="left"/>
        </w:tabs>
        <w:numPr>
          <w:ilvl w:val="1"/>
          <w:numId w:val="50"/>
        </w:numPr>
        <w:rPr>
          <w:rFonts w:ascii="Arial" w:cs="Arial" w:eastAsia="Arial" w:hAnsi="Arial"/>
          <w:sz w:val="20"/>
          <w:szCs w:val="20"/>
          <w:color w:val="262626"/>
        </w:rPr>
      </w:pPr>
      <w:r>
        <w:rPr>
          <w:rFonts w:ascii="Arial" w:cs="Arial" w:eastAsia="Arial" w:hAnsi="Arial"/>
          <w:sz w:val="20"/>
          <w:szCs w:val="20"/>
          <w:color w:val="262626"/>
        </w:rPr>
        <w:t>Pursuant to the requirements of San Francisco Administrative Code Section 38.5, Tenant hereby agrees to use reasonable efforts to notify Landlord if Tenant makes any Alterations or improvements to the Premises that might impact accessibility to the Premises or the Building under any Disability Access Laws. Landlord hereby agrees to use reasonable efforts to notify Tenant if Landlord makes any alterations or improvements to the Premises or the Building that might impact accessibility to the Premises or the Building under any Disability Access Laws.</w:t>
      </w:r>
    </w:p>
    <w:p>
      <w:pPr>
        <w:spacing w:after="0" w:line="181" w:lineRule="exact"/>
        <w:rPr>
          <w:rFonts w:ascii="Arial" w:cs="Arial" w:eastAsia="Arial" w:hAnsi="Arial"/>
          <w:sz w:val="20"/>
          <w:szCs w:val="20"/>
          <w:color w:val="262626"/>
        </w:rPr>
      </w:pPr>
    </w:p>
    <w:p>
      <w:pPr>
        <w:ind w:right="200" w:firstLine="2642"/>
        <w:spacing w:after="0" w:line="259" w:lineRule="auto"/>
        <w:tabs>
          <w:tab w:leader="none" w:pos="3574" w:val="left"/>
        </w:tabs>
        <w:numPr>
          <w:ilvl w:val="1"/>
          <w:numId w:val="50"/>
        </w:numPr>
        <w:rPr>
          <w:rFonts w:ascii="Arial" w:cs="Arial" w:eastAsia="Arial" w:hAnsi="Arial"/>
          <w:sz w:val="19"/>
          <w:szCs w:val="19"/>
          <w:color w:val="262626"/>
        </w:rPr>
      </w:pPr>
      <w:r>
        <w:rPr>
          <w:rFonts w:ascii="Arial" w:cs="Arial" w:eastAsia="Arial" w:hAnsi="Arial"/>
          <w:sz w:val="19"/>
          <w:szCs w:val="19"/>
          <w:color w:val="262626"/>
        </w:rPr>
        <w:t>Landlord and Tenant hereby acknowledge that, prior to the execution of this Lease, Landlord and Tenant executed a Disability Access Obligations Notice, pursuant to San Francisco Administrative Code Chapter 38. Landlord and Tenant shall each, within three (3) business days following a request from the other party, execute a new Disability Access Obligations Notice in accordance with San Francisco Administrative Code Chapter 38 or any successor statute</w:t>
      </w:r>
      <w:r>
        <w:rPr>
          <w:rFonts w:ascii="Arial" w:cs="Arial" w:eastAsia="Arial" w:hAnsi="Arial"/>
          <w:sz w:val="19"/>
          <w:szCs w:val="19"/>
          <w:color w:val="414141"/>
        </w:rPr>
        <w:t>.</w:t>
      </w:r>
      <w:r>
        <w:rPr>
          <w:rFonts w:ascii="Arial" w:cs="Arial" w:eastAsia="Arial" w:hAnsi="Arial"/>
          <w:sz w:val="19"/>
          <w:szCs w:val="19"/>
          <w:color w:val="262626"/>
        </w:rPr>
        <w:t xml:space="preserve"> In addition, Tenant acknowledges receipt from Landlord of an Access Information Notice as required by San Francisco Administrative Code Chapter 38. Tenant acknowledges that such notices comply with the requirements of San Francisco Administrative Code Chapter 38.</w:t>
      </w:r>
    </w:p>
    <w:p>
      <w:pPr>
        <w:spacing w:after="0" w:line="16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6.4</w:t>
      </w:r>
      <w:r>
        <w:rPr>
          <w:sz w:val="20"/>
          <w:szCs w:val="20"/>
          <w:color w:val="auto"/>
        </w:rPr>
        <w:tab/>
      </w:r>
      <w:r>
        <w:rPr>
          <w:rFonts w:ascii="Arial" w:cs="Arial" w:eastAsia="Arial" w:hAnsi="Arial"/>
          <w:sz w:val="18"/>
          <w:szCs w:val="18"/>
          <w:u w:val="single" w:color="auto"/>
          <w:color w:val="262626"/>
        </w:rPr>
        <w:t>Al</w:t>
      </w:r>
      <w:r>
        <w:rPr>
          <w:rFonts w:ascii="Arial" w:cs="Arial" w:eastAsia="Arial" w:hAnsi="Arial"/>
          <w:sz w:val="18"/>
          <w:szCs w:val="18"/>
          <w:u w:val="single" w:color="auto"/>
          <w:color w:val="414141"/>
        </w:rPr>
        <w:t>te</w:t>
      </w:r>
      <w:r>
        <w:rPr>
          <w:rFonts w:ascii="Arial" w:cs="Arial" w:eastAsia="Arial" w:hAnsi="Arial"/>
          <w:sz w:val="18"/>
          <w:szCs w:val="18"/>
          <w:u w:val="single" w:color="auto"/>
          <w:color w:val="262626"/>
        </w:rPr>
        <w:t>rati</w:t>
      </w:r>
      <w:r>
        <w:rPr>
          <w:rFonts w:ascii="Arial" w:cs="Arial" w:eastAsia="Arial" w:hAnsi="Arial"/>
          <w:sz w:val="18"/>
          <w:szCs w:val="18"/>
          <w:u w:val="single" w:color="auto"/>
          <w:color w:val="414141"/>
        </w:rPr>
        <w:t>o</w:t>
      </w:r>
      <w:r>
        <w:rPr>
          <w:rFonts w:ascii="Arial" w:cs="Arial" w:eastAsia="Arial" w:hAnsi="Arial"/>
          <w:sz w:val="18"/>
          <w:szCs w:val="18"/>
          <w:u w:val="single" w:color="auto"/>
          <w:color w:val="262626"/>
        </w:rPr>
        <w:t>n</w:t>
      </w:r>
      <w:r>
        <w:rPr>
          <w:rFonts w:ascii="Arial" w:cs="Arial" w:eastAsia="Arial" w:hAnsi="Arial"/>
          <w:sz w:val="18"/>
          <w:szCs w:val="18"/>
          <w:u w:val="single" w:color="auto"/>
          <w:color w:val="414141"/>
        </w:rPr>
        <w:t>s</w:t>
      </w:r>
      <w:r>
        <w:rPr>
          <w:rFonts w:ascii="Arial" w:cs="Arial" w:eastAsia="Arial" w:hAnsi="Arial"/>
          <w:sz w:val="18"/>
          <w:szCs w:val="18"/>
          <w:u w:val="single" w:color="auto"/>
          <w:color w:val="262626"/>
        </w:rPr>
        <w:t xml:space="preserve"> to </w:t>
      </w:r>
      <w:r>
        <w:rPr>
          <w:rFonts w:ascii="Arial" w:cs="Arial" w:eastAsia="Arial" w:hAnsi="Arial"/>
          <w:sz w:val="18"/>
          <w:szCs w:val="18"/>
          <w:u w:val="single" w:color="auto"/>
          <w:color w:val="414141"/>
        </w:rPr>
        <w:t>Co</w:t>
      </w:r>
      <w:r>
        <w:rPr>
          <w:rFonts w:ascii="Arial" w:cs="Arial" w:eastAsia="Arial" w:hAnsi="Arial"/>
          <w:sz w:val="18"/>
          <w:szCs w:val="18"/>
          <w:u w:val="single" w:color="auto"/>
          <w:color w:val="262626"/>
        </w:rPr>
        <w:t>mm</w:t>
      </w:r>
      <w:r>
        <w:rPr>
          <w:rFonts w:ascii="Arial" w:cs="Arial" w:eastAsia="Arial" w:hAnsi="Arial"/>
          <w:sz w:val="18"/>
          <w:szCs w:val="18"/>
          <w:u w:val="single" w:color="auto"/>
          <w:color w:val="414141"/>
        </w:rPr>
        <w:t>o</w:t>
      </w:r>
      <w:r>
        <w:rPr>
          <w:rFonts w:ascii="Arial" w:cs="Arial" w:eastAsia="Arial" w:hAnsi="Arial"/>
          <w:sz w:val="18"/>
          <w:szCs w:val="18"/>
          <w:u w:val="single" w:color="auto"/>
          <w:color w:val="262626"/>
        </w:rPr>
        <w:t>n Area</w:t>
      </w:r>
      <w:r>
        <w:rPr>
          <w:rFonts w:ascii="Arial" w:cs="Arial" w:eastAsia="Arial" w:hAnsi="Arial"/>
          <w:sz w:val="18"/>
          <w:szCs w:val="18"/>
          <w:u w:val="single" w:color="auto"/>
          <w:color w:val="414141"/>
        </w:rPr>
        <w:t>s</w:t>
      </w:r>
    </w:p>
    <w:p>
      <w:pPr>
        <w:spacing w:after="0" w:line="189" w:lineRule="exact"/>
        <w:rPr>
          <w:sz w:val="20"/>
          <w:szCs w:val="20"/>
          <w:color w:val="auto"/>
        </w:rPr>
      </w:pPr>
    </w:p>
    <w:p>
      <w:pPr>
        <w:ind w:right="20" w:firstLine="877"/>
        <w:spacing w:after="0" w:line="278" w:lineRule="auto"/>
        <w:rPr>
          <w:sz w:val="20"/>
          <w:szCs w:val="20"/>
          <w:color w:val="auto"/>
        </w:rPr>
      </w:pPr>
      <w:r>
        <w:rPr>
          <w:rFonts w:ascii="Arial" w:cs="Arial" w:eastAsia="Arial" w:hAnsi="Arial"/>
          <w:sz w:val="18"/>
          <w:szCs w:val="18"/>
          <w:color w:val="262626"/>
        </w:rPr>
        <w:t>Landlord specifically reserves the right to change the size, configuration, design, layout and all other aspects of the Common Areas at any time, and Tenant acknowledges and agrees that Landlord may, from time to time, close-off or restrict access to the Common Areas for purposes of permitting or facilitating any construction, alteration</w:t>
      </w:r>
      <w:r>
        <w:rPr>
          <w:rFonts w:ascii="Arial" w:cs="Arial" w:eastAsia="Arial" w:hAnsi="Arial"/>
          <w:sz w:val="18"/>
          <w:szCs w:val="18"/>
          <w:color w:val="414141"/>
        </w:rPr>
        <w:t>,</w:t>
      </w:r>
      <w:r>
        <w:rPr>
          <w:rFonts w:ascii="Arial" w:cs="Arial" w:eastAsia="Arial" w:hAnsi="Arial"/>
          <w:sz w:val="18"/>
          <w:szCs w:val="18"/>
          <w:color w:val="262626"/>
        </w:rPr>
        <w:t xml:space="preserve"> repairs or improvements, provided that </w:t>
      </w:r>
      <w:r>
        <w:rPr>
          <w:rFonts w:ascii="Arial" w:cs="Arial" w:eastAsia="Arial" w:hAnsi="Arial"/>
          <w:sz w:val="18"/>
          <w:szCs w:val="18"/>
          <w:color w:val="383838"/>
        </w:rPr>
        <w:t>Tenant</w:t>
      </w:r>
      <w:r>
        <w:rPr>
          <w:rFonts w:ascii="Arial" w:cs="Arial" w:eastAsia="Arial" w:hAnsi="Arial"/>
          <w:sz w:val="18"/>
          <w:szCs w:val="18"/>
          <w:color w:val="262626"/>
        </w:rPr>
        <w:t xml:space="preserve"> will have access to and use of the Premises</w:t>
      </w:r>
      <w:r>
        <w:rPr>
          <w:rFonts w:ascii="Arial" w:cs="Arial" w:eastAsia="Arial" w:hAnsi="Arial"/>
          <w:sz w:val="18"/>
          <w:szCs w:val="18"/>
          <w:color w:val="414141"/>
        </w:rPr>
        <w:t>.</w:t>
      </w:r>
      <w:r>
        <w:rPr>
          <w:rFonts w:ascii="Arial" w:cs="Arial" w:eastAsia="Arial" w:hAnsi="Arial"/>
          <w:sz w:val="18"/>
          <w:szCs w:val="18"/>
          <w:color w:val="262626"/>
        </w:rPr>
        <w:t xml:space="preserve"> If changes or alterations are made by Landlord to any portion of the Project other than the Premises</w:t>
      </w:r>
      <w:r>
        <w:rPr>
          <w:rFonts w:ascii="Arial" w:cs="Arial" w:eastAsia="Arial" w:hAnsi="Arial"/>
          <w:sz w:val="18"/>
          <w:szCs w:val="18"/>
          <w:color w:val="414141"/>
        </w:rPr>
        <w:t>,</w:t>
      </w:r>
      <w:r>
        <w:rPr>
          <w:rFonts w:ascii="Arial" w:cs="Arial" w:eastAsia="Arial" w:hAnsi="Arial"/>
          <w:sz w:val="18"/>
          <w:szCs w:val="18"/>
          <w:color w:val="262626"/>
        </w:rPr>
        <w:t xml:space="preserve"> Landlord shall not thereby be subject to any liability nor shall Tenant be entitled to any compensation or any diminution or abatement of Rent and such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12</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0" w:name="page141"/>
    <w:bookmarkEnd w:id="140"/>
    <w:p>
      <w:pPr>
        <w:jc w:val="both"/>
        <w:ind w:right="600"/>
        <w:spacing w:after="0" w:line="269" w:lineRule="auto"/>
        <w:rPr>
          <w:sz w:val="20"/>
          <w:szCs w:val="20"/>
          <w:color w:val="auto"/>
        </w:rPr>
      </w:pPr>
      <w:r>
        <w:rPr>
          <w:rFonts w:ascii="Arial" w:cs="Arial" w:eastAsia="Arial" w:hAnsi="Arial"/>
          <w:sz w:val="19"/>
          <w:szCs w:val="19"/>
          <w:color w:val="262626"/>
        </w:rPr>
        <w:t>changes or alterations shall not be deemed to be a constructive or actual eviction or a breach of Landlord’s covenant of quiet enjoyment. Landlord agrees to use commercially reasonable efforts to undertake such work in a manner so as to minimize any disruption to Tenant’s operations and to minimize any reduction in Tenant’s visibility, access or utility of the Premises.</w:t>
      </w:r>
    </w:p>
    <w:p>
      <w:pPr>
        <w:spacing w:after="0" w:line="14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6.5</w:t>
      </w:r>
      <w:r>
        <w:rPr>
          <w:sz w:val="20"/>
          <w:szCs w:val="20"/>
          <w:color w:val="auto"/>
        </w:rPr>
        <w:tab/>
      </w:r>
      <w:r>
        <w:rPr>
          <w:rFonts w:ascii="Arial" w:cs="Arial" w:eastAsia="Arial" w:hAnsi="Arial"/>
          <w:sz w:val="16"/>
          <w:szCs w:val="16"/>
          <w:u w:val="single" w:color="auto"/>
          <w:color w:val="262626"/>
        </w:rPr>
        <w:t>Toxic Substances</w:t>
      </w:r>
    </w:p>
    <w:p>
      <w:pPr>
        <w:spacing w:after="0" w:line="202" w:lineRule="exact"/>
        <w:rPr>
          <w:sz w:val="20"/>
          <w:szCs w:val="20"/>
          <w:color w:val="auto"/>
        </w:rPr>
      </w:pPr>
    </w:p>
    <w:p>
      <w:pPr>
        <w:ind w:right="140" w:firstLine="877"/>
        <w:spacing w:after="0" w:line="250" w:lineRule="auto"/>
        <w:rPr>
          <w:sz w:val="20"/>
          <w:szCs w:val="20"/>
          <w:color w:val="auto"/>
        </w:rPr>
      </w:pPr>
      <w:r>
        <w:rPr>
          <w:rFonts w:ascii="Arial" w:cs="Arial" w:eastAsia="Arial" w:hAnsi="Arial"/>
          <w:sz w:val="20"/>
          <w:szCs w:val="20"/>
          <w:color w:val="262626"/>
        </w:rPr>
        <w:t xml:space="preserve">Tenant shall not maintain, create, use or discharge any toxic or hazardous substances in, on, or about the Project (other than small amounts of typical cleaning supplies as shall be needed to clean and </w:t>
      </w:r>
      <w:r>
        <w:rPr>
          <w:rFonts w:ascii="Arial" w:cs="Arial" w:eastAsia="Arial" w:hAnsi="Arial"/>
          <w:sz w:val="20"/>
          <w:szCs w:val="20"/>
          <w:color w:val="383838"/>
        </w:rPr>
        <w:t>operate</w:t>
      </w:r>
      <w:r>
        <w:rPr>
          <w:rFonts w:ascii="Arial" w:cs="Arial" w:eastAsia="Arial" w:hAnsi="Arial"/>
          <w:sz w:val="20"/>
          <w:szCs w:val="20"/>
          <w:color w:val="262626"/>
        </w:rPr>
        <w:t xml:space="preserve"> the Premises, used in strict compliance with applicable local, state and federal law).</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6.6</w:t>
      </w:r>
      <w:r>
        <w:rPr>
          <w:sz w:val="20"/>
          <w:szCs w:val="20"/>
          <w:color w:val="auto"/>
        </w:rPr>
        <w:tab/>
      </w:r>
      <w:r>
        <w:rPr>
          <w:rFonts w:ascii="Arial" w:cs="Arial" w:eastAsia="Arial" w:hAnsi="Arial"/>
          <w:sz w:val="18"/>
          <w:szCs w:val="18"/>
          <w:u w:val="single" w:color="auto"/>
          <w:color w:val="414141"/>
        </w:rPr>
        <w:t>Loa</w:t>
      </w:r>
      <w:r>
        <w:rPr>
          <w:rFonts w:ascii="Arial" w:cs="Arial" w:eastAsia="Arial" w:hAnsi="Arial"/>
          <w:sz w:val="18"/>
          <w:szCs w:val="18"/>
          <w:u w:val="single" w:color="auto"/>
          <w:color w:val="262626"/>
        </w:rPr>
        <w:t>d</w:t>
      </w:r>
      <w:r>
        <w:rPr>
          <w:rFonts w:ascii="Arial" w:cs="Arial" w:eastAsia="Arial" w:hAnsi="Arial"/>
          <w:sz w:val="18"/>
          <w:szCs w:val="18"/>
          <w:u w:val="single" w:color="auto"/>
          <w:color w:val="414141"/>
        </w:rPr>
        <w:t xml:space="preserve"> a</w:t>
      </w:r>
      <w:r>
        <w:rPr>
          <w:rFonts w:ascii="Arial" w:cs="Arial" w:eastAsia="Arial" w:hAnsi="Arial"/>
          <w:sz w:val="18"/>
          <w:szCs w:val="18"/>
          <w:u w:val="single" w:color="auto"/>
          <w:color w:val="262626"/>
        </w:rPr>
        <w:t>nd Equipment, Notic</w:t>
      </w:r>
      <w:r>
        <w:rPr>
          <w:rFonts w:ascii="Arial" w:cs="Arial" w:eastAsia="Arial" w:hAnsi="Arial"/>
          <w:sz w:val="18"/>
          <w:szCs w:val="18"/>
          <w:u w:val="single" w:color="auto"/>
          <w:color w:val="414141"/>
        </w:rPr>
        <w:t xml:space="preserve">e of </w:t>
      </w:r>
      <w:r>
        <w:rPr>
          <w:rFonts w:ascii="Arial" w:cs="Arial" w:eastAsia="Arial" w:hAnsi="Arial"/>
          <w:sz w:val="18"/>
          <w:szCs w:val="18"/>
          <w:u w:val="single" w:color="auto"/>
          <w:color w:val="262626"/>
        </w:rPr>
        <w:t>Defects</w:t>
      </w:r>
    </w:p>
    <w:p>
      <w:pPr>
        <w:spacing w:after="0" w:line="189" w:lineRule="exact"/>
        <w:rPr>
          <w:sz w:val="20"/>
          <w:szCs w:val="20"/>
          <w:color w:val="auto"/>
        </w:rPr>
      </w:pPr>
    </w:p>
    <w:p>
      <w:pPr>
        <w:ind w:right="80" w:firstLine="877"/>
        <w:spacing w:after="0" w:line="259" w:lineRule="auto"/>
        <w:rPr>
          <w:sz w:val="20"/>
          <w:szCs w:val="20"/>
          <w:color w:val="auto"/>
        </w:rPr>
      </w:pPr>
      <w:r>
        <w:rPr>
          <w:rFonts w:ascii="Arial" w:cs="Arial" w:eastAsia="Arial" w:hAnsi="Arial"/>
          <w:sz w:val="19"/>
          <w:szCs w:val="19"/>
          <w:color w:val="262626"/>
        </w:rPr>
        <w:t xml:space="preserve">Tenant shall not place a load upon any floor of the Premises which exceeds the load per square foot which such floor was designed to carry, as determined by Landlord or Landlord’s structural engineer. The cost of any such determination made by Landlord’s structural engineer shall be paid for by </w:t>
      </w:r>
      <w:r>
        <w:rPr>
          <w:rFonts w:ascii="Arial" w:cs="Arial" w:eastAsia="Arial" w:hAnsi="Arial"/>
          <w:sz w:val="19"/>
          <w:szCs w:val="19"/>
          <w:color w:val="383838"/>
        </w:rPr>
        <w:t>Tenant</w:t>
      </w:r>
      <w:r>
        <w:rPr>
          <w:rFonts w:ascii="Arial" w:cs="Arial" w:eastAsia="Arial" w:hAnsi="Arial"/>
          <w:sz w:val="19"/>
          <w:szCs w:val="19"/>
          <w:color w:val="262626"/>
        </w:rPr>
        <w:t xml:space="preserve"> upon demand. Tenant shall not install business machines or mechanical equipment which cause noise or vibration to such a degree as to be objectionable to Landlord or other Building tenants. Tenant shall give Landlord prompt notice of any change to or defective condition in any part or appurtenance of the Building’s mechanical</w:t>
      </w:r>
      <w:r>
        <w:rPr>
          <w:rFonts w:ascii="Arial" w:cs="Arial" w:eastAsia="Arial" w:hAnsi="Arial"/>
          <w:sz w:val="19"/>
          <w:szCs w:val="19"/>
          <w:color w:val="414141"/>
        </w:rPr>
        <w:t>,</w:t>
      </w:r>
      <w:r>
        <w:rPr>
          <w:rFonts w:ascii="Arial" w:cs="Arial" w:eastAsia="Arial" w:hAnsi="Arial"/>
          <w:sz w:val="19"/>
          <w:szCs w:val="19"/>
          <w:color w:val="262626"/>
        </w:rPr>
        <w:t xml:space="preserve"> electrical</w:t>
      </w:r>
      <w:r>
        <w:rPr>
          <w:rFonts w:ascii="Arial" w:cs="Arial" w:eastAsia="Arial" w:hAnsi="Arial"/>
          <w:sz w:val="19"/>
          <w:szCs w:val="19"/>
          <w:color w:val="414141"/>
        </w:rPr>
        <w:t>,</w:t>
      </w:r>
      <w:r>
        <w:rPr>
          <w:rFonts w:ascii="Arial" w:cs="Arial" w:eastAsia="Arial" w:hAnsi="Arial"/>
          <w:sz w:val="19"/>
          <w:szCs w:val="19"/>
          <w:color w:val="262626"/>
        </w:rPr>
        <w:t xml:space="preserve"> plumbing, HVAC or other systems serving, located in, or passing through the Premises of which it is aware.</w:t>
      </w:r>
    </w:p>
    <w:p>
      <w:pPr>
        <w:spacing w:after="0" w:line="16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6.7</w:t>
      </w:r>
      <w:r>
        <w:rPr>
          <w:sz w:val="20"/>
          <w:szCs w:val="20"/>
          <w:color w:val="auto"/>
        </w:rPr>
        <w:tab/>
      </w:r>
      <w:r>
        <w:rPr>
          <w:rFonts w:ascii="Arial" w:cs="Arial" w:eastAsia="Arial" w:hAnsi="Arial"/>
          <w:sz w:val="16"/>
          <w:szCs w:val="16"/>
          <w:u w:val="single" w:color="auto"/>
          <w:color w:val="262626"/>
        </w:rPr>
        <w:t>Signage</w:t>
      </w:r>
    </w:p>
    <w:p>
      <w:pPr>
        <w:spacing w:after="0" w:line="202" w:lineRule="exact"/>
        <w:rPr>
          <w:sz w:val="20"/>
          <w:szCs w:val="20"/>
          <w:color w:val="auto"/>
        </w:rPr>
      </w:pPr>
    </w:p>
    <w:p>
      <w:pPr>
        <w:ind w:right="280" w:firstLine="877"/>
        <w:spacing w:after="0" w:line="282" w:lineRule="auto"/>
        <w:rPr>
          <w:sz w:val="20"/>
          <w:szCs w:val="20"/>
          <w:color w:val="auto"/>
        </w:rPr>
      </w:pPr>
      <w:r>
        <w:rPr>
          <w:rFonts w:ascii="Arial" w:cs="Arial" w:eastAsia="Arial" w:hAnsi="Arial"/>
          <w:sz w:val="18"/>
          <w:szCs w:val="18"/>
          <w:color w:val="262626"/>
        </w:rPr>
        <w:t>Tenant shall not display any sign or picture in the interior of the Premises, which is visible from the outside of the Building. Landlord will provide, at Landlord’s cost, one line of directory signage in the main lobby of the Building and at the entrance to the Premises. Any additional Tenant signage shall be at Tenant’s cost and subject to Landlord’s prior approval. Landlord shall have the right to remove any sign, placard, picture, name, advertisement, or notice not approved by Landlord without notice to and at the expense of Tenant.</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 xml:space="preserve">ARTICLE </w:t>
      </w:r>
      <w:r>
        <w:rPr>
          <w:rFonts w:ascii="Arial" w:cs="Arial" w:eastAsia="Arial" w:hAnsi="Arial"/>
          <w:sz w:val="20"/>
          <w:szCs w:val="20"/>
          <w:b w:val="1"/>
          <w:bCs w:val="1"/>
          <w:color w:val="282828"/>
        </w:rPr>
        <w:t>7</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82828"/>
        </w:rPr>
        <w:t>SERVICES AND UTILITIES</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General</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Landlord shall:</w:t>
      </w:r>
    </w:p>
    <w:p>
      <w:pPr>
        <w:spacing w:after="0" w:line="189" w:lineRule="exact"/>
        <w:rPr>
          <w:sz w:val="20"/>
          <w:szCs w:val="20"/>
          <w:color w:val="auto"/>
        </w:rPr>
      </w:pPr>
    </w:p>
    <w:p>
      <w:pPr>
        <w:ind w:right="160" w:firstLine="1763"/>
        <w:spacing w:after="0" w:line="304" w:lineRule="auto"/>
        <w:tabs>
          <w:tab w:leader="none" w:pos="2620" w:val="left"/>
        </w:tabs>
        <w:numPr>
          <w:ilvl w:val="1"/>
          <w:numId w:val="51"/>
        </w:numPr>
        <w:rPr>
          <w:rFonts w:ascii="Arial" w:cs="Arial" w:eastAsia="Arial" w:hAnsi="Arial"/>
          <w:sz w:val="16"/>
          <w:szCs w:val="16"/>
          <w:color w:val="282828"/>
        </w:rPr>
      </w:pPr>
      <w:r>
        <w:rPr>
          <w:rFonts w:ascii="Arial" w:cs="Arial" w:eastAsia="Arial" w:hAnsi="Arial"/>
          <w:sz w:val="16"/>
          <w:szCs w:val="16"/>
          <w:color w:val="282828"/>
        </w:rPr>
        <w:t xml:space="preserve">Operate </w:t>
      </w:r>
      <w:r>
        <w:rPr>
          <w:rFonts w:ascii="Arial" w:cs="Arial" w:eastAsia="Arial" w:hAnsi="Arial"/>
          <w:sz w:val="16"/>
          <w:szCs w:val="16"/>
          <w:color w:val="3D3D3D"/>
        </w:rPr>
        <w:t>or</w:t>
      </w:r>
      <w:r>
        <w:rPr>
          <w:rFonts w:ascii="Arial" w:cs="Arial" w:eastAsia="Arial" w:hAnsi="Arial"/>
          <w:sz w:val="16"/>
          <w:szCs w:val="16"/>
          <w:color w:val="282828"/>
        </w:rPr>
        <w:t xml:space="preserve"> cause the </w:t>
      </w:r>
      <w:r>
        <w:rPr>
          <w:rFonts w:ascii="Arial" w:cs="Arial" w:eastAsia="Arial" w:hAnsi="Arial"/>
          <w:sz w:val="16"/>
          <w:szCs w:val="16"/>
          <w:color w:val="3D3D3D"/>
        </w:rPr>
        <w:t>operation</w:t>
      </w:r>
      <w:r>
        <w:rPr>
          <w:rFonts w:ascii="Arial" w:cs="Arial" w:eastAsia="Arial" w:hAnsi="Arial"/>
          <w:sz w:val="16"/>
          <w:szCs w:val="16"/>
          <w:color w:val="282828"/>
        </w:rPr>
        <w:t xml:space="preserve"> in season of the heating </w:t>
      </w:r>
      <w:r>
        <w:rPr>
          <w:rFonts w:ascii="Arial" w:cs="Arial" w:eastAsia="Arial" w:hAnsi="Arial"/>
          <w:sz w:val="16"/>
          <w:szCs w:val="16"/>
          <w:color w:val="3D3D3D"/>
        </w:rPr>
        <w:t>system,</w:t>
      </w:r>
      <w:r>
        <w:rPr>
          <w:rFonts w:ascii="Arial" w:cs="Arial" w:eastAsia="Arial" w:hAnsi="Arial"/>
          <w:sz w:val="16"/>
          <w:szCs w:val="16"/>
          <w:color w:val="282828"/>
        </w:rPr>
        <w:t xml:space="preserve"> serving the Premises, if any, during Ordinary Business Hours (as such term is defined in the Rules and Regulations attached hereto as Exhibit B) </w:t>
      </w:r>
      <w:r>
        <w:rPr>
          <w:rFonts w:ascii="Arial" w:cs="Arial" w:eastAsia="Arial" w:hAnsi="Arial"/>
          <w:sz w:val="16"/>
          <w:szCs w:val="16"/>
          <w:color w:val="3D3D3D"/>
        </w:rPr>
        <w:t>at</w:t>
      </w:r>
      <w:r>
        <w:rPr>
          <w:rFonts w:ascii="Arial" w:cs="Arial" w:eastAsia="Arial" w:hAnsi="Arial"/>
          <w:sz w:val="16"/>
          <w:szCs w:val="16"/>
          <w:color w:val="282828"/>
        </w:rPr>
        <w:t xml:space="preserve"> such temperatures and in </w:t>
      </w:r>
      <w:r>
        <w:rPr>
          <w:rFonts w:ascii="Arial" w:cs="Arial" w:eastAsia="Arial" w:hAnsi="Arial"/>
          <w:sz w:val="16"/>
          <w:szCs w:val="16"/>
          <w:color w:val="3D3D3D"/>
        </w:rPr>
        <w:t>such</w:t>
      </w:r>
      <w:r>
        <w:rPr>
          <w:rFonts w:ascii="Arial" w:cs="Arial" w:eastAsia="Arial" w:hAnsi="Arial"/>
          <w:sz w:val="16"/>
          <w:szCs w:val="16"/>
          <w:color w:val="282828"/>
        </w:rPr>
        <w:t xml:space="preserve"> amounts as </w:t>
      </w:r>
      <w:r>
        <w:rPr>
          <w:rFonts w:ascii="Arial" w:cs="Arial" w:eastAsia="Arial" w:hAnsi="Arial"/>
          <w:sz w:val="16"/>
          <w:szCs w:val="16"/>
          <w:color w:val="3D3D3D"/>
        </w:rPr>
        <w:t>Land</w:t>
      </w:r>
      <w:r>
        <w:rPr>
          <w:rFonts w:ascii="Arial" w:cs="Arial" w:eastAsia="Arial" w:hAnsi="Arial"/>
          <w:sz w:val="16"/>
          <w:szCs w:val="16"/>
          <w:color w:val="181818"/>
        </w:rPr>
        <w:t>l</w:t>
      </w:r>
      <w:r>
        <w:rPr>
          <w:rFonts w:ascii="Arial" w:cs="Arial" w:eastAsia="Arial" w:hAnsi="Arial"/>
          <w:sz w:val="16"/>
          <w:szCs w:val="16"/>
          <w:color w:val="3D3D3D"/>
        </w:rPr>
        <w:t xml:space="preserve">ord </w:t>
      </w:r>
      <w:r>
        <w:rPr>
          <w:rFonts w:ascii="Arial" w:cs="Arial" w:eastAsia="Arial" w:hAnsi="Arial"/>
          <w:sz w:val="16"/>
          <w:szCs w:val="16"/>
          <w:color w:val="282828"/>
        </w:rPr>
        <w:t>determines are reasonably required for the comfortable</w:t>
      </w:r>
      <w:r>
        <w:rPr>
          <w:rFonts w:ascii="Arial" w:cs="Arial" w:eastAsia="Arial" w:hAnsi="Arial"/>
          <w:sz w:val="16"/>
          <w:szCs w:val="16"/>
          <w:color w:val="3D3D3D"/>
        </w:rPr>
        <w:t xml:space="preserve"> occupancy of </w:t>
      </w:r>
      <w:r>
        <w:rPr>
          <w:rFonts w:ascii="Arial" w:cs="Arial" w:eastAsia="Arial" w:hAnsi="Arial"/>
          <w:sz w:val="16"/>
          <w:szCs w:val="16"/>
          <w:color w:val="282828"/>
        </w:rPr>
        <w:t>the</w:t>
      </w:r>
      <w:r>
        <w:rPr>
          <w:rFonts w:ascii="Arial" w:cs="Arial" w:eastAsia="Arial" w:hAnsi="Arial"/>
          <w:sz w:val="16"/>
          <w:szCs w:val="16"/>
          <w:color w:val="3D3D3D"/>
        </w:rPr>
        <w:t xml:space="preserve"> Premises </w:t>
      </w:r>
      <w:r>
        <w:rPr>
          <w:rFonts w:ascii="Arial" w:cs="Arial" w:eastAsia="Arial" w:hAnsi="Arial"/>
          <w:sz w:val="16"/>
          <w:szCs w:val="16"/>
          <w:color w:val="282828"/>
        </w:rPr>
        <w:t>or as may be permitted or controlled by applicable</w:t>
      </w:r>
      <w:r>
        <w:rPr>
          <w:rFonts w:ascii="Arial" w:cs="Arial" w:eastAsia="Arial" w:hAnsi="Arial"/>
          <w:sz w:val="16"/>
          <w:szCs w:val="16"/>
          <w:color w:val="3D3D3D"/>
        </w:rPr>
        <w:t xml:space="preserve"> </w:t>
      </w:r>
      <w:r>
        <w:rPr>
          <w:rFonts w:ascii="Arial" w:cs="Arial" w:eastAsia="Arial" w:hAnsi="Arial"/>
          <w:sz w:val="16"/>
          <w:szCs w:val="16"/>
          <w:color w:val="282828"/>
        </w:rPr>
        <w:t xml:space="preserve">Laws. Any heating provided by Landlord to </w:t>
      </w:r>
      <w:r>
        <w:rPr>
          <w:rFonts w:ascii="Arial" w:cs="Arial" w:eastAsia="Arial" w:hAnsi="Arial"/>
          <w:sz w:val="16"/>
          <w:szCs w:val="16"/>
          <w:color w:val="3D3D3D"/>
        </w:rPr>
        <w:t>Tenant</w:t>
      </w:r>
      <w:r>
        <w:rPr>
          <w:rFonts w:ascii="Arial" w:cs="Arial" w:eastAsia="Arial" w:hAnsi="Arial"/>
          <w:sz w:val="16"/>
          <w:szCs w:val="16"/>
          <w:color w:val="282828"/>
        </w:rPr>
        <w:t xml:space="preserve"> during other than Ordinary Business Hours shall be furnished </w:t>
      </w:r>
      <w:r>
        <w:rPr>
          <w:rFonts w:ascii="Arial" w:cs="Arial" w:eastAsia="Arial" w:hAnsi="Arial"/>
          <w:sz w:val="16"/>
          <w:szCs w:val="16"/>
          <w:color w:val="3D3D3D"/>
        </w:rPr>
        <w:t>only</w:t>
      </w:r>
      <w:r>
        <w:rPr>
          <w:rFonts w:ascii="Arial" w:cs="Arial" w:eastAsia="Arial" w:hAnsi="Arial"/>
          <w:sz w:val="16"/>
          <w:szCs w:val="16"/>
          <w:color w:val="282828"/>
        </w:rPr>
        <w:t xml:space="preserve"> upon at least forty-eight</w:t>
      </w:r>
    </w:p>
    <w:p>
      <w:pPr>
        <w:spacing w:after="0" w:line="2" w:lineRule="exact"/>
        <w:rPr>
          <w:rFonts w:ascii="Arial" w:cs="Arial" w:eastAsia="Arial" w:hAnsi="Arial"/>
          <w:sz w:val="16"/>
          <w:szCs w:val="16"/>
          <w:color w:val="282828"/>
        </w:rPr>
      </w:pPr>
    </w:p>
    <w:p>
      <w:pPr>
        <w:ind w:left="380" w:hanging="372"/>
        <w:spacing w:after="0"/>
        <w:tabs>
          <w:tab w:leader="none" w:pos="380" w:val="left"/>
        </w:tabs>
        <w:numPr>
          <w:ilvl w:val="0"/>
          <w:numId w:val="52"/>
        </w:numPr>
        <w:rPr>
          <w:rFonts w:ascii="Arial" w:cs="Arial" w:eastAsia="Arial" w:hAnsi="Arial"/>
          <w:sz w:val="20"/>
          <w:szCs w:val="20"/>
          <w:color w:val="282828"/>
        </w:rPr>
      </w:pPr>
      <w:r>
        <w:rPr>
          <w:rFonts w:ascii="Arial" w:cs="Arial" w:eastAsia="Arial" w:hAnsi="Arial"/>
          <w:sz w:val="20"/>
          <w:szCs w:val="20"/>
          <w:color w:val="282828"/>
        </w:rPr>
        <w:t>business hours prior written request of Tenant and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13</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1" w:name="page142"/>
    <w:bookmarkEnd w:id="141"/>
    <w:p>
      <w:pPr>
        <w:ind w:right="200" w:firstLine="1763"/>
        <w:spacing w:after="0" w:line="271" w:lineRule="auto"/>
        <w:tabs>
          <w:tab w:leader="none" w:pos="2631" w:val="left"/>
        </w:tabs>
        <w:numPr>
          <w:ilvl w:val="0"/>
          <w:numId w:val="53"/>
        </w:numPr>
        <w:rPr>
          <w:rFonts w:ascii="Arial" w:cs="Arial" w:eastAsia="Arial" w:hAnsi="Arial"/>
          <w:sz w:val="18"/>
          <w:szCs w:val="18"/>
          <w:color w:val="282828"/>
        </w:rPr>
      </w:pPr>
      <w:r>
        <w:rPr>
          <w:rFonts w:ascii="Arial" w:cs="Arial" w:eastAsia="Arial" w:hAnsi="Arial"/>
          <w:sz w:val="18"/>
          <w:szCs w:val="18"/>
          <w:color w:val="282828"/>
        </w:rPr>
        <w:t xml:space="preserve">Provide water to the restrooms on each floor and make customary </w:t>
      </w:r>
      <w:r>
        <w:rPr>
          <w:rFonts w:ascii="Arial" w:cs="Arial" w:eastAsia="Arial" w:hAnsi="Arial"/>
          <w:sz w:val="18"/>
          <w:szCs w:val="18"/>
          <w:color w:val="3D3D3D"/>
        </w:rPr>
        <w:t>arrangements</w:t>
      </w:r>
      <w:r>
        <w:rPr>
          <w:rFonts w:ascii="Arial" w:cs="Arial" w:eastAsia="Arial" w:hAnsi="Arial"/>
          <w:sz w:val="18"/>
          <w:szCs w:val="18"/>
          <w:color w:val="282828"/>
        </w:rPr>
        <w:t xml:space="preserve"> with public utilities </w:t>
      </w:r>
      <w:r>
        <w:rPr>
          <w:rFonts w:ascii="Arial" w:cs="Arial" w:eastAsia="Arial" w:hAnsi="Arial"/>
          <w:sz w:val="18"/>
          <w:szCs w:val="18"/>
          <w:color w:val="3D3D3D"/>
        </w:rPr>
        <w:t>and/or</w:t>
      </w:r>
      <w:r>
        <w:rPr>
          <w:rFonts w:ascii="Arial" w:cs="Arial" w:eastAsia="Arial" w:hAnsi="Arial"/>
          <w:sz w:val="18"/>
          <w:szCs w:val="18"/>
          <w:color w:val="282828"/>
        </w:rPr>
        <w:t xml:space="preserve"> public agencies to furnish electric current to the Premises in amounts </w:t>
      </w:r>
      <w:r>
        <w:rPr>
          <w:rFonts w:ascii="Arial" w:cs="Arial" w:eastAsia="Arial" w:hAnsi="Arial"/>
          <w:sz w:val="18"/>
          <w:szCs w:val="18"/>
          <w:color w:val="3D3D3D"/>
        </w:rPr>
        <w:t>sufficient</w:t>
      </w:r>
      <w:r>
        <w:rPr>
          <w:rFonts w:ascii="Arial" w:cs="Arial" w:eastAsia="Arial" w:hAnsi="Arial"/>
          <w:sz w:val="18"/>
          <w:szCs w:val="18"/>
          <w:color w:val="282828"/>
        </w:rPr>
        <w:t xml:space="preserve"> for normal </w:t>
      </w:r>
      <w:r>
        <w:rPr>
          <w:rFonts w:ascii="Arial" w:cs="Arial" w:eastAsia="Arial" w:hAnsi="Arial"/>
          <w:sz w:val="18"/>
          <w:szCs w:val="18"/>
          <w:color w:val="181818"/>
        </w:rPr>
        <w:t>li</w:t>
      </w:r>
      <w:r>
        <w:rPr>
          <w:rFonts w:ascii="Arial" w:cs="Arial" w:eastAsia="Arial" w:hAnsi="Arial"/>
          <w:sz w:val="18"/>
          <w:szCs w:val="18"/>
          <w:color w:val="3D3D3D"/>
        </w:rPr>
        <w:t>ghting</w:t>
      </w:r>
      <w:r>
        <w:rPr>
          <w:rFonts w:ascii="Arial" w:cs="Arial" w:eastAsia="Arial" w:hAnsi="Arial"/>
          <w:sz w:val="18"/>
          <w:szCs w:val="18"/>
          <w:color w:val="282828"/>
        </w:rPr>
        <w:t xml:space="preserve"> by overhead fluorescent fixtures and for normal use </w:t>
      </w:r>
      <w:r>
        <w:rPr>
          <w:rFonts w:ascii="Arial" w:cs="Arial" w:eastAsia="Arial" w:hAnsi="Arial"/>
          <w:sz w:val="18"/>
          <w:szCs w:val="18"/>
          <w:color w:val="3D3D3D"/>
        </w:rPr>
        <w:t>of standard</w:t>
      </w:r>
      <w:r>
        <w:rPr>
          <w:rFonts w:ascii="Arial" w:cs="Arial" w:eastAsia="Arial" w:hAnsi="Arial"/>
          <w:sz w:val="18"/>
          <w:szCs w:val="18"/>
          <w:color w:val="282828"/>
        </w:rPr>
        <w:t xml:space="preserve"> personal computers </w:t>
      </w:r>
      <w:r>
        <w:rPr>
          <w:rFonts w:ascii="Arial" w:cs="Arial" w:eastAsia="Arial" w:hAnsi="Arial"/>
          <w:sz w:val="18"/>
          <w:szCs w:val="18"/>
          <w:color w:val="3D3D3D"/>
        </w:rPr>
        <w:t>for standard</w:t>
      </w:r>
      <w:r>
        <w:rPr>
          <w:rFonts w:ascii="Arial" w:cs="Arial" w:eastAsia="Arial" w:hAnsi="Arial"/>
          <w:sz w:val="18"/>
          <w:szCs w:val="18"/>
          <w:color w:val="282828"/>
        </w:rPr>
        <w:t xml:space="preserve"> office use and other office machines of similar low </w:t>
      </w:r>
      <w:r>
        <w:rPr>
          <w:rFonts w:ascii="Arial" w:cs="Arial" w:eastAsia="Arial" w:hAnsi="Arial"/>
          <w:sz w:val="18"/>
          <w:szCs w:val="18"/>
          <w:color w:val="3D3D3D"/>
        </w:rPr>
        <w:t>electrica</w:t>
      </w:r>
      <w:r>
        <w:rPr>
          <w:rFonts w:ascii="Arial" w:cs="Arial" w:eastAsia="Arial" w:hAnsi="Arial"/>
          <w:sz w:val="18"/>
          <w:szCs w:val="18"/>
          <w:color w:val="181818"/>
        </w:rPr>
        <w:t>l</w:t>
      </w:r>
      <w:r>
        <w:rPr>
          <w:rFonts w:ascii="Arial" w:cs="Arial" w:eastAsia="Arial" w:hAnsi="Arial"/>
          <w:sz w:val="18"/>
          <w:szCs w:val="18"/>
          <w:color w:val="282828"/>
        </w:rPr>
        <w:t xml:space="preserve"> consumption but </w:t>
      </w:r>
      <w:r>
        <w:rPr>
          <w:rFonts w:ascii="Arial" w:cs="Arial" w:eastAsia="Arial" w:hAnsi="Arial"/>
          <w:sz w:val="18"/>
          <w:szCs w:val="18"/>
          <w:color w:val="181818"/>
        </w:rPr>
        <w:t>n</w:t>
      </w:r>
      <w:r>
        <w:rPr>
          <w:rFonts w:ascii="Arial" w:cs="Arial" w:eastAsia="Arial" w:hAnsi="Arial"/>
          <w:sz w:val="18"/>
          <w:szCs w:val="18"/>
          <w:color w:val="3D3D3D"/>
        </w:rPr>
        <w:t>ot</w:t>
      </w:r>
      <w:r>
        <w:rPr>
          <w:rFonts w:ascii="Arial" w:cs="Arial" w:eastAsia="Arial" w:hAnsi="Arial"/>
          <w:sz w:val="18"/>
          <w:szCs w:val="18"/>
          <w:color w:val="282828"/>
        </w:rPr>
        <w:t xml:space="preserve"> including electricity required for computer servers, </w:t>
      </w:r>
      <w:r>
        <w:rPr>
          <w:rFonts w:ascii="Arial" w:cs="Arial" w:eastAsia="Arial" w:hAnsi="Arial"/>
          <w:sz w:val="18"/>
          <w:szCs w:val="18"/>
          <w:color w:val="181818"/>
        </w:rPr>
        <w:t>ind</w:t>
      </w:r>
      <w:r>
        <w:rPr>
          <w:rFonts w:ascii="Arial" w:cs="Arial" w:eastAsia="Arial" w:hAnsi="Arial"/>
          <w:sz w:val="18"/>
          <w:szCs w:val="18"/>
          <w:color w:val="3D3D3D"/>
        </w:rPr>
        <w:t>ependent</w:t>
      </w:r>
      <w:r>
        <w:rPr>
          <w:rFonts w:ascii="Arial" w:cs="Arial" w:eastAsia="Arial" w:hAnsi="Arial"/>
          <w:sz w:val="18"/>
          <w:szCs w:val="18"/>
          <w:color w:val="282828"/>
        </w:rPr>
        <w:t xml:space="preserve"> air-conditioning units</w:t>
      </w:r>
      <w:r>
        <w:rPr>
          <w:rFonts w:ascii="Arial" w:cs="Arial" w:eastAsia="Arial" w:hAnsi="Arial"/>
          <w:sz w:val="18"/>
          <w:szCs w:val="18"/>
          <w:color w:val="4F4F4F"/>
        </w:rPr>
        <w:t>,</w:t>
      </w:r>
      <w:r>
        <w:rPr>
          <w:rFonts w:ascii="Arial" w:cs="Arial" w:eastAsia="Arial" w:hAnsi="Arial"/>
          <w:sz w:val="18"/>
          <w:szCs w:val="18"/>
          <w:color w:val="282828"/>
        </w:rPr>
        <w:t xml:space="preserve"> </w:t>
      </w:r>
      <w:r>
        <w:rPr>
          <w:rFonts w:ascii="Arial" w:cs="Arial" w:eastAsia="Arial" w:hAnsi="Arial"/>
          <w:sz w:val="18"/>
          <w:szCs w:val="18"/>
          <w:color w:val="3D3D3D"/>
        </w:rPr>
        <w:t>special communications</w:t>
      </w:r>
      <w:r>
        <w:rPr>
          <w:rFonts w:ascii="Arial" w:cs="Arial" w:eastAsia="Arial" w:hAnsi="Arial"/>
          <w:sz w:val="18"/>
          <w:szCs w:val="18"/>
          <w:color w:val="282828"/>
        </w:rPr>
        <w:t xml:space="preserve"> equipment, special lighting </w:t>
      </w:r>
      <w:r>
        <w:rPr>
          <w:rFonts w:ascii="Arial" w:cs="Arial" w:eastAsia="Arial" w:hAnsi="Arial"/>
          <w:sz w:val="18"/>
          <w:szCs w:val="18"/>
          <w:color w:val="3D3D3D"/>
        </w:rPr>
        <w:t>or</w:t>
      </w:r>
      <w:r>
        <w:rPr>
          <w:rFonts w:ascii="Arial" w:cs="Arial" w:eastAsia="Arial" w:hAnsi="Arial"/>
          <w:sz w:val="18"/>
          <w:szCs w:val="18"/>
          <w:color w:val="282828"/>
        </w:rPr>
        <w:t xml:space="preserve"> any other item of </w:t>
      </w:r>
      <w:r>
        <w:rPr>
          <w:rFonts w:ascii="Arial" w:cs="Arial" w:eastAsia="Arial" w:hAnsi="Arial"/>
          <w:sz w:val="18"/>
          <w:szCs w:val="18"/>
          <w:color w:val="3D3D3D"/>
        </w:rPr>
        <w:t>electrica</w:t>
      </w:r>
      <w:r>
        <w:rPr>
          <w:rFonts w:ascii="Arial" w:cs="Arial" w:eastAsia="Arial" w:hAnsi="Arial"/>
          <w:sz w:val="18"/>
          <w:szCs w:val="18"/>
          <w:color w:val="181818"/>
        </w:rPr>
        <w:t>l</w:t>
      </w:r>
      <w:r>
        <w:rPr>
          <w:rFonts w:ascii="Arial" w:cs="Arial" w:eastAsia="Arial" w:hAnsi="Arial"/>
          <w:sz w:val="18"/>
          <w:szCs w:val="18"/>
          <w:color w:val="282828"/>
        </w:rPr>
        <w:t xml:space="preserve"> equipment which (singly) consumes more </w:t>
      </w:r>
      <w:r>
        <w:rPr>
          <w:rFonts w:ascii="Arial" w:cs="Arial" w:eastAsia="Arial" w:hAnsi="Arial"/>
          <w:sz w:val="18"/>
          <w:szCs w:val="18"/>
          <w:color w:val="3D3D3D"/>
        </w:rPr>
        <w:t>than</w:t>
      </w:r>
      <w:r>
        <w:rPr>
          <w:rFonts w:ascii="Arial" w:cs="Arial" w:eastAsia="Arial" w:hAnsi="Arial"/>
          <w:sz w:val="18"/>
          <w:szCs w:val="18"/>
          <w:color w:val="282828"/>
        </w:rPr>
        <w:t xml:space="preserve"> one (1.0) kilowatt at rated </w:t>
      </w:r>
      <w:r>
        <w:rPr>
          <w:rFonts w:ascii="Arial" w:cs="Arial" w:eastAsia="Arial" w:hAnsi="Arial"/>
          <w:sz w:val="18"/>
          <w:szCs w:val="18"/>
          <w:color w:val="3D3D3D"/>
        </w:rPr>
        <w:t>capacity or</w:t>
      </w:r>
      <w:r>
        <w:rPr>
          <w:rFonts w:ascii="Arial" w:cs="Arial" w:eastAsia="Arial" w:hAnsi="Arial"/>
          <w:sz w:val="18"/>
          <w:szCs w:val="18"/>
          <w:color w:val="282828"/>
        </w:rPr>
        <w:t xml:space="preserve"> requires </w:t>
      </w:r>
      <w:r>
        <w:rPr>
          <w:rFonts w:ascii="Arial" w:cs="Arial" w:eastAsia="Arial" w:hAnsi="Arial"/>
          <w:sz w:val="18"/>
          <w:szCs w:val="18"/>
          <w:color w:val="3D3D3D"/>
        </w:rPr>
        <w:t>a vo</w:t>
      </w:r>
      <w:r>
        <w:rPr>
          <w:rFonts w:ascii="Arial" w:cs="Arial" w:eastAsia="Arial" w:hAnsi="Arial"/>
          <w:sz w:val="18"/>
          <w:szCs w:val="18"/>
          <w:color w:val="181818"/>
        </w:rPr>
        <w:t>l</w:t>
      </w:r>
      <w:r>
        <w:rPr>
          <w:rFonts w:ascii="Arial" w:cs="Arial" w:eastAsia="Arial" w:hAnsi="Arial"/>
          <w:sz w:val="18"/>
          <w:szCs w:val="18"/>
          <w:color w:val="3D3D3D"/>
        </w:rPr>
        <w:t>tage</w:t>
      </w:r>
      <w:r>
        <w:rPr>
          <w:rFonts w:ascii="Arial" w:cs="Arial" w:eastAsia="Arial" w:hAnsi="Arial"/>
          <w:sz w:val="18"/>
          <w:szCs w:val="18"/>
          <w:color w:val="282828"/>
        </w:rPr>
        <w:t xml:space="preserve"> other than 120 volts single-phase (collectively “High-Consumption Equipment”). Tenant </w:t>
      </w:r>
      <w:r>
        <w:rPr>
          <w:rFonts w:ascii="Arial" w:cs="Arial" w:eastAsia="Arial" w:hAnsi="Arial"/>
          <w:sz w:val="18"/>
          <w:szCs w:val="18"/>
          <w:color w:val="3D3D3D"/>
        </w:rPr>
        <w:t>sha</w:t>
      </w:r>
      <w:r>
        <w:rPr>
          <w:rFonts w:ascii="Arial" w:cs="Arial" w:eastAsia="Arial" w:hAnsi="Arial"/>
          <w:sz w:val="18"/>
          <w:szCs w:val="18"/>
          <w:color w:val="181818"/>
        </w:rPr>
        <w:t>ll</w:t>
      </w:r>
      <w:r>
        <w:rPr>
          <w:rFonts w:ascii="Arial" w:cs="Arial" w:eastAsia="Arial" w:hAnsi="Arial"/>
          <w:sz w:val="18"/>
          <w:szCs w:val="18"/>
          <w:color w:val="282828"/>
        </w:rPr>
        <w:t xml:space="preserve"> not install any High-Consumption Equipment in the Premises without Landlord’s prior written </w:t>
      </w:r>
      <w:r>
        <w:rPr>
          <w:rFonts w:ascii="Arial" w:cs="Arial" w:eastAsia="Arial" w:hAnsi="Arial"/>
          <w:sz w:val="18"/>
          <w:szCs w:val="18"/>
          <w:color w:val="3D3D3D"/>
        </w:rPr>
        <w:t>consent.</w:t>
      </w:r>
      <w:r>
        <w:rPr>
          <w:rFonts w:ascii="Arial" w:cs="Arial" w:eastAsia="Arial" w:hAnsi="Arial"/>
          <w:sz w:val="18"/>
          <w:szCs w:val="18"/>
          <w:color w:val="282828"/>
        </w:rPr>
        <w:t xml:space="preserve"> Landlord </w:t>
      </w:r>
      <w:r>
        <w:rPr>
          <w:rFonts w:ascii="Arial" w:cs="Arial" w:eastAsia="Arial" w:hAnsi="Arial"/>
          <w:sz w:val="18"/>
          <w:szCs w:val="18"/>
          <w:color w:val="3D3D3D"/>
        </w:rPr>
        <w:t>shall</w:t>
      </w:r>
      <w:r>
        <w:rPr>
          <w:rFonts w:ascii="Arial" w:cs="Arial" w:eastAsia="Arial" w:hAnsi="Arial"/>
          <w:sz w:val="18"/>
          <w:szCs w:val="18"/>
          <w:color w:val="282828"/>
        </w:rPr>
        <w:t xml:space="preserve"> have no obligation to install dedicated circuits or other special circuitry or wiring. Tenant shall advise Landlord prior to the execution of this Lease </w:t>
      </w:r>
      <w:r>
        <w:rPr>
          <w:rFonts w:ascii="Arial" w:cs="Arial" w:eastAsia="Arial" w:hAnsi="Arial"/>
          <w:sz w:val="18"/>
          <w:szCs w:val="18"/>
          <w:color w:val="3D3D3D"/>
        </w:rPr>
        <w:t>and</w:t>
      </w:r>
      <w:r>
        <w:rPr>
          <w:rFonts w:ascii="Arial" w:cs="Arial" w:eastAsia="Arial" w:hAnsi="Arial"/>
          <w:sz w:val="18"/>
          <w:szCs w:val="18"/>
          <w:color w:val="282828"/>
        </w:rPr>
        <w:t xml:space="preserve"> within </w:t>
      </w:r>
      <w:r>
        <w:rPr>
          <w:rFonts w:ascii="Arial" w:cs="Arial" w:eastAsia="Arial" w:hAnsi="Arial"/>
          <w:sz w:val="18"/>
          <w:szCs w:val="18"/>
          <w:color w:val="3D3D3D"/>
        </w:rPr>
        <w:t>five</w:t>
      </w:r>
      <w:r>
        <w:rPr>
          <w:rFonts w:ascii="Arial" w:cs="Arial" w:eastAsia="Arial" w:hAnsi="Arial"/>
          <w:sz w:val="18"/>
          <w:szCs w:val="18"/>
          <w:color w:val="282828"/>
        </w:rPr>
        <w:t xml:space="preserve"> (5) days </w:t>
      </w:r>
      <w:r>
        <w:rPr>
          <w:rFonts w:ascii="Arial" w:cs="Arial" w:eastAsia="Arial" w:hAnsi="Arial"/>
          <w:sz w:val="18"/>
          <w:szCs w:val="18"/>
          <w:color w:val="3D3D3D"/>
        </w:rPr>
        <w:t>after</w:t>
      </w:r>
      <w:r>
        <w:rPr>
          <w:rFonts w:ascii="Arial" w:cs="Arial" w:eastAsia="Arial" w:hAnsi="Arial"/>
          <w:sz w:val="18"/>
          <w:szCs w:val="18"/>
          <w:color w:val="282828"/>
        </w:rPr>
        <w:t xml:space="preserve"> written request therefor of the nature and quantity of all lights, </w:t>
      </w:r>
      <w:r>
        <w:rPr>
          <w:rFonts w:ascii="Arial" w:cs="Arial" w:eastAsia="Arial" w:hAnsi="Arial"/>
          <w:sz w:val="18"/>
          <w:szCs w:val="18"/>
          <w:color w:val="3D3D3D"/>
        </w:rPr>
        <w:t>equipment</w:t>
      </w:r>
      <w:r>
        <w:rPr>
          <w:rFonts w:ascii="Arial" w:cs="Arial" w:eastAsia="Arial" w:hAnsi="Arial"/>
          <w:sz w:val="18"/>
          <w:szCs w:val="18"/>
          <w:color w:val="282828"/>
        </w:rPr>
        <w:t xml:space="preserve"> and machines using electricity in the Premises and shall permit Landlord or its </w:t>
      </w:r>
      <w:r>
        <w:rPr>
          <w:rFonts w:ascii="Arial" w:cs="Arial" w:eastAsia="Arial" w:hAnsi="Arial"/>
          <w:sz w:val="18"/>
          <w:szCs w:val="18"/>
          <w:color w:val="3D3D3D"/>
        </w:rPr>
        <w:t>author</w:t>
      </w:r>
      <w:r>
        <w:rPr>
          <w:rFonts w:ascii="Arial" w:cs="Arial" w:eastAsia="Arial" w:hAnsi="Arial"/>
          <w:sz w:val="18"/>
          <w:szCs w:val="18"/>
          <w:color w:val="181818"/>
        </w:rPr>
        <w:t>i</w:t>
      </w:r>
      <w:r>
        <w:rPr>
          <w:rFonts w:ascii="Arial" w:cs="Arial" w:eastAsia="Arial" w:hAnsi="Arial"/>
          <w:sz w:val="18"/>
          <w:szCs w:val="18"/>
          <w:color w:val="3D3D3D"/>
        </w:rPr>
        <w:t>zed</w:t>
      </w:r>
      <w:r>
        <w:rPr>
          <w:rFonts w:ascii="Arial" w:cs="Arial" w:eastAsia="Arial" w:hAnsi="Arial"/>
          <w:sz w:val="18"/>
          <w:szCs w:val="18"/>
          <w:color w:val="282828"/>
        </w:rPr>
        <w:t xml:space="preserve"> agents to make periodic inspections </w:t>
      </w:r>
      <w:r>
        <w:rPr>
          <w:rFonts w:ascii="Arial" w:cs="Arial" w:eastAsia="Arial" w:hAnsi="Arial"/>
          <w:sz w:val="18"/>
          <w:szCs w:val="18"/>
          <w:color w:val="3D3D3D"/>
        </w:rPr>
        <w:t>of</w:t>
      </w:r>
      <w:r>
        <w:rPr>
          <w:rFonts w:ascii="Arial" w:cs="Arial" w:eastAsia="Arial" w:hAnsi="Arial"/>
          <w:sz w:val="18"/>
          <w:szCs w:val="18"/>
          <w:color w:val="282828"/>
        </w:rPr>
        <w:t xml:space="preserve"> all facilities using electricity of 0.18 kilowatt hours per </w:t>
      </w:r>
      <w:r>
        <w:rPr>
          <w:rFonts w:ascii="Arial" w:cs="Arial" w:eastAsia="Arial" w:hAnsi="Arial"/>
          <w:sz w:val="18"/>
          <w:szCs w:val="18"/>
          <w:color w:val="3D3D3D"/>
        </w:rPr>
        <w:t>square</w:t>
      </w:r>
      <w:r>
        <w:rPr>
          <w:rFonts w:ascii="Arial" w:cs="Arial" w:eastAsia="Arial" w:hAnsi="Arial"/>
          <w:sz w:val="18"/>
          <w:szCs w:val="18"/>
          <w:color w:val="282828"/>
        </w:rPr>
        <w:t xml:space="preserve"> foot of rentable area.</w:t>
      </w:r>
    </w:p>
    <w:p>
      <w:pPr>
        <w:spacing w:after="0" w:line="147" w:lineRule="exact"/>
        <w:rPr>
          <w:rFonts w:ascii="Arial" w:cs="Arial" w:eastAsia="Arial" w:hAnsi="Arial"/>
          <w:sz w:val="18"/>
          <w:szCs w:val="18"/>
          <w:color w:val="282828"/>
        </w:rPr>
      </w:pPr>
    </w:p>
    <w:p>
      <w:pPr>
        <w:ind w:right="20" w:firstLine="1763"/>
        <w:spacing w:after="0" w:line="308" w:lineRule="auto"/>
        <w:tabs>
          <w:tab w:leader="none" w:pos="2620" w:val="left"/>
        </w:tabs>
        <w:numPr>
          <w:ilvl w:val="0"/>
          <w:numId w:val="53"/>
        </w:numPr>
        <w:rPr>
          <w:rFonts w:ascii="Arial" w:cs="Arial" w:eastAsia="Arial" w:hAnsi="Arial"/>
          <w:sz w:val="16"/>
          <w:szCs w:val="16"/>
          <w:color w:val="3D3D3D"/>
        </w:rPr>
      </w:pPr>
      <w:r>
        <w:rPr>
          <w:rFonts w:ascii="Arial" w:cs="Arial" w:eastAsia="Arial" w:hAnsi="Arial"/>
          <w:sz w:val="16"/>
          <w:szCs w:val="16"/>
          <w:color w:val="282828"/>
        </w:rPr>
        <w:t xml:space="preserve">Operate, maintain, clean, light, and heat the </w:t>
      </w:r>
      <w:r>
        <w:rPr>
          <w:rFonts w:ascii="Arial" w:cs="Arial" w:eastAsia="Arial" w:hAnsi="Arial"/>
          <w:sz w:val="16"/>
          <w:szCs w:val="16"/>
          <w:color w:val="3D3D3D"/>
        </w:rPr>
        <w:t>Common</w:t>
      </w:r>
      <w:r>
        <w:rPr>
          <w:rFonts w:ascii="Arial" w:cs="Arial" w:eastAsia="Arial" w:hAnsi="Arial"/>
          <w:sz w:val="16"/>
          <w:szCs w:val="16"/>
          <w:color w:val="282828"/>
        </w:rPr>
        <w:t xml:space="preserve"> Areas, as </w:t>
      </w:r>
      <w:r>
        <w:rPr>
          <w:rFonts w:ascii="Arial" w:cs="Arial" w:eastAsia="Arial" w:hAnsi="Arial"/>
          <w:sz w:val="16"/>
          <w:szCs w:val="16"/>
          <w:color w:val="3D3D3D"/>
        </w:rPr>
        <w:t>Land</w:t>
      </w:r>
      <w:r>
        <w:rPr>
          <w:rFonts w:ascii="Arial" w:cs="Arial" w:eastAsia="Arial" w:hAnsi="Arial"/>
          <w:sz w:val="16"/>
          <w:szCs w:val="16"/>
          <w:color w:val="181818"/>
        </w:rPr>
        <w:t>lord</w:t>
      </w:r>
      <w:r>
        <w:rPr>
          <w:rFonts w:ascii="Arial" w:cs="Arial" w:eastAsia="Arial" w:hAnsi="Arial"/>
          <w:sz w:val="16"/>
          <w:szCs w:val="16"/>
          <w:color w:val="282828"/>
        </w:rPr>
        <w:t xml:space="preserve"> shall deem necessary. Landlord </w:t>
      </w:r>
      <w:r>
        <w:rPr>
          <w:rFonts w:ascii="Arial" w:cs="Arial" w:eastAsia="Arial" w:hAnsi="Arial"/>
          <w:sz w:val="16"/>
          <w:szCs w:val="16"/>
          <w:color w:val="3D3D3D"/>
        </w:rPr>
        <w:t>shall</w:t>
      </w:r>
      <w:r>
        <w:rPr>
          <w:rFonts w:ascii="Arial" w:cs="Arial" w:eastAsia="Arial" w:hAnsi="Arial"/>
          <w:sz w:val="16"/>
          <w:szCs w:val="16"/>
          <w:color w:val="282828"/>
        </w:rPr>
        <w:t xml:space="preserve"> provide </w:t>
      </w:r>
      <w:r>
        <w:rPr>
          <w:rFonts w:ascii="Arial" w:cs="Arial" w:eastAsia="Arial" w:hAnsi="Arial"/>
          <w:sz w:val="16"/>
          <w:szCs w:val="16"/>
          <w:color w:val="3D3D3D"/>
        </w:rPr>
        <w:t>security se</w:t>
      </w:r>
      <w:r>
        <w:rPr>
          <w:rFonts w:ascii="Arial" w:cs="Arial" w:eastAsia="Arial" w:hAnsi="Arial"/>
          <w:sz w:val="16"/>
          <w:szCs w:val="16"/>
          <w:color w:val="181818"/>
        </w:rPr>
        <w:t>rvic</w:t>
      </w:r>
      <w:r>
        <w:rPr>
          <w:rFonts w:ascii="Arial" w:cs="Arial" w:eastAsia="Arial" w:hAnsi="Arial"/>
          <w:sz w:val="16"/>
          <w:szCs w:val="16"/>
          <w:color w:val="3D3D3D"/>
        </w:rPr>
        <w:t>es</w:t>
      </w:r>
      <w:r>
        <w:rPr>
          <w:rFonts w:ascii="Arial" w:cs="Arial" w:eastAsia="Arial" w:hAnsi="Arial"/>
          <w:sz w:val="16"/>
          <w:szCs w:val="16"/>
          <w:color w:val="282828"/>
        </w:rPr>
        <w:t xml:space="preserve"> to the Building </w:t>
      </w:r>
      <w:r>
        <w:rPr>
          <w:rFonts w:ascii="Arial" w:cs="Arial" w:eastAsia="Arial" w:hAnsi="Arial"/>
          <w:sz w:val="16"/>
          <w:szCs w:val="16"/>
          <w:color w:val="3D3D3D"/>
        </w:rPr>
        <w:t>as</w:t>
      </w:r>
      <w:r>
        <w:rPr>
          <w:rFonts w:ascii="Arial" w:cs="Arial" w:eastAsia="Arial" w:hAnsi="Arial"/>
          <w:sz w:val="16"/>
          <w:szCs w:val="16"/>
          <w:color w:val="282828"/>
        </w:rPr>
        <w:t xml:space="preserve"> is customary for first-class buildings in </w:t>
      </w:r>
      <w:r>
        <w:rPr>
          <w:rFonts w:ascii="Arial" w:cs="Arial" w:eastAsia="Arial" w:hAnsi="Arial"/>
          <w:sz w:val="16"/>
          <w:szCs w:val="16"/>
          <w:color w:val="3D3D3D"/>
        </w:rPr>
        <w:t>the</w:t>
      </w:r>
      <w:r>
        <w:rPr>
          <w:rFonts w:ascii="Arial" w:cs="Arial" w:eastAsia="Arial" w:hAnsi="Arial"/>
          <w:sz w:val="16"/>
          <w:szCs w:val="16"/>
          <w:color w:val="282828"/>
        </w:rPr>
        <w:t xml:space="preserve"> vicinity of the Building, including</w:t>
      </w:r>
      <w:r>
        <w:rPr>
          <w:rFonts w:ascii="Arial" w:cs="Arial" w:eastAsia="Arial" w:hAnsi="Arial"/>
          <w:sz w:val="16"/>
          <w:szCs w:val="16"/>
          <w:color w:val="4F4F4F"/>
        </w:rPr>
        <w:t>,</w:t>
      </w:r>
      <w:r>
        <w:rPr>
          <w:rFonts w:ascii="Arial" w:cs="Arial" w:eastAsia="Arial" w:hAnsi="Arial"/>
          <w:sz w:val="16"/>
          <w:szCs w:val="16"/>
          <w:color w:val="282828"/>
        </w:rPr>
        <w:t xml:space="preserve"> but not </w:t>
      </w:r>
      <w:r>
        <w:rPr>
          <w:rFonts w:ascii="Arial" w:cs="Arial" w:eastAsia="Arial" w:hAnsi="Arial"/>
          <w:sz w:val="16"/>
          <w:szCs w:val="16"/>
          <w:color w:val="181818"/>
        </w:rPr>
        <w:t>limited</w:t>
      </w:r>
      <w:r>
        <w:rPr>
          <w:rFonts w:ascii="Arial" w:cs="Arial" w:eastAsia="Arial" w:hAnsi="Arial"/>
          <w:sz w:val="16"/>
          <w:szCs w:val="16"/>
          <w:color w:val="282828"/>
        </w:rPr>
        <w:t xml:space="preserve"> to a key/card </w:t>
      </w:r>
      <w:r>
        <w:rPr>
          <w:rFonts w:ascii="Arial" w:cs="Arial" w:eastAsia="Arial" w:hAnsi="Arial"/>
          <w:sz w:val="16"/>
          <w:szCs w:val="16"/>
          <w:color w:val="3D3D3D"/>
        </w:rPr>
        <w:t>access system</w:t>
      </w:r>
      <w:r>
        <w:rPr>
          <w:rFonts w:ascii="Arial" w:cs="Arial" w:eastAsia="Arial" w:hAnsi="Arial"/>
          <w:sz w:val="16"/>
          <w:szCs w:val="16"/>
          <w:color w:val="282828"/>
        </w:rPr>
        <w:t xml:space="preserve"> at </w:t>
      </w:r>
      <w:r>
        <w:rPr>
          <w:rFonts w:ascii="Arial" w:cs="Arial" w:eastAsia="Arial" w:hAnsi="Arial"/>
          <w:sz w:val="16"/>
          <w:szCs w:val="16"/>
          <w:color w:val="3D3D3D"/>
        </w:rPr>
        <w:t>all times</w:t>
      </w:r>
      <w:r>
        <w:rPr>
          <w:rFonts w:ascii="Arial" w:cs="Arial" w:eastAsia="Arial" w:hAnsi="Arial"/>
          <w:sz w:val="16"/>
          <w:szCs w:val="16"/>
          <w:color w:val="282828"/>
        </w:rPr>
        <w:t xml:space="preserve"> and </w:t>
      </w:r>
      <w:r>
        <w:rPr>
          <w:rFonts w:ascii="Arial" w:cs="Arial" w:eastAsia="Arial" w:hAnsi="Arial"/>
          <w:sz w:val="16"/>
          <w:szCs w:val="16"/>
          <w:color w:val="3D3D3D"/>
        </w:rPr>
        <w:t>security</w:t>
      </w:r>
      <w:r>
        <w:rPr>
          <w:rFonts w:ascii="Arial" w:cs="Arial" w:eastAsia="Arial" w:hAnsi="Arial"/>
          <w:sz w:val="16"/>
          <w:szCs w:val="16"/>
          <w:color w:val="282828"/>
        </w:rPr>
        <w:t xml:space="preserve"> per</w:t>
      </w:r>
      <w:r>
        <w:rPr>
          <w:rFonts w:ascii="Arial" w:cs="Arial" w:eastAsia="Arial" w:hAnsi="Arial"/>
          <w:sz w:val="16"/>
          <w:szCs w:val="16"/>
          <w:color w:val="4F4F4F"/>
        </w:rPr>
        <w:t>so</w:t>
      </w:r>
      <w:r>
        <w:rPr>
          <w:rFonts w:ascii="Arial" w:cs="Arial" w:eastAsia="Arial" w:hAnsi="Arial"/>
          <w:sz w:val="16"/>
          <w:szCs w:val="16"/>
          <w:color w:val="282828"/>
        </w:rPr>
        <w:t xml:space="preserve">nnel in the lobby of the Building during regular Ordinary Business </w:t>
      </w:r>
      <w:r>
        <w:rPr>
          <w:rFonts w:ascii="Arial" w:cs="Arial" w:eastAsia="Arial" w:hAnsi="Arial"/>
          <w:sz w:val="16"/>
          <w:szCs w:val="16"/>
          <w:color w:val="3D3D3D"/>
        </w:rPr>
        <w:t>Hours.</w:t>
      </w:r>
      <w:r>
        <w:rPr>
          <w:rFonts w:ascii="Arial" w:cs="Arial" w:eastAsia="Arial" w:hAnsi="Arial"/>
          <w:sz w:val="16"/>
          <w:szCs w:val="16"/>
          <w:color w:val="282828"/>
        </w:rPr>
        <w:t xml:space="preserve"> Tenant acknowledges that security services provided by </w:t>
      </w:r>
      <w:r>
        <w:rPr>
          <w:rFonts w:ascii="Arial" w:cs="Arial" w:eastAsia="Arial" w:hAnsi="Arial"/>
          <w:sz w:val="16"/>
          <w:szCs w:val="16"/>
          <w:color w:val="3D3D3D"/>
        </w:rPr>
        <w:t>Landlord</w:t>
      </w:r>
      <w:r>
        <w:rPr>
          <w:rFonts w:ascii="Arial" w:cs="Arial" w:eastAsia="Arial" w:hAnsi="Arial"/>
          <w:sz w:val="16"/>
          <w:szCs w:val="16"/>
          <w:color w:val="282828"/>
        </w:rPr>
        <w:t xml:space="preserve"> from time to time may not prevent theft or other criminal acts, or insure the safety of persons or property, </w:t>
      </w:r>
      <w:r>
        <w:rPr>
          <w:rFonts w:ascii="Arial" w:cs="Arial" w:eastAsia="Arial" w:hAnsi="Arial"/>
          <w:sz w:val="16"/>
          <w:szCs w:val="16"/>
          <w:color w:val="262626"/>
        </w:rPr>
        <w:t>and</w:t>
      </w:r>
      <w:r>
        <w:rPr>
          <w:rFonts w:ascii="Arial" w:cs="Arial" w:eastAsia="Arial" w:hAnsi="Arial"/>
          <w:sz w:val="16"/>
          <w:szCs w:val="16"/>
          <w:color w:val="282828"/>
        </w:rPr>
        <w:t xml:space="preserve"> Tenant expressly assumes the risk that any such security service may not be effective. In all events and notwithstanding any provision of this Lease to the contrary, Landlord and the other </w:t>
      </w:r>
      <w:r>
        <w:rPr>
          <w:rFonts w:ascii="Arial" w:cs="Arial" w:eastAsia="Arial" w:hAnsi="Arial"/>
          <w:sz w:val="16"/>
          <w:szCs w:val="16"/>
          <w:color w:val="181818"/>
        </w:rPr>
        <w:t>Ind</w:t>
      </w:r>
      <w:r>
        <w:rPr>
          <w:rFonts w:ascii="Arial" w:cs="Arial" w:eastAsia="Arial" w:hAnsi="Arial"/>
          <w:sz w:val="16"/>
          <w:szCs w:val="16"/>
          <w:color w:val="3D3D3D"/>
        </w:rPr>
        <w:t>emnitees</w:t>
      </w:r>
      <w:r>
        <w:rPr>
          <w:rFonts w:ascii="Arial" w:cs="Arial" w:eastAsia="Arial" w:hAnsi="Arial"/>
          <w:sz w:val="16"/>
          <w:szCs w:val="16"/>
          <w:color w:val="282828"/>
        </w:rPr>
        <w:t xml:space="preserve"> (as defined in Section 12.2 below) shall not be liable to Tenant, and Tenant hereby </w:t>
      </w:r>
      <w:r>
        <w:rPr>
          <w:rFonts w:ascii="Arial" w:cs="Arial" w:eastAsia="Arial" w:hAnsi="Arial"/>
          <w:sz w:val="16"/>
          <w:szCs w:val="16"/>
          <w:color w:val="3D3D3D"/>
        </w:rPr>
        <w:t>waives</w:t>
      </w:r>
      <w:r>
        <w:rPr>
          <w:rFonts w:ascii="Arial" w:cs="Arial" w:eastAsia="Arial" w:hAnsi="Arial"/>
          <w:sz w:val="16"/>
          <w:szCs w:val="16"/>
          <w:color w:val="282828"/>
        </w:rPr>
        <w:t xml:space="preserve"> any claim against </w:t>
      </w:r>
      <w:r>
        <w:rPr>
          <w:rFonts w:ascii="Arial" w:cs="Arial" w:eastAsia="Arial" w:hAnsi="Arial"/>
          <w:sz w:val="16"/>
          <w:szCs w:val="16"/>
          <w:color w:val="3D3D3D"/>
        </w:rPr>
        <w:t>the</w:t>
      </w:r>
      <w:r>
        <w:rPr>
          <w:rFonts w:ascii="Arial" w:cs="Arial" w:eastAsia="Arial" w:hAnsi="Arial"/>
          <w:sz w:val="16"/>
          <w:szCs w:val="16"/>
          <w:color w:val="282828"/>
        </w:rPr>
        <w:t xml:space="preserve"> Indemnitees to </w:t>
      </w:r>
      <w:r>
        <w:rPr>
          <w:rFonts w:ascii="Arial" w:cs="Arial" w:eastAsia="Arial" w:hAnsi="Arial"/>
          <w:sz w:val="16"/>
          <w:szCs w:val="16"/>
          <w:color w:val="3D3D3D"/>
        </w:rPr>
        <w:t>the</w:t>
      </w:r>
      <w:r>
        <w:rPr>
          <w:rFonts w:ascii="Arial" w:cs="Arial" w:eastAsia="Arial" w:hAnsi="Arial"/>
          <w:sz w:val="16"/>
          <w:szCs w:val="16"/>
          <w:color w:val="282828"/>
        </w:rPr>
        <w:t xml:space="preserve"> maximum </w:t>
      </w:r>
      <w:r>
        <w:rPr>
          <w:rFonts w:ascii="Arial" w:cs="Arial" w:eastAsia="Arial" w:hAnsi="Arial"/>
          <w:sz w:val="16"/>
          <w:szCs w:val="16"/>
          <w:color w:val="3D3D3D"/>
        </w:rPr>
        <w:t>extent</w:t>
      </w:r>
      <w:r>
        <w:rPr>
          <w:rFonts w:ascii="Arial" w:cs="Arial" w:eastAsia="Arial" w:hAnsi="Arial"/>
          <w:sz w:val="16"/>
          <w:szCs w:val="16"/>
          <w:color w:val="282828"/>
        </w:rPr>
        <w:t xml:space="preserve"> permitted by Law, </w:t>
      </w:r>
      <w:r>
        <w:rPr>
          <w:rFonts w:ascii="Arial" w:cs="Arial" w:eastAsia="Arial" w:hAnsi="Arial"/>
          <w:sz w:val="16"/>
          <w:szCs w:val="16"/>
          <w:color w:val="3D3D3D"/>
        </w:rPr>
        <w:t>for (i)</w:t>
      </w:r>
      <w:r>
        <w:rPr>
          <w:rFonts w:ascii="Arial" w:cs="Arial" w:eastAsia="Arial" w:hAnsi="Arial"/>
          <w:sz w:val="16"/>
          <w:szCs w:val="16"/>
          <w:color w:val="282828"/>
        </w:rPr>
        <w:t xml:space="preserve"> any unauthorized </w:t>
      </w:r>
      <w:r>
        <w:rPr>
          <w:rFonts w:ascii="Arial" w:cs="Arial" w:eastAsia="Arial" w:hAnsi="Arial"/>
          <w:sz w:val="16"/>
          <w:szCs w:val="16"/>
          <w:color w:val="3D3D3D"/>
        </w:rPr>
        <w:t>o</w:t>
      </w:r>
      <w:r>
        <w:rPr>
          <w:rFonts w:ascii="Arial" w:cs="Arial" w:eastAsia="Arial" w:hAnsi="Arial"/>
          <w:sz w:val="16"/>
          <w:szCs w:val="16"/>
          <w:color w:val="181818"/>
        </w:rPr>
        <w:t>r</w:t>
      </w:r>
      <w:r>
        <w:rPr>
          <w:rFonts w:ascii="Arial" w:cs="Arial" w:eastAsia="Arial" w:hAnsi="Arial"/>
          <w:sz w:val="16"/>
          <w:szCs w:val="16"/>
          <w:color w:val="282828"/>
        </w:rPr>
        <w:t xml:space="preserve"> criminal entry of third parties into the Premises or the Building, (ii) any injury </w:t>
      </w:r>
      <w:r>
        <w:rPr>
          <w:rFonts w:ascii="Arial" w:cs="Arial" w:eastAsia="Arial" w:hAnsi="Arial"/>
          <w:sz w:val="16"/>
          <w:szCs w:val="16"/>
          <w:color w:val="3D3D3D"/>
        </w:rPr>
        <w:t>to or</w:t>
      </w:r>
      <w:r>
        <w:rPr>
          <w:rFonts w:ascii="Arial" w:cs="Arial" w:eastAsia="Arial" w:hAnsi="Arial"/>
          <w:sz w:val="16"/>
          <w:szCs w:val="16"/>
          <w:color w:val="282828"/>
        </w:rPr>
        <w:t xml:space="preserve"> death of persons, or (iii) any </w:t>
      </w:r>
      <w:r>
        <w:rPr>
          <w:rFonts w:ascii="Arial" w:cs="Arial" w:eastAsia="Arial" w:hAnsi="Arial"/>
          <w:sz w:val="16"/>
          <w:szCs w:val="16"/>
          <w:color w:val="181818"/>
        </w:rPr>
        <w:t>lo</w:t>
      </w:r>
      <w:r>
        <w:rPr>
          <w:rFonts w:ascii="Arial" w:cs="Arial" w:eastAsia="Arial" w:hAnsi="Arial"/>
          <w:sz w:val="16"/>
          <w:szCs w:val="16"/>
          <w:color w:val="3D3D3D"/>
        </w:rPr>
        <w:t>ss</w:t>
      </w:r>
      <w:r>
        <w:rPr>
          <w:rFonts w:ascii="Arial" w:cs="Arial" w:eastAsia="Arial" w:hAnsi="Arial"/>
          <w:sz w:val="16"/>
          <w:szCs w:val="16"/>
          <w:color w:val="282828"/>
        </w:rPr>
        <w:t xml:space="preserve"> of property in and about the Premises or </w:t>
      </w:r>
      <w:r>
        <w:rPr>
          <w:rFonts w:ascii="Arial" w:cs="Arial" w:eastAsia="Arial" w:hAnsi="Arial"/>
          <w:sz w:val="16"/>
          <w:szCs w:val="16"/>
          <w:color w:val="3D3D3D"/>
        </w:rPr>
        <w:t xml:space="preserve">the </w:t>
      </w:r>
      <w:r>
        <w:rPr>
          <w:rFonts w:ascii="Arial" w:cs="Arial" w:eastAsia="Arial" w:hAnsi="Arial"/>
          <w:sz w:val="16"/>
          <w:szCs w:val="16"/>
          <w:color w:val="282828"/>
        </w:rPr>
        <w:t>Building by or</w:t>
      </w:r>
      <w:r>
        <w:rPr>
          <w:rFonts w:ascii="Arial" w:cs="Arial" w:eastAsia="Arial" w:hAnsi="Arial"/>
          <w:sz w:val="16"/>
          <w:szCs w:val="16"/>
          <w:color w:val="3D3D3D"/>
        </w:rPr>
        <w:t xml:space="preserve"> from any </w:t>
      </w:r>
      <w:r>
        <w:rPr>
          <w:rFonts w:ascii="Arial" w:cs="Arial" w:eastAsia="Arial" w:hAnsi="Arial"/>
          <w:sz w:val="16"/>
          <w:szCs w:val="16"/>
          <w:color w:val="282828"/>
        </w:rPr>
        <w:t>unauthorized or criminal acts of third parties, regardless of any action, inaction, failure, breakdown, malfunction</w:t>
      </w:r>
      <w:r>
        <w:rPr>
          <w:rFonts w:ascii="Arial" w:cs="Arial" w:eastAsia="Arial" w:hAnsi="Arial"/>
          <w:sz w:val="16"/>
          <w:szCs w:val="16"/>
          <w:color w:val="3D3D3D"/>
        </w:rPr>
        <w:t xml:space="preserve"> </w:t>
      </w:r>
      <w:r>
        <w:rPr>
          <w:rFonts w:ascii="Arial" w:cs="Arial" w:eastAsia="Arial" w:hAnsi="Arial"/>
          <w:sz w:val="16"/>
          <w:szCs w:val="16"/>
          <w:color w:val="282828"/>
        </w:rPr>
        <w:t xml:space="preserve">and/or insufficiency of the security services provided by Landlord, or any allegation of active or passive negligence on the part of Landlord or the </w:t>
      </w:r>
      <w:r>
        <w:rPr>
          <w:rFonts w:ascii="Arial" w:cs="Arial" w:eastAsia="Arial" w:hAnsi="Arial"/>
          <w:sz w:val="16"/>
          <w:szCs w:val="16"/>
          <w:color w:val="262626"/>
        </w:rPr>
        <w:t>other Indemnitees. Tenant shall obtain insurance coverage to the extent Tenant desires protection against criminal act</w:t>
      </w:r>
      <w:r>
        <w:rPr>
          <w:rFonts w:ascii="Arial" w:cs="Arial" w:eastAsia="Arial" w:hAnsi="Arial"/>
          <w:sz w:val="16"/>
          <w:szCs w:val="16"/>
          <w:color w:val="3F3F3F"/>
        </w:rPr>
        <w:t>s</w:t>
      </w:r>
      <w:r>
        <w:rPr>
          <w:rFonts w:ascii="Arial" w:cs="Arial" w:eastAsia="Arial" w:hAnsi="Arial"/>
          <w:sz w:val="16"/>
          <w:szCs w:val="16"/>
          <w:color w:val="262626"/>
        </w:rPr>
        <w:t xml:space="preserve"> and other losses.</w:t>
      </w:r>
    </w:p>
    <w:p>
      <w:pPr>
        <w:spacing w:after="0" w:line="366" w:lineRule="exact"/>
        <w:rPr>
          <w:rFonts w:ascii="Arial" w:cs="Arial" w:eastAsia="Arial" w:hAnsi="Arial"/>
          <w:sz w:val="16"/>
          <w:szCs w:val="16"/>
          <w:color w:val="3D3D3D"/>
        </w:rPr>
      </w:pPr>
    </w:p>
    <w:p>
      <w:pPr>
        <w:ind w:right="300" w:firstLine="1763"/>
        <w:spacing w:after="0" w:line="250" w:lineRule="auto"/>
        <w:tabs>
          <w:tab w:leader="none" w:pos="2631" w:val="left"/>
        </w:tabs>
        <w:numPr>
          <w:ilvl w:val="0"/>
          <w:numId w:val="53"/>
        </w:numPr>
        <w:rPr>
          <w:rFonts w:ascii="Arial" w:cs="Arial" w:eastAsia="Arial" w:hAnsi="Arial"/>
          <w:sz w:val="20"/>
          <w:szCs w:val="20"/>
          <w:color w:val="262626"/>
        </w:rPr>
      </w:pPr>
      <w:r>
        <w:rPr>
          <w:rFonts w:ascii="Arial" w:cs="Arial" w:eastAsia="Arial" w:hAnsi="Arial"/>
          <w:sz w:val="20"/>
          <w:szCs w:val="20"/>
          <w:color w:val="262626"/>
        </w:rPr>
        <w:t>Provide janitorial service to the Building at a standard provided to other comparable office buildings in San Francisco on each weekday, exclusive of Saturday, Sunday and holidays</w:t>
      </w:r>
      <w:r>
        <w:rPr>
          <w:rFonts w:ascii="Arial" w:cs="Arial" w:eastAsia="Arial" w:hAnsi="Arial"/>
          <w:sz w:val="20"/>
          <w:szCs w:val="20"/>
          <w:color w:val="3F3F3F"/>
        </w:rPr>
        <w:t>,</w:t>
      </w:r>
      <w:r>
        <w:rPr>
          <w:rFonts w:ascii="Arial" w:cs="Arial" w:eastAsia="Arial" w:hAnsi="Arial"/>
          <w:sz w:val="20"/>
          <w:szCs w:val="20"/>
          <w:color w:val="262626"/>
        </w:rPr>
        <w:t xml:space="preserve"> subject to access being granted to the person or persons employed or retained by Landlord to perform such work at such time as prescribed by Landlord</w:t>
      </w:r>
      <w:r>
        <w:rPr>
          <w:rFonts w:ascii="Arial" w:cs="Arial" w:eastAsia="Arial" w:hAnsi="Arial"/>
          <w:sz w:val="20"/>
          <w:szCs w:val="20"/>
          <w:color w:val="3F3F3F"/>
        </w:rPr>
        <w:t>.</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7.2</w:t>
      </w:r>
      <w:r>
        <w:rPr>
          <w:sz w:val="20"/>
          <w:szCs w:val="20"/>
          <w:color w:val="auto"/>
        </w:rPr>
        <w:tab/>
      </w:r>
      <w:r>
        <w:rPr>
          <w:rFonts w:ascii="Arial" w:cs="Arial" w:eastAsia="Arial" w:hAnsi="Arial"/>
          <w:sz w:val="16"/>
          <w:szCs w:val="16"/>
          <w:u w:val="single" w:color="auto"/>
          <w:color w:val="auto"/>
        </w:rPr>
        <w:t xml:space="preserve">Supplementary </w:t>
      </w:r>
      <w:r>
        <w:rPr>
          <w:rFonts w:ascii="Arial" w:cs="Arial" w:eastAsia="Arial" w:hAnsi="Arial"/>
          <w:sz w:val="16"/>
          <w:szCs w:val="16"/>
          <w:u w:val="single" w:color="auto"/>
          <w:color w:val="3F3F3F"/>
        </w:rPr>
        <w:t>Services</w:t>
      </w:r>
    </w:p>
    <w:p>
      <w:pPr>
        <w:spacing w:after="0" w:line="189" w:lineRule="exact"/>
        <w:rPr>
          <w:sz w:val="20"/>
          <w:szCs w:val="20"/>
          <w:color w:val="auto"/>
        </w:rPr>
      </w:pPr>
    </w:p>
    <w:p>
      <w:pPr>
        <w:ind w:right="80" w:firstLine="877"/>
        <w:spacing w:after="0" w:line="282" w:lineRule="auto"/>
        <w:rPr>
          <w:sz w:val="20"/>
          <w:szCs w:val="20"/>
          <w:color w:val="auto"/>
        </w:rPr>
      </w:pPr>
      <w:r>
        <w:rPr>
          <w:rFonts w:ascii="Arial" w:cs="Arial" w:eastAsia="Arial" w:hAnsi="Arial"/>
          <w:sz w:val="18"/>
          <w:szCs w:val="18"/>
          <w:color w:val="262626"/>
        </w:rPr>
        <w:t>Tenant shall pay Landlord</w:t>
      </w:r>
      <w:r>
        <w:rPr>
          <w:rFonts w:ascii="Arial" w:cs="Arial" w:eastAsia="Arial" w:hAnsi="Arial"/>
          <w:sz w:val="18"/>
          <w:szCs w:val="18"/>
          <w:color w:val="3F3F3F"/>
        </w:rPr>
        <w:t>,</w:t>
      </w:r>
      <w:r>
        <w:rPr>
          <w:rFonts w:ascii="Arial" w:cs="Arial" w:eastAsia="Arial" w:hAnsi="Arial"/>
          <w:sz w:val="18"/>
          <w:szCs w:val="18"/>
          <w:color w:val="262626"/>
        </w:rPr>
        <w:t xml:space="preserve"> at the charges established by Landlord from time to time</w:t>
      </w:r>
      <w:r>
        <w:rPr>
          <w:rFonts w:ascii="Arial" w:cs="Arial" w:eastAsia="Arial" w:hAnsi="Arial"/>
          <w:sz w:val="18"/>
          <w:szCs w:val="18"/>
          <w:color w:val="3F3F3F"/>
        </w:rPr>
        <w:t>,</w:t>
      </w:r>
      <w:r>
        <w:rPr>
          <w:rFonts w:ascii="Arial" w:cs="Arial" w:eastAsia="Arial" w:hAnsi="Arial"/>
          <w:sz w:val="18"/>
          <w:szCs w:val="18"/>
          <w:color w:val="262626"/>
        </w:rPr>
        <w:t xml:space="preserve"> for all supplementary services requested by the Tenant, which charges shall be payable by Tenant upon demand by Landlord. Such supplementary services shall include, without limitation, maintenance, repair, janitorial, rubbish removal, cleaning and other services required by Tenant in addition to such services required to be provided by Landlord. Landlord shall not be under any obligation to provide such supplementary services.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14</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2" w:name="page143"/>
    <w:bookmarkEnd w:id="142"/>
    <w:p>
      <w:pPr>
        <w:ind w:left="880"/>
        <w:spacing w:after="0"/>
        <w:tabs>
          <w:tab w:leader="none" w:pos="1760" w:val="left"/>
        </w:tabs>
        <w:rPr>
          <w:sz w:val="20"/>
          <w:szCs w:val="20"/>
          <w:color w:val="auto"/>
        </w:rPr>
      </w:pPr>
      <w:r>
        <w:rPr>
          <w:rFonts w:ascii="Arial" w:cs="Arial" w:eastAsia="Arial" w:hAnsi="Arial"/>
          <w:sz w:val="20"/>
          <w:szCs w:val="20"/>
          <w:color w:val="262626"/>
        </w:rPr>
        <w:t>7.3</w:t>
      </w:r>
      <w:r>
        <w:rPr>
          <w:sz w:val="20"/>
          <w:szCs w:val="20"/>
          <w:color w:val="auto"/>
        </w:rPr>
        <w:tab/>
      </w:r>
      <w:r>
        <w:rPr>
          <w:rFonts w:ascii="Arial" w:cs="Arial" w:eastAsia="Arial" w:hAnsi="Arial"/>
          <w:sz w:val="18"/>
          <w:szCs w:val="18"/>
          <w:u w:val="single" w:color="auto"/>
          <w:color w:val="262626"/>
        </w:rPr>
        <w:t>In</w:t>
      </w:r>
      <w:r>
        <w:rPr>
          <w:rFonts w:ascii="Arial" w:cs="Arial" w:eastAsia="Arial" w:hAnsi="Arial"/>
          <w:sz w:val="18"/>
          <w:szCs w:val="18"/>
          <w:u w:val="single" w:color="auto"/>
          <w:color w:val="3F3F3F"/>
        </w:rPr>
        <w:t>te</w:t>
      </w:r>
      <w:r>
        <w:rPr>
          <w:rFonts w:ascii="Arial" w:cs="Arial" w:eastAsia="Arial" w:hAnsi="Arial"/>
          <w:sz w:val="18"/>
          <w:szCs w:val="18"/>
          <w:u w:val="single" w:color="auto"/>
          <w:color w:val="262626"/>
        </w:rPr>
        <w:t>rrup</w:t>
      </w:r>
      <w:r>
        <w:rPr>
          <w:rFonts w:ascii="Arial" w:cs="Arial" w:eastAsia="Arial" w:hAnsi="Arial"/>
          <w:sz w:val="18"/>
          <w:szCs w:val="18"/>
          <w:u w:val="single" w:color="auto"/>
          <w:color w:val="3F3F3F"/>
        </w:rPr>
        <w:t>t</w:t>
      </w:r>
      <w:r>
        <w:rPr>
          <w:rFonts w:ascii="Arial" w:cs="Arial" w:eastAsia="Arial" w:hAnsi="Arial"/>
          <w:sz w:val="18"/>
          <w:szCs w:val="18"/>
          <w:u w:val="single" w:color="auto"/>
          <w:color w:val="262626"/>
        </w:rPr>
        <w:t xml:space="preserve">ion </w:t>
      </w:r>
      <w:r>
        <w:rPr>
          <w:rFonts w:ascii="Arial" w:cs="Arial" w:eastAsia="Arial" w:hAnsi="Arial"/>
          <w:sz w:val="18"/>
          <w:szCs w:val="18"/>
          <w:color w:val="3F3F3F"/>
        </w:rPr>
        <w:t>of</w:t>
      </w:r>
      <w:r>
        <w:rPr>
          <w:rFonts w:ascii="Arial" w:cs="Arial" w:eastAsia="Arial" w:hAnsi="Arial"/>
          <w:sz w:val="18"/>
          <w:szCs w:val="18"/>
          <w:u w:val="single" w:color="auto"/>
          <w:color w:val="262626"/>
        </w:rPr>
        <w:t xml:space="preserve"> </w:t>
      </w:r>
      <w:r>
        <w:rPr>
          <w:rFonts w:ascii="Arial" w:cs="Arial" w:eastAsia="Arial" w:hAnsi="Arial"/>
          <w:sz w:val="18"/>
          <w:szCs w:val="18"/>
          <w:u w:val="single" w:color="auto"/>
          <w:color w:val="000000"/>
        </w:rPr>
        <w:t>Access</w:t>
      </w:r>
      <w:r>
        <w:rPr>
          <w:rFonts w:ascii="Arial" w:cs="Arial" w:eastAsia="Arial" w:hAnsi="Arial"/>
          <w:sz w:val="18"/>
          <w:szCs w:val="18"/>
          <w:u w:val="single" w:color="auto"/>
          <w:color w:val="262626"/>
        </w:rPr>
        <w:t>, U</w:t>
      </w:r>
      <w:r>
        <w:rPr>
          <w:rFonts w:ascii="Arial" w:cs="Arial" w:eastAsia="Arial" w:hAnsi="Arial"/>
          <w:sz w:val="18"/>
          <w:szCs w:val="18"/>
          <w:u w:val="single" w:color="auto"/>
          <w:color w:val="3F3F3F"/>
        </w:rPr>
        <w:t>se o</w:t>
      </w:r>
      <w:r>
        <w:rPr>
          <w:rFonts w:ascii="Arial" w:cs="Arial" w:eastAsia="Arial" w:hAnsi="Arial"/>
          <w:sz w:val="18"/>
          <w:szCs w:val="18"/>
          <w:u w:val="single" w:color="auto"/>
          <w:color w:val="262626"/>
        </w:rPr>
        <w:t>r S</w:t>
      </w:r>
      <w:r>
        <w:rPr>
          <w:rFonts w:ascii="Arial" w:cs="Arial" w:eastAsia="Arial" w:hAnsi="Arial"/>
          <w:sz w:val="18"/>
          <w:szCs w:val="18"/>
          <w:u w:val="single" w:color="auto"/>
          <w:color w:val="3F3F3F"/>
        </w:rPr>
        <w:t>e</w:t>
      </w:r>
      <w:r>
        <w:rPr>
          <w:rFonts w:ascii="Arial" w:cs="Arial" w:eastAsia="Arial" w:hAnsi="Arial"/>
          <w:sz w:val="18"/>
          <w:szCs w:val="18"/>
          <w:u w:val="single" w:color="auto"/>
          <w:color w:val="262626"/>
        </w:rPr>
        <w:t>r</w:t>
      </w:r>
      <w:r>
        <w:rPr>
          <w:rFonts w:ascii="Arial" w:cs="Arial" w:eastAsia="Arial" w:hAnsi="Arial"/>
          <w:sz w:val="18"/>
          <w:szCs w:val="18"/>
          <w:u w:val="single" w:color="auto"/>
          <w:color w:val="3F3F3F"/>
        </w:rPr>
        <w:t>v</w:t>
      </w:r>
      <w:r>
        <w:rPr>
          <w:rFonts w:ascii="Arial" w:cs="Arial" w:eastAsia="Arial" w:hAnsi="Arial"/>
          <w:sz w:val="18"/>
          <w:szCs w:val="18"/>
          <w:u w:val="single" w:color="auto"/>
          <w:color w:val="262626"/>
        </w:rPr>
        <w:t>ic</w:t>
      </w:r>
      <w:r>
        <w:rPr>
          <w:rFonts w:ascii="Arial" w:cs="Arial" w:eastAsia="Arial" w:hAnsi="Arial"/>
          <w:sz w:val="18"/>
          <w:szCs w:val="18"/>
          <w:u w:val="single" w:color="auto"/>
          <w:color w:val="3F3F3F"/>
        </w:rPr>
        <w: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-14605</wp:posOffset>
            </wp:positionV>
            <wp:extent cx="1809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975" cy="8890"/>
                    </a:xfrm>
                    <a:prstGeom prst="rect">
                      <a:avLst/>
                    </a:prstGeom>
                    <a:noFill/>
                  </pic:spPr>
                </pic:pic>
              </a:graphicData>
            </a:graphic>
          </wp:anchor>
        </w:drawing>
      </w:r>
    </w:p>
    <w:p>
      <w:pPr>
        <w:spacing w:after="0" w:line="169" w:lineRule="exact"/>
        <w:rPr>
          <w:sz w:val="20"/>
          <w:szCs w:val="20"/>
          <w:color w:val="auto"/>
        </w:rPr>
      </w:pPr>
    </w:p>
    <w:p>
      <w:pPr>
        <w:ind w:right="40" w:firstLine="877"/>
        <w:spacing w:after="0" w:line="269" w:lineRule="auto"/>
        <w:rPr>
          <w:sz w:val="20"/>
          <w:szCs w:val="20"/>
          <w:color w:val="auto"/>
        </w:rPr>
      </w:pPr>
      <w:r>
        <w:rPr>
          <w:rFonts w:ascii="Arial" w:cs="Arial" w:eastAsia="Arial" w:hAnsi="Arial"/>
          <w:sz w:val="18"/>
          <w:szCs w:val="18"/>
          <w:color w:val="262626"/>
        </w:rPr>
        <w:t>Landlord shall not be liable for any failure to provide access to or use of the Premises, or to furnish any services or utilities when such failure is caused by natural occurrences, riots, civil disturbances, insurrection, war, court order, public enemy</w:t>
      </w:r>
      <w:r>
        <w:rPr>
          <w:rFonts w:ascii="Arial" w:cs="Arial" w:eastAsia="Arial" w:hAnsi="Arial"/>
          <w:sz w:val="18"/>
          <w:szCs w:val="18"/>
          <w:color w:val="3F3F3F"/>
        </w:rPr>
        <w:t>,</w:t>
      </w:r>
      <w:r>
        <w:rPr>
          <w:rFonts w:ascii="Arial" w:cs="Arial" w:eastAsia="Arial" w:hAnsi="Arial"/>
          <w:sz w:val="18"/>
          <w:szCs w:val="18"/>
          <w:color w:val="262626"/>
        </w:rPr>
        <w:t xml:space="preserve"> accidents, breakage, repairs, strikes, lockouts, other labor disputes, the making of repairs, alterations or improvements to the Premises or the Building, the inability to obtain an adequate supply of fuel, gas, steam, water, electricity, labor or other supplies or by any other condition beyond Landlord’s reasonable control, except to the extent any injury, death or damage therefrom is caused by Landlord’s gross negligence or willful misconduct and not covered by the insurance required to be carried pursuant to this Lease</w:t>
      </w:r>
      <w:r>
        <w:rPr>
          <w:rFonts w:ascii="Arial" w:cs="Arial" w:eastAsia="Arial" w:hAnsi="Arial"/>
          <w:sz w:val="18"/>
          <w:szCs w:val="18"/>
          <w:color w:val="3F3F3F"/>
        </w:rPr>
        <w:t>,</w:t>
      </w:r>
      <w:r>
        <w:rPr>
          <w:rFonts w:ascii="Arial" w:cs="Arial" w:eastAsia="Arial" w:hAnsi="Arial"/>
          <w:sz w:val="18"/>
          <w:szCs w:val="18"/>
          <w:color w:val="262626"/>
        </w:rPr>
        <w:t xml:space="preserve"> and Tenant shall not be entitled to any damages resulting from such failure</w:t>
      </w:r>
      <w:r>
        <w:rPr>
          <w:rFonts w:ascii="Arial" w:cs="Arial" w:eastAsia="Arial" w:hAnsi="Arial"/>
          <w:sz w:val="18"/>
          <w:szCs w:val="18"/>
          <w:color w:val="3F3F3F"/>
        </w:rPr>
        <w:t>,</w:t>
      </w:r>
      <w:r>
        <w:rPr>
          <w:rFonts w:ascii="Arial" w:cs="Arial" w:eastAsia="Arial" w:hAnsi="Arial"/>
          <w:sz w:val="18"/>
          <w:szCs w:val="18"/>
          <w:color w:val="262626"/>
        </w:rPr>
        <w:t xml:space="preserve"> nor shall such failure relieve Tenant of the obligation to pay all sums due hereunder or constitute or be construed as a constructive or other eviction of Tenant. If any governmental entity promulgates or revises any statute, ordinance or building </w:t>
      </w:r>
      <w:r>
        <w:rPr>
          <w:rFonts w:ascii="Arial" w:cs="Arial" w:eastAsia="Arial" w:hAnsi="Arial"/>
          <w:sz w:val="18"/>
          <w:szCs w:val="18"/>
          <w:color w:val="3F3F3F"/>
        </w:rPr>
        <w:t>,</w:t>
      </w:r>
      <w:r>
        <w:rPr>
          <w:rFonts w:ascii="Arial" w:cs="Arial" w:eastAsia="Arial" w:hAnsi="Arial"/>
          <w:sz w:val="18"/>
          <w:szCs w:val="18"/>
          <w:color w:val="262626"/>
        </w:rPr>
        <w:t xml:space="preserve"> fire or other code, or imposes mandatory or voluntary controls or guidelines on Landlord or the Building or any part thereof, relating to the use or conservation of energy, water, gas, steam, light or electricity or the provision of any other utility or service provided with respect to this Lease</w:t>
      </w:r>
      <w:r>
        <w:rPr>
          <w:rFonts w:ascii="Arial" w:cs="Arial" w:eastAsia="Arial" w:hAnsi="Arial"/>
          <w:sz w:val="18"/>
          <w:szCs w:val="18"/>
          <w:color w:val="3F3F3F"/>
        </w:rPr>
        <w:t>,</w:t>
      </w:r>
      <w:r>
        <w:rPr>
          <w:rFonts w:ascii="Arial" w:cs="Arial" w:eastAsia="Arial" w:hAnsi="Arial"/>
          <w:sz w:val="18"/>
          <w:szCs w:val="18"/>
          <w:color w:val="262626"/>
        </w:rPr>
        <w:t xml:space="preserve"> or if Landlord is required or elects to make alterations to the Building in order to comply with such mandatory or voluntary controls or guidelines, or make such alterations to the Building, neither such compliance nor the making of such alterations shall in any event entitle Tenant to any damages, relieve Tenant of the obligation to pay any of the sums due hereunder, or constitute or be construed as a constructive or other eviction of Tenant. Tenant hereby waives the provisions of California Civil Code Section 1932(1) or any other applicable Laws permitting the termination of this Lease due to such failure or interruption.</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8</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SUITABILITY OF PREMISES</w:t>
      </w:r>
    </w:p>
    <w:p>
      <w:pPr>
        <w:spacing w:after="0" w:line="186" w:lineRule="exact"/>
        <w:rPr>
          <w:sz w:val="20"/>
          <w:szCs w:val="20"/>
          <w:color w:val="auto"/>
        </w:rPr>
      </w:pPr>
    </w:p>
    <w:p>
      <w:pPr>
        <w:jc w:val="both"/>
        <w:ind w:right="40" w:firstLine="877"/>
        <w:spacing w:after="0" w:line="250" w:lineRule="auto"/>
        <w:rPr>
          <w:sz w:val="20"/>
          <w:szCs w:val="20"/>
          <w:color w:val="auto"/>
        </w:rPr>
      </w:pPr>
      <w:r>
        <w:rPr>
          <w:rFonts w:ascii="Arial" w:cs="Arial" w:eastAsia="Arial" w:hAnsi="Arial"/>
          <w:sz w:val="20"/>
          <w:szCs w:val="20"/>
          <w:color w:val="262626"/>
        </w:rPr>
        <w:t>Tenant acknowledges that</w:t>
      </w:r>
      <w:r>
        <w:rPr>
          <w:rFonts w:ascii="Arial" w:cs="Arial" w:eastAsia="Arial" w:hAnsi="Arial"/>
          <w:sz w:val="20"/>
          <w:szCs w:val="20"/>
          <w:color w:val="3F3F3F"/>
        </w:rPr>
        <w:t>,</w:t>
      </w:r>
      <w:r>
        <w:rPr>
          <w:rFonts w:ascii="Arial" w:cs="Arial" w:eastAsia="Arial" w:hAnsi="Arial"/>
          <w:sz w:val="20"/>
          <w:szCs w:val="20"/>
          <w:color w:val="262626"/>
        </w:rPr>
        <w:t xml:space="preserve"> except for the representations and warranties of Landlord set forth in this Lease</w:t>
      </w:r>
      <w:r>
        <w:rPr>
          <w:rFonts w:ascii="Arial" w:cs="Arial" w:eastAsia="Arial" w:hAnsi="Arial"/>
          <w:sz w:val="20"/>
          <w:szCs w:val="20"/>
          <w:color w:val="3F3F3F"/>
        </w:rPr>
        <w:t>,</w:t>
      </w:r>
      <w:r>
        <w:rPr>
          <w:rFonts w:ascii="Arial" w:cs="Arial" w:eastAsia="Arial" w:hAnsi="Arial"/>
          <w:sz w:val="20"/>
          <w:szCs w:val="20"/>
          <w:color w:val="262626"/>
        </w:rPr>
        <w:t xml:space="preserve"> neither Landlord nor any agent of Landlord has made any representation or warranty with respect to the suitability or fitness of the possession or use of the Premises for the conduct of Tenant’s business or for any other purpose.</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9</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ALTERATIONS</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9.1</w:t>
      </w:r>
      <w:r>
        <w:rPr>
          <w:sz w:val="20"/>
          <w:szCs w:val="20"/>
          <w:color w:val="auto"/>
        </w:rPr>
        <w:tab/>
      </w:r>
      <w:r>
        <w:rPr>
          <w:rFonts w:ascii="Arial" w:cs="Arial" w:eastAsia="Arial" w:hAnsi="Arial"/>
          <w:sz w:val="16"/>
          <w:szCs w:val="16"/>
          <w:u w:val="single" w:color="auto"/>
          <w:color w:val="auto"/>
        </w:rPr>
        <w:t>General</w:t>
      </w:r>
    </w:p>
    <w:p>
      <w:pPr>
        <w:spacing w:after="0" w:line="202" w:lineRule="exact"/>
        <w:rPr>
          <w:sz w:val="20"/>
          <w:szCs w:val="20"/>
          <w:color w:val="auto"/>
        </w:rPr>
      </w:pPr>
    </w:p>
    <w:p>
      <w:pPr>
        <w:ind w:right="60" w:firstLine="877"/>
        <w:spacing w:after="0" w:line="255" w:lineRule="auto"/>
        <w:rPr>
          <w:sz w:val="20"/>
          <w:szCs w:val="20"/>
          <w:color w:val="auto"/>
        </w:rPr>
      </w:pPr>
      <w:r>
        <w:rPr>
          <w:rFonts w:ascii="Arial" w:cs="Arial" w:eastAsia="Arial" w:hAnsi="Arial"/>
          <w:sz w:val="19"/>
          <w:szCs w:val="19"/>
          <w:color w:val="262626"/>
        </w:rPr>
        <w:t>Except as permitted hereby, Tenant shall neither make nor cause to be made any alterations</w:t>
      </w:r>
      <w:r>
        <w:rPr>
          <w:rFonts w:ascii="Arial" w:cs="Arial" w:eastAsia="Arial" w:hAnsi="Arial"/>
          <w:sz w:val="19"/>
          <w:szCs w:val="19"/>
          <w:color w:val="414141"/>
        </w:rPr>
        <w:t>,</w:t>
      </w:r>
      <w:r>
        <w:rPr>
          <w:rFonts w:ascii="Arial" w:cs="Arial" w:eastAsia="Arial" w:hAnsi="Arial"/>
          <w:sz w:val="19"/>
          <w:szCs w:val="19"/>
          <w:color w:val="262626"/>
        </w:rPr>
        <w:t xml:space="preserve"> additions or improvements (collectively “Alterations”) in</w:t>
      </w:r>
      <w:r>
        <w:rPr>
          <w:rFonts w:ascii="Arial" w:cs="Arial" w:eastAsia="Arial" w:hAnsi="Arial"/>
          <w:sz w:val="19"/>
          <w:szCs w:val="19"/>
          <w:color w:val="414141"/>
        </w:rPr>
        <w:t>,</w:t>
      </w:r>
      <w:r>
        <w:rPr>
          <w:rFonts w:ascii="Arial" w:cs="Arial" w:eastAsia="Arial" w:hAnsi="Arial"/>
          <w:sz w:val="19"/>
          <w:szCs w:val="19"/>
          <w:color w:val="262626"/>
        </w:rPr>
        <w:t xml:space="preserve"> on or to any portion of the Building or the Common Areas outside of the interior of the Premises</w:t>
      </w:r>
      <w:r>
        <w:rPr>
          <w:rFonts w:ascii="Arial" w:cs="Arial" w:eastAsia="Arial" w:hAnsi="Arial"/>
          <w:sz w:val="19"/>
          <w:szCs w:val="19"/>
          <w:color w:val="414141"/>
        </w:rPr>
        <w:t>.</w:t>
      </w:r>
      <w:r>
        <w:rPr>
          <w:rFonts w:ascii="Arial" w:cs="Arial" w:eastAsia="Arial" w:hAnsi="Arial"/>
          <w:sz w:val="19"/>
          <w:szCs w:val="19"/>
          <w:color w:val="262626"/>
        </w:rPr>
        <w:t xml:space="preserve"> Tenant shall not make or suffer to be made any Alterations in, on or to the interior of the Premises or any part thereof, without the prior written consent of Landlord, which consent will not be unreasonably withheld or delayed; provided, however, Tenant acknowledges that, by way of example and without limitation, it shall be reasonable for Landlord to withhold its consent to Alterations affecting the structural portions of the Building or the life-safety, electrical, plumbing, HVAC fire-protection, telecommunications or other Building systems (collectively, “Building Systems”), structural portions of the Building, or Alterations which require work to be performed in portions of the Project outside the Premises in order to comply with Laws (e.g., ordinances intended to provide full access to handicapped persons). When applying for any such consent</w:t>
      </w:r>
      <w:r>
        <w:rPr>
          <w:rFonts w:ascii="Arial" w:cs="Arial" w:eastAsia="Arial" w:hAnsi="Arial"/>
          <w:sz w:val="19"/>
          <w:szCs w:val="19"/>
          <w:color w:val="414141"/>
        </w:rPr>
        <w:t>,</w:t>
      </w:r>
      <w:r>
        <w:rPr>
          <w:rFonts w:ascii="Arial" w:cs="Arial" w:eastAsia="Arial" w:hAnsi="Arial"/>
          <w:sz w:val="19"/>
          <w:szCs w:val="19"/>
          <w:color w:val="262626"/>
        </w:rPr>
        <w:t xml:space="preserve"> Tenant shall furnish to Landlord complete plans and specifications for the desired Alterations. Landlord’s approval of Tenant’s plans and specifications shall create no liability on the part of Landlord for their completeness</w:t>
      </w:r>
      <w:r>
        <w:rPr>
          <w:rFonts w:ascii="Arial" w:cs="Arial" w:eastAsia="Arial" w:hAnsi="Arial"/>
          <w:sz w:val="19"/>
          <w:szCs w:val="19"/>
          <w:color w:val="414141"/>
        </w:rPr>
        <w:t>,</w:t>
      </w:r>
      <w:r>
        <w:rPr>
          <w:rFonts w:ascii="Arial" w:cs="Arial" w:eastAsia="Arial" w:hAnsi="Arial"/>
          <w:sz w:val="19"/>
          <w:szCs w:val="19"/>
          <w:color w:val="262626"/>
        </w:rPr>
        <w:t xml:space="preserve"> sufficiency</w:t>
      </w:r>
      <w:r>
        <w:rPr>
          <w:rFonts w:ascii="Arial" w:cs="Arial" w:eastAsia="Arial" w:hAnsi="Arial"/>
          <w:sz w:val="19"/>
          <w:szCs w:val="19"/>
          <w:color w:val="414141"/>
        </w:rPr>
        <w:t>,</w:t>
      </w:r>
      <w:r>
        <w:rPr>
          <w:rFonts w:ascii="Arial" w:cs="Arial" w:eastAsia="Arial" w:hAnsi="Arial"/>
          <w:sz w:val="19"/>
          <w:szCs w:val="19"/>
          <w:color w:val="262626"/>
        </w:rPr>
        <w:t xml:space="preserve"> or compliance with Laws. Any Alterations to be constructed hereunder shall comply with Laws, including, without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15</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3" w:name="page144"/>
    <w:bookmarkEnd w:id="143"/>
    <w:p>
      <w:pPr>
        <w:ind w:right="40"/>
        <w:spacing w:after="0" w:line="268" w:lineRule="auto"/>
        <w:rPr>
          <w:sz w:val="20"/>
          <w:szCs w:val="20"/>
          <w:color w:val="auto"/>
        </w:rPr>
      </w:pPr>
      <w:r>
        <w:rPr>
          <w:rFonts w:ascii="Arial" w:cs="Arial" w:eastAsia="Arial" w:hAnsi="Arial"/>
          <w:sz w:val="18"/>
          <w:szCs w:val="18"/>
          <w:color w:val="262626"/>
        </w:rPr>
        <w:t>limitation, Disability Access Laws, and all costs incurred to comply therewith shall be a part of and included in the cost of the Alterations. Tenant shall be solely responsible for conducting its own independent investigation of this matter and for ensuring that the design of all Alterations strictly complies with Laws. Subsequent to obtaining Landlord’s consent and prior to commencement of construction of the Alterations, Tenant shall deliver to Landlord any building permit required by Law. Notwithstanding the foregoing</w:t>
      </w:r>
      <w:r>
        <w:rPr>
          <w:rFonts w:ascii="Arial" w:cs="Arial" w:eastAsia="Arial" w:hAnsi="Arial"/>
          <w:sz w:val="18"/>
          <w:szCs w:val="18"/>
          <w:color w:val="414141"/>
        </w:rPr>
        <w:t>,</w:t>
      </w:r>
      <w:r>
        <w:rPr>
          <w:rFonts w:ascii="Arial" w:cs="Arial" w:eastAsia="Arial" w:hAnsi="Arial"/>
          <w:sz w:val="18"/>
          <w:szCs w:val="18"/>
          <w:color w:val="262626"/>
        </w:rPr>
        <w:t xml:space="preserve"> Tenant shall have the right to paint and re-carpet and make non-structural cosmetic Alterations costing up to $25,000.00 per project (“Cosmetic Alterations”) without Landlord consent, without payment of a construction management fee to Landlord, and without provision of any bonds to Landlord. Any permitted Alterations shall be made by Tenant at Tenant’s sole cost and expense. All Alterations shall be performed only by contractors or mechanics approved by Landlord, which approval shall not be unreasonably withheld; provided</w:t>
      </w:r>
      <w:r>
        <w:rPr>
          <w:rFonts w:ascii="Arial" w:cs="Arial" w:eastAsia="Arial" w:hAnsi="Arial"/>
          <w:sz w:val="18"/>
          <w:szCs w:val="18"/>
          <w:color w:val="414141"/>
        </w:rPr>
        <w:t>,</w:t>
      </w:r>
      <w:r>
        <w:rPr>
          <w:rFonts w:ascii="Arial" w:cs="Arial" w:eastAsia="Arial" w:hAnsi="Arial"/>
          <w:sz w:val="18"/>
          <w:szCs w:val="18"/>
          <w:color w:val="262626"/>
        </w:rPr>
        <w:t xml:space="preserve"> however, that Landlord may, in its sole discretion, specify engineers, general contractors, subcontractors, and architects to perform work affecting the Building Systems or structural portions of the Building, and provided further that Landlord’s consent shall not be required with respect to contractors performing Cosmetic Alterations provided that such contractors are licensed and carry the insurance required hereby. Tenant shall provide</w:t>
      </w:r>
      <w:r>
        <w:rPr>
          <w:rFonts w:ascii="Arial" w:cs="Arial" w:eastAsia="Arial" w:hAnsi="Arial"/>
          <w:sz w:val="18"/>
          <w:szCs w:val="18"/>
          <w:color w:val="414141"/>
        </w:rPr>
        <w:t>,</w:t>
      </w:r>
      <w:r>
        <w:rPr>
          <w:rFonts w:ascii="Arial" w:cs="Arial" w:eastAsia="Arial" w:hAnsi="Arial"/>
          <w:sz w:val="18"/>
          <w:szCs w:val="18"/>
          <w:color w:val="262626"/>
        </w:rPr>
        <w:t xml:space="preserve"> at its expense, such completion, performance and/or payment bonds as Landlord considers reasonably necessary. Tenant shall also require its contractor and all subcontractors to maintain insurance in amounts and in such form as Landlord may reasonably require, and Tenant shall provide to Landlord, prior to commencement of construction of the Alterations</w:t>
      </w:r>
      <w:r>
        <w:rPr>
          <w:rFonts w:ascii="Arial" w:cs="Arial" w:eastAsia="Arial" w:hAnsi="Arial"/>
          <w:sz w:val="18"/>
          <w:szCs w:val="18"/>
          <w:color w:val="414141"/>
        </w:rPr>
        <w:t>,</w:t>
      </w:r>
      <w:r>
        <w:rPr>
          <w:rFonts w:ascii="Arial" w:cs="Arial" w:eastAsia="Arial" w:hAnsi="Arial"/>
          <w:sz w:val="18"/>
          <w:szCs w:val="18"/>
          <w:color w:val="262626"/>
        </w:rPr>
        <w:t xml:space="preserve"> evidence of such insurance as Landlord may require. Any Alterations shall be completed in accordance with the plans and specifications approved by Landlord, shall be carried out in a good, workmanlike and prompt manner, shall comply with all applicable Laws, and, shall be subject to supervision by Landlord or its employees, agents or contractors. </w:t>
      </w:r>
      <w:r>
        <w:rPr>
          <w:rFonts w:ascii="Arial" w:cs="Arial" w:eastAsia="Arial" w:hAnsi="Arial"/>
          <w:sz w:val="18"/>
          <w:szCs w:val="18"/>
          <w:color w:val="383838"/>
        </w:rPr>
        <w:t>Tenant</w:t>
      </w:r>
      <w:r>
        <w:rPr>
          <w:rFonts w:ascii="Arial" w:cs="Arial" w:eastAsia="Arial" w:hAnsi="Arial"/>
          <w:sz w:val="18"/>
          <w:szCs w:val="18"/>
          <w:color w:val="262626"/>
        </w:rPr>
        <w:t xml:space="preserve"> shall pay to </w:t>
      </w:r>
      <w:r>
        <w:rPr>
          <w:rFonts w:ascii="Arial" w:cs="Arial" w:eastAsia="Arial" w:hAnsi="Arial"/>
          <w:sz w:val="18"/>
          <w:szCs w:val="18"/>
          <w:color w:val="383838"/>
        </w:rPr>
        <w:t>Landlord a</w:t>
      </w:r>
      <w:r>
        <w:rPr>
          <w:rFonts w:ascii="Arial" w:cs="Arial" w:eastAsia="Arial" w:hAnsi="Arial"/>
          <w:sz w:val="18"/>
          <w:szCs w:val="18"/>
          <w:color w:val="262626"/>
        </w:rPr>
        <w:t xml:space="preserve"> fee in the amount of ten percent (10%) of the cost of the Alterations </w:t>
      </w:r>
      <w:r>
        <w:rPr>
          <w:rFonts w:ascii="Arial" w:cs="Arial" w:eastAsia="Arial" w:hAnsi="Arial"/>
          <w:sz w:val="18"/>
          <w:szCs w:val="18"/>
          <w:color w:val="383838"/>
        </w:rPr>
        <w:t>(</w:t>
      </w:r>
      <w:r>
        <w:rPr>
          <w:rFonts w:ascii="Arial" w:cs="Arial" w:eastAsia="Arial" w:hAnsi="Arial"/>
          <w:sz w:val="18"/>
          <w:szCs w:val="18"/>
          <w:color w:val="262626"/>
        </w:rPr>
        <w:t xml:space="preserve">other than Cosmetic Alterations) for its review of plans and its coordination of the </w:t>
      </w:r>
      <w:r>
        <w:rPr>
          <w:rFonts w:ascii="Arial" w:cs="Arial" w:eastAsia="Arial" w:hAnsi="Arial"/>
          <w:sz w:val="18"/>
          <w:szCs w:val="18"/>
          <w:color w:val="383838"/>
        </w:rPr>
        <w:t>progress of</w:t>
      </w:r>
      <w:r>
        <w:rPr>
          <w:rFonts w:ascii="Arial" w:cs="Arial" w:eastAsia="Arial" w:hAnsi="Arial"/>
          <w:sz w:val="18"/>
          <w:szCs w:val="18"/>
          <w:color w:val="262626"/>
        </w:rPr>
        <w:t xml:space="preserve"> the work. Without </w:t>
      </w:r>
      <w:r>
        <w:rPr>
          <w:rFonts w:ascii="Arial" w:cs="Arial" w:eastAsia="Arial" w:hAnsi="Arial"/>
          <w:sz w:val="18"/>
          <w:szCs w:val="18"/>
          <w:color w:val="383838"/>
        </w:rPr>
        <w:t>Landlord’s</w:t>
      </w:r>
      <w:r>
        <w:rPr>
          <w:rFonts w:ascii="Arial" w:cs="Arial" w:eastAsia="Arial" w:hAnsi="Arial"/>
          <w:sz w:val="18"/>
          <w:szCs w:val="18"/>
          <w:color w:val="262626"/>
        </w:rPr>
        <w:t xml:space="preserve"> prior </w:t>
      </w:r>
      <w:r>
        <w:rPr>
          <w:rFonts w:ascii="Arial" w:cs="Arial" w:eastAsia="Arial" w:hAnsi="Arial"/>
          <w:sz w:val="18"/>
          <w:szCs w:val="18"/>
          <w:color w:val="383838"/>
        </w:rPr>
        <w:t>written consent, Tenant shall</w:t>
      </w:r>
      <w:r>
        <w:rPr>
          <w:rFonts w:ascii="Arial" w:cs="Arial" w:eastAsia="Arial" w:hAnsi="Arial"/>
          <w:sz w:val="18"/>
          <w:szCs w:val="18"/>
          <w:color w:val="262626"/>
        </w:rPr>
        <w:t xml:space="preserve"> not use any </w:t>
      </w:r>
      <w:r>
        <w:rPr>
          <w:rFonts w:ascii="Arial" w:cs="Arial" w:eastAsia="Arial" w:hAnsi="Arial"/>
          <w:sz w:val="18"/>
          <w:szCs w:val="18"/>
          <w:color w:val="383838"/>
        </w:rPr>
        <w:t>portion of</w:t>
      </w:r>
      <w:r>
        <w:rPr>
          <w:rFonts w:ascii="Arial" w:cs="Arial" w:eastAsia="Arial" w:hAnsi="Arial"/>
          <w:sz w:val="18"/>
          <w:szCs w:val="18"/>
          <w:color w:val="262626"/>
        </w:rPr>
        <w:t xml:space="preserve"> the Common Areas in </w:t>
      </w:r>
      <w:r>
        <w:rPr>
          <w:rFonts w:ascii="Arial" w:cs="Arial" w:eastAsia="Arial" w:hAnsi="Arial"/>
          <w:sz w:val="18"/>
          <w:szCs w:val="18"/>
          <w:color w:val="383838"/>
        </w:rPr>
        <w:t>connection with the</w:t>
      </w:r>
      <w:r>
        <w:rPr>
          <w:rFonts w:ascii="Arial" w:cs="Arial" w:eastAsia="Arial" w:hAnsi="Arial"/>
          <w:sz w:val="18"/>
          <w:szCs w:val="18"/>
          <w:color w:val="262626"/>
        </w:rPr>
        <w:t xml:space="preserve"> making of any </w:t>
      </w:r>
      <w:r>
        <w:rPr>
          <w:rFonts w:ascii="Arial" w:cs="Arial" w:eastAsia="Arial" w:hAnsi="Arial"/>
          <w:sz w:val="18"/>
          <w:szCs w:val="18"/>
          <w:color w:val="383838"/>
        </w:rPr>
        <w:t>Alterations.</w:t>
      </w:r>
      <w:r>
        <w:rPr>
          <w:rFonts w:ascii="Arial" w:cs="Arial" w:eastAsia="Arial" w:hAnsi="Arial"/>
          <w:sz w:val="18"/>
          <w:szCs w:val="18"/>
          <w:color w:val="262626"/>
        </w:rPr>
        <w:t xml:space="preserve"> If the </w:t>
      </w:r>
      <w:r>
        <w:rPr>
          <w:rFonts w:ascii="Arial" w:cs="Arial" w:eastAsia="Arial" w:hAnsi="Arial"/>
          <w:sz w:val="18"/>
          <w:szCs w:val="18"/>
          <w:color w:val="383838"/>
        </w:rPr>
        <w:t>Alterations which Tenant causes to be constructed</w:t>
      </w:r>
      <w:r>
        <w:rPr>
          <w:rFonts w:ascii="Arial" w:cs="Arial" w:eastAsia="Arial" w:hAnsi="Arial"/>
          <w:sz w:val="18"/>
          <w:szCs w:val="18"/>
          <w:color w:val="262626"/>
        </w:rPr>
        <w:t xml:space="preserve"> result in </w:t>
      </w:r>
      <w:r>
        <w:rPr>
          <w:rFonts w:ascii="Arial" w:cs="Arial" w:eastAsia="Arial" w:hAnsi="Arial"/>
          <w:sz w:val="18"/>
          <w:szCs w:val="18"/>
          <w:color w:val="383838"/>
        </w:rPr>
        <w:t>Landlord</w:t>
      </w:r>
      <w:r>
        <w:rPr>
          <w:rFonts w:ascii="Arial" w:cs="Arial" w:eastAsia="Arial" w:hAnsi="Arial"/>
          <w:sz w:val="18"/>
          <w:szCs w:val="18"/>
          <w:color w:val="262626"/>
        </w:rPr>
        <w:t xml:space="preserve"> being </w:t>
      </w:r>
      <w:r>
        <w:rPr>
          <w:rFonts w:ascii="Arial" w:cs="Arial" w:eastAsia="Arial" w:hAnsi="Arial"/>
          <w:sz w:val="18"/>
          <w:szCs w:val="18"/>
          <w:color w:val="383838"/>
        </w:rPr>
        <w:t>required</w:t>
      </w:r>
      <w:r>
        <w:rPr>
          <w:rFonts w:ascii="Arial" w:cs="Arial" w:eastAsia="Arial" w:hAnsi="Arial"/>
          <w:sz w:val="18"/>
          <w:szCs w:val="18"/>
          <w:color w:val="262626"/>
        </w:rPr>
        <w:t xml:space="preserve"> to make any </w:t>
      </w:r>
      <w:r>
        <w:rPr>
          <w:rFonts w:ascii="Arial" w:cs="Arial" w:eastAsia="Arial" w:hAnsi="Arial"/>
          <w:sz w:val="18"/>
          <w:szCs w:val="18"/>
          <w:color w:val="383838"/>
        </w:rPr>
        <w:t>alterations</w:t>
      </w:r>
      <w:r>
        <w:rPr>
          <w:rFonts w:ascii="Arial" w:cs="Arial" w:eastAsia="Arial" w:hAnsi="Arial"/>
          <w:sz w:val="18"/>
          <w:szCs w:val="18"/>
          <w:color w:val="262626"/>
        </w:rPr>
        <w:t xml:space="preserve"> and/or improvements </w:t>
      </w:r>
      <w:r>
        <w:rPr>
          <w:rFonts w:ascii="Arial" w:cs="Arial" w:eastAsia="Arial" w:hAnsi="Arial"/>
          <w:sz w:val="18"/>
          <w:szCs w:val="18"/>
          <w:color w:val="383838"/>
        </w:rPr>
        <w:t>to other</w:t>
      </w:r>
      <w:r>
        <w:rPr>
          <w:rFonts w:ascii="Arial" w:cs="Arial" w:eastAsia="Arial" w:hAnsi="Arial"/>
          <w:sz w:val="18"/>
          <w:szCs w:val="18"/>
          <w:color w:val="262626"/>
        </w:rPr>
        <w:t xml:space="preserve"> portions </w:t>
      </w:r>
      <w:r>
        <w:rPr>
          <w:rFonts w:ascii="Arial" w:cs="Arial" w:eastAsia="Arial" w:hAnsi="Arial"/>
          <w:sz w:val="18"/>
          <w:szCs w:val="18"/>
          <w:color w:val="383838"/>
        </w:rPr>
        <w:t>of</w:t>
      </w:r>
      <w:r>
        <w:rPr>
          <w:rFonts w:ascii="Arial" w:cs="Arial" w:eastAsia="Arial" w:hAnsi="Arial"/>
          <w:sz w:val="18"/>
          <w:szCs w:val="18"/>
          <w:color w:val="262626"/>
        </w:rPr>
        <w:t xml:space="preserve"> the Building in order to </w:t>
      </w:r>
      <w:r>
        <w:rPr>
          <w:rFonts w:ascii="Arial" w:cs="Arial" w:eastAsia="Arial" w:hAnsi="Arial"/>
          <w:sz w:val="18"/>
          <w:szCs w:val="18"/>
          <w:color w:val="383838"/>
        </w:rPr>
        <w:t>comply</w:t>
      </w:r>
      <w:r>
        <w:rPr>
          <w:rFonts w:ascii="Arial" w:cs="Arial" w:eastAsia="Arial" w:hAnsi="Arial"/>
          <w:sz w:val="18"/>
          <w:szCs w:val="18"/>
          <w:color w:val="262626"/>
        </w:rPr>
        <w:t xml:space="preserve"> with </w:t>
      </w:r>
      <w:r>
        <w:rPr>
          <w:rFonts w:ascii="Arial" w:cs="Arial" w:eastAsia="Arial" w:hAnsi="Arial"/>
          <w:sz w:val="18"/>
          <w:szCs w:val="18"/>
          <w:color w:val="383838"/>
        </w:rPr>
        <w:t>Laws (e.g., ordinances</w:t>
      </w:r>
      <w:r>
        <w:rPr>
          <w:rFonts w:ascii="Arial" w:cs="Arial" w:eastAsia="Arial" w:hAnsi="Arial"/>
          <w:sz w:val="18"/>
          <w:szCs w:val="18"/>
          <w:color w:val="262626"/>
        </w:rPr>
        <w:t xml:space="preserve"> intended </w:t>
      </w:r>
      <w:r>
        <w:rPr>
          <w:rFonts w:ascii="Arial" w:cs="Arial" w:eastAsia="Arial" w:hAnsi="Arial"/>
          <w:sz w:val="18"/>
          <w:szCs w:val="18"/>
          <w:color w:val="383838"/>
        </w:rPr>
        <w:t>to provide full access</w:t>
      </w:r>
      <w:r>
        <w:rPr>
          <w:rFonts w:ascii="Arial" w:cs="Arial" w:eastAsia="Arial" w:hAnsi="Arial"/>
          <w:sz w:val="18"/>
          <w:szCs w:val="18"/>
          <w:color w:val="262626"/>
        </w:rPr>
        <w:t xml:space="preserve"> to handicapped persons), then Tenant </w:t>
      </w:r>
      <w:r>
        <w:rPr>
          <w:rFonts w:ascii="Arial" w:cs="Arial" w:eastAsia="Arial" w:hAnsi="Arial"/>
          <w:sz w:val="18"/>
          <w:szCs w:val="18"/>
          <w:color w:val="383838"/>
        </w:rPr>
        <w:t>shall</w:t>
      </w:r>
      <w:r>
        <w:rPr>
          <w:rFonts w:ascii="Arial" w:cs="Arial" w:eastAsia="Arial" w:hAnsi="Arial"/>
          <w:sz w:val="18"/>
          <w:szCs w:val="18"/>
          <w:color w:val="262626"/>
        </w:rPr>
        <w:t xml:space="preserve"> reimburse </w:t>
      </w:r>
      <w:r>
        <w:rPr>
          <w:rFonts w:ascii="Arial" w:cs="Arial" w:eastAsia="Arial" w:hAnsi="Arial"/>
          <w:sz w:val="18"/>
          <w:szCs w:val="18"/>
          <w:color w:val="383838"/>
        </w:rPr>
        <w:t>Landlord</w:t>
      </w:r>
      <w:r>
        <w:rPr>
          <w:rFonts w:ascii="Arial" w:cs="Arial" w:eastAsia="Arial" w:hAnsi="Arial"/>
          <w:sz w:val="18"/>
          <w:szCs w:val="18"/>
          <w:color w:val="262626"/>
        </w:rPr>
        <w:t xml:space="preserve"> within </w:t>
      </w:r>
      <w:r>
        <w:rPr>
          <w:rFonts w:ascii="Arial" w:cs="Arial" w:eastAsia="Arial" w:hAnsi="Arial"/>
          <w:sz w:val="18"/>
          <w:szCs w:val="18"/>
          <w:color w:val="383838"/>
        </w:rPr>
        <w:t>thirty</w:t>
      </w:r>
      <w:r>
        <w:rPr>
          <w:rFonts w:ascii="Arial" w:cs="Arial" w:eastAsia="Arial" w:hAnsi="Arial"/>
          <w:sz w:val="18"/>
          <w:szCs w:val="18"/>
          <w:color w:val="262626"/>
        </w:rPr>
        <w:t xml:space="preserve"> (30) days </w:t>
      </w:r>
      <w:r>
        <w:rPr>
          <w:rFonts w:ascii="Arial" w:cs="Arial" w:eastAsia="Arial" w:hAnsi="Arial"/>
          <w:sz w:val="18"/>
          <w:szCs w:val="18"/>
          <w:color w:val="383838"/>
        </w:rPr>
        <w:t>following Tenant’s</w:t>
      </w:r>
      <w:r>
        <w:rPr>
          <w:rFonts w:ascii="Arial" w:cs="Arial" w:eastAsia="Arial" w:hAnsi="Arial"/>
          <w:sz w:val="18"/>
          <w:szCs w:val="18"/>
          <w:color w:val="262626"/>
        </w:rPr>
        <w:t xml:space="preserve"> receipt of </w:t>
      </w:r>
      <w:r>
        <w:rPr>
          <w:rFonts w:ascii="Arial" w:cs="Arial" w:eastAsia="Arial" w:hAnsi="Arial"/>
          <w:sz w:val="18"/>
          <w:szCs w:val="18"/>
          <w:color w:val="383838"/>
        </w:rPr>
        <w:t>a detailed</w:t>
      </w:r>
      <w:r>
        <w:rPr>
          <w:rFonts w:ascii="Arial" w:cs="Arial" w:eastAsia="Arial" w:hAnsi="Arial"/>
          <w:sz w:val="18"/>
          <w:szCs w:val="18"/>
          <w:color w:val="262626"/>
        </w:rPr>
        <w:t xml:space="preserve"> demand </w:t>
      </w:r>
      <w:r>
        <w:rPr>
          <w:rFonts w:ascii="Arial" w:cs="Arial" w:eastAsia="Arial" w:hAnsi="Arial"/>
          <w:sz w:val="18"/>
          <w:szCs w:val="18"/>
          <w:color w:val="383838"/>
        </w:rPr>
        <w:t>for</w:t>
      </w:r>
      <w:r>
        <w:rPr>
          <w:rFonts w:ascii="Arial" w:cs="Arial" w:eastAsia="Arial" w:hAnsi="Arial"/>
          <w:sz w:val="18"/>
          <w:szCs w:val="18"/>
          <w:color w:val="262626"/>
        </w:rPr>
        <w:t xml:space="preserve"> all costs </w:t>
      </w:r>
      <w:r>
        <w:rPr>
          <w:rFonts w:ascii="Arial" w:cs="Arial" w:eastAsia="Arial" w:hAnsi="Arial"/>
          <w:sz w:val="18"/>
          <w:szCs w:val="18"/>
          <w:color w:val="383838"/>
        </w:rPr>
        <w:t>and expenses</w:t>
      </w:r>
      <w:r>
        <w:rPr>
          <w:rFonts w:ascii="Arial" w:cs="Arial" w:eastAsia="Arial" w:hAnsi="Arial"/>
          <w:sz w:val="18"/>
          <w:szCs w:val="18"/>
          <w:color w:val="262626"/>
        </w:rPr>
        <w:t xml:space="preserve"> incurred by </w:t>
      </w:r>
      <w:r>
        <w:rPr>
          <w:rFonts w:ascii="Arial" w:cs="Arial" w:eastAsia="Arial" w:hAnsi="Arial"/>
          <w:sz w:val="18"/>
          <w:szCs w:val="18"/>
          <w:color w:val="383838"/>
        </w:rPr>
        <w:t>Landlord</w:t>
      </w:r>
      <w:r>
        <w:rPr>
          <w:rFonts w:ascii="Arial" w:cs="Arial" w:eastAsia="Arial" w:hAnsi="Arial"/>
          <w:sz w:val="18"/>
          <w:szCs w:val="18"/>
          <w:color w:val="262626"/>
        </w:rPr>
        <w:t xml:space="preserve"> in </w:t>
      </w:r>
      <w:r>
        <w:rPr>
          <w:rFonts w:ascii="Arial" w:cs="Arial" w:eastAsia="Arial" w:hAnsi="Arial"/>
          <w:sz w:val="18"/>
          <w:szCs w:val="18"/>
          <w:color w:val="383838"/>
        </w:rPr>
        <w:t>making such</w:t>
      </w:r>
      <w:r>
        <w:rPr>
          <w:rFonts w:ascii="Arial" w:cs="Arial" w:eastAsia="Arial" w:hAnsi="Arial"/>
          <w:sz w:val="18"/>
          <w:szCs w:val="18"/>
          <w:color w:val="262626"/>
        </w:rPr>
        <w:t xml:space="preserve"> alterations </w:t>
      </w:r>
      <w:r>
        <w:rPr>
          <w:rFonts w:ascii="Arial" w:cs="Arial" w:eastAsia="Arial" w:hAnsi="Arial"/>
          <w:sz w:val="18"/>
          <w:szCs w:val="18"/>
          <w:color w:val="383838"/>
        </w:rPr>
        <w:t>and</w:t>
      </w:r>
      <w:r>
        <w:rPr>
          <w:rFonts w:ascii="Arial" w:cs="Arial" w:eastAsia="Arial" w:hAnsi="Arial"/>
          <w:sz w:val="18"/>
          <w:szCs w:val="18"/>
          <w:color w:val="525252"/>
        </w:rPr>
        <w:t>/</w:t>
      </w:r>
      <w:r>
        <w:rPr>
          <w:rFonts w:ascii="Arial" w:cs="Arial" w:eastAsia="Arial" w:hAnsi="Arial"/>
          <w:sz w:val="18"/>
          <w:szCs w:val="18"/>
          <w:color w:val="383838"/>
        </w:rPr>
        <w:t>or</w:t>
      </w:r>
      <w:r>
        <w:rPr>
          <w:rFonts w:ascii="Arial" w:cs="Arial" w:eastAsia="Arial" w:hAnsi="Arial"/>
          <w:sz w:val="18"/>
          <w:szCs w:val="18"/>
          <w:color w:val="262626"/>
        </w:rPr>
        <w:t xml:space="preserve"> improvements. Any Alterations made by Tenant shall remain on and be surrendered with the Premises upon the </w:t>
      </w:r>
      <w:r>
        <w:rPr>
          <w:rFonts w:ascii="Arial" w:cs="Arial" w:eastAsia="Arial" w:hAnsi="Arial"/>
          <w:sz w:val="18"/>
          <w:szCs w:val="18"/>
          <w:color w:val="383838"/>
        </w:rPr>
        <w:t>expiration</w:t>
      </w:r>
      <w:r>
        <w:rPr>
          <w:rFonts w:ascii="Arial" w:cs="Arial" w:eastAsia="Arial" w:hAnsi="Arial"/>
          <w:sz w:val="18"/>
          <w:szCs w:val="18"/>
          <w:color w:val="262626"/>
        </w:rPr>
        <w:t xml:space="preserve"> or sooner termination of the Term, except Tenant shall upon demand by Landlord, at Tenant’s sole cost and expense forthwith and with all due diligence remove all or any portion of </w:t>
      </w:r>
      <w:r>
        <w:rPr>
          <w:rFonts w:ascii="Arial" w:cs="Arial" w:eastAsia="Arial" w:hAnsi="Arial"/>
          <w:sz w:val="18"/>
          <w:szCs w:val="18"/>
          <w:color w:val="383838"/>
        </w:rPr>
        <w:t>any</w:t>
      </w:r>
      <w:r>
        <w:rPr>
          <w:rFonts w:ascii="Arial" w:cs="Arial" w:eastAsia="Arial" w:hAnsi="Arial"/>
          <w:sz w:val="18"/>
          <w:szCs w:val="18"/>
          <w:color w:val="262626"/>
        </w:rPr>
        <w:t xml:space="preserve"> </w:t>
      </w:r>
      <w:r>
        <w:rPr>
          <w:rFonts w:ascii="Arial" w:cs="Arial" w:eastAsia="Arial" w:hAnsi="Arial"/>
          <w:sz w:val="18"/>
          <w:szCs w:val="18"/>
          <w:color w:val="383838"/>
        </w:rPr>
        <w:t xml:space="preserve">Alterations made </w:t>
      </w:r>
      <w:r>
        <w:rPr>
          <w:rFonts w:ascii="Arial" w:cs="Arial" w:eastAsia="Arial" w:hAnsi="Arial"/>
          <w:sz w:val="18"/>
          <w:szCs w:val="18"/>
          <w:color w:val="262626"/>
        </w:rPr>
        <w:t>by</w:t>
      </w:r>
      <w:r>
        <w:rPr>
          <w:rFonts w:ascii="Arial" w:cs="Arial" w:eastAsia="Arial" w:hAnsi="Arial"/>
          <w:sz w:val="18"/>
          <w:szCs w:val="18"/>
          <w:color w:val="383838"/>
        </w:rPr>
        <w:t xml:space="preserve"> Tenant which are </w:t>
      </w:r>
      <w:r>
        <w:rPr>
          <w:rFonts w:ascii="Arial" w:cs="Arial" w:eastAsia="Arial" w:hAnsi="Arial"/>
          <w:sz w:val="18"/>
          <w:szCs w:val="18"/>
          <w:color w:val="262626"/>
        </w:rPr>
        <w:t>designated by</w:t>
      </w:r>
      <w:r>
        <w:rPr>
          <w:rFonts w:ascii="Arial" w:cs="Arial" w:eastAsia="Arial" w:hAnsi="Arial"/>
          <w:sz w:val="18"/>
          <w:szCs w:val="18"/>
          <w:color w:val="383838"/>
        </w:rPr>
        <w:t xml:space="preserve"> Landlord </w:t>
      </w:r>
      <w:r>
        <w:rPr>
          <w:rFonts w:ascii="Arial" w:cs="Arial" w:eastAsia="Arial" w:hAnsi="Arial"/>
          <w:sz w:val="18"/>
          <w:szCs w:val="18"/>
          <w:color w:val="262626"/>
        </w:rPr>
        <w:t>to be</w:t>
      </w:r>
      <w:r>
        <w:rPr>
          <w:rFonts w:ascii="Arial" w:cs="Arial" w:eastAsia="Arial" w:hAnsi="Arial"/>
          <w:sz w:val="18"/>
          <w:szCs w:val="18"/>
          <w:color w:val="383838"/>
        </w:rPr>
        <w:t xml:space="preserve"> removed, </w:t>
      </w:r>
      <w:r>
        <w:rPr>
          <w:rFonts w:ascii="Arial" w:cs="Arial" w:eastAsia="Arial" w:hAnsi="Arial"/>
          <w:sz w:val="18"/>
          <w:szCs w:val="18"/>
          <w:color w:val="262626"/>
        </w:rPr>
        <w:t>and</w:t>
      </w:r>
      <w:r>
        <w:rPr>
          <w:rFonts w:ascii="Arial" w:cs="Arial" w:eastAsia="Arial" w:hAnsi="Arial"/>
          <w:sz w:val="18"/>
          <w:szCs w:val="18"/>
          <w:color w:val="383838"/>
        </w:rPr>
        <w:t xml:space="preserve"> Tenant s</w:t>
      </w:r>
      <w:r>
        <w:rPr>
          <w:rFonts w:ascii="Arial" w:cs="Arial" w:eastAsia="Arial" w:hAnsi="Arial"/>
          <w:sz w:val="18"/>
          <w:szCs w:val="18"/>
          <w:color w:val="262626"/>
        </w:rPr>
        <w:t>hall</w:t>
      </w:r>
      <w:r>
        <w:rPr>
          <w:rFonts w:ascii="Arial" w:cs="Arial" w:eastAsia="Arial" w:hAnsi="Arial"/>
          <w:sz w:val="18"/>
          <w:szCs w:val="18"/>
          <w:color w:val="383838"/>
        </w:rPr>
        <w:t xml:space="preserve"> forthwith and with all </w:t>
      </w:r>
      <w:r>
        <w:rPr>
          <w:rFonts w:ascii="Arial" w:cs="Arial" w:eastAsia="Arial" w:hAnsi="Arial"/>
          <w:sz w:val="18"/>
          <w:szCs w:val="18"/>
          <w:color w:val="262626"/>
        </w:rPr>
        <w:t>due diligence,</w:t>
      </w:r>
      <w:r>
        <w:rPr>
          <w:rFonts w:ascii="Arial" w:cs="Arial" w:eastAsia="Arial" w:hAnsi="Arial"/>
          <w:sz w:val="18"/>
          <w:szCs w:val="18"/>
          <w:color w:val="383838"/>
        </w:rPr>
        <w:t xml:space="preserve"> and at </w:t>
      </w:r>
      <w:r>
        <w:rPr>
          <w:rFonts w:ascii="Arial" w:cs="Arial" w:eastAsia="Arial" w:hAnsi="Arial"/>
          <w:sz w:val="18"/>
          <w:szCs w:val="18"/>
          <w:color w:val="262626"/>
        </w:rPr>
        <w:t>its</w:t>
      </w:r>
      <w:r>
        <w:rPr>
          <w:rFonts w:ascii="Arial" w:cs="Arial" w:eastAsia="Arial" w:hAnsi="Arial"/>
          <w:sz w:val="18"/>
          <w:szCs w:val="18"/>
          <w:color w:val="383838"/>
        </w:rPr>
        <w:t xml:space="preserve"> sole cost and expense, </w:t>
      </w:r>
      <w:r>
        <w:rPr>
          <w:rFonts w:ascii="Arial" w:cs="Arial" w:eastAsia="Arial" w:hAnsi="Arial"/>
          <w:sz w:val="18"/>
          <w:szCs w:val="18"/>
          <w:color w:val="262626"/>
        </w:rPr>
        <w:t>repair</w:t>
      </w:r>
      <w:r>
        <w:rPr>
          <w:rFonts w:ascii="Arial" w:cs="Arial" w:eastAsia="Arial" w:hAnsi="Arial"/>
          <w:sz w:val="18"/>
          <w:szCs w:val="18"/>
          <w:color w:val="383838"/>
        </w:rPr>
        <w:t xml:space="preserve"> and restore the Premises to their original condition, </w:t>
      </w:r>
      <w:r>
        <w:rPr>
          <w:rFonts w:ascii="Arial" w:cs="Arial" w:eastAsia="Arial" w:hAnsi="Arial"/>
          <w:sz w:val="18"/>
          <w:szCs w:val="18"/>
          <w:color w:val="262626"/>
        </w:rPr>
        <w:t>reasonable wear</w:t>
      </w:r>
      <w:r>
        <w:rPr>
          <w:rFonts w:ascii="Arial" w:cs="Arial" w:eastAsia="Arial" w:hAnsi="Arial"/>
          <w:sz w:val="18"/>
          <w:szCs w:val="18"/>
          <w:color w:val="383838"/>
        </w:rPr>
        <w:t xml:space="preserve"> and tear excepted. Tenant shall remove all telephone equipment, </w:t>
      </w:r>
      <w:r>
        <w:rPr>
          <w:rFonts w:ascii="Arial" w:cs="Arial" w:eastAsia="Arial" w:hAnsi="Arial"/>
          <w:sz w:val="18"/>
          <w:szCs w:val="18"/>
          <w:color w:val="262626"/>
        </w:rPr>
        <w:t>telephone and</w:t>
      </w:r>
      <w:r>
        <w:rPr>
          <w:rFonts w:ascii="Arial" w:cs="Arial" w:eastAsia="Arial" w:hAnsi="Arial"/>
          <w:sz w:val="18"/>
          <w:szCs w:val="18"/>
          <w:color w:val="383838"/>
        </w:rPr>
        <w:t xml:space="preserve"> computer </w:t>
      </w:r>
      <w:r>
        <w:rPr>
          <w:rFonts w:ascii="Arial" w:cs="Arial" w:eastAsia="Arial" w:hAnsi="Arial"/>
          <w:sz w:val="18"/>
          <w:szCs w:val="18"/>
          <w:color w:val="262626"/>
        </w:rPr>
        <w:t>wires, cables, conduits and other conductors,</w:t>
      </w:r>
      <w:r>
        <w:rPr>
          <w:rFonts w:ascii="Arial" w:cs="Arial" w:eastAsia="Arial" w:hAnsi="Arial"/>
          <w:sz w:val="18"/>
          <w:szCs w:val="18"/>
          <w:color w:val="383838"/>
        </w:rPr>
        <w:t xml:space="preserve"> which were </w:t>
      </w:r>
      <w:r>
        <w:rPr>
          <w:rFonts w:ascii="Arial" w:cs="Arial" w:eastAsia="Arial" w:hAnsi="Arial"/>
          <w:sz w:val="18"/>
          <w:szCs w:val="18"/>
          <w:color w:val="262626"/>
        </w:rPr>
        <w:t>installed for the benefit</w:t>
      </w:r>
      <w:r>
        <w:rPr>
          <w:rFonts w:ascii="Arial" w:cs="Arial" w:eastAsia="Arial" w:hAnsi="Arial"/>
          <w:sz w:val="18"/>
          <w:szCs w:val="18"/>
          <w:color w:val="383838"/>
        </w:rPr>
        <w:t xml:space="preserve"> of the </w:t>
      </w:r>
      <w:r>
        <w:rPr>
          <w:rFonts w:ascii="Arial" w:cs="Arial" w:eastAsia="Arial" w:hAnsi="Arial"/>
          <w:sz w:val="18"/>
          <w:szCs w:val="18"/>
          <w:color w:val="262626"/>
        </w:rPr>
        <w:t>Tenant at</w:t>
      </w:r>
      <w:r>
        <w:rPr>
          <w:rFonts w:ascii="Arial" w:cs="Arial" w:eastAsia="Arial" w:hAnsi="Arial"/>
          <w:sz w:val="18"/>
          <w:szCs w:val="18"/>
          <w:color w:val="383838"/>
        </w:rPr>
        <w:t xml:space="preserve"> </w:t>
      </w:r>
      <w:r>
        <w:rPr>
          <w:rFonts w:ascii="Arial" w:cs="Arial" w:eastAsia="Arial" w:hAnsi="Arial"/>
          <w:sz w:val="18"/>
          <w:szCs w:val="18"/>
          <w:color w:val="262626"/>
        </w:rPr>
        <w:t xml:space="preserve">the Tenant’s </w:t>
      </w:r>
      <w:r>
        <w:rPr>
          <w:rFonts w:ascii="Arial" w:cs="Arial" w:eastAsia="Arial" w:hAnsi="Arial"/>
          <w:sz w:val="18"/>
          <w:szCs w:val="18"/>
          <w:color w:val="383838"/>
        </w:rPr>
        <w:t>sole cost</w:t>
      </w:r>
      <w:r>
        <w:rPr>
          <w:rFonts w:ascii="Arial" w:cs="Arial" w:eastAsia="Arial" w:hAnsi="Arial"/>
          <w:sz w:val="18"/>
          <w:szCs w:val="18"/>
          <w:color w:val="262626"/>
        </w:rPr>
        <w:t xml:space="preserve"> and </w:t>
      </w:r>
      <w:r>
        <w:rPr>
          <w:rFonts w:ascii="Arial" w:cs="Arial" w:eastAsia="Arial" w:hAnsi="Arial"/>
          <w:sz w:val="18"/>
          <w:szCs w:val="18"/>
          <w:color w:val="383838"/>
        </w:rPr>
        <w:t>expense</w:t>
      </w:r>
      <w:r>
        <w:rPr>
          <w:rFonts w:ascii="Arial" w:cs="Arial" w:eastAsia="Arial" w:hAnsi="Arial"/>
          <w:sz w:val="18"/>
          <w:szCs w:val="18"/>
          <w:color w:val="262626"/>
        </w:rPr>
        <w:t xml:space="preserve"> upon </w:t>
      </w:r>
      <w:r>
        <w:rPr>
          <w:rFonts w:ascii="Arial" w:cs="Arial" w:eastAsia="Arial" w:hAnsi="Arial"/>
          <w:sz w:val="18"/>
          <w:szCs w:val="18"/>
          <w:color w:val="383838"/>
        </w:rPr>
        <w:t>termination</w:t>
      </w:r>
      <w:r>
        <w:rPr>
          <w:rFonts w:ascii="Arial" w:cs="Arial" w:eastAsia="Arial" w:hAnsi="Arial"/>
          <w:sz w:val="18"/>
          <w:szCs w:val="18"/>
          <w:color w:val="262626"/>
        </w:rPr>
        <w:t xml:space="preserve"> of the Le</w:t>
      </w:r>
      <w:r>
        <w:rPr>
          <w:rFonts w:ascii="Arial" w:cs="Arial" w:eastAsia="Arial" w:hAnsi="Arial"/>
          <w:sz w:val="18"/>
          <w:szCs w:val="18"/>
          <w:color w:val="383838"/>
        </w:rPr>
        <w:t>ase, and</w:t>
      </w:r>
      <w:r>
        <w:rPr>
          <w:rFonts w:ascii="Arial" w:cs="Arial" w:eastAsia="Arial" w:hAnsi="Arial"/>
          <w:sz w:val="18"/>
          <w:szCs w:val="18"/>
          <w:color w:val="262626"/>
        </w:rPr>
        <w:t xml:space="preserve"> the Tenant shall </w:t>
      </w:r>
      <w:r>
        <w:rPr>
          <w:rFonts w:ascii="Arial" w:cs="Arial" w:eastAsia="Arial" w:hAnsi="Arial"/>
          <w:sz w:val="18"/>
          <w:szCs w:val="18"/>
          <w:color w:val="383838"/>
        </w:rPr>
        <w:t>at</w:t>
      </w:r>
      <w:r>
        <w:rPr>
          <w:rFonts w:ascii="Arial" w:cs="Arial" w:eastAsia="Arial" w:hAnsi="Arial"/>
          <w:sz w:val="18"/>
          <w:szCs w:val="18"/>
          <w:color w:val="262626"/>
        </w:rPr>
        <w:t xml:space="preserve"> its </w:t>
      </w:r>
      <w:r>
        <w:rPr>
          <w:rFonts w:ascii="Arial" w:cs="Arial" w:eastAsia="Arial" w:hAnsi="Arial"/>
          <w:sz w:val="18"/>
          <w:szCs w:val="18"/>
          <w:color w:val="383838"/>
        </w:rPr>
        <w:t>sole</w:t>
      </w:r>
      <w:r>
        <w:rPr>
          <w:rFonts w:ascii="Arial" w:cs="Arial" w:eastAsia="Arial" w:hAnsi="Arial"/>
          <w:sz w:val="18"/>
          <w:szCs w:val="18"/>
          <w:color w:val="262626"/>
        </w:rPr>
        <w:t xml:space="preserve"> cost and </w:t>
      </w:r>
      <w:r>
        <w:rPr>
          <w:rFonts w:ascii="Arial" w:cs="Arial" w:eastAsia="Arial" w:hAnsi="Arial"/>
          <w:sz w:val="18"/>
          <w:szCs w:val="18"/>
          <w:color w:val="383838"/>
        </w:rPr>
        <w:t>expense,</w:t>
      </w:r>
      <w:r>
        <w:rPr>
          <w:rFonts w:ascii="Arial" w:cs="Arial" w:eastAsia="Arial" w:hAnsi="Arial"/>
          <w:sz w:val="18"/>
          <w:szCs w:val="18"/>
          <w:color w:val="262626"/>
        </w:rPr>
        <w:t xml:space="preserve"> forthwith and with all due diligence repair </w:t>
      </w:r>
      <w:r>
        <w:rPr>
          <w:rFonts w:ascii="Arial" w:cs="Arial" w:eastAsia="Arial" w:hAnsi="Arial"/>
          <w:sz w:val="18"/>
          <w:szCs w:val="18"/>
          <w:color w:val="383838"/>
        </w:rPr>
        <w:t>and</w:t>
      </w:r>
      <w:r>
        <w:rPr>
          <w:rFonts w:ascii="Arial" w:cs="Arial" w:eastAsia="Arial" w:hAnsi="Arial"/>
          <w:sz w:val="18"/>
          <w:szCs w:val="18"/>
          <w:color w:val="262626"/>
        </w:rPr>
        <w:t xml:space="preserve"> restore the Premises </w:t>
      </w:r>
      <w:r>
        <w:rPr>
          <w:rFonts w:ascii="Arial" w:cs="Arial" w:eastAsia="Arial" w:hAnsi="Arial"/>
          <w:sz w:val="18"/>
          <w:szCs w:val="18"/>
          <w:color w:val="383838"/>
        </w:rPr>
        <w:t>and</w:t>
      </w:r>
      <w:r>
        <w:rPr>
          <w:rFonts w:ascii="Arial" w:cs="Arial" w:eastAsia="Arial" w:hAnsi="Arial"/>
          <w:sz w:val="18"/>
          <w:szCs w:val="18"/>
          <w:color w:val="262626"/>
        </w:rPr>
        <w:t xml:space="preserve"> the Building to </w:t>
      </w:r>
      <w:r>
        <w:rPr>
          <w:rFonts w:ascii="Arial" w:cs="Arial" w:eastAsia="Arial" w:hAnsi="Arial"/>
          <w:sz w:val="18"/>
          <w:szCs w:val="18"/>
          <w:color w:val="383838"/>
        </w:rPr>
        <w:t>their</w:t>
      </w:r>
      <w:r>
        <w:rPr>
          <w:rFonts w:ascii="Arial" w:cs="Arial" w:eastAsia="Arial" w:hAnsi="Arial"/>
          <w:sz w:val="18"/>
          <w:szCs w:val="18"/>
          <w:color w:val="262626"/>
        </w:rPr>
        <w:t xml:space="preserve"> original condition.</w:t>
      </w:r>
    </w:p>
    <w:p>
      <w:pPr>
        <w:spacing w:after="0" w:line="14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9.2</w:t>
      </w:r>
      <w:r>
        <w:rPr>
          <w:sz w:val="20"/>
          <w:szCs w:val="20"/>
          <w:color w:val="auto"/>
        </w:rPr>
        <w:tab/>
      </w:r>
      <w:r>
        <w:rPr>
          <w:rFonts w:ascii="Arial" w:cs="Arial" w:eastAsia="Arial" w:hAnsi="Arial"/>
          <w:sz w:val="18"/>
          <w:szCs w:val="18"/>
          <w:u w:val="single" w:color="auto"/>
          <w:color w:val="auto"/>
        </w:rPr>
        <w:t>Notice</w:t>
      </w:r>
    </w:p>
    <w:p>
      <w:pPr>
        <w:spacing w:after="0" w:line="202" w:lineRule="exact"/>
        <w:rPr>
          <w:sz w:val="20"/>
          <w:szCs w:val="20"/>
          <w:color w:val="auto"/>
        </w:rPr>
      </w:pPr>
    </w:p>
    <w:p>
      <w:pPr>
        <w:ind w:right="60" w:firstLine="877"/>
        <w:spacing w:after="0" w:line="259" w:lineRule="auto"/>
        <w:rPr>
          <w:sz w:val="20"/>
          <w:szCs w:val="20"/>
          <w:color w:val="auto"/>
        </w:rPr>
      </w:pPr>
      <w:r>
        <w:rPr>
          <w:rFonts w:ascii="Arial" w:cs="Arial" w:eastAsia="Arial" w:hAnsi="Arial"/>
          <w:sz w:val="19"/>
          <w:szCs w:val="19"/>
          <w:color w:val="262626"/>
        </w:rPr>
        <w:t xml:space="preserve">Tenant shall give Landlord at least fifteen (15) days prior written notice of commencement of any work of construction, alteration, maintenance, repair or </w:t>
      </w:r>
      <w:r>
        <w:rPr>
          <w:rFonts w:ascii="Arial" w:cs="Arial" w:eastAsia="Arial" w:hAnsi="Arial"/>
          <w:sz w:val="19"/>
          <w:szCs w:val="19"/>
          <w:color w:val="383838"/>
        </w:rPr>
        <w:t>replacement</w:t>
      </w:r>
      <w:r>
        <w:rPr>
          <w:rFonts w:ascii="Arial" w:cs="Arial" w:eastAsia="Arial" w:hAnsi="Arial"/>
          <w:sz w:val="19"/>
          <w:szCs w:val="19"/>
          <w:color w:val="262626"/>
        </w:rPr>
        <w:t xml:space="preserve"> in </w:t>
      </w:r>
      <w:r>
        <w:rPr>
          <w:rFonts w:ascii="Arial" w:cs="Arial" w:eastAsia="Arial" w:hAnsi="Arial"/>
          <w:sz w:val="19"/>
          <w:szCs w:val="19"/>
          <w:color w:val="383838"/>
        </w:rPr>
        <w:t>order to enable Landlord</w:t>
      </w:r>
      <w:r>
        <w:rPr>
          <w:rFonts w:ascii="Arial" w:cs="Arial" w:eastAsia="Arial" w:hAnsi="Arial"/>
          <w:sz w:val="19"/>
          <w:szCs w:val="19"/>
          <w:color w:val="262626"/>
        </w:rPr>
        <w:t xml:space="preserve"> to post </w:t>
      </w:r>
      <w:r>
        <w:rPr>
          <w:rFonts w:ascii="Arial" w:cs="Arial" w:eastAsia="Arial" w:hAnsi="Arial"/>
          <w:sz w:val="19"/>
          <w:szCs w:val="19"/>
          <w:color w:val="383838"/>
        </w:rPr>
        <w:t>and record</w:t>
      </w:r>
      <w:r>
        <w:rPr>
          <w:rFonts w:ascii="Arial" w:cs="Arial" w:eastAsia="Arial" w:hAnsi="Arial"/>
          <w:sz w:val="19"/>
          <w:szCs w:val="19"/>
          <w:color w:val="262626"/>
        </w:rPr>
        <w:t xml:space="preserve"> notices </w:t>
      </w:r>
      <w:r>
        <w:rPr>
          <w:rFonts w:ascii="Arial" w:cs="Arial" w:eastAsia="Arial" w:hAnsi="Arial"/>
          <w:sz w:val="19"/>
          <w:szCs w:val="19"/>
          <w:color w:val="383838"/>
        </w:rPr>
        <w:t>of non-responsibility. Tenant shall keep the Pre</w:t>
      </w:r>
      <w:r>
        <w:rPr>
          <w:rFonts w:ascii="Arial" w:cs="Arial" w:eastAsia="Arial" w:hAnsi="Arial"/>
          <w:sz w:val="19"/>
          <w:szCs w:val="19"/>
          <w:color w:val="262626"/>
        </w:rPr>
        <w:t xml:space="preserve">mises, </w:t>
      </w:r>
      <w:r>
        <w:rPr>
          <w:rFonts w:ascii="Arial" w:cs="Arial" w:eastAsia="Arial" w:hAnsi="Arial"/>
          <w:sz w:val="19"/>
          <w:szCs w:val="19"/>
          <w:color w:val="383838"/>
        </w:rPr>
        <w:t xml:space="preserve">Common Areas, </w:t>
      </w:r>
      <w:r>
        <w:rPr>
          <w:rFonts w:ascii="Arial" w:cs="Arial" w:eastAsia="Arial" w:hAnsi="Arial"/>
          <w:sz w:val="19"/>
          <w:szCs w:val="19"/>
          <w:color w:val="262626"/>
        </w:rPr>
        <w:t>Building</w:t>
      </w:r>
      <w:r>
        <w:rPr>
          <w:rFonts w:ascii="Arial" w:cs="Arial" w:eastAsia="Arial" w:hAnsi="Arial"/>
          <w:sz w:val="19"/>
          <w:szCs w:val="19"/>
          <w:color w:val="383838"/>
        </w:rPr>
        <w:t xml:space="preserve"> and the </w:t>
      </w:r>
      <w:r>
        <w:rPr>
          <w:rFonts w:ascii="Arial" w:cs="Arial" w:eastAsia="Arial" w:hAnsi="Arial"/>
          <w:sz w:val="19"/>
          <w:szCs w:val="19"/>
          <w:color w:val="262626"/>
        </w:rPr>
        <w:t>Real Property</w:t>
      </w:r>
      <w:r>
        <w:rPr>
          <w:rFonts w:ascii="Arial" w:cs="Arial" w:eastAsia="Arial" w:hAnsi="Arial"/>
          <w:sz w:val="19"/>
          <w:szCs w:val="19"/>
          <w:color w:val="383838"/>
        </w:rPr>
        <w:t xml:space="preserve"> free from any </w:t>
      </w:r>
      <w:r>
        <w:rPr>
          <w:rFonts w:ascii="Arial" w:cs="Arial" w:eastAsia="Arial" w:hAnsi="Arial"/>
          <w:sz w:val="19"/>
          <w:szCs w:val="19"/>
          <w:color w:val="262626"/>
        </w:rPr>
        <w:t>liens</w:t>
      </w:r>
      <w:r>
        <w:rPr>
          <w:rFonts w:ascii="Arial" w:cs="Arial" w:eastAsia="Arial" w:hAnsi="Arial"/>
          <w:sz w:val="19"/>
          <w:szCs w:val="19"/>
          <w:color w:val="383838"/>
        </w:rPr>
        <w:t xml:space="preserve"> arising out of any work performed, </w:t>
      </w:r>
      <w:r>
        <w:rPr>
          <w:rFonts w:ascii="Arial" w:cs="Arial" w:eastAsia="Arial" w:hAnsi="Arial"/>
          <w:sz w:val="19"/>
          <w:szCs w:val="19"/>
          <w:color w:val="262626"/>
        </w:rPr>
        <w:t>materials</w:t>
      </w:r>
      <w:r>
        <w:rPr>
          <w:rFonts w:ascii="Arial" w:cs="Arial" w:eastAsia="Arial" w:hAnsi="Arial"/>
          <w:sz w:val="19"/>
          <w:szCs w:val="19"/>
          <w:color w:val="383838"/>
        </w:rPr>
        <w:t xml:space="preserve"> furnished or obligations </w:t>
      </w:r>
      <w:r>
        <w:rPr>
          <w:rFonts w:ascii="Arial" w:cs="Arial" w:eastAsia="Arial" w:hAnsi="Arial"/>
          <w:sz w:val="19"/>
          <w:szCs w:val="19"/>
          <w:color w:val="262626"/>
        </w:rPr>
        <w:t xml:space="preserve">incurred by </w:t>
      </w:r>
      <w:r>
        <w:rPr>
          <w:rFonts w:ascii="Arial" w:cs="Arial" w:eastAsia="Arial" w:hAnsi="Arial"/>
          <w:sz w:val="19"/>
          <w:szCs w:val="19"/>
          <w:color w:val="383838"/>
        </w:rPr>
        <w:t>Tenant. In the event that Tenant</w:t>
      </w:r>
      <w:r>
        <w:rPr>
          <w:rFonts w:ascii="Arial" w:cs="Arial" w:eastAsia="Arial" w:hAnsi="Arial"/>
          <w:sz w:val="19"/>
          <w:szCs w:val="19"/>
          <w:color w:val="262626"/>
        </w:rPr>
        <w:t xml:space="preserve"> does not</w:t>
      </w:r>
      <w:r>
        <w:rPr>
          <w:rFonts w:ascii="Arial" w:cs="Arial" w:eastAsia="Arial" w:hAnsi="Arial"/>
          <w:sz w:val="19"/>
          <w:szCs w:val="19"/>
          <w:color w:val="525252"/>
        </w:rPr>
        <w:t>,</w:t>
      </w:r>
      <w:r>
        <w:rPr>
          <w:rFonts w:ascii="Arial" w:cs="Arial" w:eastAsia="Arial" w:hAnsi="Arial"/>
          <w:sz w:val="19"/>
          <w:szCs w:val="19"/>
          <w:color w:val="262626"/>
        </w:rPr>
        <w:t xml:space="preserve"> </w:t>
      </w:r>
      <w:r>
        <w:rPr>
          <w:rFonts w:ascii="Arial" w:cs="Arial" w:eastAsia="Arial" w:hAnsi="Arial"/>
          <w:sz w:val="19"/>
          <w:szCs w:val="19"/>
          <w:color w:val="383838"/>
        </w:rPr>
        <w:t>within ten (10)</w:t>
      </w:r>
      <w:r>
        <w:rPr>
          <w:rFonts w:ascii="Arial" w:cs="Arial" w:eastAsia="Arial" w:hAnsi="Arial"/>
          <w:sz w:val="19"/>
          <w:szCs w:val="19"/>
          <w:color w:val="262626"/>
        </w:rPr>
        <w:t xml:space="preserve"> days </w:t>
      </w:r>
      <w:r>
        <w:rPr>
          <w:rFonts w:ascii="Arial" w:cs="Arial" w:eastAsia="Arial" w:hAnsi="Arial"/>
          <w:sz w:val="19"/>
          <w:szCs w:val="19"/>
          <w:color w:val="383838"/>
        </w:rPr>
        <w:t>following</w:t>
      </w:r>
      <w:r>
        <w:rPr>
          <w:rFonts w:ascii="Arial" w:cs="Arial" w:eastAsia="Arial" w:hAnsi="Arial"/>
          <w:sz w:val="19"/>
          <w:szCs w:val="19"/>
          <w:color w:val="262626"/>
        </w:rPr>
        <w:t xml:space="preserve"> the recording of notice of any such lien, Tenant shall </w:t>
      </w:r>
      <w:r>
        <w:rPr>
          <w:rFonts w:ascii="Arial" w:cs="Arial" w:eastAsia="Arial" w:hAnsi="Arial"/>
          <w:sz w:val="19"/>
          <w:szCs w:val="19"/>
          <w:color w:val="383838"/>
        </w:rPr>
        <w:t>cause</w:t>
      </w:r>
      <w:r>
        <w:rPr>
          <w:rFonts w:ascii="Arial" w:cs="Arial" w:eastAsia="Arial" w:hAnsi="Arial"/>
          <w:sz w:val="19"/>
          <w:szCs w:val="19"/>
          <w:color w:val="262626"/>
        </w:rPr>
        <w:t xml:space="preserve"> </w:t>
      </w:r>
      <w:r>
        <w:rPr>
          <w:rFonts w:ascii="Arial" w:cs="Arial" w:eastAsia="Arial" w:hAnsi="Arial"/>
          <w:sz w:val="19"/>
          <w:szCs w:val="19"/>
          <w:color w:val="383838"/>
        </w:rPr>
        <w:t xml:space="preserve">the same to be </w:t>
      </w:r>
      <w:r>
        <w:rPr>
          <w:rFonts w:ascii="Arial" w:cs="Arial" w:eastAsia="Arial" w:hAnsi="Arial"/>
          <w:sz w:val="19"/>
          <w:szCs w:val="19"/>
          <w:color w:val="262626"/>
        </w:rPr>
        <w:t>released</w:t>
      </w:r>
      <w:r>
        <w:rPr>
          <w:rFonts w:ascii="Arial" w:cs="Arial" w:eastAsia="Arial" w:hAnsi="Arial"/>
          <w:sz w:val="19"/>
          <w:szCs w:val="19"/>
          <w:color w:val="383838"/>
        </w:rPr>
        <w:t xml:space="preserve"> of </w:t>
      </w:r>
      <w:r>
        <w:rPr>
          <w:rFonts w:ascii="Arial" w:cs="Arial" w:eastAsia="Arial" w:hAnsi="Arial"/>
          <w:sz w:val="19"/>
          <w:szCs w:val="19"/>
          <w:color w:val="262626"/>
        </w:rPr>
        <w:t>record,</w:t>
      </w:r>
      <w:r>
        <w:rPr>
          <w:rFonts w:ascii="Arial" w:cs="Arial" w:eastAsia="Arial" w:hAnsi="Arial"/>
          <w:sz w:val="19"/>
          <w:szCs w:val="19"/>
          <w:color w:val="383838"/>
        </w:rPr>
        <w:t xml:space="preserve"> and Landlord </w:t>
      </w:r>
      <w:r>
        <w:rPr>
          <w:rFonts w:ascii="Arial" w:cs="Arial" w:eastAsia="Arial" w:hAnsi="Arial"/>
          <w:sz w:val="19"/>
          <w:szCs w:val="19"/>
          <w:color w:val="262626"/>
        </w:rPr>
        <w:t>shall have, in addition to all other remedies provided herein</w:t>
      </w:r>
      <w:r>
        <w:rPr>
          <w:rFonts w:ascii="Arial" w:cs="Arial" w:eastAsia="Arial" w:hAnsi="Arial"/>
          <w:sz w:val="19"/>
          <w:szCs w:val="19"/>
          <w:color w:val="383838"/>
        </w:rPr>
        <w:t xml:space="preserve"> and </w:t>
      </w:r>
      <w:r>
        <w:rPr>
          <w:rFonts w:ascii="Arial" w:cs="Arial" w:eastAsia="Arial" w:hAnsi="Arial"/>
          <w:sz w:val="19"/>
          <w:szCs w:val="19"/>
          <w:color w:val="262626"/>
        </w:rPr>
        <w:t>by</w:t>
      </w:r>
      <w:r>
        <w:rPr>
          <w:rFonts w:ascii="Arial" w:cs="Arial" w:eastAsia="Arial" w:hAnsi="Arial"/>
          <w:sz w:val="19"/>
          <w:szCs w:val="19"/>
          <w:color w:val="383838"/>
        </w:rPr>
        <w:t xml:space="preserve"> Law, the right, </w:t>
      </w:r>
      <w:r>
        <w:rPr>
          <w:rFonts w:ascii="Arial" w:cs="Arial" w:eastAsia="Arial" w:hAnsi="Arial"/>
          <w:sz w:val="19"/>
          <w:szCs w:val="19"/>
          <w:color w:val="262626"/>
        </w:rPr>
        <w:t>but not the</w:t>
      </w:r>
      <w:r>
        <w:rPr>
          <w:rFonts w:ascii="Arial" w:cs="Arial" w:eastAsia="Arial" w:hAnsi="Arial"/>
          <w:sz w:val="19"/>
          <w:szCs w:val="19"/>
          <w:color w:val="383838"/>
        </w:rPr>
        <w:t xml:space="preserve"> </w:t>
      </w:r>
      <w:r>
        <w:rPr>
          <w:rFonts w:ascii="Arial" w:cs="Arial" w:eastAsia="Arial" w:hAnsi="Arial"/>
          <w:sz w:val="19"/>
          <w:szCs w:val="19"/>
          <w:color w:val="262626"/>
        </w:rPr>
        <w:t xml:space="preserve">obligation, to cause the same to be released by </w:t>
      </w:r>
      <w:r>
        <w:rPr>
          <w:rFonts w:ascii="Arial" w:cs="Arial" w:eastAsia="Arial" w:hAnsi="Arial"/>
          <w:sz w:val="19"/>
          <w:szCs w:val="19"/>
          <w:color w:val="383838"/>
        </w:rPr>
        <w:t>such</w:t>
      </w:r>
      <w:r>
        <w:rPr>
          <w:rFonts w:ascii="Arial" w:cs="Arial" w:eastAsia="Arial" w:hAnsi="Arial"/>
          <w:sz w:val="19"/>
          <w:szCs w:val="19"/>
          <w:color w:val="262626"/>
        </w:rPr>
        <w:t xml:space="preserve"> means </w:t>
      </w:r>
      <w:r>
        <w:rPr>
          <w:rFonts w:ascii="Arial" w:cs="Arial" w:eastAsia="Arial" w:hAnsi="Arial"/>
          <w:sz w:val="19"/>
          <w:szCs w:val="19"/>
          <w:color w:val="383838"/>
        </w:rPr>
        <w:t>as</w:t>
      </w:r>
      <w:r>
        <w:rPr>
          <w:rFonts w:ascii="Arial" w:cs="Arial" w:eastAsia="Arial" w:hAnsi="Arial"/>
          <w:sz w:val="19"/>
          <w:szCs w:val="19"/>
          <w:color w:val="262626"/>
        </w:rPr>
        <w:t xml:space="preserve"> it </w:t>
      </w:r>
      <w:r>
        <w:rPr>
          <w:rFonts w:ascii="Arial" w:cs="Arial" w:eastAsia="Arial" w:hAnsi="Arial"/>
          <w:sz w:val="19"/>
          <w:szCs w:val="19"/>
          <w:color w:val="383838"/>
        </w:rPr>
        <w:t>shall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16</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4" w:name="page145"/>
    <w:bookmarkEnd w:id="144"/>
    <w:p>
      <w:pPr>
        <w:jc w:val="both"/>
        <w:ind w:right="40"/>
        <w:spacing w:after="0" w:line="269" w:lineRule="auto"/>
        <w:rPr>
          <w:sz w:val="20"/>
          <w:szCs w:val="20"/>
          <w:color w:val="auto"/>
        </w:rPr>
      </w:pPr>
      <w:r>
        <w:rPr>
          <w:rFonts w:ascii="Arial" w:cs="Arial" w:eastAsia="Arial" w:hAnsi="Arial"/>
          <w:sz w:val="19"/>
          <w:szCs w:val="19"/>
          <w:color w:val="262626"/>
        </w:rPr>
        <w:t xml:space="preserve">deem </w:t>
      </w:r>
      <w:r>
        <w:rPr>
          <w:rFonts w:ascii="Arial" w:cs="Arial" w:eastAsia="Arial" w:hAnsi="Arial"/>
          <w:sz w:val="19"/>
          <w:szCs w:val="19"/>
          <w:color w:val="383838"/>
        </w:rPr>
        <w:t>proper, including</w:t>
      </w:r>
      <w:r>
        <w:rPr>
          <w:rFonts w:ascii="Arial" w:cs="Arial" w:eastAsia="Arial" w:hAnsi="Arial"/>
          <w:sz w:val="19"/>
          <w:szCs w:val="19"/>
          <w:color w:val="262626"/>
        </w:rPr>
        <w:t xml:space="preserve"> payment of the claim giving rise to </w:t>
      </w:r>
      <w:r>
        <w:rPr>
          <w:rFonts w:ascii="Arial" w:cs="Arial" w:eastAsia="Arial" w:hAnsi="Arial"/>
          <w:sz w:val="19"/>
          <w:szCs w:val="19"/>
          <w:color w:val="383838"/>
        </w:rPr>
        <w:t>such</w:t>
      </w:r>
      <w:r>
        <w:rPr>
          <w:rFonts w:ascii="Arial" w:cs="Arial" w:eastAsia="Arial" w:hAnsi="Arial"/>
          <w:sz w:val="19"/>
          <w:szCs w:val="19"/>
          <w:color w:val="262626"/>
        </w:rPr>
        <w:t xml:space="preserve"> lien. </w:t>
      </w:r>
      <w:r>
        <w:rPr>
          <w:rFonts w:ascii="Arial" w:cs="Arial" w:eastAsia="Arial" w:hAnsi="Arial"/>
          <w:sz w:val="19"/>
          <w:szCs w:val="19"/>
          <w:color w:val="383838"/>
        </w:rPr>
        <w:t>All sums</w:t>
      </w:r>
      <w:r>
        <w:rPr>
          <w:rFonts w:ascii="Arial" w:cs="Arial" w:eastAsia="Arial" w:hAnsi="Arial"/>
          <w:sz w:val="19"/>
          <w:szCs w:val="19"/>
          <w:color w:val="262626"/>
        </w:rPr>
        <w:t xml:space="preserve"> paid by </w:t>
      </w:r>
      <w:r>
        <w:rPr>
          <w:rFonts w:ascii="Arial" w:cs="Arial" w:eastAsia="Arial" w:hAnsi="Arial"/>
          <w:sz w:val="19"/>
          <w:szCs w:val="19"/>
          <w:color w:val="383838"/>
        </w:rPr>
        <w:t>Landlord for s</w:t>
      </w:r>
      <w:r>
        <w:rPr>
          <w:rFonts w:ascii="Arial" w:cs="Arial" w:eastAsia="Arial" w:hAnsi="Arial"/>
          <w:sz w:val="19"/>
          <w:szCs w:val="19"/>
          <w:color w:val="262626"/>
        </w:rPr>
        <w:t xml:space="preserve">uch </w:t>
      </w:r>
      <w:r>
        <w:rPr>
          <w:rFonts w:ascii="Arial" w:cs="Arial" w:eastAsia="Arial" w:hAnsi="Arial"/>
          <w:sz w:val="19"/>
          <w:szCs w:val="19"/>
          <w:color w:val="383838"/>
        </w:rPr>
        <w:t>purpose,</w:t>
      </w:r>
      <w:r>
        <w:rPr>
          <w:rFonts w:ascii="Arial" w:cs="Arial" w:eastAsia="Arial" w:hAnsi="Arial"/>
          <w:sz w:val="19"/>
          <w:szCs w:val="19"/>
          <w:color w:val="262626"/>
        </w:rPr>
        <w:t xml:space="preserve"> and all expenses incurred by it in </w:t>
      </w:r>
      <w:r>
        <w:rPr>
          <w:rFonts w:ascii="Arial" w:cs="Arial" w:eastAsia="Arial" w:hAnsi="Arial"/>
          <w:sz w:val="19"/>
          <w:szCs w:val="19"/>
          <w:color w:val="383838"/>
        </w:rPr>
        <w:t>connection therewith, shall be</w:t>
      </w:r>
      <w:r>
        <w:rPr>
          <w:rFonts w:ascii="Arial" w:cs="Arial" w:eastAsia="Arial" w:hAnsi="Arial"/>
          <w:sz w:val="19"/>
          <w:szCs w:val="19"/>
          <w:color w:val="262626"/>
        </w:rPr>
        <w:t xml:space="preserve"> payable </w:t>
      </w:r>
      <w:r>
        <w:rPr>
          <w:rFonts w:ascii="Arial" w:cs="Arial" w:eastAsia="Arial" w:hAnsi="Arial"/>
          <w:sz w:val="19"/>
          <w:szCs w:val="19"/>
          <w:color w:val="383838"/>
        </w:rPr>
        <w:t>to Landlord</w:t>
      </w:r>
      <w:r>
        <w:rPr>
          <w:rFonts w:ascii="Arial" w:cs="Arial" w:eastAsia="Arial" w:hAnsi="Arial"/>
          <w:sz w:val="19"/>
          <w:szCs w:val="19"/>
          <w:color w:val="262626"/>
        </w:rPr>
        <w:t xml:space="preserve"> by Tenant, as additional </w:t>
      </w:r>
      <w:r>
        <w:rPr>
          <w:rFonts w:ascii="Arial" w:cs="Arial" w:eastAsia="Arial" w:hAnsi="Arial"/>
          <w:sz w:val="19"/>
          <w:szCs w:val="19"/>
          <w:color w:val="383838"/>
        </w:rPr>
        <w:t>rent,</w:t>
      </w:r>
      <w:r>
        <w:rPr>
          <w:rFonts w:ascii="Arial" w:cs="Arial" w:eastAsia="Arial" w:hAnsi="Arial"/>
          <w:sz w:val="19"/>
          <w:szCs w:val="19"/>
          <w:color w:val="262626"/>
        </w:rPr>
        <w:t xml:space="preserve"> on demand, together with interest at the Interest Rate from the date such expenses are incurred by </w:t>
      </w:r>
      <w:r>
        <w:rPr>
          <w:rFonts w:ascii="Arial" w:cs="Arial" w:eastAsia="Arial" w:hAnsi="Arial"/>
          <w:sz w:val="19"/>
          <w:szCs w:val="19"/>
          <w:color w:val="383838"/>
        </w:rPr>
        <w:t>Landlord</w:t>
      </w:r>
      <w:r>
        <w:rPr>
          <w:rFonts w:ascii="Arial" w:cs="Arial" w:eastAsia="Arial" w:hAnsi="Arial"/>
          <w:sz w:val="19"/>
          <w:szCs w:val="19"/>
          <w:color w:val="262626"/>
        </w:rPr>
        <w:t xml:space="preserve"> to the date of the payment thereof by Tenant to Landlord.</w:t>
      </w:r>
    </w:p>
    <w:p>
      <w:pPr>
        <w:spacing w:after="0" w:line="14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9.3</w:t>
      </w:r>
      <w:r>
        <w:rPr>
          <w:sz w:val="20"/>
          <w:szCs w:val="20"/>
          <w:color w:val="auto"/>
        </w:rPr>
        <w:tab/>
      </w:r>
      <w:r>
        <w:rPr>
          <w:rFonts w:ascii="Arial" w:cs="Arial" w:eastAsia="Arial" w:hAnsi="Arial"/>
          <w:sz w:val="18"/>
          <w:szCs w:val="18"/>
          <w:u w:val="single" w:color="auto"/>
          <w:color w:val="383838"/>
        </w:rPr>
        <w:t xml:space="preserve">Labor </w:t>
      </w:r>
      <w:r>
        <w:rPr>
          <w:rFonts w:ascii="Arial" w:cs="Arial" w:eastAsia="Arial" w:hAnsi="Arial"/>
          <w:sz w:val="18"/>
          <w:szCs w:val="18"/>
          <w:u w:val="single" w:color="auto"/>
          <w:color w:val="000000"/>
        </w:rPr>
        <w:t>Relations</w:t>
      </w:r>
    </w:p>
    <w:p>
      <w:pPr>
        <w:spacing w:after="0" w:line="202" w:lineRule="exact"/>
        <w:rPr>
          <w:sz w:val="20"/>
          <w:szCs w:val="20"/>
          <w:color w:val="auto"/>
        </w:rPr>
      </w:pPr>
    </w:p>
    <w:p>
      <w:pPr>
        <w:ind w:right="280" w:firstLine="877"/>
        <w:spacing w:after="0" w:line="250" w:lineRule="auto"/>
        <w:rPr>
          <w:sz w:val="20"/>
          <w:szCs w:val="20"/>
          <w:color w:val="auto"/>
        </w:rPr>
      </w:pPr>
      <w:r>
        <w:rPr>
          <w:rFonts w:ascii="Arial" w:cs="Arial" w:eastAsia="Arial" w:hAnsi="Arial"/>
          <w:sz w:val="20"/>
          <w:szCs w:val="20"/>
          <w:color w:val="262626"/>
        </w:rPr>
        <w:t xml:space="preserve">Should any </w:t>
      </w:r>
      <w:r>
        <w:rPr>
          <w:rFonts w:ascii="Arial" w:cs="Arial" w:eastAsia="Arial" w:hAnsi="Arial"/>
          <w:sz w:val="20"/>
          <w:szCs w:val="20"/>
          <w:color w:val="383838"/>
        </w:rPr>
        <w:t>construction, alteration</w:t>
      </w:r>
      <w:r>
        <w:rPr>
          <w:rFonts w:ascii="Arial" w:cs="Arial" w:eastAsia="Arial" w:hAnsi="Arial"/>
          <w:sz w:val="20"/>
          <w:szCs w:val="20"/>
          <w:color w:val="525252"/>
        </w:rPr>
        <w:t>,</w:t>
      </w:r>
      <w:r>
        <w:rPr>
          <w:rFonts w:ascii="Arial" w:cs="Arial" w:eastAsia="Arial" w:hAnsi="Arial"/>
          <w:sz w:val="20"/>
          <w:szCs w:val="20"/>
          <w:color w:val="262626"/>
        </w:rPr>
        <w:t xml:space="preserve"> </w:t>
      </w:r>
      <w:r>
        <w:rPr>
          <w:rFonts w:ascii="Arial" w:cs="Arial" w:eastAsia="Arial" w:hAnsi="Arial"/>
          <w:sz w:val="20"/>
          <w:szCs w:val="20"/>
          <w:color w:val="383838"/>
        </w:rPr>
        <w:t>addition,</w:t>
      </w:r>
      <w:r>
        <w:rPr>
          <w:rFonts w:ascii="Arial" w:cs="Arial" w:eastAsia="Arial" w:hAnsi="Arial"/>
          <w:sz w:val="20"/>
          <w:szCs w:val="20"/>
          <w:color w:val="262626"/>
        </w:rPr>
        <w:t xml:space="preserve"> improvement or decoration of the Premises by Tenant interfere </w:t>
      </w:r>
      <w:r>
        <w:rPr>
          <w:rFonts w:ascii="Arial" w:cs="Arial" w:eastAsia="Arial" w:hAnsi="Arial"/>
          <w:sz w:val="20"/>
          <w:szCs w:val="20"/>
          <w:color w:val="383838"/>
        </w:rPr>
        <w:t>with the</w:t>
      </w:r>
      <w:r>
        <w:rPr>
          <w:rFonts w:ascii="Arial" w:cs="Arial" w:eastAsia="Arial" w:hAnsi="Arial"/>
          <w:sz w:val="20"/>
          <w:szCs w:val="20"/>
          <w:color w:val="262626"/>
        </w:rPr>
        <w:t xml:space="preserve"> harmonious </w:t>
      </w:r>
      <w:r>
        <w:rPr>
          <w:rFonts w:ascii="Arial" w:cs="Arial" w:eastAsia="Arial" w:hAnsi="Arial"/>
          <w:sz w:val="20"/>
          <w:szCs w:val="20"/>
          <w:color w:val="383838"/>
        </w:rPr>
        <w:t xml:space="preserve">labor relations </w:t>
      </w:r>
      <w:r>
        <w:rPr>
          <w:rFonts w:ascii="Arial" w:cs="Arial" w:eastAsia="Arial" w:hAnsi="Arial"/>
          <w:sz w:val="20"/>
          <w:szCs w:val="20"/>
          <w:color w:val="262626"/>
        </w:rPr>
        <w:t>in existence</w:t>
      </w:r>
      <w:r>
        <w:rPr>
          <w:rFonts w:ascii="Arial" w:cs="Arial" w:eastAsia="Arial" w:hAnsi="Arial"/>
          <w:sz w:val="20"/>
          <w:szCs w:val="20"/>
          <w:color w:val="383838"/>
        </w:rPr>
        <w:t xml:space="preserve"> in the </w:t>
      </w:r>
      <w:r>
        <w:rPr>
          <w:rFonts w:ascii="Arial" w:cs="Arial" w:eastAsia="Arial" w:hAnsi="Arial"/>
          <w:sz w:val="20"/>
          <w:szCs w:val="20"/>
          <w:color w:val="262626"/>
        </w:rPr>
        <w:t>Building, all</w:t>
      </w:r>
      <w:r>
        <w:rPr>
          <w:rFonts w:ascii="Arial" w:cs="Arial" w:eastAsia="Arial" w:hAnsi="Arial"/>
          <w:sz w:val="20"/>
          <w:szCs w:val="20"/>
          <w:color w:val="383838"/>
        </w:rPr>
        <w:t xml:space="preserve"> such </w:t>
      </w:r>
      <w:r>
        <w:rPr>
          <w:rFonts w:ascii="Arial" w:cs="Arial" w:eastAsia="Arial" w:hAnsi="Arial"/>
          <w:sz w:val="20"/>
          <w:szCs w:val="20"/>
          <w:color w:val="262626"/>
        </w:rPr>
        <w:t>work shall be halted immediately by Tenant or Landlord’s agent until such time as</w:t>
      </w:r>
      <w:r>
        <w:rPr>
          <w:rFonts w:ascii="Arial" w:cs="Arial" w:eastAsia="Arial" w:hAnsi="Arial"/>
          <w:sz w:val="20"/>
          <w:szCs w:val="20"/>
          <w:color w:val="383838"/>
        </w:rPr>
        <w:t xml:space="preserve"> </w:t>
      </w:r>
      <w:r>
        <w:rPr>
          <w:rFonts w:ascii="Arial" w:cs="Arial" w:eastAsia="Arial" w:hAnsi="Arial"/>
          <w:sz w:val="20"/>
          <w:szCs w:val="20"/>
          <w:color w:val="262626"/>
        </w:rPr>
        <w:t>construction can proceed without any such interference.</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9.4</w:t>
      </w:r>
      <w:r>
        <w:rPr>
          <w:sz w:val="20"/>
          <w:szCs w:val="20"/>
          <w:color w:val="auto"/>
        </w:rPr>
        <w:tab/>
      </w:r>
      <w:r>
        <w:rPr>
          <w:rFonts w:ascii="Arial" w:cs="Arial" w:eastAsia="Arial" w:hAnsi="Arial"/>
          <w:sz w:val="18"/>
          <w:szCs w:val="18"/>
          <w:u w:val="single" w:color="auto"/>
          <w:color w:val="auto"/>
        </w:rPr>
        <w:t>Indemnity</w:t>
      </w:r>
    </w:p>
    <w:p>
      <w:pPr>
        <w:spacing w:after="0" w:line="189" w:lineRule="exact"/>
        <w:rPr>
          <w:sz w:val="20"/>
          <w:szCs w:val="20"/>
          <w:color w:val="auto"/>
        </w:rPr>
      </w:pPr>
    </w:p>
    <w:p>
      <w:pPr>
        <w:ind w:right="100" w:firstLine="877"/>
        <w:spacing w:after="0" w:line="244" w:lineRule="auto"/>
        <w:rPr>
          <w:sz w:val="20"/>
          <w:szCs w:val="20"/>
          <w:color w:val="auto"/>
        </w:rPr>
      </w:pPr>
      <w:r>
        <w:rPr>
          <w:rFonts w:ascii="Arial" w:cs="Arial" w:eastAsia="Arial" w:hAnsi="Arial"/>
          <w:sz w:val="20"/>
          <w:szCs w:val="20"/>
          <w:color w:val="262626"/>
        </w:rPr>
        <w:t xml:space="preserve">Tenant shall indemnify and hold Landlord and each of the other Indemnitees harmless from and protect and </w:t>
      </w:r>
      <w:r>
        <w:rPr>
          <w:rFonts w:ascii="Arial" w:cs="Arial" w:eastAsia="Arial" w:hAnsi="Arial"/>
          <w:sz w:val="20"/>
          <w:szCs w:val="20"/>
          <w:color w:val="383838"/>
        </w:rPr>
        <w:t>defend</w:t>
      </w:r>
      <w:r>
        <w:rPr>
          <w:rFonts w:ascii="Arial" w:cs="Arial" w:eastAsia="Arial" w:hAnsi="Arial"/>
          <w:sz w:val="20"/>
          <w:szCs w:val="20"/>
          <w:color w:val="262626"/>
        </w:rPr>
        <w:t xml:space="preserve"> each Indemnitee against any and all Claims (as defined in Section 12.2 below) arising out of or in any way related to claims for work or labor performed, or materials or supplies furnished, to or at the request of Tenant or in connection with performance of any work done for the account of Tenant in the Premises, the Common Areas or the Building, whether or not Tenant obtained Landlord’s permission to have such work done</w:t>
      </w:r>
      <w:r>
        <w:rPr>
          <w:rFonts w:ascii="Arial" w:cs="Arial" w:eastAsia="Arial" w:hAnsi="Arial"/>
          <w:sz w:val="20"/>
          <w:szCs w:val="20"/>
          <w:color w:val="424242"/>
        </w:rPr>
        <w:t>,</w:t>
      </w:r>
      <w:r>
        <w:rPr>
          <w:rFonts w:ascii="Arial" w:cs="Arial" w:eastAsia="Arial" w:hAnsi="Arial"/>
          <w:sz w:val="20"/>
          <w:szCs w:val="20"/>
          <w:color w:val="262626"/>
        </w:rPr>
        <w:t xml:space="preserve"> labor performed, or materials or supplies furnished</w:t>
      </w:r>
      <w:r>
        <w:rPr>
          <w:rFonts w:ascii="Arial" w:cs="Arial" w:eastAsia="Arial" w:hAnsi="Arial"/>
          <w:sz w:val="20"/>
          <w:szCs w:val="20"/>
          <w:color w:val="424242"/>
        </w:rPr>
        <w:t>.</w:t>
      </w:r>
    </w:p>
    <w:p>
      <w:pPr>
        <w:spacing w:after="0" w:line="18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262626"/>
        </w:rPr>
        <w:t>9.5</w:t>
      </w:r>
      <w:r>
        <w:rPr>
          <w:sz w:val="20"/>
          <w:szCs w:val="20"/>
          <w:color w:val="auto"/>
        </w:rPr>
        <w:tab/>
      </w:r>
      <w:r>
        <w:rPr>
          <w:rFonts w:ascii="Arial" w:cs="Arial" w:eastAsia="Arial" w:hAnsi="Arial"/>
          <w:sz w:val="18"/>
          <w:szCs w:val="18"/>
          <w:u w:val="single" w:color="auto"/>
          <w:color w:val="262626"/>
        </w:rPr>
        <w:t xml:space="preserve">Future </w:t>
      </w:r>
      <w:r>
        <w:rPr>
          <w:rFonts w:ascii="Arial" w:cs="Arial" w:eastAsia="Arial" w:hAnsi="Arial"/>
          <w:sz w:val="18"/>
          <w:szCs w:val="18"/>
          <w:u w:val="single" w:color="auto"/>
          <w:color w:val="000000"/>
        </w:rPr>
        <w:t>Construction</w:t>
      </w:r>
      <w:r>
        <w:rPr>
          <w:rFonts w:ascii="Arial" w:cs="Arial" w:eastAsia="Arial" w:hAnsi="Arial"/>
          <w:sz w:val="18"/>
          <w:szCs w:val="18"/>
          <w:u w:val="single" w:color="auto"/>
          <w:color w:val="262626"/>
        </w:rPr>
        <w:t xml:space="preserve"> </w:t>
      </w:r>
      <w:r>
        <w:rPr>
          <w:rFonts w:ascii="Arial" w:cs="Arial" w:eastAsia="Arial" w:hAnsi="Arial"/>
          <w:sz w:val="18"/>
          <w:szCs w:val="18"/>
          <w:color w:val="262626"/>
        </w:rPr>
        <w: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-14605</wp:posOffset>
            </wp:positionV>
            <wp:extent cx="339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9725" cy="8890"/>
                    </a:xfrm>
                    <a:prstGeom prst="rect">
                      <a:avLst/>
                    </a:prstGeom>
                    <a:noFill/>
                  </pic:spPr>
                </pic:pic>
              </a:graphicData>
            </a:graphic>
          </wp:anchor>
        </w:drawing>
      </w:r>
    </w:p>
    <w:p>
      <w:pPr>
        <w:spacing w:after="0" w:line="182" w:lineRule="exact"/>
        <w:rPr>
          <w:sz w:val="20"/>
          <w:szCs w:val="20"/>
          <w:color w:val="auto"/>
        </w:rPr>
      </w:pPr>
    </w:p>
    <w:p>
      <w:pPr>
        <w:ind w:right="60" w:firstLine="877"/>
        <w:spacing w:after="0" w:line="270" w:lineRule="auto"/>
        <w:rPr>
          <w:sz w:val="20"/>
          <w:szCs w:val="20"/>
          <w:color w:val="auto"/>
        </w:rPr>
      </w:pPr>
      <w:r>
        <w:rPr>
          <w:rFonts w:ascii="Arial" w:cs="Arial" w:eastAsia="Arial" w:hAnsi="Arial"/>
          <w:sz w:val="18"/>
          <w:szCs w:val="18"/>
          <w:color w:val="262626"/>
        </w:rPr>
        <w:t>Landlord reserves the right (upon thirty (30) days’ prior notice to, but otherwise without the consent of Tenant) to make improvements and/or additions to portions of the Building</w:t>
      </w:r>
      <w:r>
        <w:rPr>
          <w:rFonts w:ascii="Arial" w:cs="Arial" w:eastAsia="Arial" w:hAnsi="Arial"/>
          <w:sz w:val="18"/>
          <w:szCs w:val="18"/>
          <w:color w:val="424242"/>
        </w:rPr>
        <w:t>,</w:t>
      </w:r>
      <w:r>
        <w:rPr>
          <w:rFonts w:ascii="Arial" w:cs="Arial" w:eastAsia="Arial" w:hAnsi="Arial"/>
          <w:sz w:val="18"/>
          <w:szCs w:val="18"/>
          <w:color w:val="262626"/>
        </w:rPr>
        <w:t xml:space="preserve"> including, without limitation</w:t>
      </w:r>
      <w:r>
        <w:rPr>
          <w:rFonts w:ascii="Arial" w:cs="Arial" w:eastAsia="Arial" w:hAnsi="Arial"/>
          <w:sz w:val="18"/>
          <w:szCs w:val="18"/>
          <w:color w:val="424242"/>
        </w:rPr>
        <w:t>,</w:t>
      </w:r>
      <w:r>
        <w:rPr>
          <w:rFonts w:ascii="Arial" w:cs="Arial" w:eastAsia="Arial" w:hAnsi="Arial"/>
          <w:sz w:val="18"/>
          <w:szCs w:val="18"/>
          <w:color w:val="262626"/>
        </w:rPr>
        <w:t xml:space="preserve"> adding floor area to one or more existing floors of the Building, and to undertake structural and seismic improvement projects in the Building. Such construction activity may result in columns</w:t>
      </w:r>
      <w:r>
        <w:rPr>
          <w:rFonts w:ascii="Arial" w:cs="Arial" w:eastAsia="Arial" w:hAnsi="Arial"/>
          <w:sz w:val="18"/>
          <w:szCs w:val="18"/>
          <w:color w:val="424242"/>
        </w:rPr>
        <w:t>,</w:t>
      </w:r>
      <w:r>
        <w:rPr>
          <w:rFonts w:ascii="Arial" w:cs="Arial" w:eastAsia="Arial" w:hAnsi="Arial"/>
          <w:sz w:val="18"/>
          <w:szCs w:val="18"/>
          <w:color w:val="262626"/>
        </w:rPr>
        <w:t xml:space="preserve"> beams and other structural components being placed in the Premises to accommodate the construction work and/or the permanent additions and/or expansions to be constructed. Any such construction activity is entirely discretionary with Landlord, and Tenant hereby waives any and all rights or claims of any kind for rent offsets or based on constructive eviction, nuisance or interference with enjoyment which may arise in connection with or result from such construction activities; provided, however, Landlord shall use commercially reasonable efforts to minimize disruption of Tenant’s business caused by such construction activities, and throughout such construction activities Tenant shall have access to</w:t>
      </w:r>
      <w:r>
        <w:rPr>
          <w:rFonts w:ascii="Arial" w:cs="Arial" w:eastAsia="Arial" w:hAnsi="Arial"/>
          <w:sz w:val="18"/>
          <w:szCs w:val="18"/>
          <w:color w:val="424242"/>
        </w:rPr>
        <w:t>,</w:t>
      </w:r>
      <w:r>
        <w:rPr>
          <w:rFonts w:ascii="Arial" w:cs="Arial" w:eastAsia="Arial" w:hAnsi="Arial"/>
          <w:sz w:val="18"/>
          <w:szCs w:val="18"/>
          <w:color w:val="262626"/>
        </w:rPr>
        <w:t xml:space="preserve"> and use of, the entire Premises for the Permitted Use. Notwithstanding anything in this Paragraph to the contrary, if Landlord determines that any of the foregoing construction activities will result in a material interference with or disruption to Tenant’s business in the Premises, Landlord</w:t>
      </w:r>
      <w:r>
        <w:rPr>
          <w:rFonts w:ascii="Arial" w:cs="Arial" w:eastAsia="Arial" w:hAnsi="Arial"/>
          <w:sz w:val="18"/>
          <w:szCs w:val="18"/>
          <w:color w:val="424242"/>
        </w:rPr>
        <w:t>,</w:t>
      </w:r>
      <w:r>
        <w:rPr>
          <w:rFonts w:ascii="Arial" w:cs="Arial" w:eastAsia="Arial" w:hAnsi="Arial"/>
          <w:sz w:val="18"/>
          <w:szCs w:val="18"/>
          <w:color w:val="262626"/>
        </w:rPr>
        <w:t xml:space="preserve"> upon thirty (30) days’ prior written notice to Tenant that Landlord intends to commence such construction activity</w:t>
      </w:r>
      <w:r>
        <w:rPr>
          <w:rFonts w:ascii="Arial" w:cs="Arial" w:eastAsia="Arial" w:hAnsi="Arial"/>
          <w:sz w:val="18"/>
          <w:szCs w:val="18"/>
          <w:color w:val="424242"/>
        </w:rPr>
        <w:t>,</w:t>
      </w:r>
      <w:r>
        <w:rPr>
          <w:rFonts w:ascii="Arial" w:cs="Arial" w:eastAsia="Arial" w:hAnsi="Arial"/>
          <w:sz w:val="18"/>
          <w:szCs w:val="18"/>
          <w:color w:val="262626"/>
        </w:rPr>
        <w:t xml:space="preserve"> may, at Landlord’s sole cost and expense, relocate Tenant, temporarily, to other comparable space in the Building</w:t>
      </w:r>
      <w:r>
        <w:rPr>
          <w:rFonts w:ascii="Arial" w:cs="Arial" w:eastAsia="Arial" w:hAnsi="Arial"/>
          <w:sz w:val="18"/>
          <w:szCs w:val="18"/>
          <w:color w:val="424242"/>
        </w:rPr>
        <w:t>.</w:t>
      </w:r>
      <w:r>
        <w:rPr>
          <w:rFonts w:ascii="Arial" w:cs="Arial" w:eastAsia="Arial" w:hAnsi="Arial"/>
          <w:sz w:val="18"/>
          <w:szCs w:val="18"/>
          <w:color w:val="262626"/>
        </w:rPr>
        <w:t xml:space="preserve"> If the Premises are altered by reason of such improvements, Landlord agrees to re-measure the Premises following the completion of the improvements and to adjust the Tenant’s rental obligations hereunder based on the new square footage of the Premises, as determined by Landlord.</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10</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REPAIRS</w:t>
      </w:r>
    </w:p>
    <w:p>
      <w:pPr>
        <w:spacing w:after="0" w:line="186" w:lineRule="exact"/>
        <w:rPr>
          <w:sz w:val="20"/>
          <w:szCs w:val="20"/>
          <w:color w:val="auto"/>
        </w:rPr>
      </w:pPr>
    </w:p>
    <w:p>
      <w:pPr>
        <w:ind w:right="40" w:firstLine="877"/>
        <w:spacing w:after="0" w:line="269" w:lineRule="auto"/>
        <w:rPr>
          <w:sz w:val="20"/>
          <w:szCs w:val="20"/>
          <w:color w:val="auto"/>
        </w:rPr>
      </w:pPr>
      <w:r>
        <w:rPr>
          <w:rFonts w:ascii="Arial" w:cs="Arial" w:eastAsia="Arial" w:hAnsi="Arial"/>
          <w:sz w:val="19"/>
          <w:szCs w:val="19"/>
          <w:color w:val="262626"/>
        </w:rPr>
        <w:t>Landlord shall be responsible for maintaining and repairing the Common Areas of the Building, all Building Systems, the exterior of the Building, and all structural aspects of the Building throughout the Term. No representations or warranties, except as contained herein or endorsed hereon</w:t>
      </w:r>
      <w:r>
        <w:rPr>
          <w:rFonts w:ascii="Arial" w:cs="Arial" w:eastAsia="Arial" w:hAnsi="Arial"/>
          <w:sz w:val="19"/>
          <w:szCs w:val="19"/>
          <w:color w:val="424242"/>
        </w:rPr>
        <w:t>,</w:t>
      </w:r>
      <w:r>
        <w:rPr>
          <w:rFonts w:ascii="Arial" w:cs="Arial" w:eastAsia="Arial" w:hAnsi="Arial"/>
          <w:sz w:val="19"/>
          <w:szCs w:val="19"/>
          <w:color w:val="262626"/>
        </w:rPr>
        <w:t xml:space="preserve"> have been made to Tenant respecting the condition of the Premises. Tenant shall take good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17</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5" w:name="page146"/>
    <w:bookmarkEnd w:id="145"/>
    <w:p>
      <w:pPr>
        <w:ind w:right="100"/>
        <w:spacing w:after="0" w:line="269" w:lineRule="auto"/>
        <w:rPr>
          <w:sz w:val="20"/>
          <w:szCs w:val="20"/>
          <w:color w:val="auto"/>
        </w:rPr>
      </w:pPr>
      <w:r>
        <w:rPr>
          <w:rFonts w:ascii="Arial" w:cs="Arial" w:eastAsia="Arial" w:hAnsi="Arial"/>
          <w:sz w:val="18"/>
          <w:szCs w:val="18"/>
          <w:color w:val="262626"/>
        </w:rPr>
        <w:t>care of the Premises and shall maintain the Premises and any equipment installed by Tenant that exclusively serving the Premises (whether located in the Premises or the Common Areas) and make all repairs and replacements (not required to be made by Landlord) in order to preserve the Premises in good working order and condition. In addition, Tenant shall reimburse Landlord, within thirty (30) days of written demand, for the cost of any and all repairs or replacements to the Common Areas or the structural aspects of the Premises necessitated or occasioned by the acts, omissions or negligence of Tenant or any person claiming through or under Tenant, or any of their servants, employees, contractors, agents, visitors or licensees, or by the use or occupancy or manner of use or occupancy of the Premises by Tenant or any such person. Landlord shall not be liable for</w:t>
      </w:r>
      <w:r>
        <w:rPr>
          <w:rFonts w:ascii="Arial" w:cs="Arial" w:eastAsia="Arial" w:hAnsi="Arial"/>
          <w:sz w:val="18"/>
          <w:szCs w:val="18"/>
          <w:color w:val="424242"/>
        </w:rPr>
        <w:t>,</w:t>
      </w:r>
      <w:r>
        <w:rPr>
          <w:rFonts w:ascii="Arial" w:cs="Arial" w:eastAsia="Arial" w:hAnsi="Arial"/>
          <w:sz w:val="18"/>
          <w:szCs w:val="18"/>
          <w:color w:val="262626"/>
        </w:rPr>
        <w:t xml:space="preserve"> and there shall be no abatement of Rent with respect to</w:t>
      </w:r>
      <w:r>
        <w:rPr>
          <w:rFonts w:ascii="Arial" w:cs="Arial" w:eastAsia="Arial" w:hAnsi="Arial"/>
          <w:sz w:val="18"/>
          <w:szCs w:val="18"/>
          <w:color w:val="424242"/>
        </w:rPr>
        <w:t>,</w:t>
      </w:r>
      <w:r>
        <w:rPr>
          <w:rFonts w:ascii="Arial" w:cs="Arial" w:eastAsia="Arial" w:hAnsi="Arial"/>
          <w:sz w:val="18"/>
          <w:szCs w:val="18"/>
          <w:color w:val="262626"/>
        </w:rPr>
        <w:t xml:space="preserve"> </w:t>
      </w:r>
      <w:r>
        <w:rPr>
          <w:rFonts w:ascii="Arial" w:cs="Arial" w:eastAsia="Arial" w:hAnsi="Arial"/>
          <w:sz w:val="18"/>
          <w:szCs w:val="18"/>
          <w:color w:val="282828"/>
        </w:rPr>
        <w:t>any injury to or interference with Tenant’s</w:t>
      </w:r>
      <w:r>
        <w:rPr>
          <w:rFonts w:ascii="Arial" w:cs="Arial" w:eastAsia="Arial" w:hAnsi="Arial"/>
          <w:sz w:val="18"/>
          <w:szCs w:val="18"/>
          <w:color w:val="262626"/>
        </w:rPr>
        <w:t xml:space="preserve"> </w:t>
      </w:r>
      <w:r>
        <w:rPr>
          <w:rFonts w:ascii="Arial" w:cs="Arial" w:eastAsia="Arial" w:hAnsi="Arial"/>
          <w:sz w:val="18"/>
          <w:szCs w:val="18"/>
          <w:color w:val="282828"/>
        </w:rPr>
        <w:t xml:space="preserve">business arising from any repairs, maintenance, alteration </w:t>
      </w:r>
      <w:r>
        <w:rPr>
          <w:rFonts w:ascii="Arial" w:cs="Arial" w:eastAsia="Arial" w:hAnsi="Arial"/>
          <w:sz w:val="18"/>
          <w:szCs w:val="18"/>
          <w:color w:val="383838"/>
        </w:rPr>
        <w:t>or</w:t>
      </w:r>
      <w:r>
        <w:rPr>
          <w:rFonts w:ascii="Arial" w:cs="Arial" w:eastAsia="Arial" w:hAnsi="Arial"/>
          <w:sz w:val="18"/>
          <w:szCs w:val="18"/>
          <w:color w:val="282828"/>
        </w:rPr>
        <w:t xml:space="preserve"> improvement in or </w:t>
      </w:r>
      <w:r>
        <w:rPr>
          <w:rFonts w:ascii="Arial" w:cs="Arial" w:eastAsia="Arial" w:hAnsi="Arial"/>
          <w:sz w:val="18"/>
          <w:szCs w:val="18"/>
          <w:color w:val="383838"/>
        </w:rPr>
        <w:t>to any</w:t>
      </w:r>
      <w:r>
        <w:rPr>
          <w:rFonts w:ascii="Arial" w:cs="Arial" w:eastAsia="Arial" w:hAnsi="Arial"/>
          <w:sz w:val="18"/>
          <w:szCs w:val="18"/>
          <w:color w:val="282828"/>
        </w:rPr>
        <w:t xml:space="preserve"> portion </w:t>
      </w:r>
      <w:r>
        <w:rPr>
          <w:rFonts w:ascii="Arial" w:cs="Arial" w:eastAsia="Arial" w:hAnsi="Arial"/>
          <w:sz w:val="18"/>
          <w:szCs w:val="18"/>
          <w:color w:val="383838"/>
        </w:rPr>
        <w:t>of the</w:t>
      </w:r>
      <w:r>
        <w:rPr>
          <w:rFonts w:ascii="Arial" w:cs="Arial" w:eastAsia="Arial" w:hAnsi="Arial"/>
          <w:sz w:val="18"/>
          <w:szCs w:val="18"/>
          <w:color w:val="282828"/>
        </w:rPr>
        <w:t xml:space="preserve"> Premises, </w:t>
      </w:r>
      <w:r>
        <w:rPr>
          <w:rFonts w:ascii="Arial" w:cs="Arial" w:eastAsia="Arial" w:hAnsi="Arial"/>
          <w:sz w:val="18"/>
          <w:szCs w:val="18"/>
          <w:color w:val="383838"/>
        </w:rPr>
        <w:t>the</w:t>
      </w:r>
      <w:r>
        <w:rPr>
          <w:rFonts w:ascii="Arial" w:cs="Arial" w:eastAsia="Arial" w:hAnsi="Arial"/>
          <w:sz w:val="18"/>
          <w:szCs w:val="18"/>
          <w:color w:val="282828"/>
        </w:rPr>
        <w:t xml:space="preserve"> Common </w:t>
      </w:r>
      <w:r>
        <w:rPr>
          <w:rFonts w:ascii="Arial" w:cs="Arial" w:eastAsia="Arial" w:hAnsi="Arial"/>
          <w:sz w:val="18"/>
          <w:szCs w:val="18"/>
          <w:color w:val="383838"/>
        </w:rPr>
        <w:t>Areas</w:t>
      </w:r>
      <w:r>
        <w:rPr>
          <w:rFonts w:ascii="Arial" w:cs="Arial" w:eastAsia="Arial" w:hAnsi="Arial"/>
          <w:sz w:val="18"/>
          <w:szCs w:val="18"/>
          <w:color w:val="282828"/>
        </w:rPr>
        <w:t xml:space="preserve"> or the Building </w:t>
      </w:r>
      <w:r>
        <w:rPr>
          <w:rFonts w:ascii="Arial" w:cs="Arial" w:eastAsia="Arial" w:hAnsi="Arial"/>
          <w:sz w:val="18"/>
          <w:szCs w:val="18"/>
          <w:color w:val="383838"/>
        </w:rPr>
        <w:t>or in</w:t>
      </w:r>
      <w:r>
        <w:rPr>
          <w:rFonts w:ascii="Arial" w:cs="Arial" w:eastAsia="Arial" w:hAnsi="Arial"/>
          <w:sz w:val="18"/>
          <w:szCs w:val="18"/>
          <w:color w:val="282828"/>
        </w:rPr>
        <w:t xml:space="preserve"> or </w:t>
      </w:r>
      <w:r>
        <w:rPr>
          <w:rFonts w:ascii="Arial" w:cs="Arial" w:eastAsia="Arial" w:hAnsi="Arial"/>
          <w:sz w:val="18"/>
          <w:szCs w:val="18"/>
          <w:color w:val="383838"/>
        </w:rPr>
        <w:t>to</w:t>
      </w:r>
      <w:r>
        <w:rPr>
          <w:rFonts w:ascii="Arial" w:cs="Arial" w:eastAsia="Arial" w:hAnsi="Arial"/>
          <w:sz w:val="18"/>
          <w:szCs w:val="18"/>
          <w:color w:val="282828"/>
        </w:rPr>
        <w:t xml:space="preserve"> the fixtures, appurtenances </w:t>
      </w:r>
      <w:r>
        <w:rPr>
          <w:rFonts w:ascii="Arial" w:cs="Arial" w:eastAsia="Arial" w:hAnsi="Arial"/>
          <w:sz w:val="18"/>
          <w:szCs w:val="18"/>
          <w:color w:val="383838"/>
        </w:rPr>
        <w:t>or</w:t>
      </w:r>
      <w:r>
        <w:rPr>
          <w:rFonts w:ascii="Arial" w:cs="Arial" w:eastAsia="Arial" w:hAnsi="Arial"/>
          <w:sz w:val="18"/>
          <w:szCs w:val="18"/>
          <w:color w:val="282828"/>
        </w:rPr>
        <w:t xml:space="preserve"> equipment therein. Tenant hereby waives all right to make repairs at </w:t>
      </w:r>
      <w:r>
        <w:rPr>
          <w:rFonts w:ascii="Arial" w:cs="Arial" w:eastAsia="Arial" w:hAnsi="Arial"/>
          <w:sz w:val="18"/>
          <w:szCs w:val="18"/>
          <w:color w:val="383838"/>
        </w:rPr>
        <w:t>Landlord’s</w:t>
      </w:r>
      <w:r>
        <w:rPr>
          <w:rFonts w:ascii="Arial" w:cs="Arial" w:eastAsia="Arial" w:hAnsi="Arial"/>
          <w:sz w:val="18"/>
          <w:szCs w:val="18"/>
          <w:color w:val="282828"/>
        </w:rPr>
        <w:t xml:space="preserve"> expense under the provisions of Sections 1932(1</w:t>
      </w:r>
      <w:r>
        <w:rPr>
          <w:rFonts w:ascii="Arial" w:cs="Arial" w:eastAsia="Arial" w:hAnsi="Arial"/>
          <w:sz w:val="18"/>
          <w:szCs w:val="18"/>
          <w:color w:val="383838"/>
        </w:rPr>
        <w:t>),</w:t>
      </w:r>
      <w:r>
        <w:rPr>
          <w:rFonts w:ascii="Arial" w:cs="Arial" w:eastAsia="Arial" w:hAnsi="Arial"/>
          <w:sz w:val="18"/>
          <w:szCs w:val="18"/>
          <w:color w:val="282828"/>
        </w:rPr>
        <w:t xml:space="preserve"> 1941 and 1942 </w:t>
      </w:r>
      <w:r>
        <w:rPr>
          <w:rFonts w:ascii="Arial" w:cs="Arial" w:eastAsia="Arial" w:hAnsi="Arial"/>
          <w:sz w:val="18"/>
          <w:szCs w:val="18"/>
          <w:color w:val="383838"/>
        </w:rPr>
        <w:t>of the</w:t>
      </w:r>
      <w:r>
        <w:rPr>
          <w:rFonts w:ascii="Arial" w:cs="Arial" w:eastAsia="Arial" w:hAnsi="Arial"/>
          <w:sz w:val="18"/>
          <w:szCs w:val="18"/>
          <w:color w:val="282828"/>
        </w:rPr>
        <w:t xml:space="preserve"> California </w:t>
      </w:r>
      <w:r>
        <w:rPr>
          <w:rFonts w:ascii="Arial" w:cs="Arial" w:eastAsia="Arial" w:hAnsi="Arial"/>
          <w:sz w:val="18"/>
          <w:szCs w:val="18"/>
          <w:color w:val="383838"/>
        </w:rPr>
        <w:t>Civil</w:t>
      </w:r>
      <w:r>
        <w:rPr>
          <w:rFonts w:ascii="Arial" w:cs="Arial" w:eastAsia="Arial" w:hAnsi="Arial"/>
          <w:sz w:val="18"/>
          <w:szCs w:val="18"/>
          <w:color w:val="282828"/>
        </w:rPr>
        <w:t xml:space="preserve"> Code (or any similar law or ordinance now or hereafter in effect), and instead, all improvements, repairs, and/or maintenance expenses incurred on the Premises </w:t>
      </w:r>
      <w:r>
        <w:rPr>
          <w:rFonts w:ascii="Arial" w:cs="Arial" w:eastAsia="Arial" w:hAnsi="Arial"/>
          <w:sz w:val="18"/>
          <w:szCs w:val="18"/>
          <w:color w:val="383838"/>
        </w:rPr>
        <w:t>shall be at the expense of Tenant, and</w:t>
      </w:r>
      <w:r>
        <w:rPr>
          <w:rFonts w:ascii="Arial" w:cs="Arial" w:eastAsia="Arial" w:hAnsi="Arial"/>
          <w:sz w:val="18"/>
          <w:szCs w:val="18"/>
          <w:color w:val="282828"/>
        </w:rPr>
        <w:t xml:space="preserve"> </w:t>
      </w:r>
      <w:r>
        <w:rPr>
          <w:rFonts w:ascii="Arial" w:cs="Arial" w:eastAsia="Arial" w:hAnsi="Arial"/>
          <w:sz w:val="18"/>
          <w:szCs w:val="18"/>
          <w:color w:val="383838"/>
        </w:rPr>
        <w:t xml:space="preserve">shall </w:t>
      </w:r>
      <w:r>
        <w:rPr>
          <w:rFonts w:ascii="Arial" w:cs="Arial" w:eastAsia="Arial" w:hAnsi="Arial"/>
          <w:sz w:val="18"/>
          <w:szCs w:val="18"/>
          <w:color w:val="282828"/>
        </w:rPr>
        <w:t>be considered</w:t>
      </w:r>
      <w:r>
        <w:rPr>
          <w:rFonts w:ascii="Arial" w:cs="Arial" w:eastAsia="Arial" w:hAnsi="Arial"/>
          <w:sz w:val="18"/>
          <w:szCs w:val="18"/>
          <w:color w:val="383838"/>
        </w:rPr>
        <w:t xml:space="preserve"> as </w:t>
      </w:r>
      <w:r>
        <w:rPr>
          <w:rFonts w:ascii="Arial" w:cs="Arial" w:eastAsia="Arial" w:hAnsi="Arial"/>
          <w:sz w:val="18"/>
          <w:szCs w:val="18"/>
          <w:color w:val="282828"/>
        </w:rPr>
        <w:t>part</w:t>
      </w:r>
      <w:r>
        <w:rPr>
          <w:rFonts w:ascii="Arial" w:cs="Arial" w:eastAsia="Arial" w:hAnsi="Arial"/>
          <w:sz w:val="18"/>
          <w:szCs w:val="18"/>
          <w:color w:val="383838"/>
        </w:rPr>
        <w:t xml:space="preserve"> of the </w:t>
      </w:r>
      <w:r>
        <w:rPr>
          <w:rFonts w:ascii="Arial" w:cs="Arial" w:eastAsia="Arial" w:hAnsi="Arial"/>
          <w:sz w:val="18"/>
          <w:szCs w:val="18"/>
          <w:color w:val="282828"/>
        </w:rPr>
        <w:t>consideration</w:t>
      </w:r>
      <w:r>
        <w:rPr>
          <w:rFonts w:ascii="Arial" w:cs="Arial" w:eastAsia="Arial" w:hAnsi="Arial"/>
          <w:sz w:val="18"/>
          <w:szCs w:val="18"/>
          <w:color w:val="383838"/>
        </w:rPr>
        <w:t xml:space="preserve"> for </w:t>
      </w:r>
      <w:r>
        <w:rPr>
          <w:rFonts w:ascii="Arial" w:cs="Arial" w:eastAsia="Arial" w:hAnsi="Arial"/>
          <w:sz w:val="18"/>
          <w:szCs w:val="18"/>
          <w:color w:val="282828"/>
        </w:rPr>
        <w:t>leasing</w:t>
      </w:r>
      <w:r>
        <w:rPr>
          <w:rFonts w:ascii="Arial" w:cs="Arial" w:eastAsia="Arial" w:hAnsi="Arial"/>
          <w:sz w:val="18"/>
          <w:szCs w:val="18"/>
          <w:color w:val="383838"/>
        </w:rPr>
        <w:t xml:space="preserve"> the Premises except as otherwise expressly provided here</w:t>
      </w:r>
      <w:r>
        <w:rPr>
          <w:rFonts w:ascii="Arial" w:cs="Arial" w:eastAsia="Arial" w:hAnsi="Arial"/>
          <w:sz w:val="18"/>
          <w:szCs w:val="18"/>
          <w:color w:val="282828"/>
        </w:rPr>
        <w:t>in. All damages or</w:t>
      </w:r>
      <w:r>
        <w:rPr>
          <w:rFonts w:ascii="Arial" w:cs="Arial" w:eastAsia="Arial" w:hAnsi="Arial"/>
          <w:sz w:val="18"/>
          <w:szCs w:val="18"/>
          <w:color w:val="383838"/>
        </w:rPr>
        <w:t xml:space="preserve"> injury done </w:t>
      </w:r>
      <w:r>
        <w:rPr>
          <w:rFonts w:ascii="Arial" w:cs="Arial" w:eastAsia="Arial" w:hAnsi="Arial"/>
          <w:sz w:val="18"/>
          <w:szCs w:val="18"/>
          <w:color w:val="282828"/>
        </w:rPr>
        <w:t>to the</w:t>
      </w:r>
      <w:r>
        <w:rPr>
          <w:rFonts w:ascii="Arial" w:cs="Arial" w:eastAsia="Arial" w:hAnsi="Arial"/>
          <w:sz w:val="18"/>
          <w:szCs w:val="18"/>
          <w:color w:val="383838"/>
        </w:rPr>
        <w:t xml:space="preserve"> Premises by Tenant or </w:t>
      </w:r>
      <w:r>
        <w:rPr>
          <w:rFonts w:ascii="Arial" w:cs="Arial" w:eastAsia="Arial" w:hAnsi="Arial"/>
          <w:sz w:val="18"/>
          <w:szCs w:val="18"/>
          <w:color w:val="282828"/>
        </w:rPr>
        <w:t>by</w:t>
      </w:r>
      <w:r>
        <w:rPr>
          <w:rFonts w:ascii="Arial" w:cs="Arial" w:eastAsia="Arial" w:hAnsi="Arial"/>
          <w:sz w:val="18"/>
          <w:szCs w:val="18"/>
          <w:color w:val="383838"/>
        </w:rPr>
        <w:t xml:space="preserve"> any </w:t>
      </w:r>
      <w:r>
        <w:rPr>
          <w:rFonts w:ascii="Arial" w:cs="Arial" w:eastAsia="Arial" w:hAnsi="Arial"/>
          <w:sz w:val="18"/>
          <w:szCs w:val="18"/>
          <w:color w:val="282828"/>
        </w:rPr>
        <w:t>person</w:t>
      </w:r>
      <w:r>
        <w:rPr>
          <w:rFonts w:ascii="Arial" w:cs="Arial" w:eastAsia="Arial" w:hAnsi="Arial"/>
          <w:sz w:val="18"/>
          <w:szCs w:val="18"/>
          <w:color w:val="383838"/>
        </w:rPr>
        <w:t xml:space="preserve"> who may </w:t>
      </w:r>
      <w:r>
        <w:rPr>
          <w:rFonts w:ascii="Arial" w:cs="Arial" w:eastAsia="Arial" w:hAnsi="Arial"/>
          <w:sz w:val="18"/>
          <w:szCs w:val="18"/>
          <w:color w:val="282828"/>
        </w:rPr>
        <w:t>be in or upon the Premises</w:t>
      </w:r>
      <w:r>
        <w:rPr>
          <w:rFonts w:ascii="Arial" w:cs="Arial" w:eastAsia="Arial" w:hAnsi="Arial"/>
          <w:sz w:val="18"/>
          <w:szCs w:val="18"/>
          <w:color w:val="383838"/>
        </w:rPr>
        <w:t xml:space="preserve"> with </w:t>
      </w:r>
      <w:r>
        <w:rPr>
          <w:rFonts w:ascii="Arial" w:cs="Arial" w:eastAsia="Arial" w:hAnsi="Arial"/>
          <w:sz w:val="18"/>
          <w:szCs w:val="18"/>
          <w:color w:val="282828"/>
        </w:rPr>
        <w:t>Tenant’s consent or at Tenant’s initiation, shall be</w:t>
      </w:r>
      <w:r>
        <w:rPr>
          <w:rFonts w:ascii="Arial" w:cs="Arial" w:eastAsia="Arial" w:hAnsi="Arial"/>
          <w:sz w:val="18"/>
          <w:szCs w:val="18"/>
          <w:color w:val="383838"/>
        </w:rPr>
        <w:t xml:space="preserve"> </w:t>
      </w:r>
      <w:r>
        <w:rPr>
          <w:rFonts w:ascii="Arial" w:cs="Arial" w:eastAsia="Arial" w:hAnsi="Arial"/>
          <w:sz w:val="18"/>
          <w:szCs w:val="18"/>
          <w:color w:val="282828"/>
        </w:rPr>
        <w:t xml:space="preserve">paid </w:t>
      </w:r>
      <w:r>
        <w:rPr>
          <w:rFonts w:ascii="Arial" w:cs="Arial" w:eastAsia="Arial" w:hAnsi="Arial"/>
          <w:sz w:val="18"/>
          <w:szCs w:val="18"/>
          <w:color w:val="383838"/>
        </w:rPr>
        <w:t>for</w:t>
      </w:r>
      <w:r>
        <w:rPr>
          <w:rFonts w:ascii="Arial" w:cs="Arial" w:eastAsia="Arial" w:hAnsi="Arial"/>
          <w:sz w:val="18"/>
          <w:szCs w:val="18"/>
          <w:color w:val="282828"/>
        </w:rPr>
        <w:t xml:space="preserve"> by </w:t>
      </w:r>
      <w:r>
        <w:rPr>
          <w:rFonts w:ascii="Arial" w:cs="Arial" w:eastAsia="Arial" w:hAnsi="Arial"/>
          <w:sz w:val="18"/>
          <w:szCs w:val="18"/>
          <w:color w:val="383838"/>
        </w:rPr>
        <w:t>Tenant,</w:t>
      </w:r>
      <w:r>
        <w:rPr>
          <w:rFonts w:ascii="Arial" w:cs="Arial" w:eastAsia="Arial" w:hAnsi="Arial"/>
          <w:sz w:val="18"/>
          <w:szCs w:val="18"/>
          <w:color w:val="282828"/>
        </w:rPr>
        <w:t xml:space="preserve"> and </w:t>
      </w:r>
      <w:r>
        <w:rPr>
          <w:rFonts w:ascii="Arial" w:cs="Arial" w:eastAsia="Arial" w:hAnsi="Arial"/>
          <w:sz w:val="18"/>
          <w:szCs w:val="18"/>
          <w:color w:val="383838"/>
        </w:rPr>
        <w:t>Tenant</w:t>
      </w:r>
      <w:r>
        <w:rPr>
          <w:rFonts w:ascii="Arial" w:cs="Arial" w:eastAsia="Arial" w:hAnsi="Arial"/>
          <w:sz w:val="18"/>
          <w:szCs w:val="18"/>
          <w:color w:val="282828"/>
        </w:rPr>
        <w:t xml:space="preserve"> shall, at </w:t>
      </w:r>
      <w:r>
        <w:rPr>
          <w:rFonts w:ascii="Arial" w:cs="Arial" w:eastAsia="Arial" w:hAnsi="Arial"/>
          <w:sz w:val="18"/>
          <w:szCs w:val="18"/>
          <w:color w:val="383838"/>
        </w:rPr>
        <w:t>the termination of this</w:t>
      </w:r>
      <w:r>
        <w:rPr>
          <w:rFonts w:ascii="Arial" w:cs="Arial" w:eastAsia="Arial" w:hAnsi="Arial"/>
          <w:sz w:val="18"/>
          <w:szCs w:val="18"/>
          <w:color w:val="282828"/>
        </w:rPr>
        <w:t xml:space="preserve"> Lease, surrender </w:t>
      </w:r>
      <w:r>
        <w:rPr>
          <w:rFonts w:ascii="Arial" w:cs="Arial" w:eastAsia="Arial" w:hAnsi="Arial"/>
          <w:sz w:val="18"/>
          <w:szCs w:val="18"/>
          <w:color w:val="383838"/>
        </w:rPr>
        <w:t>the</w:t>
      </w:r>
      <w:r>
        <w:rPr>
          <w:rFonts w:ascii="Arial" w:cs="Arial" w:eastAsia="Arial" w:hAnsi="Arial"/>
          <w:sz w:val="18"/>
          <w:szCs w:val="18"/>
          <w:color w:val="282828"/>
        </w:rPr>
        <w:t xml:space="preserve"> Premises to Landlord in </w:t>
      </w:r>
      <w:r>
        <w:rPr>
          <w:rFonts w:ascii="Arial" w:cs="Arial" w:eastAsia="Arial" w:hAnsi="Arial"/>
          <w:sz w:val="18"/>
          <w:szCs w:val="18"/>
          <w:color w:val="383838"/>
        </w:rPr>
        <w:t>as good condition</w:t>
      </w:r>
      <w:r>
        <w:rPr>
          <w:rFonts w:ascii="Arial" w:cs="Arial" w:eastAsia="Arial" w:hAnsi="Arial"/>
          <w:sz w:val="18"/>
          <w:szCs w:val="18"/>
          <w:color w:val="282828"/>
        </w:rPr>
        <w:t xml:space="preserve"> and repair </w:t>
      </w:r>
      <w:r>
        <w:rPr>
          <w:rFonts w:ascii="Arial" w:cs="Arial" w:eastAsia="Arial" w:hAnsi="Arial"/>
          <w:sz w:val="18"/>
          <w:szCs w:val="18"/>
          <w:color w:val="383838"/>
        </w:rPr>
        <w:t>as</w:t>
      </w:r>
      <w:r>
        <w:rPr>
          <w:rFonts w:ascii="Arial" w:cs="Arial" w:eastAsia="Arial" w:hAnsi="Arial"/>
          <w:sz w:val="18"/>
          <w:szCs w:val="18"/>
          <w:color w:val="282828"/>
        </w:rPr>
        <w:t xml:space="preserve"> </w:t>
      </w:r>
      <w:r>
        <w:rPr>
          <w:rFonts w:ascii="Arial" w:cs="Arial" w:eastAsia="Arial" w:hAnsi="Arial"/>
          <w:sz w:val="18"/>
          <w:szCs w:val="18"/>
          <w:color w:val="383838"/>
        </w:rPr>
        <w:t xml:space="preserve">when </w:t>
      </w:r>
      <w:r>
        <w:rPr>
          <w:rFonts w:ascii="Arial" w:cs="Arial" w:eastAsia="Arial" w:hAnsi="Arial"/>
          <w:sz w:val="18"/>
          <w:szCs w:val="18"/>
          <w:color w:val="282828"/>
        </w:rPr>
        <w:t>accepted by Tenant, reasonable wear and tear excepted.</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 xml:space="preserve">ARTICLE </w:t>
      </w:r>
      <w:r>
        <w:rPr>
          <w:rFonts w:ascii="Arial" w:cs="Arial" w:eastAsia="Arial" w:hAnsi="Arial"/>
          <w:sz w:val="20"/>
          <w:szCs w:val="20"/>
          <w:b w:val="1"/>
          <w:bCs w:val="1"/>
          <w:color w:val="282828"/>
        </w:rPr>
        <w:t>11</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82828"/>
        </w:rPr>
        <w:t>ASSIGNMENT AND SUBLETTING</w:t>
      </w:r>
    </w:p>
    <w:p>
      <w:pPr>
        <w:spacing w:after="0" w:line="18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11.1</w:t>
      </w:r>
      <w:r>
        <w:rPr>
          <w:sz w:val="20"/>
          <w:szCs w:val="20"/>
          <w:color w:val="auto"/>
        </w:rPr>
        <w:tab/>
      </w:r>
      <w:r>
        <w:rPr>
          <w:rFonts w:ascii="Arial" w:cs="Arial" w:eastAsia="Arial" w:hAnsi="Arial"/>
          <w:sz w:val="16"/>
          <w:szCs w:val="16"/>
          <w:u w:val="single" w:color="auto"/>
          <w:color w:val="auto"/>
        </w:rPr>
        <w:t xml:space="preserve">Restrictions </w:t>
      </w:r>
      <w:r>
        <w:rPr>
          <w:rFonts w:ascii="Arial" w:cs="Arial" w:eastAsia="Arial" w:hAnsi="Arial"/>
          <w:sz w:val="16"/>
          <w:szCs w:val="16"/>
          <w:u w:val="single" w:color="auto"/>
          <w:color w:val="383838"/>
        </w:rPr>
        <w:t>on</w:t>
      </w:r>
      <w:r>
        <w:rPr>
          <w:rFonts w:ascii="Arial" w:cs="Arial" w:eastAsia="Arial" w:hAnsi="Arial"/>
          <w:sz w:val="16"/>
          <w:szCs w:val="16"/>
          <w:u w:val="single" w:color="auto"/>
          <w:color w:val="auto"/>
        </w:rPr>
        <w:t xml:space="preserve"> </w:t>
      </w:r>
      <w:r>
        <w:rPr>
          <w:rFonts w:ascii="Arial" w:cs="Arial" w:eastAsia="Arial" w:hAnsi="Arial"/>
          <w:sz w:val="16"/>
          <w:szCs w:val="16"/>
          <w:u w:val="single" w:color="auto"/>
          <w:color w:val="282828"/>
        </w:rPr>
        <w:t>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-14605</wp:posOffset>
            </wp:positionV>
            <wp:extent cx="311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82" w:lineRule="exact"/>
        <w:rPr>
          <w:sz w:val="20"/>
          <w:szCs w:val="20"/>
          <w:color w:val="auto"/>
        </w:rPr>
      </w:pPr>
    </w:p>
    <w:p>
      <w:pPr>
        <w:ind w:right="40" w:firstLine="877"/>
        <w:spacing w:after="0" w:line="243" w:lineRule="auto"/>
        <w:rPr>
          <w:sz w:val="20"/>
          <w:szCs w:val="20"/>
          <w:color w:val="auto"/>
        </w:rPr>
      </w:pPr>
      <w:r>
        <w:rPr>
          <w:rFonts w:ascii="Arial" w:cs="Arial" w:eastAsia="Arial" w:hAnsi="Arial"/>
          <w:sz w:val="20"/>
          <w:szCs w:val="20"/>
          <w:color w:val="282828"/>
        </w:rPr>
        <w:t xml:space="preserve">Tenant shall not, without the prior written consent of Landlord, which consent Landlord shall not unreasonably withhold and which shall be given </w:t>
      </w:r>
      <w:r>
        <w:rPr>
          <w:rFonts w:ascii="Arial" w:cs="Arial" w:eastAsia="Arial" w:hAnsi="Arial"/>
          <w:sz w:val="20"/>
          <w:szCs w:val="20"/>
          <w:color w:val="383838"/>
        </w:rPr>
        <w:t>(or withheld)</w:t>
      </w:r>
      <w:r>
        <w:rPr>
          <w:rFonts w:ascii="Arial" w:cs="Arial" w:eastAsia="Arial" w:hAnsi="Arial"/>
          <w:sz w:val="20"/>
          <w:szCs w:val="20"/>
          <w:color w:val="282828"/>
        </w:rPr>
        <w:t xml:space="preserve"> in accordance with the terms hereof within thirty (30) days of Tenant’s request therefor: (a) assign, mortgage, pledge, hypothecate, encumber, or permit any lien to attach to, or otherwise transfer, this Lease </w:t>
      </w:r>
      <w:r>
        <w:rPr>
          <w:rFonts w:ascii="Arial" w:cs="Arial" w:eastAsia="Arial" w:hAnsi="Arial"/>
          <w:sz w:val="20"/>
          <w:szCs w:val="20"/>
          <w:color w:val="383838"/>
        </w:rPr>
        <w:t>or any</w:t>
      </w:r>
      <w:r>
        <w:rPr>
          <w:rFonts w:ascii="Arial" w:cs="Arial" w:eastAsia="Arial" w:hAnsi="Arial"/>
          <w:sz w:val="20"/>
          <w:szCs w:val="20"/>
          <w:color w:val="282828"/>
        </w:rPr>
        <w:t xml:space="preserve"> interest hereunder, by operation of law or </w:t>
      </w:r>
      <w:r>
        <w:rPr>
          <w:rFonts w:ascii="Arial" w:cs="Arial" w:eastAsia="Arial" w:hAnsi="Arial"/>
          <w:sz w:val="20"/>
          <w:szCs w:val="20"/>
          <w:color w:val="383838"/>
        </w:rPr>
        <w:t xml:space="preserve">otherwise; </w:t>
      </w:r>
      <w:r>
        <w:rPr>
          <w:rFonts w:ascii="Arial" w:cs="Arial" w:eastAsia="Arial" w:hAnsi="Arial"/>
          <w:sz w:val="20"/>
          <w:szCs w:val="20"/>
          <w:color w:val="282828"/>
        </w:rPr>
        <w:t>(b) sublet the Premises or any part</w:t>
      </w:r>
      <w:r>
        <w:rPr>
          <w:rFonts w:ascii="Arial" w:cs="Arial" w:eastAsia="Arial" w:hAnsi="Arial"/>
          <w:sz w:val="20"/>
          <w:szCs w:val="20"/>
          <w:color w:val="383838"/>
        </w:rPr>
        <w:t xml:space="preserve"> thereof; </w:t>
      </w:r>
      <w:r>
        <w:rPr>
          <w:rFonts w:ascii="Arial" w:cs="Arial" w:eastAsia="Arial" w:hAnsi="Arial"/>
          <w:sz w:val="20"/>
          <w:szCs w:val="20"/>
          <w:color w:val="282828"/>
        </w:rPr>
        <w:t>or (c) permit the use of the Premises by any individuals, entities, firms, associations,</w:t>
      </w:r>
      <w:r>
        <w:rPr>
          <w:rFonts w:ascii="Arial" w:cs="Arial" w:eastAsia="Arial" w:hAnsi="Arial"/>
          <w:sz w:val="20"/>
          <w:szCs w:val="20"/>
          <w:color w:val="383838"/>
        </w:rPr>
        <w:t xml:space="preserve"> </w:t>
      </w:r>
      <w:r>
        <w:rPr>
          <w:rFonts w:ascii="Arial" w:cs="Arial" w:eastAsia="Arial" w:hAnsi="Arial"/>
          <w:sz w:val="20"/>
          <w:szCs w:val="20"/>
          <w:color w:val="282828"/>
        </w:rPr>
        <w:t xml:space="preserve">partnerships, companies or corporations other than Tenant and its employees (all of the foregoing are hereinafter </w:t>
      </w:r>
      <w:r>
        <w:rPr>
          <w:rFonts w:ascii="Arial" w:cs="Arial" w:eastAsia="Arial" w:hAnsi="Arial"/>
          <w:sz w:val="20"/>
          <w:szCs w:val="20"/>
          <w:color w:val="383838"/>
        </w:rPr>
        <w:t>sometimes</w:t>
      </w:r>
      <w:r>
        <w:rPr>
          <w:rFonts w:ascii="Arial" w:cs="Arial" w:eastAsia="Arial" w:hAnsi="Arial"/>
          <w:sz w:val="20"/>
          <w:szCs w:val="20"/>
          <w:color w:val="282828"/>
        </w:rPr>
        <w:t xml:space="preserve"> referred to collectively as “Transfers” and any person to whom any Transfer is made or sought to be made is hereinafter sometimes referred to as a “Transferee”).</w:t>
      </w:r>
    </w:p>
    <w:p>
      <w:pPr>
        <w:spacing w:after="0" w:line="16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11.2</w:t>
      </w:r>
      <w:r>
        <w:rPr>
          <w:sz w:val="20"/>
          <w:szCs w:val="20"/>
          <w:color w:val="auto"/>
        </w:rPr>
        <w:tab/>
      </w:r>
      <w:r>
        <w:rPr>
          <w:rFonts w:ascii="Arial" w:cs="Arial" w:eastAsia="Arial" w:hAnsi="Arial"/>
          <w:sz w:val="16"/>
          <w:szCs w:val="16"/>
          <w:u w:val="single" w:color="auto"/>
          <w:color w:val="383838"/>
        </w:rPr>
        <w:t xml:space="preserve">Notice of </w:t>
      </w:r>
      <w:r>
        <w:rPr>
          <w:rFonts w:ascii="Arial" w:cs="Arial" w:eastAsia="Arial" w:hAnsi="Arial"/>
          <w:sz w:val="16"/>
          <w:szCs w:val="16"/>
          <w:u w:val="single" w:color="auto"/>
          <w:color w:val="000000"/>
        </w:rPr>
        <w:t>Proposed</w:t>
      </w:r>
      <w:r>
        <w:rPr>
          <w:rFonts w:ascii="Arial" w:cs="Arial" w:eastAsia="Arial" w:hAnsi="Arial"/>
          <w:sz w:val="16"/>
          <w:szCs w:val="16"/>
          <w:u w:val="single" w:color="auto"/>
          <w:color w:val="383838"/>
        </w:rPr>
        <w:t xml:space="preserve"> Transfer</w:t>
      </w:r>
    </w:p>
    <w:p>
      <w:pPr>
        <w:spacing w:after="0" w:line="202" w:lineRule="exact"/>
        <w:rPr>
          <w:sz w:val="20"/>
          <w:szCs w:val="20"/>
          <w:color w:val="auto"/>
        </w:rPr>
      </w:pPr>
    </w:p>
    <w:p>
      <w:pPr>
        <w:ind w:right="160" w:firstLine="877"/>
        <w:spacing w:after="0" w:line="256" w:lineRule="auto"/>
        <w:rPr>
          <w:sz w:val="20"/>
          <w:szCs w:val="20"/>
          <w:color w:val="auto"/>
        </w:rPr>
      </w:pPr>
      <w:r>
        <w:rPr>
          <w:rFonts w:ascii="Arial" w:cs="Arial" w:eastAsia="Arial" w:hAnsi="Arial"/>
          <w:sz w:val="19"/>
          <w:szCs w:val="19"/>
          <w:color w:val="282828"/>
        </w:rPr>
        <w:t xml:space="preserve">If </w:t>
      </w:r>
      <w:r>
        <w:rPr>
          <w:rFonts w:ascii="Arial" w:cs="Arial" w:eastAsia="Arial" w:hAnsi="Arial"/>
          <w:sz w:val="19"/>
          <w:szCs w:val="19"/>
          <w:color w:val="383838"/>
        </w:rPr>
        <w:t>Tenant</w:t>
      </w:r>
      <w:r>
        <w:rPr>
          <w:rFonts w:ascii="Arial" w:cs="Arial" w:eastAsia="Arial" w:hAnsi="Arial"/>
          <w:sz w:val="19"/>
          <w:szCs w:val="19"/>
          <w:color w:val="282828"/>
        </w:rPr>
        <w:t xml:space="preserve"> shall desire Landlord’s consent to any Transfer, Tenant shall notify Landlord in writing (“Notice of Proposed Transfer”). Any such Notice of Proposed Transfer shall include: (a) the proposed effective date (which shall not be less than thirty (30) nor more than ninety (90) days after the date of Tenant’s Notice of Proposed Transfer), </w:t>
      </w:r>
      <w:r>
        <w:rPr>
          <w:rFonts w:ascii="Arial" w:cs="Arial" w:eastAsia="Arial" w:hAnsi="Arial"/>
          <w:sz w:val="19"/>
          <w:szCs w:val="19"/>
          <w:color w:val="383838"/>
        </w:rPr>
        <w:t>(b)</w:t>
      </w:r>
      <w:r>
        <w:rPr>
          <w:rFonts w:ascii="Arial" w:cs="Arial" w:eastAsia="Arial" w:hAnsi="Arial"/>
          <w:sz w:val="19"/>
          <w:szCs w:val="19"/>
          <w:color w:val="282828"/>
        </w:rPr>
        <w:t xml:space="preserve"> the portion of the Premises to be </w:t>
      </w:r>
      <w:r>
        <w:rPr>
          <w:rFonts w:ascii="Arial" w:cs="Arial" w:eastAsia="Arial" w:hAnsi="Arial"/>
          <w:sz w:val="19"/>
          <w:szCs w:val="19"/>
          <w:color w:val="383838"/>
        </w:rPr>
        <w:t>Transferred (herein</w:t>
      </w:r>
      <w:r>
        <w:rPr>
          <w:rFonts w:ascii="Arial" w:cs="Arial" w:eastAsia="Arial" w:hAnsi="Arial"/>
          <w:sz w:val="19"/>
          <w:szCs w:val="19"/>
          <w:color w:val="282828"/>
        </w:rPr>
        <w:t xml:space="preserve"> called the “Subject Space”), </w:t>
      </w:r>
      <w:r>
        <w:rPr>
          <w:rFonts w:ascii="Arial" w:cs="Arial" w:eastAsia="Arial" w:hAnsi="Arial"/>
          <w:sz w:val="19"/>
          <w:szCs w:val="19"/>
          <w:color w:val="383838"/>
        </w:rPr>
        <w:t>(c)</w:t>
      </w:r>
      <w:r>
        <w:rPr>
          <w:rFonts w:ascii="Arial" w:cs="Arial" w:eastAsia="Arial" w:hAnsi="Arial"/>
          <w:sz w:val="19"/>
          <w:szCs w:val="19"/>
          <w:color w:val="282828"/>
        </w:rPr>
        <w:t xml:space="preserve"> the terms of </w:t>
      </w:r>
      <w:r>
        <w:rPr>
          <w:rFonts w:ascii="Arial" w:cs="Arial" w:eastAsia="Arial" w:hAnsi="Arial"/>
          <w:sz w:val="19"/>
          <w:szCs w:val="19"/>
          <w:color w:val="383838"/>
        </w:rPr>
        <w:t>the</w:t>
      </w:r>
      <w:r>
        <w:rPr>
          <w:rFonts w:ascii="Arial" w:cs="Arial" w:eastAsia="Arial" w:hAnsi="Arial"/>
          <w:sz w:val="19"/>
          <w:szCs w:val="19"/>
          <w:color w:val="282828"/>
        </w:rPr>
        <w:t xml:space="preserve"> proposed Transfer and the </w:t>
      </w:r>
      <w:r>
        <w:rPr>
          <w:rFonts w:ascii="Arial" w:cs="Arial" w:eastAsia="Arial" w:hAnsi="Arial"/>
          <w:sz w:val="19"/>
          <w:szCs w:val="19"/>
          <w:color w:val="383838"/>
        </w:rPr>
        <w:t>consideration therefor,</w:t>
      </w:r>
      <w:r>
        <w:rPr>
          <w:rFonts w:ascii="Arial" w:cs="Arial" w:eastAsia="Arial" w:hAnsi="Arial"/>
          <w:sz w:val="19"/>
          <w:szCs w:val="19"/>
          <w:color w:val="282828"/>
        </w:rPr>
        <w:t xml:space="preserve"> the name </w:t>
      </w:r>
      <w:r>
        <w:rPr>
          <w:rFonts w:ascii="Arial" w:cs="Arial" w:eastAsia="Arial" w:hAnsi="Arial"/>
          <w:sz w:val="19"/>
          <w:szCs w:val="19"/>
          <w:color w:val="383838"/>
        </w:rPr>
        <w:t>and</w:t>
      </w:r>
      <w:r>
        <w:rPr>
          <w:rFonts w:ascii="Arial" w:cs="Arial" w:eastAsia="Arial" w:hAnsi="Arial"/>
          <w:sz w:val="19"/>
          <w:szCs w:val="19"/>
          <w:color w:val="282828"/>
        </w:rPr>
        <w:t xml:space="preserve"> address of the proposed Transferee</w:t>
      </w:r>
      <w:r>
        <w:rPr>
          <w:rFonts w:ascii="Arial" w:cs="Arial" w:eastAsia="Arial" w:hAnsi="Arial"/>
          <w:sz w:val="19"/>
          <w:szCs w:val="19"/>
          <w:color w:val="4B4B4B"/>
        </w:rPr>
        <w:t>,</w:t>
      </w:r>
      <w:r>
        <w:rPr>
          <w:rFonts w:ascii="Arial" w:cs="Arial" w:eastAsia="Arial" w:hAnsi="Arial"/>
          <w:sz w:val="19"/>
          <w:szCs w:val="19"/>
          <w:color w:val="282828"/>
        </w:rPr>
        <w:t xml:space="preserve"> a copy of </w:t>
      </w:r>
      <w:r>
        <w:rPr>
          <w:rFonts w:ascii="Arial" w:cs="Arial" w:eastAsia="Arial" w:hAnsi="Arial"/>
          <w:sz w:val="19"/>
          <w:szCs w:val="19"/>
          <w:color w:val="383838"/>
        </w:rPr>
        <w:t>all</w:t>
      </w:r>
      <w:r>
        <w:rPr>
          <w:rFonts w:ascii="Arial" w:cs="Arial" w:eastAsia="Arial" w:hAnsi="Arial"/>
          <w:sz w:val="19"/>
          <w:szCs w:val="19"/>
          <w:color w:val="282828"/>
        </w:rPr>
        <w:t xml:space="preserve"> documentation pertaining to the proposed Transfer, and an estimated calculation of the “Transfer Premium” (as that term is defined in Section 11.4 below) in connection with such Transfer, (d) financial </w:t>
      </w:r>
      <w:r>
        <w:rPr>
          <w:rFonts w:ascii="Arial" w:cs="Arial" w:eastAsia="Arial" w:hAnsi="Arial"/>
          <w:sz w:val="19"/>
          <w:szCs w:val="19"/>
          <w:color w:val="383838"/>
        </w:rPr>
        <w:t>statements</w:t>
      </w:r>
      <w:r>
        <w:rPr>
          <w:rFonts w:ascii="Arial" w:cs="Arial" w:eastAsia="Arial" w:hAnsi="Arial"/>
          <w:sz w:val="19"/>
          <w:szCs w:val="19"/>
          <w:color w:val="282828"/>
        </w:rPr>
        <w:t xml:space="preserve"> of the proposed Transferee for the three (3) year period immediately preceding the </w:t>
      </w:r>
      <w:r>
        <w:rPr>
          <w:rFonts w:ascii="Arial" w:cs="Arial" w:eastAsia="Arial" w:hAnsi="Arial"/>
          <w:sz w:val="19"/>
          <w:szCs w:val="19"/>
          <w:color w:val="383838"/>
        </w:rPr>
        <w:t>Notice</w:t>
      </w:r>
      <w:r>
        <w:rPr>
          <w:rFonts w:ascii="Arial" w:cs="Arial" w:eastAsia="Arial" w:hAnsi="Arial"/>
          <w:sz w:val="19"/>
          <w:szCs w:val="19"/>
          <w:color w:val="282828"/>
        </w:rPr>
        <w:t xml:space="preserve"> of Proposed Transfer (or, if the </w:t>
      </w:r>
      <w:r>
        <w:rPr>
          <w:rFonts w:ascii="Arial" w:cs="Arial" w:eastAsia="Arial" w:hAnsi="Arial"/>
          <w:sz w:val="19"/>
          <w:szCs w:val="19"/>
          <w:color w:val="262626"/>
        </w:rPr>
        <w:t>proposed</w:t>
      </w:r>
      <w:r>
        <w:rPr>
          <w:rFonts w:ascii="Arial" w:cs="Arial" w:eastAsia="Arial" w:hAnsi="Arial"/>
          <w:sz w:val="19"/>
          <w:szCs w:val="19"/>
          <w:color w:val="282828"/>
        </w:rPr>
        <w:t xml:space="preserve"> Transferee has been in existence for less than three </w:t>
      </w:r>
      <w:r>
        <w:rPr>
          <w:rFonts w:ascii="Arial" w:cs="Arial" w:eastAsia="Arial" w:hAnsi="Arial"/>
          <w:sz w:val="19"/>
          <w:szCs w:val="19"/>
          <w:color w:val="383838"/>
        </w:rPr>
        <w:t>(3)</w:t>
      </w:r>
      <w:r>
        <w:rPr>
          <w:rFonts w:ascii="Arial" w:cs="Arial" w:eastAsia="Arial" w:hAnsi="Arial"/>
          <w:sz w:val="19"/>
          <w:szCs w:val="19"/>
          <w:color w:val="282828"/>
        </w:rPr>
        <w:t xml:space="preserve"> years, for such shorter period as may be applicable) certified by an officer, partner or owner thereof and any other information reasonably necessary to enable Landlord to determine the financial responsibility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18</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6" w:name="page147"/>
    <w:bookmarkEnd w:id="146"/>
    <w:p>
      <w:pPr>
        <w:ind w:right="280"/>
        <w:spacing w:after="0" w:line="304" w:lineRule="auto"/>
        <w:rPr>
          <w:sz w:val="20"/>
          <w:szCs w:val="20"/>
          <w:color w:val="auto"/>
        </w:rPr>
      </w:pPr>
      <w:r>
        <w:rPr>
          <w:rFonts w:ascii="Arial" w:cs="Arial" w:eastAsia="Arial" w:hAnsi="Arial"/>
          <w:sz w:val="16"/>
          <w:szCs w:val="16"/>
          <w:color w:val="282828"/>
        </w:rPr>
        <w:t>(including, without limitation, bank references and contacts at other of Tenant’s funding sources), character and reputation of the proposed Transferee, the n</w:t>
      </w:r>
      <w:r>
        <w:rPr>
          <w:rFonts w:ascii="Arial" w:cs="Arial" w:eastAsia="Arial" w:hAnsi="Arial"/>
          <w:sz w:val="16"/>
          <w:szCs w:val="16"/>
          <w:color w:val="4B4B4B"/>
        </w:rPr>
        <w:t>at</w:t>
      </w:r>
      <w:r>
        <w:rPr>
          <w:rFonts w:ascii="Arial" w:cs="Arial" w:eastAsia="Arial" w:hAnsi="Arial"/>
          <w:sz w:val="16"/>
          <w:szCs w:val="16"/>
          <w:color w:val="282828"/>
        </w:rPr>
        <w:t xml:space="preserve">ure of </w:t>
      </w:r>
      <w:r>
        <w:rPr>
          <w:rFonts w:ascii="Arial" w:cs="Arial" w:eastAsia="Arial" w:hAnsi="Arial"/>
          <w:sz w:val="16"/>
          <w:szCs w:val="16"/>
          <w:color w:val="383838"/>
        </w:rPr>
        <w:t>such Transferee’s business and proposed</w:t>
      </w:r>
      <w:r>
        <w:rPr>
          <w:rFonts w:ascii="Arial" w:cs="Arial" w:eastAsia="Arial" w:hAnsi="Arial"/>
          <w:sz w:val="16"/>
          <w:szCs w:val="16"/>
          <w:color w:val="282828"/>
        </w:rPr>
        <w:t xml:space="preserve"> use </w:t>
      </w:r>
      <w:r>
        <w:rPr>
          <w:rFonts w:ascii="Arial" w:cs="Arial" w:eastAsia="Arial" w:hAnsi="Arial"/>
          <w:sz w:val="16"/>
          <w:szCs w:val="16"/>
          <w:color w:val="383838"/>
        </w:rPr>
        <w:t>of the</w:t>
      </w:r>
      <w:r>
        <w:rPr>
          <w:rFonts w:ascii="Arial" w:cs="Arial" w:eastAsia="Arial" w:hAnsi="Arial"/>
          <w:sz w:val="16"/>
          <w:szCs w:val="16"/>
          <w:color w:val="282828"/>
        </w:rPr>
        <w:t xml:space="preserve"> Subject </w:t>
      </w:r>
      <w:r>
        <w:rPr>
          <w:rFonts w:ascii="Arial" w:cs="Arial" w:eastAsia="Arial" w:hAnsi="Arial"/>
          <w:sz w:val="16"/>
          <w:szCs w:val="16"/>
          <w:color w:val="383838"/>
        </w:rPr>
        <w:t>Space, and</w:t>
      </w:r>
      <w:r>
        <w:rPr>
          <w:rFonts w:ascii="Arial" w:cs="Arial" w:eastAsia="Arial" w:hAnsi="Arial"/>
          <w:sz w:val="16"/>
          <w:szCs w:val="16"/>
          <w:color w:val="282828"/>
        </w:rPr>
        <w:t xml:space="preserve"> (e) </w:t>
      </w:r>
      <w:r>
        <w:rPr>
          <w:rFonts w:ascii="Arial" w:cs="Arial" w:eastAsia="Arial" w:hAnsi="Arial"/>
          <w:sz w:val="16"/>
          <w:szCs w:val="16"/>
          <w:color w:val="383838"/>
        </w:rPr>
        <w:t>such</w:t>
      </w:r>
      <w:r>
        <w:rPr>
          <w:rFonts w:ascii="Arial" w:cs="Arial" w:eastAsia="Arial" w:hAnsi="Arial"/>
          <w:sz w:val="16"/>
          <w:szCs w:val="16"/>
          <w:color w:val="282828"/>
        </w:rPr>
        <w:t xml:space="preserve"> other </w:t>
      </w:r>
      <w:r>
        <w:rPr>
          <w:rFonts w:ascii="Arial" w:cs="Arial" w:eastAsia="Arial" w:hAnsi="Arial"/>
          <w:sz w:val="16"/>
          <w:szCs w:val="16"/>
          <w:color w:val="383838"/>
        </w:rPr>
        <w:t>information</w:t>
      </w:r>
      <w:r>
        <w:rPr>
          <w:rFonts w:ascii="Arial" w:cs="Arial" w:eastAsia="Arial" w:hAnsi="Arial"/>
          <w:sz w:val="16"/>
          <w:szCs w:val="16"/>
          <w:color w:val="282828"/>
        </w:rPr>
        <w:t xml:space="preserve"> as </w:t>
      </w:r>
      <w:r>
        <w:rPr>
          <w:rFonts w:ascii="Arial" w:cs="Arial" w:eastAsia="Arial" w:hAnsi="Arial"/>
          <w:sz w:val="16"/>
          <w:szCs w:val="16"/>
          <w:color w:val="383838"/>
        </w:rPr>
        <w:t>Landlord</w:t>
      </w:r>
      <w:r>
        <w:rPr>
          <w:rFonts w:ascii="Arial" w:cs="Arial" w:eastAsia="Arial" w:hAnsi="Arial"/>
          <w:sz w:val="16"/>
          <w:szCs w:val="16"/>
          <w:color w:val="282828"/>
        </w:rPr>
        <w:t xml:space="preserve"> may reasonably </w:t>
      </w:r>
      <w:r>
        <w:rPr>
          <w:rFonts w:ascii="Arial" w:cs="Arial" w:eastAsia="Arial" w:hAnsi="Arial"/>
          <w:sz w:val="16"/>
          <w:szCs w:val="16"/>
          <w:color w:val="383838"/>
        </w:rPr>
        <w:t>require.</w:t>
      </w:r>
      <w:r>
        <w:rPr>
          <w:rFonts w:ascii="Arial" w:cs="Arial" w:eastAsia="Arial" w:hAnsi="Arial"/>
          <w:sz w:val="16"/>
          <w:szCs w:val="16"/>
          <w:color w:val="282828"/>
        </w:rPr>
        <w:t xml:space="preserve"> Any </w:t>
      </w:r>
      <w:r>
        <w:rPr>
          <w:rFonts w:ascii="Arial" w:cs="Arial" w:eastAsia="Arial" w:hAnsi="Arial"/>
          <w:sz w:val="16"/>
          <w:szCs w:val="16"/>
          <w:color w:val="383838"/>
        </w:rPr>
        <w:t>Transfer</w:t>
      </w:r>
      <w:r>
        <w:rPr>
          <w:rFonts w:ascii="Arial" w:cs="Arial" w:eastAsia="Arial" w:hAnsi="Arial"/>
          <w:sz w:val="16"/>
          <w:szCs w:val="16"/>
          <w:color w:val="282828"/>
        </w:rPr>
        <w:t xml:space="preserve"> made without </w:t>
      </w:r>
      <w:r>
        <w:rPr>
          <w:rFonts w:ascii="Arial" w:cs="Arial" w:eastAsia="Arial" w:hAnsi="Arial"/>
          <w:sz w:val="16"/>
          <w:szCs w:val="16"/>
          <w:color w:val="383838"/>
        </w:rPr>
        <w:t>complying</w:t>
      </w:r>
      <w:r>
        <w:rPr>
          <w:rFonts w:ascii="Arial" w:cs="Arial" w:eastAsia="Arial" w:hAnsi="Arial"/>
          <w:sz w:val="16"/>
          <w:szCs w:val="16"/>
          <w:color w:val="282828"/>
        </w:rPr>
        <w:t xml:space="preserve"> with this Section shall, at Landlord’s option, be null, void and of no effect, and/or shall constitute an </w:t>
      </w:r>
      <w:r>
        <w:rPr>
          <w:rFonts w:ascii="Arial" w:cs="Arial" w:eastAsia="Arial" w:hAnsi="Arial"/>
          <w:sz w:val="16"/>
          <w:szCs w:val="16"/>
          <w:color w:val="262626"/>
        </w:rPr>
        <w:t>immediate Event of Default under this Lease. Whether or not Landlord shall grant consent, Tenant shall pay, within thirty</w:t>
      </w:r>
    </w:p>
    <w:p>
      <w:pPr>
        <w:spacing w:after="0" w:line="2" w:lineRule="exact"/>
        <w:rPr>
          <w:sz w:val="20"/>
          <w:szCs w:val="20"/>
          <w:color w:val="auto"/>
        </w:rPr>
      </w:pPr>
    </w:p>
    <w:p>
      <w:pPr>
        <w:ind w:right="160" w:firstLine="8"/>
        <w:spacing w:after="0" w:line="244" w:lineRule="auto"/>
        <w:tabs>
          <w:tab w:leader="none" w:pos="379" w:val="left"/>
        </w:tabs>
        <w:numPr>
          <w:ilvl w:val="0"/>
          <w:numId w:val="54"/>
        </w:numPr>
        <w:rPr>
          <w:rFonts w:ascii="Arial" w:cs="Arial" w:eastAsia="Arial" w:hAnsi="Arial"/>
          <w:sz w:val="20"/>
          <w:szCs w:val="20"/>
          <w:color w:val="262626"/>
        </w:rPr>
      </w:pPr>
      <w:r>
        <w:rPr>
          <w:rFonts w:ascii="Arial" w:cs="Arial" w:eastAsia="Arial" w:hAnsi="Arial"/>
          <w:sz w:val="20"/>
          <w:szCs w:val="20"/>
          <w:color w:val="262626"/>
        </w:rPr>
        <w:t>days after written request by Landlord, Five Hundred and No/100 Dollars ($500.00) towards Landlord’s review and processing expenses, plus any reasonable legal fees incurred by Landlord in connection with any proposed Transfer.</w:t>
      </w:r>
    </w:p>
    <w:p>
      <w:pPr>
        <w:spacing w:after="0" w:line="16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11.3</w:t>
      </w:r>
      <w:r>
        <w:rPr>
          <w:sz w:val="20"/>
          <w:szCs w:val="20"/>
          <w:color w:val="auto"/>
        </w:rPr>
        <w:tab/>
      </w:r>
      <w:r>
        <w:rPr>
          <w:rFonts w:ascii="Arial" w:cs="Arial" w:eastAsia="Arial" w:hAnsi="Arial"/>
          <w:sz w:val="16"/>
          <w:szCs w:val="16"/>
          <w:u w:val="single" w:color="auto"/>
          <w:color w:val="383838"/>
        </w:rPr>
        <w:t xml:space="preserve">Reasonable </w:t>
      </w:r>
      <w:r>
        <w:rPr>
          <w:rFonts w:ascii="Arial" w:cs="Arial" w:eastAsia="Arial" w:hAnsi="Arial"/>
          <w:sz w:val="16"/>
          <w:szCs w:val="16"/>
          <w:u w:val="single" w:color="auto"/>
          <w:color w:val="262626"/>
        </w:rPr>
        <w:t>conditions</w:t>
      </w:r>
    </w:p>
    <w:p>
      <w:pPr>
        <w:spacing w:after="0" w:line="202" w:lineRule="exact"/>
        <w:rPr>
          <w:sz w:val="20"/>
          <w:szCs w:val="20"/>
          <w:color w:val="auto"/>
        </w:rPr>
      </w:pPr>
    </w:p>
    <w:p>
      <w:pPr>
        <w:ind w:right="280" w:firstLine="877"/>
        <w:spacing w:after="0" w:line="246" w:lineRule="auto"/>
        <w:rPr>
          <w:sz w:val="20"/>
          <w:szCs w:val="20"/>
          <w:color w:val="auto"/>
        </w:rPr>
      </w:pPr>
      <w:r>
        <w:rPr>
          <w:rFonts w:ascii="Arial" w:cs="Arial" w:eastAsia="Arial" w:hAnsi="Arial"/>
          <w:sz w:val="20"/>
          <w:szCs w:val="20"/>
          <w:color w:val="262626"/>
        </w:rPr>
        <w:t xml:space="preserve">By way of example and without limitation, the parties hereby agree that it shall be deemed to be reasonable under </w:t>
      </w:r>
      <w:r>
        <w:rPr>
          <w:rFonts w:ascii="Arial" w:cs="Arial" w:eastAsia="Arial" w:hAnsi="Arial"/>
          <w:sz w:val="20"/>
          <w:szCs w:val="20"/>
          <w:color w:val="282828"/>
        </w:rPr>
        <w:t>this</w:t>
      </w:r>
      <w:r>
        <w:rPr>
          <w:rFonts w:ascii="Arial" w:cs="Arial" w:eastAsia="Arial" w:hAnsi="Arial"/>
          <w:sz w:val="20"/>
          <w:szCs w:val="20"/>
          <w:color w:val="262626"/>
        </w:rPr>
        <w:t xml:space="preserve"> Lease and under any applicable Laws for Landlord to withhold consent to any proposed Transfer where, in the good-faith judgment of Landlord, one or more of the following apply (or where Landlord has not been provided with sufficient information to determine that none of the following apply):</w:t>
      </w:r>
    </w:p>
    <w:p>
      <w:pPr>
        <w:spacing w:after="0" w:line="178" w:lineRule="exact"/>
        <w:rPr>
          <w:sz w:val="20"/>
          <w:szCs w:val="20"/>
          <w:color w:val="auto"/>
        </w:rPr>
      </w:pPr>
    </w:p>
    <w:p>
      <w:pPr>
        <w:ind w:right="60" w:firstLine="1763"/>
        <w:spacing w:after="0" w:line="250" w:lineRule="auto"/>
        <w:tabs>
          <w:tab w:leader="none" w:pos="2620" w:val="left"/>
        </w:tabs>
        <w:numPr>
          <w:ilvl w:val="1"/>
          <w:numId w:val="55"/>
        </w:numPr>
        <w:rPr>
          <w:rFonts w:ascii="Arial" w:cs="Arial" w:eastAsia="Arial" w:hAnsi="Arial"/>
          <w:sz w:val="20"/>
          <w:szCs w:val="20"/>
          <w:color w:val="262626"/>
        </w:rPr>
      </w:pPr>
      <w:r>
        <w:rPr>
          <w:rFonts w:ascii="Arial" w:cs="Arial" w:eastAsia="Arial" w:hAnsi="Arial"/>
          <w:sz w:val="20"/>
          <w:szCs w:val="20"/>
          <w:color w:val="262626"/>
        </w:rPr>
        <w:t xml:space="preserve">The proposed Transferee fails to satisfy Landlord’s then current credit and other standards for tenants of the </w:t>
      </w:r>
      <w:r>
        <w:rPr>
          <w:rFonts w:ascii="Arial" w:cs="Arial" w:eastAsia="Arial" w:hAnsi="Arial"/>
          <w:sz w:val="20"/>
          <w:szCs w:val="20"/>
          <w:color w:val="282828"/>
        </w:rPr>
        <w:t>Building</w:t>
      </w:r>
      <w:r>
        <w:rPr>
          <w:rFonts w:ascii="Arial" w:cs="Arial" w:eastAsia="Arial" w:hAnsi="Arial"/>
          <w:sz w:val="20"/>
          <w:szCs w:val="20"/>
          <w:color w:val="262626"/>
        </w:rPr>
        <w:t>, or does not have the financial strength and stability to perform all of the obligations of the Tenant under this Lease (as they apply to the</w:t>
      </w:r>
      <w:r>
        <w:rPr>
          <w:rFonts w:ascii="Arial" w:cs="Arial" w:eastAsia="Arial" w:hAnsi="Arial"/>
          <w:sz w:val="20"/>
          <w:szCs w:val="20"/>
          <w:color w:val="282828"/>
        </w:rPr>
        <w:t xml:space="preserve"> </w:t>
      </w:r>
      <w:r>
        <w:rPr>
          <w:rFonts w:ascii="Arial" w:cs="Arial" w:eastAsia="Arial" w:hAnsi="Arial"/>
          <w:sz w:val="20"/>
          <w:szCs w:val="20"/>
          <w:color w:val="262626"/>
        </w:rPr>
        <w:t>Subject Space) as and when they fall due; or</w:t>
      </w:r>
    </w:p>
    <w:p>
      <w:pPr>
        <w:spacing w:after="0" w:line="159" w:lineRule="exact"/>
        <w:rPr>
          <w:rFonts w:ascii="Arial" w:cs="Arial" w:eastAsia="Arial" w:hAnsi="Arial"/>
          <w:sz w:val="20"/>
          <w:szCs w:val="20"/>
          <w:color w:val="262626"/>
        </w:rPr>
      </w:pPr>
    </w:p>
    <w:p>
      <w:pPr>
        <w:ind w:right="600" w:firstLine="1763"/>
        <w:spacing w:after="0" w:line="260" w:lineRule="auto"/>
        <w:tabs>
          <w:tab w:leader="none" w:pos="2631" w:val="left"/>
        </w:tabs>
        <w:numPr>
          <w:ilvl w:val="1"/>
          <w:numId w:val="55"/>
        </w:numPr>
        <w:rPr>
          <w:rFonts w:ascii="Arial" w:cs="Arial" w:eastAsia="Arial" w:hAnsi="Arial"/>
          <w:sz w:val="20"/>
          <w:szCs w:val="20"/>
          <w:color w:val="262626"/>
        </w:rPr>
      </w:pPr>
      <w:r>
        <w:rPr>
          <w:rFonts w:ascii="Arial" w:cs="Arial" w:eastAsia="Arial" w:hAnsi="Arial"/>
          <w:sz w:val="20"/>
          <w:szCs w:val="20"/>
          <w:color w:val="262626"/>
        </w:rPr>
        <w:t>The Transferee is of a character or reputation or is engaged in a business which is not consistent with the quality of the Building or the existing tenant mix; or</w:t>
      </w:r>
    </w:p>
    <w:p>
      <w:pPr>
        <w:spacing w:after="0" w:line="163" w:lineRule="exact"/>
        <w:rPr>
          <w:rFonts w:ascii="Arial" w:cs="Arial" w:eastAsia="Arial" w:hAnsi="Arial"/>
          <w:sz w:val="20"/>
          <w:szCs w:val="20"/>
          <w:color w:val="262626"/>
        </w:rPr>
      </w:pPr>
    </w:p>
    <w:p>
      <w:pPr>
        <w:ind w:right="20" w:firstLine="1763"/>
        <w:spacing w:after="0" w:line="270" w:lineRule="auto"/>
        <w:tabs>
          <w:tab w:leader="none" w:pos="2620" w:val="left"/>
        </w:tabs>
        <w:numPr>
          <w:ilvl w:val="1"/>
          <w:numId w:val="55"/>
        </w:numPr>
        <w:rPr>
          <w:rFonts w:ascii="Arial" w:cs="Arial" w:eastAsia="Arial" w:hAnsi="Arial"/>
          <w:sz w:val="18"/>
          <w:szCs w:val="18"/>
          <w:color w:val="262626"/>
        </w:rPr>
      </w:pPr>
      <w:r>
        <w:rPr>
          <w:rFonts w:ascii="Arial" w:cs="Arial" w:eastAsia="Arial" w:hAnsi="Arial"/>
          <w:sz w:val="18"/>
          <w:szCs w:val="18"/>
          <w:color w:val="262626"/>
        </w:rPr>
        <w:t>The proposed use of the Premises by the proposed Transferee would (i) be unlawful; (ii) be inappropriate to the location and configuration of the Premises; (iii) cause Landlord to be in violation of another lease or agreement to which Landlord is a party, or would give an occupant of the Building a right to cancel its lease; (iv) likely cause an increase in insurance premiums for insurance policies applicable to the Building; (v) likely require new tenant improvements that Landlord would be entitled to disapprove pursuant to Article 9 hereof;</w:t>
      </w:r>
    </w:p>
    <w:p>
      <w:pPr>
        <w:spacing w:after="0" w:line="2" w:lineRule="exact"/>
        <w:rPr>
          <w:rFonts w:ascii="Arial" w:cs="Arial" w:eastAsia="Arial" w:hAnsi="Arial"/>
          <w:sz w:val="18"/>
          <w:szCs w:val="18"/>
          <w:color w:val="262626"/>
        </w:rPr>
      </w:pPr>
    </w:p>
    <w:p>
      <w:pPr>
        <w:ind w:right="220" w:firstLine="8"/>
        <w:spacing w:after="0" w:line="241" w:lineRule="auto"/>
        <w:tabs>
          <w:tab w:leader="none" w:pos="331" w:val="left"/>
        </w:tabs>
        <w:numPr>
          <w:ilvl w:val="0"/>
          <w:numId w:val="56"/>
        </w:numPr>
        <w:rPr>
          <w:rFonts w:ascii="Arial" w:cs="Arial" w:eastAsia="Arial" w:hAnsi="Arial"/>
          <w:sz w:val="20"/>
          <w:szCs w:val="20"/>
          <w:color w:val="262626"/>
        </w:rPr>
      </w:pPr>
      <w:r>
        <w:rPr>
          <w:rFonts w:ascii="Arial" w:cs="Arial" w:eastAsia="Arial" w:hAnsi="Arial"/>
          <w:sz w:val="20"/>
          <w:szCs w:val="20"/>
          <w:color w:val="262626"/>
        </w:rPr>
        <w:t>likely cause an increase in services to be provided to the Premises; (vii) likely create any increased burden in the operation of the Building, or in the operation of any of its facilities or equipment; (viii) likely cause a change in the Building’s or the Premises’ use or occupancy classification, or (ix) likely impair the dignity, reputation or character of the Building; or</w:t>
      </w:r>
    </w:p>
    <w:p>
      <w:pPr>
        <w:spacing w:after="0" w:line="182" w:lineRule="exact"/>
        <w:rPr>
          <w:rFonts w:ascii="Arial" w:cs="Arial" w:eastAsia="Arial" w:hAnsi="Arial"/>
          <w:sz w:val="20"/>
          <w:szCs w:val="20"/>
          <w:color w:val="262626"/>
        </w:rPr>
      </w:pPr>
    </w:p>
    <w:p>
      <w:pPr>
        <w:ind w:left="2640" w:hanging="877"/>
        <w:spacing w:after="0"/>
        <w:tabs>
          <w:tab w:leader="none" w:pos="2640" w:val="left"/>
        </w:tabs>
        <w:numPr>
          <w:ilvl w:val="1"/>
          <w:numId w:val="56"/>
        </w:numPr>
        <w:rPr>
          <w:rFonts w:ascii="Arial" w:cs="Arial" w:eastAsia="Arial" w:hAnsi="Arial"/>
          <w:sz w:val="18"/>
          <w:szCs w:val="18"/>
          <w:color w:val="262626"/>
        </w:rPr>
      </w:pPr>
      <w:r>
        <w:rPr>
          <w:rFonts w:ascii="Arial" w:cs="Arial" w:eastAsia="Arial" w:hAnsi="Arial"/>
          <w:sz w:val="18"/>
          <w:szCs w:val="18"/>
          <w:color w:val="262626"/>
        </w:rPr>
        <w:t>The proposed use of the Premises would result in the division of the Premises into more than one (1) tenant</w:t>
      </w:r>
    </w:p>
    <w:p>
      <w:pPr>
        <w:spacing w:after="0" w:line="38" w:lineRule="exact"/>
        <w:rPr>
          <w:rFonts w:ascii="Arial" w:cs="Arial" w:eastAsia="Arial" w:hAnsi="Arial"/>
          <w:sz w:val="18"/>
          <w:szCs w:val="18"/>
          <w:color w:val="262626"/>
        </w:rPr>
      </w:pPr>
    </w:p>
    <w:p>
      <w:pPr>
        <w:spacing w:after="0"/>
        <w:rPr>
          <w:rFonts w:ascii="Arial" w:cs="Arial" w:eastAsia="Arial" w:hAnsi="Arial"/>
          <w:sz w:val="18"/>
          <w:szCs w:val="18"/>
          <w:color w:val="262626"/>
        </w:rPr>
      </w:pPr>
      <w:r>
        <w:rPr>
          <w:rFonts w:ascii="Arial" w:cs="Arial" w:eastAsia="Arial" w:hAnsi="Arial"/>
          <w:sz w:val="20"/>
          <w:szCs w:val="20"/>
          <w:color w:val="262626"/>
        </w:rPr>
        <w:t>space; or</w:t>
      </w:r>
    </w:p>
    <w:p>
      <w:pPr>
        <w:spacing w:after="0" w:line="172" w:lineRule="exact"/>
        <w:rPr>
          <w:rFonts w:ascii="Arial" w:cs="Arial" w:eastAsia="Arial" w:hAnsi="Arial"/>
          <w:sz w:val="18"/>
          <w:szCs w:val="18"/>
          <w:color w:val="262626"/>
        </w:rPr>
      </w:pPr>
    </w:p>
    <w:p>
      <w:pPr>
        <w:ind w:right="140" w:firstLine="1763"/>
        <w:spacing w:after="0" w:line="260" w:lineRule="auto"/>
        <w:tabs>
          <w:tab w:leader="none" w:pos="2620" w:val="left"/>
        </w:tabs>
        <w:numPr>
          <w:ilvl w:val="1"/>
          <w:numId w:val="56"/>
        </w:numPr>
        <w:rPr>
          <w:rFonts w:ascii="Arial" w:cs="Arial" w:eastAsia="Arial" w:hAnsi="Arial"/>
          <w:sz w:val="20"/>
          <w:szCs w:val="20"/>
          <w:color w:val="262626"/>
        </w:rPr>
      </w:pPr>
      <w:r>
        <w:rPr>
          <w:rFonts w:ascii="Arial" w:cs="Arial" w:eastAsia="Arial" w:hAnsi="Arial"/>
          <w:sz w:val="20"/>
          <w:szCs w:val="20"/>
          <w:color w:val="262626"/>
        </w:rPr>
        <w:t>At the time of the proposed Transfer, an Event of Default shall have occurred hereunder, or an event shall have occurred that with notice, the passage of time, or both, would become an Event of Default; or</w:t>
      </w:r>
    </w:p>
    <w:p>
      <w:pPr>
        <w:spacing w:after="0" w:line="163" w:lineRule="exact"/>
        <w:rPr>
          <w:rFonts w:ascii="Arial" w:cs="Arial" w:eastAsia="Arial" w:hAnsi="Arial"/>
          <w:sz w:val="20"/>
          <w:szCs w:val="20"/>
          <w:color w:val="262626"/>
        </w:rPr>
      </w:pPr>
    </w:p>
    <w:p>
      <w:pPr>
        <w:ind w:right="40" w:firstLine="1763"/>
        <w:spacing w:after="0" w:line="246" w:lineRule="auto"/>
        <w:tabs>
          <w:tab w:leader="none" w:pos="2598" w:val="left"/>
        </w:tabs>
        <w:numPr>
          <w:ilvl w:val="1"/>
          <w:numId w:val="56"/>
        </w:numPr>
        <w:rPr>
          <w:rFonts w:ascii="Arial" w:cs="Arial" w:eastAsia="Arial" w:hAnsi="Arial"/>
          <w:sz w:val="20"/>
          <w:szCs w:val="20"/>
          <w:color w:val="262626"/>
        </w:rPr>
      </w:pPr>
      <w:r>
        <w:rPr>
          <w:rFonts w:ascii="Arial" w:cs="Arial" w:eastAsia="Arial" w:hAnsi="Arial"/>
          <w:sz w:val="20"/>
          <w:szCs w:val="20"/>
          <w:color w:val="262626"/>
        </w:rPr>
        <w:t>The proposed Transferee is a governmental entity, or is entitled, directly or indirectly, to diplomatic or sovereign immunity, or is not subject to the service of process in, or the jurisdiction of the courts of, the State of California, or holds any exemption from the payment of ad valorem or other taxes which would prohibit Landlord from collecting from such Transferee any amounts otherwise payable under this Lease;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19</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7" w:name="page148"/>
    <w:bookmarkEnd w:id="147"/>
    <w:p>
      <w:pPr>
        <w:jc w:val="both"/>
        <w:ind w:right="40" w:firstLine="1763"/>
        <w:spacing w:after="0" w:line="246" w:lineRule="auto"/>
        <w:tabs>
          <w:tab w:leader="none" w:pos="2631" w:val="left"/>
        </w:tabs>
        <w:numPr>
          <w:ilvl w:val="0"/>
          <w:numId w:val="57"/>
        </w:numPr>
        <w:rPr>
          <w:rFonts w:ascii="Arial" w:cs="Arial" w:eastAsia="Arial" w:hAnsi="Arial"/>
          <w:sz w:val="20"/>
          <w:szCs w:val="20"/>
          <w:color w:val="262626"/>
        </w:rPr>
      </w:pPr>
      <w:r>
        <w:rPr>
          <w:rFonts w:ascii="Arial" w:cs="Arial" w:eastAsia="Arial" w:hAnsi="Arial"/>
          <w:sz w:val="20"/>
          <w:szCs w:val="20"/>
          <w:color w:val="262626"/>
        </w:rPr>
        <w:t xml:space="preserve">Either the proposed Transferee, or any person or entity which directly or indirectly, controls, is controlled by, or is under common control with, the proposed Transferee, (i) occupies space in the Building at the time of the request for consent, (ii) is negotiating with </w:t>
      </w:r>
      <w:r>
        <w:rPr>
          <w:rFonts w:ascii="Arial" w:cs="Arial" w:eastAsia="Arial" w:hAnsi="Arial"/>
          <w:sz w:val="20"/>
          <w:szCs w:val="20"/>
          <w:color w:val="212121"/>
        </w:rPr>
        <w:t>Landlord to lease space in the Building at such time, or (iii) has negotiated with Landlord during the six (6)-month period immediately</w:t>
      </w:r>
      <w:r>
        <w:rPr>
          <w:rFonts w:ascii="Arial" w:cs="Arial" w:eastAsia="Arial" w:hAnsi="Arial"/>
          <w:sz w:val="20"/>
          <w:szCs w:val="20"/>
          <w:color w:val="262626"/>
        </w:rPr>
        <w:t xml:space="preserve"> </w:t>
      </w:r>
      <w:r>
        <w:rPr>
          <w:rFonts w:ascii="Arial" w:cs="Arial" w:eastAsia="Arial" w:hAnsi="Arial"/>
          <w:sz w:val="20"/>
          <w:szCs w:val="20"/>
          <w:color w:val="212121"/>
        </w:rPr>
        <w:t>preceding Tenant’s request for consent; or</w:t>
      </w:r>
    </w:p>
    <w:p>
      <w:pPr>
        <w:spacing w:after="0" w:line="164" w:lineRule="exact"/>
        <w:rPr>
          <w:rFonts w:ascii="Arial" w:cs="Arial" w:eastAsia="Arial" w:hAnsi="Arial"/>
          <w:sz w:val="20"/>
          <w:szCs w:val="20"/>
          <w:color w:val="262626"/>
        </w:rPr>
      </w:pPr>
    </w:p>
    <w:p>
      <w:pPr>
        <w:ind w:right="720" w:firstLine="1763"/>
        <w:spacing w:after="0" w:line="287" w:lineRule="auto"/>
        <w:tabs>
          <w:tab w:leader="none" w:pos="2631" w:val="left"/>
        </w:tabs>
        <w:numPr>
          <w:ilvl w:val="0"/>
          <w:numId w:val="57"/>
        </w:numPr>
        <w:rPr>
          <w:rFonts w:ascii="Arial" w:cs="Arial" w:eastAsia="Arial" w:hAnsi="Arial"/>
          <w:sz w:val="19"/>
          <w:szCs w:val="19"/>
          <w:color w:val="212121"/>
        </w:rPr>
      </w:pPr>
      <w:r>
        <w:rPr>
          <w:rFonts w:ascii="Arial" w:cs="Arial" w:eastAsia="Arial" w:hAnsi="Arial"/>
          <w:sz w:val="19"/>
          <w:szCs w:val="19"/>
          <w:color w:val="212121"/>
        </w:rPr>
        <w:t xml:space="preserve">The proposed Transfer or the proposed Transferee fails to comply with any other conditions reasonably required by Landlord under the circumstances at such time in accordance with good </w:t>
      </w:r>
      <w:r>
        <w:rPr>
          <w:rFonts w:ascii="Arial" w:cs="Arial" w:eastAsia="Arial" w:hAnsi="Arial"/>
          <w:sz w:val="19"/>
          <w:szCs w:val="19"/>
          <w:color w:val="262626"/>
        </w:rPr>
        <w:t>business practices; or</w:t>
      </w:r>
    </w:p>
    <w:p>
      <w:pPr>
        <w:spacing w:after="0" w:line="139" w:lineRule="exact"/>
        <w:rPr>
          <w:rFonts w:ascii="Arial" w:cs="Arial" w:eastAsia="Arial" w:hAnsi="Arial"/>
          <w:sz w:val="19"/>
          <w:szCs w:val="19"/>
          <w:color w:val="212121"/>
        </w:rPr>
      </w:pPr>
    </w:p>
    <w:p>
      <w:pPr>
        <w:ind w:right="100" w:firstLine="1763"/>
        <w:spacing w:after="0" w:line="260" w:lineRule="auto"/>
        <w:tabs>
          <w:tab w:leader="none" w:pos="2590" w:val="left"/>
        </w:tabs>
        <w:numPr>
          <w:ilvl w:val="0"/>
          <w:numId w:val="57"/>
        </w:numPr>
        <w:rPr>
          <w:rFonts w:ascii="Arial" w:cs="Arial" w:eastAsia="Arial" w:hAnsi="Arial"/>
          <w:sz w:val="20"/>
          <w:szCs w:val="20"/>
          <w:color w:val="262626"/>
        </w:rPr>
      </w:pPr>
      <w:r>
        <w:rPr>
          <w:rFonts w:ascii="Arial" w:cs="Arial" w:eastAsia="Arial" w:hAnsi="Arial"/>
          <w:sz w:val="20"/>
          <w:szCs w:val="20"/>
          <w:color w:val="262626"/>
        </w:rPr>
        <w:t>The su</w:t>
      </w:r>
      <w:r>
        <w:rPr>
          <w:rFonts w:ascii="Arial" w:cs="Arial" w:eastAsia="Arial" w:hAnsi="Arial"/>
          <w:sz w:val="20"/>
          <w:szCs w:val="20"/>
          <w:color w:val="212121"/>
        </w:rPr>
        <w:t>blease rent charged by Tenant to such proposed Transferee during the term of such Transfer, is less than</w:t>
      </w:r>
      <w:r>
        <w:rPr>
          <w:rFonts w:ascii="Arial" w:cs="Arial" w:eastAsia="Arial" w:hAnsi="Arial"/>
          <w:sz w:val="20"/>
          <w:szCs w:val="20"/>
          <w:color w:val="262626"/>
        </w:rPr>
        <w:t xml:space="preserve"> </w:t>
      </w:r>
      <w:r>
        <w:rPr>
          <w:rFonts w:ascii="Arial" w:cs="Arial" w:eastAsia="Arial" w:hAnsi="Arial"/>
          <w:sz w:val="20"/>
          <w:szCs w:val="20"/>
          <w:color w:val="212121"/>
        </w:rPr>
        <w:t>the fair market sublease rental value of the Subject Space as of the date of the proposed Transfer.</w:t>
      </w:r>
    </w:p>
    <w:p>
      <w:pPr>
        <w:spacing w:after="0" w:line="16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12121"/>
        </w:rPr>
        <w:t>11.4</w:t>
      </w:r>
      <w:r>
        <w:rPr>
          <w:sz w:val="20"/>
          <w:szCs w:val="20"/>
          <w:color w:val="auto"/>
        </w:rPr>
        <w:tab/>
      </w:r>
      <w:r>
        <w:rPr>
          <w:rFonts w:ascii="Arial" w:cs="Arial" w:eastAsia="Arial" w:hAnsi="Arial"/>
          <w:sz w:val="18"/>
          <w:szCs w:val="18"/>
          <w:u w:val="single" w:color="auto"/>
          <w:color w:val="212121"/>
        </w:rPr>
        <w:t xml:space="preserve">Transfer </w:t>
      </w:r>
      <w:r>
        <w:rPr>
          <w:rFonts w:ascii="Arial" w:cs="Arial" w:eastAsia="Arial" w:hAnsi="Arial"/>
          <w:sz w:val="18"/>
          <w:szCs w:val="18"/>
          <w:u w:val="single" w:color="auto"/>
          <w:color w:val="383838"/>
        </w:rPr>
        <w:t>Premium</w:t>
      </w:r>
    </w:p>
    <w:p>
      <w:pPr>
        <w:spacing w:after="0" w:line="189" w:lineRule="exact"/>
        <w:rPr>
          <w:sz w:val="20"/>
          <w:szCs w:val="20"/>
          <w:color w:val="auto"/>
        </w:rPr>
      </w:pPr>
    </w:p>
    <w:p>
      <w:pPr>
        <w:ind w:right="40" w:firstLine="877"/>
        <w:spacing w:after="0" w:line="305" w:lineRule="auto"/>
        <w:rPr>
          <w:sz w:val="20"/>
          <w:szCs w:val="20"/>
          <w:color w:val="auto"/>
        </w:rPr>
      </w:pPr>
      <w:r>
        <w:rPr>
          <w:rFonts w:ascii="Arial" w:cs="Arial" w:eastAsia="Arial" w:hAnsi="Arial"/>
          <w:sz w:val="16"/>
          <w:szCs w:val="16"/>
          <w:color w:val="212121"/>
        </w:rPr>
        <w:t xml:space="preserve">If Landlord consents to a Transfer, as a condition thereto which the parties hereby agree is reasonable, Tenant shall pay Landlord seventy-five percent (75%) of any Transfer Premium derived by Tenant from such Transfer. “Transfer Premium” shall mean all rent, additional rent or other consideration due from such Transferee (including, but not limited to, payments in excess of fair market value for Tenant’s assets, trade fixtures, equipment and other personal property, goodwill, intangible property and any capital stock or other equity ownership of Tenant) in excess of the Rent payable by Tenant under this Lease (on a monthly basis during the Term, and on a per rentable square foot basis, if less than all of the Premises is transferred), after deducting Permitted Transfer Costs. As used herein, “Permitted Transfer Costs” means the actual costs incurred and paid by Tenant for (a) any customary leasing commissions and reasonable legal fees and expenses in connection with the Transfer, and (b) any Alterations to the Subject Space made by Tenant in connection with the Transfer, provided that Tenant shall furnish Landlord with copies of bills or other documentation substantiating such costs. For purposes of </w:t>
      </w:r>
      <w:r>
        <w:rPr>
          <w:rFonts w:ascii="Arial" w:cs="Arial" w:eastAsia="Arial" w:hAnsi="Arial"/>
          <w:sz w:val="16"/>
          <w:szCs w:val="16"/>
          <w:color w:val="262626"/>
        </w:rPr>
        <w:t>calculating</w:t>
      </w:r>
      <w:r>
        <w:rPr>
          <w:rFonts w:ascii="Arial" w:cs="Arial" w:eastAsia="Arial" w:hAnsi="Arial"/>
          <w:sz w:val="16"/>
          <w:szCs w:val="16"/>
          <w:color w:val="212121"/>
        </w:rPr>
        <w:t xml:space="preserve"> the Transfer Premium when the Transfer Premium is not paid to Tenant in a lump sum, all Permitted Transfer Costs shall be amortized on a straight-line basis, without interest, over the relevant term of the Transfer. If part of the consideration for such Transfer shall be payable other than in cash, Landlord’s share of such non-cash consideration shall be in such form as is reasonably satisfactory to Landlord. If Tenant shall enter into multiple Transfers, the Transfer Premium payable to Landlord shall be calculated independently with respect to each Transfer. The Transfer Premium due Landlord hereunder shall be paid within ten (10) days after any Transfer Premium from the Transferee is paid to Tenant. Landlord or its authorized representatives shall have the right at all reasonable times to audit the books, records and papers of Tenant relating to any Transfer, and shall have the right to make copies thereof. If the Transfer Premium respecting any Transfer shall be found to be understated, Tenant shall within thirty (30) days after demand pay the deficiency, and if understated by more than two percent (2%), Tenant shall pay Landlord’s costs of such audit.</w:t>
      </w:r>
    </w:p>
    <w:p>
      <w:pPr>
        <w:spacing w:after="0" w:line="200" w:lineRule="exact"/>
        <w:rPr>
          <w:sz w:val="20"/>
          <w:szCs w:val="20"/>
          <w:color w:val="auto"/>
        </w:rPr>
      </w:pPr>
    </w:p>
    <w:p>
      <w:pPr>
        <w:spacing w:after="0" w:line="39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12121"/>
        </w:rPr>
        <w:t>11.5</w:t>
      </w:r>
      <w:r>
        <w:rPr>
          <w:sz w:val="20"/>
          <w:szCs w:val="20"/>
          <w:color w:val="auto"/>
        </w:rPr>
        <w:tab/>
      </w:r>
      <w:r>
        <w:rPr>
          <w:rFonts w:ascii="Arial" w:cs="Arial" w:eastAsia="Arial" w:hAnsi="Arial"/>
          <w:sz w:val="16"/>
          <w:szCs w:val="16"/>
          <w:u w:val="single" w:color="auto"/>
          <w:color w:val="383838"/>
        </w:rPr>
        <w:t>Recapture</w:t>
      </w:r>
    </w:p>
    <w:p>
      <w:pPr>
        <w:spacing w:after="0" w:line="202" w:lineRule="exact"/>
        <w:rPr>
          <w:sz w:val="20"/>
          <w:szCs w:val="20"/>
          <w:color w:val="auto"/>
        </w:rPr>
      </w:pPr>
    </w:p>
    <w:p>
      <w:pPr>
        <w:ind w:right="120" w:firstLine="877"/>
        <w:spacing w:after="0" w:line="244" w:lineRule="auto"/>
        <w:rPr>
          <w:sz w:val="20"/>
          <w:szCs w:val="20"/>
          <w:color w:val="auto"/>
        </w:rPr>
      </w:pPr>
      <w:r>
        <w:rPr>
          <w:rFonts w:ascii="Arial" w:cs="Arial" w:eastAsia="Arial" w:hAnsi="Arial"/>
          <w:sz w:val="20"/>
          <w:szCs w:val="20"/>
          <w:color w:val="212121"/>
        </w:rPr>
        <w:t xml:space="preserve">Notwithstanding anything to the contrary contained in this Article 11, Landlord shall have the option, by giving written notice to Tenant within thirty (30) days after receipt of Tenant’s Notice of Proposed Transfer, to recapture the Subject Space. Such recapture notice shall cancel and terminate this Lease with respect to the Subject Space as of the date stated in Tenant’s Notice of Proposed Transfer as the effective date of the proposed Transfer (or, at </w:t>
      </w:r>
      <w:r>
        <w:rPr>
          <w:rFonts w:ascii="Arial" w:cs="Arial" w:eastAsia="Arial" w:hAnsi="Arial"/>
          <w:sz w:val="20"/>
          <w:szCs w:val="20"/>
          <w:color w:val="262626"/>
        </w:rPr>
        <w:t>Landlord’s option, shall cause the Transfer to be made to Landlord or its agent, in which case the parties</w:t>
      </w:r>
      <w:r>
        <w:rPr>
          <w:rFonts w:ascii="Arial" w:cs="Arial" w:eastAsia="Arial" w:hAnsi="Arial"/>
          <w:sz w:val="20"/>
          <w:szCs w:val="20"/>
          <w:color w:val="212121"/>
        </w:rPr>
        <w:t xml:space="preserve"> </w:t>
      </w:r>
      <w:r>
        <w:rPr>
          <w:rFonts w:ascii="Arial" w:cs="Arial" w:eastAsia="Arial" w:hAnsi="Arial"/>
          <w:sz w:val="20"/>
          <w:szCs w:val="20"/>
          <w:color w:val="262626"/>
        </w:rPr>
        <w:t>shall execute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20</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8" w:name="page149"/>
    <w:bookmarkEnd w:id="148"/>
    <w:p>
      <w:pPr>
        <w:ind w:right="180"/>
        <w:spacing w:after="0" w:line="271" w:lineRule="auto"/>
        <w:rPr>
          <w:sz w:val="20"/>
          <w:szCs w:val="20"/>
          <w:color w:val="auto"/>
        </w:rPr>
      </w:pPr>
      <w:r>
        <w:rPr>
          <w:rFonts w:ascii="Arial" w:cs="Arial" w:eastAsia="Arial" w:hAnsi="Arial"/>
          <w:sz w:val="18"/>
          <w:szCs w:val="18"/>
          <w:color w:val="262626"/>
        </w:rPr>
        <w:t>Transfer documentation promptly thereafter). If Landlord recaptures the Subject Space, the following provisions shall be applicable: (a) Landlord, at Landlord’s expense, shall construct any demising walls required to segregate the Subject Space from the remaining Premises retained by Tenant; and Tenant shall be responsible, at its expense, for painting, covering or otherwise decorating the surfaces of the partitions facing the remaining Premises retained by Tenant; (b) if this Lease shall be cancelled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(upon request of either party, the parties shall execute written confirmation of the same); and (c) Landlord shall have the right to negotiate directly with Tenant’s proposed Transferee and to enter into a direct lease or occupancy agreement with any such party on such terms as shall be acceptable to Landlord in its sole and absolute discretion, and Tenant hereby waives any claims against Landlord related thereto, including, without limitation, any claims for compensation or profit related to such lease or occupancy agreement.</w:t>
      </w:r>
    </w:p>
    <w:p>
      <w:pPr>
        <w:spacing w:after="0" w:line="14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11.6</w:t>
      </w:r>
      <w:r>
        <w:rPr>
          <w:sz w:val="20"/>
          <w:szCs w:val="20"/>
          <w:color w:val="auto"/>
        </w:rPr>
        <w:tab/>
      </w:r>
      <w:r>
        <w:rPr>
          <w:rFonts w:ascii="Arial" w:cs="Arial" w:eastAsia="Arial" w:hAnsi="Arial"/>
          <w:sz w:val="16"/>
          <w:szCs w:val="16"/>
          <w:u w:val="single" w:color="auto"/>
          <w:color w:val="383838"/>
        </w:rPr>
        <w:t xml:space="preserve">Terms </w:t>
      </w:r>
      <w:r>
        <w:rPr>
          <w:rFonts w:ascii="Arial" w:cs="Arial" w:eastAsia="Arial" w:hAnsi="Arial"/>
          <w:sz w:val="16"/>
          <w:szCs w:val="16"/>
          <w:color w:val="262626"/>
        </w:rPr>
        <w:t>of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-14605</wp:posOffset>
            </wp:positionV>
            <wp:extent cx="585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182" w:lineRule="exact"/>
        <w:rPr>
          <w:sz w:val="20"/>
          <w:szCs w:val="20"/>
          <w:color w:val="auto"/>
        </w:rPr>
      </w:pPr>
    </w:p>
    <w:p>
      <w:pPr>
        <w:ind w:right="40" w:firstLine="877"/>
        <w:spacing w:after="0" w:line="269" w:lineRule="auto"/>
        <w:rPr>
          <w:sz w:val="20"/>
          <w:szCs w:val="20"/>
          <w:color w:val="auto"/>
        </w:rPr>
      </w:pPr>
      <w:r>
        <w:rPr>
          <w:rFonts w:ascii="Arial" w:cs="Arial" w:eastAsia="Arial" w:hAnsi="Arial"/>
          <w:sz w:val="18"/>
          <w:szCs w:val="18"/>
          <w:color w:val="262626"/>
        </w:rPr>
        <w:t>If Landlord consents to a Transfer: (a) the terms and conditions of this Lease, including among other things, Tenant’s liability for the Subject Space, and Rent with respect thereto, shall in no way be deemed to have been released, waived or modified, (b) such consent shall not be deemed consent to any further Transfer by either Tenant or the Transferee, (c) no Transferee shall succeed to any rights provided in this Lease or any amendment hereto to extend the Term, expand the Premises, or lease additional space, any such rights being deemed personal to Tenant, (d) Tenant shall deliver to Landlord promptly after execution, an original executed copy of all documentation pertaining to the Transfer in form reasonably acceptable to Landlord, and (e) Tenant shall furnish upon Landlord’s request a complete statement, certified by an independent certified public accountant, or Tenant’s chief financial officer, setting forth in detail the computation of any Transfer Premium Tenant has derived and shall derive from such Transfer. In addition, if Landlord consents to a Transfer, but the Transfer does not occur within ninety (90) days after Tenant’s Notice of Proposed Transfer, or if the terms of the proposed Transfer materially change from those set forth in Tenant’s Notice of Proposed Transfer, Tenant shall submit a new Notice of Proposed Transfer, requesting Landlord’s consent, and the Subject Space shall again be subject to Landlord’s rights under Section 11.5 above. Each Transferee under an assignment of this Lease, other than Landlord, must expressly assume all of the provisions, covenants and conditions of this Lease on the part of Tenant to be kept and performed. Any sublease hereunder shall be subordinate and subject to the provisions of this Lease, and if this Lease shall be terminated during the term of any sublease, Landlord shall have the right to: (A) treat such sublease as cancelled and repossess the Subject Space by any lawful means, or (B) require that the subtenant attorn to and recognize Landlord as its landlord under any such sublease. If an Event of Default shall occur, Landlord is hereby irrevocably authorized, as Tenant’s agent and attorney-in-fact, to direct any Transferee to make all payments under or in connection with the Transfer directly to Landlord (which Landlord shall apply towards Tenant’s obligations under this Lease) until such Event of Default is cured.</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11.7</w:t>
      </w:r>
      <w:r>
        <w:rPr>
          <w:sz w:val="20"/>
          <w:szCs w:val="20"/>
          <w:color w:val="auto"/>
        </w:rPr>
        <w:tab/>
      </w:r>
      <w:r>
        <w:rPr>
          <w:rFonts w:ascii="Arial" w:cs="Arial" w:eastAsia="Arial" w:hAnsi="Arial"/>
          <w:sz w:val="16"/>
          <w:szCs w:val="16"/>
          <w:u w:val="single" w:color="auto"/>
          <w:color w:val="262626"/>
        </w:rPr>
        <w:t>Subsequent Consents</w:t>
      </w:r>
    </w:p>
    <w:p>
      <w:pPr>
        <w:spacing w:after="0" w:line="189" w:lineRule="exact"/>
        <w:rPr>
          <w:sz w:val="20"/>
          <w:szCs w:val="20"/>
          <w:color w:val="auto"/>
        </w:rPr>
      </w:pPr>
    </w:p>
    <w:p>
      <w:pPr>
        <w:jc w:val="both"/>
        <w:ind w:right="40" w:firstLine="877"/>
        <w:spacing w:after="0" w:line="291" w:lineRule="auto"/>
        <w:rPr>
          <w:sz w:val="20"/>
          <w:szCs w:val="20"/>
          <w:color w:val="auto"/>
        </w:rPr>
      </w:pPr>
      <w:r>
        <w:rPr>
          <w:rFonts w:ascii="Arial" w:cs="Arial" w:eastAsia="Arial" w:hAnsi="Arial"/>
          <w:sz w:val="18"/>
          <w:szCs w:val="18"/>
          <w:color w:val="3A3A3A"/>
        </w:rPr>
        <w:t xml:space="preserve">Consent </w:t>
      </w:r>
      <w:r>
        <w:rPr>
          <w:rFonts w:ascii="Arial" w:cs="Arial" w:eastAsia="Arial" w:hAnsi="Arial"/>
          <w:sz w:val="18"/>
          <w:szCs w:val="18"/>
          <w:color w:val="262626"/>
        </w:rPr>
        <w:t>by Landlord to</w:t>
      </w:r>
      <w:r>
        <w:rPr>
          <w:rFonts w:ascii="Arial" w:cs="Arial" w:eastAsia="Arial" w:hAnsi="Arial"/>
          <w:sz w:val="18"/>
          <w:szCs w:val="18"/>
          <w:color w:val="3A3A3A"/>
        </w:rPr>
        <w:t xml:space="preserve"> any Transfer </w:t>
      </w:r>
      <w:r>
        <w:rPr>
          <w:rFonts w:ascii="Arial" w:cs="Arial" w:eastAsia="Arial" w:hAnsi="Arial"/>
          <w:sz w:val="18"/>
          <w:szCs w:val="18"/>
          <w:color w:val="262626"/>
        </w:rPr>
        <w:t>made pursuant to this</w:t>
      </w:r>
      <w:r>
        <w:rPr>
          <w:rFonts w:ascii="Arial" w:cs="Arial" w:eastAsia="Arial" w:hAnsi="Arial"/>
          <w:sz w:val="18"/>
          <w:szCs w:val="18"/>
          <w:color w:val="3A3A3A"/>
        </w:rPr>
        <w:t xml:space="preserve"> Lease </w:t>
      </w:r>
      <w:r>
        <w:rPr>
          <w:rFonts w:ascii="Arial" w:cs="Arial" w:eastAsia="Arial" w:hAnsi="Arial"/>
          <w:sz w:val="18"/>
          <w:szCs w:val="18"/>
          <w:color w:val="262626"/>
        </w:rPr>
        <w:t>shall not</w:t>
      </w:r>
      <w:r>
        <w:rPr>
          <w:rFonts w:ascii="Arial" w:cs="Arial" w:eastAsia="Arial" w:hAnsi="Arial"/>
          <w:sz w:val="18"/>
          <w:szCs w:val="18"/>
          <w:color w:val="3A3A3A"/>
        </w:rPr>
        <w:t xml:space="preserve"> operate </w:t>
      </w:r>
      <w:r>
        <w:rPr>
          <w:rFonts w:ascii="Arial" w:cs="Arial" w:eastAsia="Arial" w:hAnsi="Arial"/>
          <w:sz w:val="18"/>
          <w:szCs w:val="18"/>
          <w:color w:val="262626"/>
        </w:rPr>
        <w:t>to relieve</w:t>
      </w:r>
      <w:r>
        <w:rPr>
          <w:rFonts w:ascii="Arial" w:cs="Arial" w:eastAsia="Arial" w:hAnsi="Arial"/>
          <w:sz w:val="18"/>
          <w:szCs w:val="18"/>
          <w:color w:val="3A3A3A"/>
        </w:rPr>
        <w:t xml:space="preserve"> Tenant from any covenant </w:t>
      </w:r>
      <w:r>
        <w:rPr>
          <w:rFonts w:ascii="Arial" w:cs="Arial" w:eastAsia="Arial" w:hAnsi="Arial"/>
          <w:sz w:val="18"/>
          <w:szCs w:val="18"/>
          <w:color w:val="262626"/>
        </w:rPr>
        <w:t>or</w:t>
      </w:r>
      <w:r>
        <w:rPr>
          <w:rFonts w:ascii="Arial" w:cs="Arial" w:eastAsia="Arial" w:hAnsi="Arial"/>
          <w:sz w:val="18"/>
          <w:szCs w:val="18"/>
          <w:color w:val="3A3A3A"/>
        </w:rPr>
        <w:t xml:space="preserve"> obligation </w:t>
      </w:r>
      <w:r>
        <w:rPr>
          <w:rFonts w:ascii="Arial" w:cs="Arial" w:eastAsia="Arial" w:hAnsi="Arial"/>
          <w:sz w:val="18"/>
          <w:szCs w:val="18"/>
          <w:color w:val="262626"/>
        </w:rPr>
        <w:t xml:space="preserve">hereunder or be deemed to be </w:t>
      </w:r>
      <w:r>
        <w:rPr>
          <w:rFonts w:ascii="Arial" w:cs="Arial" w:eastAsia="Arial" w:hAnsi="Arial"/>
          <w:sz w:val="18"/>
          <w:szCs w:val="18"/>
          <w:color w:val="3A3A3A"/>
        </w:rPr>
        <w:t>a</w:t>
      </w:r>
      <w:r>
        <w:rPr>
          <w:rFonts w:ascii="Arial" w:cs="Arial" w:eastAsia="Arial" w:hAnsi="Arial"/>
          <w:sz w:val="18"/>
          <w:szCs w:val="18"/>
          <w:color w:val="262626"/>
        </w:rPr>
        <w:t xml:space="preserve"> consent </w:t>
      </w:r>
      <w:r>
        <w:rPr>
          <w:rFonts w:ascii="Arial" w:cs="Arial" w:eastAsia="Arial" w:hAnsi="Arial"/>
          <w:sz w:val="18"/>
          <w:szCs w:val="18"/>
          <w:color w:val="3A3A3A"/>
        </w:rPr>
        <w:t>to</w:t>
      </w:r>
      <w:r>
        <w:rPr>
          <w:rFonts w:ascii="Arial" w:cs="Arial" w:eastAsia="Arial" w:hAnsi="Arial"/>
          <w:sz w:val="18"/>
          <w:szCs w:val="18"/>
          <w:color w:val="262626"/>
        </w:rPr>
        <w:t xml:space="preserve"> or relieve Tenant </w:t>
      </w:r>
      <w:r>
        <w:rPr>
          <w:rFonts w:ascii="Arial" w:cs="Arial" w:eastAsia="Arial" w:hAnsi="Arial"/>
          <w:sz w:val="18"/>
          <w:szCs w:val="18"/>
          <w:color w:val="3A3A3A"/>
        </w:rPr>
        <w:t>from obtaining Landlord’s</w:t>
      </w:r>
      <w:r>
        <w:rPr>
          <w:rFonts w:ascii="Arial" w:cs="Arial" w:eastAsia="Arial" w:hAnsi="Arial"/>
          <w:sz w:val="18"/>
          <w:szCs w:val="18"/>
          <w:color w:val="262626"/>
        </w:rPr>
        <w:t xml:space="preserve"> consent to any subsequent Transfer by Tenant or anyone claiming by, through or under Tenant. No subtenant shall have the right to further Transfer its interest in the Subject Space.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21</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49" w:name="page150"/>
    <w:bookmarkEnd w:id="149"/>
    <w:p>
      <w:pPr>
        <w:ind w:left="880"/>
        <w:spacing w:after="0"/>
        <w:tabs>
          <w:tab w:leader="none" w:pos="1860" w:val="left"/>
        </w:tabs>
        <w:rPr>
          <w:sz w:val="20"/>
          <w:szCs w:val="20"/>
          <w:color w:val="auto"/>
        </w:rPr>
      </w:pPr>
      <w:r>
        <w:rPr>
          <w:rFonts w:ascii="Arial" w:cs="Arial" w:eastAsia="Arial" w:hAnsi="Arial"/>
          <w:sz w:val="20"/>
          <w:szCs w:val="20"/>
          <w:color w:val="262626"/>
        </w:rPr>
        <w:t>11.8</w:t>
      </w:r>
      <w:r>
        <w:rPr>
          <w:sz w:val="20"/>
          <w:szCs w:val="20"/>
          <w:color w:val="auto"/>
        </w:rPr>
        <w:tab/>
      </w:r>
      <w:r>
        <w:rPr>
          <w:rFonts w:ascii="Arial" w:cs="Arial" w:eastAsia="Arial" w:hAnsi="Arial"/>
          <w:sz w:val="16"/>
          <w:szCs w:val="16"/>
          <w:u w:val="single" w:color="auto"/>
          <w:color w:val="3A3A3A"/>
        </w:rPr>
        <w:t xml:space="preserve">Certain </w:t>
      </w:r>
      <w:r>
        <w:rPr>
          <w:rFonts w:ascii="Arial" w:cs="Arial" w:eastAsia="Arial" w:hAnsi="Arial"/>
          <w:sz w:val="16"/>
          <w:szCs w:val="16"/>
          <w:u w:val="single" w:color="auto"/>
          <w:color w:val="262626"/>
        </w:rPr>
        <w:t>Transfers</w:t>
      </w:r>
    </w:p>
    <w:p>
      <w:pPr>
        <w:spacing w:after="0" w:line="189" w:lineRule="exact"/>
        <w:rPr>
          <w:sz w:val="20"/>
          <w:szCs w:val="20"/>
          <w:color w:val="auto"/>
        </w:rPr>
      </w:pPr>
    </w:p>
    <w:p>
      <w:pPr>
        <w:ind w:right="60" w:firstLine="877"/>
        <w:spacing w:after="0" w:line="282" w:lineRule="auto"/>
        <w:rPr>
          <w:sz w:val="20"/>
          <w:szCs w:val="20"/>
          <w:color w:val="auto"/>
        </w:rPr>
      </w:pPr>
      <w:r>
        <w:rPr>
          <w:rFonts w:ascii="Arial" w:cs="Arial" w:eastAsia="Arial" w:hAnsi="Arial"/>
          <w:sz w:val="18"/>
          <w:szCs w:val="18"/>
          <w:color w:val="262626"/>
        </w:rPr>
        <w:t xml:space="preserve">For purposes of this Lease, the term “Transfer” shall also include (a) if Tenant is a partnership, the withdrawal or change, voluntary, </w:t>
      </w:r>
      <w:r>
        <w:rPr>
          <w:rFonts w:ascii="Arial" w:cs="Arial" w:eastAsia="Arial" w:hAnsi="Arial"/>
          <w:sz w:val="18"/>
          <w:szCs w:val="18"/>
          <w:color w:val="3A3A3A"/>
        </w:rPr>
        <w:t xml:space="preserve">involuntary or by operation </w:t>
      </w:r>
      <w:r>
        <w:rPr>
          <w:rFonts w:ascii="Arial" w:cs="Arial" w:eastAsia="Arial" w:hAnsi="Arial"/>
          <w:sz w:val="18"/>
          <w:szCs w:val="18"/>
          <w:color w:val="262626"/>
        </w:rPr>
        <w:t>of law, of a general partner or a majority of the partners, or a transfer</w:t>
      </w:r>
      <w:r>
        <w:rPr>
          <w:rFonts w:ascii="Arial" w:cs="Arial" w:eastAsia="Arial" w:hAnsi="Arial"/>
          <w:sz w:val="18"/>
          <w:szCs w:val="18"/>
          <w:color w:val="3A3A3A"/>
        </w:rPr>
        <w:t xml:space="preserve"> of a </w:t>
      </w:r>
      <w:r>
        <w:rPr>
          <w:rFonts w:ascii="Arial" w:cs="Arial" w:eastAsia="Arial" w:hAnsi="Arial"/>
          <w:sz w:val="18"/>
          <w:szCs w:val="18"/>
          <w:color w:val="262626"/>
        </w:rPr>
        <w:t>majority of partnership interests, or the</w:t>
      </w:r>
      <w:r>
        <w:rPr>
          <w:rFonts w:ascii="Arial" w:cs="Arial" w:eastAsia="Arial" w:hAnsi="Arial"/>
          <w:sz w:val="18"/>
          <w:szCs w:val="18"/>
          <w:color w:val="3A3A3A"/>
        </w:rPr>
        <w:t xml:space="preserve"> </w:t>
      </w:r>
      <w:r>
        <w:rPr>
          <w:rFonts w:ascii="Arial" w:cs="Arial" w:eastAsia="Arial" w:hAnsi="Arial"/>
          <w:sz w:val="18"/>
          <w:szCs w:val="18"/>
          <w:color w:val="262626"/>
        </w:rPr>
        <w:t>diss</w:t>
      </w:r>
      <w:r>
        <w:rPr>
          <w:rFonts w:ascii="Arial" w:cs="Arial" w:eastAsia="Arial" w:hAnsi="Arial"/>
          <w:sz w:val="18"/>
          <w:szCs w:val="18"/>
          <w:color w:val="3A3A3A"/>
        </w:rPr>
        <w:t>olution of the</w:t>
      </w:r>
      <w:r>
        <w:rPr>
          <w:rFonts w:ascii="Arial" w:cs="Arial" w:eastAsia="Arial" w:hAnsi="Arial"/>
          <w:sz w:val="18"/>
          <w:szCs w:val="18"/>
          <w:color w:val="262626"/>
        </w:rPr>
        <w:t xml:space="preserve"> partnership;•</w:t>
      </w:r>
      <w:r>
        <w:rPr>
          <w:rFonts w:ascii="Arial" w:cs="Arial" w:eastAsia="Arial" w:hAnsi="Arial"/>
          <w:sz w:val="18"/>
          <w:szCs w:val="18"/>
          <w:color w:val="3A3A3A"/>
        </w:rPr>
        <w:t>and (b)</w:t>
      </w:r>
      <w:r>
        <w:rPr>
          <w:rFonts w:ascii="Arial" w:cs="Arial" w:eastAsia="Arial" w:hAnsi="Arial"/>
          <w:sz w:val="18"/>
          <w:szCs w:val="18"/>
          <w:color w:val="262626"/>
        </w:rPr>
        <w:t xml:space="preserve"> if </w:t>
      </w:r>
      <w:r>
        <w:rPr>
          <w:rFonts w:ascii="Arial" w:cs="Arial" w:eastAsia="Arial" w:hAnsi="Arial"/>
          <w:sz w:val="18"/>
          <w:szCs w:val="18"/>
          <w:color w:val="3A3A3A"/>
        </w:rPr>
        <w:t>Tenant is a limited</w:t>
      </w:r>
      <w:r>
        <w:rPr>
          <w:rFonts w:ascii="Arial" w:cs="Arial" w:eastAsia="Arial" w:hAnsi="Arial"/>
          <w:sz w:val="18"/>
          <w:szCs w:val="18"/>
          <w:color w:val="262626"/>
        </w:rPr>
        <w:t xml:space="preserve"> liability </w:t>
      </w:r>
      <w:r>
        <w:rPr>
          <w:rFonts w:ascii="Arial" w:cs="Arial" w:eastAsia="Arial" w:hAnsi="Arial"/>
          <w:sz w:val="18"/>
          <w:szCs w:val="18"/>
          <w:color w:val="3A3A3A"/>
        </w:rPr>
        <w:t>company, the withdrawal</w:t>
      </w:r>
      <w:r>
        <w:rPr>
          <w:rFonts w:ascii="Arial" w:cs="Arial" w:eastAsia="Arial" w:hAnsi="Arial"/>
          <w:sz w:val="18"/>
          <w:szCs w:val="18"/>
          <w:color w:val="262626"/>
        </w:rPr>
        <w:t xml:space="preserve"> or </w:t>
      </w:r>
      <w:r>
        <w:rPr>
          <w:rFonts w:ascii="Arial" w:cs="Arial" w:eastAsia="Arial" w:hAnsi="Arial"/>
          <w:sz w:val="18"/>
          <w:szCs w:val="18"/>
          <w:color w:val="3A3A3A"/>
        </w:rPr>
        <w:t>change,</w:t>
      </w:r>
      <w:r>
        <w:rPr>
          <w:rFonts w:ascii="Arial" w:cs="Arial" w:eastAsia="Arial" w:hAnsi="Arial"/>
          <w:sz w:val="18"/>
          <w:szCs w:val="18"/>
          <w:color w:val="262626"/>
        </w:rPr>
        <w:t xml:space="preserve"> voluntary, involuntary, </w:t>
      </w:r>
      <w:r>
        <w:rPr>
          <w:rFonts w:ascii="Arial" w:cs="Arial" w:eastAsia="Arial" w:hAnsi="Arial"/>
          <w:sz w:val="18"/>
          <w:szCs w:val="18"/>
          <w:color w:val="3A3A3A"/>
        </w:rPr>
        <w:t>or</w:t>
      </w:r>
      <w:r>
        <w:rPr>
          <w:rFonts w:ascii="Arial" w:cs="Arial" w:eastAsia="Arial" w:hAnsi="Arial"/>
          <w:sz w:val="18"/>
          <w:szCs w:val="18"/>
          <w:color w:val="262626"/>
        </w:rPr>
        <w:t xml:space="preserve"> by </w:t>
      </w:r>
      <w:r>
        <w:rPr>
          <w:rFonts w:ascii="Arial" w:cs="Arial" w:eastAsia="Arial" w:hAnsi="Arial"/>
          <w:sz w:val="18"/>
          <w:szCs w:val="18"/>
          <w:color w:val="3A3A3A"/>
        </w:rPr>
        <w:t>operation</w:t>
      </w:r>
      <w:r>
        <w:rPr>
          <w:rFonts w:ascii="Arial" w:cs="Arial" w:eastAsia="Arial" w:hAnsi="Arial"/>
          <w:sz w:val="18"/>
          <w:szCs w:val="18"/>
          <w:color w:val="262626"/>
        </w:rPr>
        <w:t xml:space="preserve"> </w:t>
      </w:r>
      <w:r>
        <w:rPr>
          <w:rFonts w:ascii="Arial" w:cs="Arial" w:eastAsia="Arial" w:hAnsi="Arial"/>
          <w:sz w:val="18"/>
          <w:szCs w:val="18"/>
          <w:color w:val="3A3A3A"/>
        </w:rPr>
        <w:t xml:space="preserve">of </w:t>
      </w:r>
      <w:r>
        <w:rPr>
          <w:rFonts w:ascii="Arial" w:cs="Arial" w:eastAsia="Arial" w:hAnsi="Arial"/>
          <w:sz w:val="18"/>
          <w:szCs w:val="18"/>
          <w:color w:val="262626"/>
        </w:rPr>
        <w:t>law,</w:t>
      </w:r>
      <w:r>
        <w:rPr>
          <w:rFonts w:ascii="Arial" w:cs="Arial" w:eastAsia="Arial" w:hAnsi="Arial"/>
          <w:sz w:val="18"/>
          <w:szCs w:val="18"/>
          <w:color w:val="3A3A3A"/>
        </w:rPr>
        <w:t xml:space="preserve"> of a </w:t>
      </w:r>
      <w:r>
        <w:rPr>
          <w:rFonts w:ascii="Arial" w:cs="Arial" w:eastAsia="Arial" w:hAnsi="Arial"/>
          <w:sz w:val="18"/>
          <w:szCs w:val="18"/>
          <w:color w:val="262626"/>
        </w:rPr>
        <w:t>majority</w:t>
      </w:r>
      <w:r>
        <w:rPr>
          <w:rFonts w:ascii="Arial" w:cs="Arial" w:eastAsia="Arial" w:hAnsi="Arial"/>
          <w:sz w:val="18"/>
          <w:szCs w:val="18"/>
          <w:color w:val="3A3A3A"/>
        </w:rPr>
        <w:t xml:space="preserve"> of </w:t>
      </w:r>
      <w:r>
        <w:rPr>
          <w:rFonts w:ascii="Arial" w:cs="Arial" w:eastAsia="Arial" w:hAnsi="Arial"/>
          <w:sz w:val="18"/>
          <w:szCs w:val="18"/>
          <w:color w:val="262626"/>
        </w:rPr>
        <w:t>members,</w:t>
      </w:r>
      <w:r>
        <w:rPr>
          <w:rFonts w:ascii="Arial" w:cs="Arial" w:eastAsia="Arial" w:hAnsi="Arial"/>
          <w:sz w:val="18"/>
          <w:szCs w:val="18"/>
          <w:color w:val="3A3A3A"/>
        </w:rPr>
        <w:t xml:space="preserve"> or a transfer </w:t>
      </w:r>
      <w:r>
        <w:rPr>
          <w:rFonts w:ascii="Arial" w:cs="Arial" w:eastAsia="Arial" w:hAnsi="Arial"/>
          <w:sz w:val="18"/>
          <w:szCs w:val="18"/>
          <w:color w:val="262626"/>
        </w:rPr>
        <w:t>of</w:t>
      </w:r>
      <w:r>
        <w:rPr>
          <w:rFonts w:ascii="Arial" w:cs="Arial" w:eastAsia="Arial" w:hAnsi="Arial"/>
          <w:sz w:val="18"/>
          <w:szCs w:val="18"/>
          <w:color w:val="3A3A3A"/>
        </w:rPr>
        <w:t xml:space="preserve"> a </w:t>
      </w:r>
      <w:r>
        <w:rPr>
          <w:rFonts w:ascii="Arial" w:cs="Arial" w:eastAsia="Arial" w:hAnsi="Arial"/>
          <w:sz w:val="18"/>
          <w:szCs w:val="18"/>
          <w:color w:val="262626"/>
        </w:rPr>
        <w:t>majority</w:t>
      </w:r>
      <w:r>
        <w:rPr>
          <w:rFonts w:ascii="Arial" w:cs="Arial" w:eastAsia="Arial" w:hAnsi="Arial"/>
          <w:sz w:val="18"/>
          <w:szCs w:val="18"/>
          <w:color w:val="3A3A3A"/>
        </w:rPr>
        <w:t xml:space="preserve"> of the </w:t>
      </w:r>
      <w:r>
        <w:rPr>
          <w:rFonts w:ascii="Arial" w:cs="Arial" w:eastAsia="Arial" w:hAnsi="Arial"/>
          <w:sz w:val="18"/>
          <w:szCs w:val="18"/>
          <w:color w:val="262626"/>
        </w:rPr>
        <w:t>membership interests,</w:t>
      </w:r>
      <w:r>
        <w:rPr>
          <w:rFonts w:ascii="Arial" w:cs="Arial" w:eastAsia="Arial" w:hAnsi="Arial"/>
          <w:sz w:val="18"/>
          <w:szCs w:val="18"/>
          <w:color w:val="3A3A3A"/>
        </w:rPr>
        <w:t xml:space="preserve"> or the dissolution of the </w:t>
      </w:r>
      <w:r>
        <w:rPr>
          <w:rFonts w:ascii="Arial" w:cs="Arial" w:eastAsia="Arial" w:hAnsi="Arial"/>
          <w:sz w:val="18"/>
          <w:szCs w:val="18"/>
          <w:color w:val="262626"/>
        </w:rPr>
        <w:t>limited liability</w:t>
      </w:r>
      <w:r>
        <w:rPr>
          <w:rFonts w:ascii="Arial" w:cs="Arial" w:eastAsia="Arial" w:hAnsi="Arial"/>
          <w:sz w:val="18"/>
          <w:szCs w:val="18"/>
          <w:color w:val="3A3A3A"/>
        </w:rPr>
        <w:t xml:space="preserve"> company.</w:t>
      </w:r>
    </w:p>
    <w:p>
      <w:pPr>
        <w:spacing w:after="0" w:line="14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11.9</w:t>
      </w:r>
      <w:r>
        <w:rPr>
          <w:sz w:val="20"/>
          <w:szCs w:val="20"/>
          <w:color w:val="auto"/>
        </w:rPr>
        <w:tab/>
      </w:r>
      <w:r>
        <w:rPr>
          <w:rFonts w:ascii="Arial" w:cs="Arial" w:eastAsia="Arial" w:hAnsi="Arial"/>
          <w:sz w:val="16"/>
          <w:szCs w:val="16"/>
          <w:u w:val="single" w:color="auto"/>
          <w:color w:val="3A3A3A"/>
        </w:rPr>
        <w:t xml:space="preserve">Tenant </w:t>
      </w:r>
      <w:r>
        <w:rPr>
          <w:rFonts w:ascii="Arial" w:cs="Arial" w:eastAsia="Arial" w:hAnsi="Arial"/>
          <w:sz w:val="16"/>
          <w:szCs w:val="16"/>
          <w:u w:val="single" w:color="auto"/>
          <w:color w:val="262626"/>
        </w:rPr>
        <w:t>Remedies</w:t>
      </w:r>
    </w:p>
    <w:p>
      <w:pPr>
        <w:spacing w:after="0" w:line="202" w:lineRule="exact"/>
        <w:rPr>
          <w:sz w:val="20"/>
          <w:szCs w:val="20"/>
          <w:color w:val="auto"/>
        </w:rPr>
      </w:pPr>
    </w:p>
    <w:p>
      <w:pPr>
        <w:ind w:right="200" w:firstLine="877"/>
        <w:spacing w:after="0" w:line="243" w:lineRule="auto"/>
        <w:rPr>
          <w:sz w:val="20"/>
          <w:szCs w:val="20"/>
          <w:color w:val="auto"/>
        </w:rPr>
      </w:pPr>
      <w:r>
        <w:rPr>
          <w:rFonts w:ascii="Arial" w:cs="Arial" w:eastAsia="Arial" w:hAnsi="Arial"/>
          <w:sz w:val="20"/>
          <w:szCs w:val="20"/>
          <w:color w:val="262626"/>
        </w:rPr>
        <w:t xml:space="preserve">Notwithstanding anything to the </w:t>
      </w:r>
      <w:r>
        <w:rPr>
          <w:rFonts w:ascii="Arial" w:cs="Arial" w:eastAsia="Arial" w:hAnsi="Arial"/>
          <w:sz w:val="20"/>
          <w:szCs w:val="20"/>
          <w:color w:val="3A3A3A"/>
        </w:rPr>
        <w:t>contrary</w:t>
      </w:r>
      <w:r>
        <w:rPr>
          <w:rFonts w:ascii="Arial" w:cs="Arial" w:eastAsia="Arial" w:hAnsi="Arial"/>
          <w:sz w:val="20"/>
          <w:szCs w:val="20"/>
          <w:color w:val="262626"/>
        </w:rPr>
        <w:t xml:space="preserve"> in </w:t>
      </w:r>
      <w:r>
        <w:rPr>
          <w:rFonts w:ascii="Arial" w:cs="Arial" w:eastAsia="Arial" w:hAnsi="Arial"/>
          <w:sz w:val="20"/>
          <w:szCs w:val="20"/>
          <w:color w:val="3A3A3A"/>
        </w:rPr>
        <w:t>this</w:t>
      </w:r>
      <w:r>
        <w:rPr>
          <w:rFonts w:ascii="Arial" w:cs="Arial" w:eastAsia="Arial" w:hAnsi="Arial"/>
          <w:sz w:val="20"/>
          <w:szCs w:val="20"/>
          <w:color w:val="262626"/>
        </w:rPr>
        <w:t xml:space="preserve"> Lease, if Tenant claims </w:t>
      </w:r>
      <w:r>
        <w:rPr>
          <w:rFonts w:ascii="Arial" w:cs="Arial" w:eastAsia="Arial" w:hAnsi="Arial"/>
          <w:sz w:val="20"/>
          <w:szCs w:val="20"/>
          <w:color w:val="3A3A3A"/>
        </w:rPr>
        <w:t>that Landlord</w:t>
      </w:r>
      <w:r>
        <w:rPr>
          <w:rFonts w:ascii="Arial" w:cs="Arial" w:eastAsia="Arial" w:hAnsi="Arial"/>
          <w:sz w:val="20"/>
          <w:szCs w:val="20"/>
          <w:color w:val="262626"/>
        </w:rPr>
        <w:t xml:space="preserve"> has unreasonably withheld </w:t>
      </w:r>
      <w:r>
        <w:rPr>
          <w:rFonts w:ascii="Arial" w:cs="Arial" w:eastAsia="Arial" w:hAnsi="Arial"/>
          <w:sz w:val="20"/>
          <w:szCs w:val="20"/>
          <w:color w:val="3A3A3A"/>
        </w:rPr>
        <w:t>or</w:t>
      </w:r>
      <w:r>
        <w:rPr>
          <w:rFonts w:ascii="Arial" w:cs="Arial" w:eastAsia="Arial" w:hAnsi="Arial"/>
          <w:sz w:val="20"/>
          <w:szCs w:val="20"/>
          <w:color w:val="262626"/>
        </w:rPr>
        <w:t xml:space="preserve"> delayed its </w:t>
      </w:r>
      <w:r>
        <w:rPr>
          <w:rFonts w:ascii="Arial" w:cs="Arial" w:eastAsia="Arial" w:hAnsi="Arial"/>
          <w:sz w:val="20"/>
          <w:szCs w:val="20"/>
          <w:color w:val="3A3A3A"/>
        </w:rPr>
        <w:t xml:space="preserve">consent </w:t>
      </w:r>
      <w:r>
        <w:rPr>
          <w:rFonts w:ascii="Arial" w:cs="Arial" w:eastAsia="Arial" w:hAnsi="Arial"/>
          <w:sz w:val="20"/>
          <w:szCs w:val="20"/>
          <w:color w:val="262626"/>
        </w:rPr>
        <w:t>under this Article 11 or otherwise has</w:t>
      </w:r>
      <w:r>
        <w:rPr>
          <w:rFonts w:ascii="Arial" w:cs="Arial" w:eastAsia="Arial" w:hAnsi="Arial"/>
          <w:sz w:val="20"/>
          <w:szCs w:val="20"/>
          <w:color w:val="3A3A3A"/>
        </w:rPr>
        <w:t xml:space="preserve"> breached </w:t>
      </w:r>
      <w:r>
        <w:rPr>
          <w:rFonts w:ascii="Arial" w:cs="Arial" w:eastAsia="Arial" w:hAnsi="Arial"/>
          <w:sz w:val="20"/>
          <w:szCs w:val="20"/>
          <w:color w:val="262626"/>
        </w:rPr>
        <w:t>or acted unreasonably under this Article 11, Tenant’s sole remedy shall be declaratory</w:t>
      </w:r>
      <w:r>
        <w:rPr>
          <w:rFonts w:ascii="Arial" w:cs="Arial" w:eastAsia="Arial" w:hAnsi="Arial"/>
          <w:sz w:val="20"/>
          <w:szCs w:val="20"/>
          <w:color w:val="3A3A3A"/>
        </w:rPr>
        <w:t xml:space="preserve"> </w:t>
      </w:r>
      <w:r>
        <w:rPr>
          <w:rFonts w:ascii="Arial" w:cs="Arial" w:eastAsia="Arial" w:hAnsi="Arial"/>
          <w:sz w:val="20"/>
          <w:szCs w:val="20"/>
          <w:color w:val="262626"/>
        </w:rPr>
        <w:t xml:space="preserve">judgment and </w:t>
      </w:r>
      <w:r>
        <w:rPr>
          <w:rFonts w:ascii="Arial" w:cs="Arial" w:eastAsia="Arial" w:hAnsi="Arial"/>
          <w:sz w:val="20"/>
          <w:szCs w:val="20"/>
          <w:color w:val="3A3A3A"/>
        </w:rPr>
        <w:t>an</w:t>
      </w:r>
      <w:r>
        <w:rPr>
          <w:rFonts w:ascii="Arial" w:cs="Arial" w:eastAsia="Arial" w:hAnsi="Arial"/>
          <w:sz w:val="20"/>
          <w:szCs w:val="20"/>
          <w:color w:val="262626"/>
        </w:rPr>
        <w:t xml:space="preserve"> injunction for the relief </w:t>
      </w:r>
      <w:r>
        <w:rPr>
          <w:rFonts w:ascii="Arial" w:cs="Arial" w:eastAsia="Arial" w:hAnsi="Arial"/>
          <w:sz w:val="20"/>
          <w:szCs w:val="20"/>
          <w:color w:val="3A3A3A"/>
        </w:rPr>
        <w:t>sought</w:t>
      </w:r>
      <w:r>
        <w:rPr>
          <w:rFonts w:ascii="Arial" w:cs="Arial" w:eastAsia="Arial" w:hAnsi="Arial"/>
          <w:sz w:val="20"/>
          <w:szCs w:val="20"/>
          <w:color w:val="262626"/>
        </w:rPr>
        <w:t xml:space="preserve"> without any monetary damages, and </w:t>
      </w:r>
      <w:r>
        <w:rPr>
          <w:rFonts w:ascii="Arial" w:cs="Arial" w:eastAsia="Arial" w:hAnsi="Arial"/>
          <w:sz w:val="20"/>
          <w:szCs w:val="20"/>
          <w:color w:val="3A3A3A"/>
        </w:rPr>
        <w:t>Tenant</w:t>
      </w:r>
      <w:r>
        <w:rPr>
          <w:rFonts w:ascii="Arial" w:cs="Arial" w:eastAsia="Arial" w:hAnsi="Arial"/>
          <w:sz w:val="20"/>
          <w:szCs w:val="20"/>
          <w:color w:val="262626"/>
        </w:rPr>
        <w:t xml:space="preserve"> hereby waives all other remedies, including, </w:t>
      </w:r>
      <w:r>
        <w:rPr>
          <w:rFonts w:ascii="Arial" w:cs="Arial" w:eastAsia="Arial" w:hAnsi="Arial"/>
          <w:sz w:val="20"/>
          <w:szCs w:val="20"/>
          <w:color w:val="3A3A3A"/>
        </w:rPr>
        <w:t xml:space="preserve">without </w:t>
      </w:r>
      <w:r>
        <w:rPr>
          <w:rFonts w:ascii="Arial" w:cs="Arial" w:eastAsia="Arial" w:hAnsi="Arial"/>
          <w:sz w:val="20"/>
          <w:szCs w:val="20"/>
          <w:color w:val="262626"/>
        </w:rPr>
        <w:t>limitation, any right provided under</w:t>
      </w:r>
      <w:r>
        <w:rPr>
          <w:rFonts w:ascii="Arial" w:cs="Arial" w:eastAsia="Arial" w:hAnsi="Arial"/>
          <w:sz w:val="20"/>
          <w:szCs w:val="20"/>
          <w:color w:val="3A3A3A"/>
        </w:rPr>
        <w:t xml:space="preserve"> California Civil </w:t>
      </w:r>
      <w:r>
        <w:rPr>
          <w:rFonts w:ascii="Arial" w:cs="Arial" w:eastAsia="Arial" w:hAnsi="Arial"/>
          <w:sz w:val="20"/>
          <w:szCs w:val="20"/>
          <w:color w:val="262626"/>
        </w:rPr>
        <w:t>Code Section 1995.310 or other applicable Laws to terminate</w:t>
      </w:r>
      <w:r>
        <w:rPr>
          <w:rFonts w:ascii="Arial" w:cs="Arial" w:eastAsia="Arial" w:hAnsi="Arial"/>
          <w:sz w:val="20"/>
          <w:szCs w:val="20"/>
          <w:color w:val="3A3A3A"/>
        </w:rPr>
        <w:t xml:space="preserve"> this </w:t>
      </w:r>
      <w:r>
        <w:rPr>
          <w:rFonts w:ascii="Arial" w:cs="Arial" w:eastAsia="Arial" w:hAnsi="Arial"/>
          <w:sz w:val="20"/>
          <w:szCs w:val="20"/>
          <w:color w:val="262626"/>
        </w:rPr>
        <w:t>Lease. Tenant</w:t>
      </w:r>
      <w:r>
        <w:rPr>
          <w:rFonts w:ascii="Arial" w:cs="Arial" w:eastAsia="Arial" w:hAnsi="Arial"/>
          <w:sz w:val="20"/>
          <w:szCs w:val="20"/>
          <w:color w:val="3A3A3A"/>
        </w:rPr>
        <w:t xml:space="preserve"> shall </w:t>
      </w:r>
      <w:r>
        <w:rPr>
          <w:rFonts w:ascii="Arial" w:cs="Arial" w:eastAsia="Arial" w:hAnsi="Arial"/>
          <w:sz w:val="20"/>
          <w:szCs w:val="20"/>
          <w:color w:val="262626"/>
        </w:rPr>
        <w:t>indemnify and</w:t>
      </w:r>
      <w:r>
        <w:rPr>
          <w:rFonts w:ascii="Arial" w:cs="Arial" w:eastAsia="Arial" w:hAnsi="Arial"/>
          <w:sz w:val="20"/>
          <w:szCs w:val="20"/>
          <w:color w:val="3A3A3A"/>
        </w:rPr>
        <w:t xml:space="preserve"> hold Landlord </w:t>
      </w:r>
      <w:r>
        <w:rPr>
          <w:rFonts w:ascii="Arial" w:cs="Arial" w:eastAsia="Arial" w:hAnsi="Arial"/>
          <w:sz w:val="20"/>
          <w:szCs w:val="20"/>
          <w:color w:val="262626"/>
        </w:rPr>
        <w:t>harmles</w:t>
      </w:r>
      <w:r>
        <w:rPr>
          <w:rFonts w:ascii="Arial" w:cs="Arial" w:eastAsia="Arial" w:hAnsi="Arial"/>
          <w:sz w:val="20"/>
          <w:szCs w:val="20"/>
          <w:color w:val="3A3A3A"/>
        </w:rPr>
        <w:t xml:space="preserve">s from and </w:t>
      </w:r>
      <w:r>
        <w:rPr>
          <w:rFonts w:ascii="Arial" w:cs="Arial" w:eastAsia="Arial" w:hAnsi="Arial"/>
          <w:sz w:val="20"/>
          <w:szCs w:val="20"/>
          <w:color w:val="262626"/>
        </w:rPr>
        <w:t>protect</w:t>
      </w:r>
      <w:r>
        <w:rPr>
          <w:rFonts w:ascii="Arial" w:cs="Arial" w:eastAsia="Arial" w:hAnsi="Arial"/>
          <w:sz w:val="20"/>
          <w:szCs w:val="20"/>
          <w:color w:val="3A3A3A"/>
        </w:rPr>
        <w:t xml:space="preserve"> and </w:t>
      </w:r>
      <w:r>
        <w:rPr>
          <w:rFonts w:ascii="Arial" w:cs="Arial" w:eastAsia="Arial" w:hAnsi="Arial"/>
          <w:sz w:val="20"/>
          <w:szCs w:val="20"/>
          <w:color w:val="262626"/>
        </w:rPr>
        <w:t>defend Landlord against any</w:t>
      </w:r>
      <w:r>
        <w:rPr>
          <w:rFonts w:ascii="Arial" w:cs="Arial" w:eastAsia="Arial" w:hAnsi="Arial"/>
          <w:sz w:val="20"/>
          <w:szCs w:val="20"/>
          <w:color w:val="3A3A3A"/>
        </w:rPr>
        <w:t xml:space="preserve"> and </w:t>
      </w:r>
      <w:r>
        <w:rPr>
          <w:rFonts w:ascii="Arial" w:cs="Arial" w:eastAsia="Arial" w:hAnsi="Arial"/>
          <w:sz w:val="20"/>
          <w:szCs w:val="20"/>
          <w:color w:val="262626"/>
        </w:rPr>
        <w:t>all Claims involving any</w:t>
      </w:r>
      <w:r>
        <w:rPr>
          <w:rFonts w:ascii="Arial" w:cs="Arial" w:eastAsia="Arial" w:hAnsi="Arial"/>
          <w:sz w:val="20"/>
          <w:szCs w:val="20"/>
          <w:color w:val="3A3A3A"/>
        </w:rPr>
        <w:t xml:space="preserve"> third </w:t>
      </w:r>
      <w:r>
        <w:rPr>
          <w:rFonts w:ascii="Arial" w:cs="Arial" w:eastAsia="Arial" w:hAnsi="Arial"/>
          <w:sz w:val="20"/>
          <w:szCs w:val="20"/>
          <w:color w:val="262626"/>
        </w:rPr>
        <w:t>party</w:t>
      </w:r>
      <w:r>
        <w:rPr>
          <w:rFonts w:ascii="Arial" w:cs="Arial" w:eastAsia="Arial" w:hAnsi="Arial"/>
          <w:sz w:val="20"/>
          <w:szCs w:val="20"/>
          <w:color w:val="3A3A3A"/>
        </w:rPr>
        <w:t xml:space="preserve"> or </w:t>
      </w:r>
      <w:r>
        <w:rPr>
          <w:rFonts w:ascii="Arial" w:cs="Arial" w:eastAsia="Arial" w:hAnsi="Arial"/>
          <w:sz w:val="20"/>
          <w:szCs w:val="20"/>
          <w:color w:val="262626"/>
        </w:rPr>
        <w:t xml:space="preserve">parties </w:t>
      </w:r>
      <w:r>
        <w:rPr>
          <w:rFonts w:ascii="Arial" w:cs="Arial" w:eastAsia="Arial" w:hAnsi="Arial"/>
          <w:sz w:val="20"/>
          <w:szCs w:val="20"/>
          <w:color w:val="3A3A3A"/>
        </w:rPr>
        <w:t>(including, without</w:t>
      </w:r>
      <w:r>
        <w:rPr>
          <w:rFonts w:ascii="Arial" w:cs="Arial" w:eastAsia="Arial" w:hAnsi="Arial"/>
          <w:sz w:val="20"/>
          <w:szCs w:val="20"/>
          <w:color w:val="262626"/>
        </w:rPr>
        <w:t xml:space="preserve"> limitation, </w:t>
      </w:r>
      <w:r>
        <w:rPr>
          <w:rFonts w:ascii="Arial" w:cs="Arial" w:eastAsia="Arial" w:hAnsi="Arial"/>
          <w:sz w:val="20"/>
          <w:szCs w:val="20"/>
          <w:color w:val="3A3A3A"/>
        </w:rPr>
        <w:t>Tenant’s</w:t>
      </w:r>
      <w:r>
        <w:rPr>
          <w:rFonts w:ascii="Arial" w:cs="Arial" w:eastAsia="Arial" w:hAnsi="Arial"/>
          <w:sz w:val="20"/>
          <w:szCs w:val="20"/>
          <w:color w:val="262626"/>
        </w:rPr>
        <w:t xml:space="preserve"> broker or proposed </w:t>
      </w:r>
      <w:r>
        <w:rPr>
          <w:rFonts w:ascii="Arial" w:cs="Arial" w:eastAsia="Arial" w:hAnsi="Arial"/>
          <w:sz w:val="20"/>
          <w:szCs w:val="20"/>
          <w:color w:val="3A3A3A"/>
        </w:rPr>
        <w:t>Transferee) who claim they were</w:t>
      </w:r>
      <w:r>
        <w:rPr>
          <w:rFonts w:ascii="Arial" w:cs="Arial" w:eastAsia="Arial" w:hAnsi="Arial"/>
          <w:sz w:val="20"/>
          <w:szCs w:val="20"/>
          <w:color w:val="262626"/>
        </w:rPr>
        <w:t xml:space="preserve"> damaged by </w:t>
      </w:r>
      <w:r>
        <w:rPr>
          <w:rFonts w:ascii="Arial" w:cs="Arial" w:eastAsia="Arial" w:hAnsi="Arial"/>
          <w:sz w:val="20"/>
          <w:szCs w:val="20"/>
          <w:color w:val="3A3A3A"/>
        </w:rPr>
        <w:t>Landlord’s</w:t>
      </w:r>
      <w:r>
        <w:rPr>
          <w:rFonts w:ascii="Arial" w:cs="Arial" w:eastAsia="Arial" w:hAnsi="Arial"/>
          <w:sz w:val="20"/>
          <w:szCs w:val="20"/>
          <w:color w:val="262626"/>
        </w:rPr>
        <w:t xml:space="preserve"> wrongful </w:t>
      </w:r>
      <w:r>
        <w:rPr>
          <w:rFonts w:ascii="Arial" w:cs="Arial" w:eastAsia="Arial" w:hAnsi="Arial"/>
          <w:sz w:val="20"/>
          <w:szCs w:val="20"/>
          <w:color w:val="3A3A3A"/>
        </w:rPr>
        <w:t xml:space="preserve">withholding </w:t>
      </w:r>
      <w:r>
        <w:rPr>
          <w:rFonts w:ascii="Arial" w:cs="Arial" w:eastAsia="Arial" w:hAnsi="Arial"/>
          <w:sz w:val="20"/>
          <w:szCs w:val="20"/>
          <w:color w:val="262626"/>
        </w:rPr>
        <w:t>or conditioning</w:t>
      </w:r>
      <w:r>
        <w:rPr>
          <w:rFonts w:ascii="Arial" w:cs="Arial" w:eastAsia="Arial" w:hAnsi="Arial"/>
          <w:sz w:val="20"/>
          <w:szCs w:val="20"/>
          <w:color w:val="3A3A3A"/>
        </w:rPr>
        <w:t xml:space="preserve"> of </w:t>
      </w:r>
      <w:r>
        <w:rPr>
          <w:rFonts w:ascii="Arial" w:cs="Arial" w:eastAsia="Arial" w:hAnsi="Arial"/>
          <w:sz w:val="20"/>
          <w:szCs w:val="20"/>
          <w:color w:val="262626"/>
        </w:rPr>
        <w:t>Landlord’s</w:t>
      </w:r>
      <w:r>
        <w:rPr>
          <w:rFonts w:ascii="Arial" w:cs="Arial" w:eastAsia="Arial" w:hAnsi="Arial"/>
          <w:sz w:val="20"/>
          <w:szCs w:val="20"/>
          <w:color w:val="3A3A3A"/>
        </w:rPr>
        <w:t xml:space="preserve"> consent.</w:t>
      </w:r>
    </w:p>
    <w:p>
      <w:pPr>
        <w:spacing w:after="0" w:line="166"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62626"/>
        </w:rPr>
        <w:t>11.10</w:t>
      </w:r>
      <w:r>
        <w:rPr>
          <w:sz w:val="20"/>
          <w:szCs w:val="20"/>
          <w:color w:val="auto"/>
        </w:rPr>
        <w:tab/>
      </w:r>
      <w:r>
        <w:rPr>
          <w:rFonts w:ascii="Arial" w:cs="Arial" w:eastAsia="Arial" w:hAnsi="Arial"/>
          <w:sz w:val="18"/>
          <w:szCs w:val="18"/>
          <w:u w:val="single" w:color="auto"/>
          <w:color w:val="262626"/>
        </w:rPr>
        <w:t>Bankruptcy</w:t>
      </w:r>
    </w:p>
    <w:p>
      <w:pPr>
        <w:spacing w:after="0" w:line="202" w:lineRule="exact"/>
        <w:rPr>
          <w:sz w:val="20"/>
          <w:szCs w:val="20"/>
          <w:color w:val="auto"/>
        </w:rPr>
      </w:pPr>
    </w:p>
    <w:p>
      <w:pPr>
        <w:ind w:right="40" w:firstLine="877"/>
        <w:spacing w:after="0" w:line="268" w:lineRule="auto"/>
        <w:rPr>
          <w:sz w:val="20"/>
          <w:szCs w:val="20"/>
          <w:color w:val="auto"/>
        </w:rPr>
      </w:pPr>
      <w:r>
        <w:rPr>
          <w:rFonts w:ascii="Arial" w:cs="Arial" w:eastAsia="Arial" w:hAnsi="Arial"/>
          <w:sz w:val="18"/>
          <w:szCs w:val="18"/>
          <w:color w:val="262626"/>
        </w:rPr>
        <w:t xml:space="preserve">To the extent </w:t>
      </w:r>
      <w:r>
        <w:rPr>
          <w:rFonts w:ascii="Arial" w:cs="Arial" w:eastAsia="Arial" w:hAnsi="Arial"/>
          <w:sz w:val="18"/>
          <w:szCs w:val="18"/>
          <w:color w:val="3A3A3A"/>
        </w:rPr>
        <w:t>permitted</w:t>
      </w:r>
      <w:r>
        <w:rPr>
          <w:rFonts w:ascii="Arial" w:cs="Arial" w:eastAsia="Arial" w:hAnsi="Arial"/>
          <w:sz w:val="18"/>
          <w:szCs w:val="18"/>
          <w:color w:val="262626"/>
        </w:rPr>
        <w:t xml:space="preserve"> under </w:t>
      </w:r>
      <w:r>
        <w:rPr>
          <w:rFonts w:ascii="Arial" w:cs="Arial" w:eastAsia="Arial" w:hAnsi="Arial"/>
          <w:sz w:val="18"/>
          <w:szCs w:val="18"/>
          <w:color w:val="3A3A3A"/>
        </w:rPr>
        <w:t>then-a</w:t>
      </w:r>
      <w:r>
        <w:rPr>
          <w:rFonts w:ascii="Arial" w:cs="Arial" w:eastAsia="Arial" w:hAnsi="Arial"/>
          <w:sz w:val="18"/>
          <w:szCs w:val="18"/>
          <w:color w:val="262626"/>
        </w:rPr>
        <w:t xml:space="preserve">pplicable Law, if a petition is filed by or against Tenant for relief under </w:t>
      </w:r>
      <w:r>
        <w:rPr>
          <w:rFonts w:ascii="Arial" w:cs="Arial" w:eastAsia="Arial" w:hAnsi="Arial"/>
          <w:sz w:val="18"/>
          <w:szCs w:val="18"/>
          <w:color w:val="3A3A3A"/>
        </w:rPr>
        <w:t>Title</w:t>
      </w:r>
      <w:r>
        <w:rPr>
          <w:rFonts w:ascii="Arial" w:cs="Arial" w:eastAsia="Arial" w:hAnsi="Arial"/>
          <w:sz w:val="18"/>
          <w:szCs w:val="18"/>
          <w:color w:val="262626"/>
        </w:rPr>
        <w:t xml:space="preserve"> 11 </w:t>
      </w:r>
      <w:r>
        <w:rPr>
          <w:rFonts w:ascii="Arial" w:cs="Arial" w:eastAsia="Arial" w:hAnsi="Arial"/>
          <w:sz w:val="18"/>
          <w:szCs w:val="18"/>
          <w:color w:val="3A3A3A"/>
        </w:rPr>
        <w:t>of the United</w:t>
      </w:r>
      <w:r>
        <w:rPr>
          <w:rFonts w:ascii="Arial" w:cs="Arial" w:eastAsia="Arial" w:hAnsi="Arial"/>
          <w:sz w:val="18"/>
          <w:szCs w:val="18"/>
          <w:color w:val="262626"/>
        </w:rPr>
        <w:t xml:space="preserve"> </w:t>
      </w:r>
      <w:r>
        <w:rPr>
          <w:rFonts w:ascii="Arial" w:cs="Arial" w:eastAsia="Arial" w:hAnsi="Arial"/>
          <w:sz w:val="18"/>
          <w:szCs w:val="18"/>
          <w:color w:val="3A3A3A"/>
        </w:rPr>
        <w:t xml:space="preserve">States </w:t>
      </w:r>
      <w:r>
        <w:rPr>
          <w:rFonts w:ascii="Arial" w:cs="Arial" w:eastAsia="Arial" w:hAnsi="Arial"/>
          <w:sz w:val="18"/>
          <w:szCs w:val="18"/>
          <w:color w:val="262626"/>
        </w:rPr>
        <w:t>Code, as amended (the “Bankruptcy Code”), and Tenant (including, for purposes of this Section, Tenant’s successor in bankruptcy,</w:t>
      </w:r>
      <w:r>
        <w:rPr>
          <w:rFonts w:ascii="Arial" w:cs="Arial" w:eastAsia="Arial" w:hAnsi="Arial"/>
          <w:sz w:val="18"/>
          <w:szCs w:val="18"/>
          <w:color w:val="3A3A3A"/>
        </w:rPr>
        <w:t xml:space="preserve"> </w:t>
      </w:r>
      <w:r>
        <w:rPr>
          <w:rFonts w:ascii="Arial" w:cs="Arial" w:eastAsia="Arial" w:hAnsi="Arial"/>
          <w:sz w:val="18"/>
          <w:szCs w:val="18"/>
          <w:color w:val="262626"/>
        </w:rPr>
        <w:t xml:space="preserve">whether a </w:t>
      </w:r>
      <w:r>
        <w:rPr>
          <w:rFonts w:ascii="Arial" w:cs="Arial" w:eastAsia="Arial" w:hAnsi="Arial"/>
          <w:sz w:val="18"/>
          <w:szCs w:val="18"/>
          <w:color w:val="3A3A3A"/>
        </w:rPr>
        <w:t>trustee or Tenant as</w:t>
      </w:r>
      <w:r>
        <w:rPr>
          <w:rFonts w:ascii="Arial" w:cs="Arial" w:eastAsia="Arial" w:hAnsi="Arial"/>
          <w:sz w:val="18"/>
          <w:szCs w:val="18"/>
          <w:color w:val="262626"/>
        </w:rPr>
        <w:t xml:space="preserve"> debtor in possession) </w:t>
      </w:r>
      <w:r>
        <w:rPr>
          <w:rFonts w:ascii="Arial" w:cs="Arial" w:eastAsia="Arial" w:hAnsi="Arial"/>
          <w:sz w:val="18"/>
          <w:szCs w:val="18"/>
          <w:color w:val="3A3A3A"/>
        </w:rPr>
        <w:t>assumes</w:t>
      </w:r>
      <w:r>
        <w:rPr>
          <w:rFonts w:ascii="Arial" w:cs="Arial" w:eastAsia="Arial" w:hAnsi="Arial"/>
          <w:sz w:val="18"/>
          <w:szCs w:val="18"/>
          <w:color w:val="262626"/>
        </w:rPr>
        <w:t xml:space="preserve"> and proposes to assign, or proposes to assume </w:t>
      </w:r>
      <w:r>
        <w:rPr>
          <w:rFonts w:ascii="Arial" w:cs="Arial" w:eastAsia="Arial" w:hAnsi="Arial"/>
          <w:sz w:val="18"/>
          <w:szCs w:val="18"/>
          <w:color w:val="3A3A3A"/>
        </w:rPr>
        <w:t>and assign, this Lease pursuant to</w:t>
      </w:r>
      <w:r>
        <w:rPr>
          <w:rFonts w:ascii="Arial" w:cs="Arial" w:eastAsia="Arial" w:hAnsi="Arial"/>
          <w:sz w:val="18"/>
          <w:szCs w:val="18"/>
          <w:color w:val="262626"/>
        </w:rPr>
        <w:t xml:space="preserve"> the provisions </w:t>
      </w:r>
      <w:r>
        <w:rPr>
          <w:rFonts w:ascii="Arial" w:cs="Arial" w:eastAsia="Arial" w:hAnsi="Arial"/>
          <w:sz w:val="18"/>
          <w:szCs w:val="18"/>
          <w:color w:val="3A3A3A"/>
        </w:rPr>
        <w:t>of the Bankruptcy</w:t>
      </w:r>
      <w:r>
        <w:rPr>
          <w:rFonts w:ascii="Arial" w:cs="Arial" w:eastAsia="Arial" w:hAnsi="Arial"/>
          <w:sz w:val="18"/>
          <w:szCs w:val="18"/>
          <w:color w:val="262626"/>
        </w:rPr>
        <w:t xml:space="preserve"> Code to any person </w:t>
      </w:r>
      <w:r>
        <w:rPr>
          <w:rFonts w:ascii="Arial" w:cs="Arial" w:eastAsia="Arial" w:hAnsi="Arial"/>
          <w:sz w:val="18"/>
          <w:szCs w:val="18"/>
          <w:color w:val="3A3A3A"/>
        </w:rPr>
        <w:t>or</w:t>
      </w:r>
      <w:r>
        <w:rPr>
          <w:rFonts w:ascii="Arial" w:cs="Arial" w:eastAsia="Arial" w:hAnsi="Arial"/>
          <w:sz w:val="18"/>
          <w:szCs w:val="18"/>
          <w:color w:val="262626"/>
        </w:rPr>
        <w:t xml:space="preserve"> entity </w:t>
      </w:r>
      <w:r>
        <w:rPr>
          <w:rFonts w:ascii="Arial" w:cs="Arial" w:eastAsia="Arial" w:hAnsi="Arial"/>
          <w:sz w:val="18"/>
          <w:szCs w:val="18"/>
          <w:color w:val="3A3A3A"/>
        </w:rPr>
        <w:t>who</w:t>
      </w:r>
      <w:r>
        <w:rPr>
          <w:rFonts w:ascii="Arial" w:cs="Arial" w:eastAsia="Arial" w:hAnsi="Arial"/>
          <w:sz w:val="18"/>
          <w:szCs w:val="18"/>
          <w:color w:val="262626"/>
        </w:rPr>
        <w:t xml:space="preserve"> has </w:t>
      </w:r>
      <w:r>
        <w:rPr>
          <w:rFonts w:ascii="Arial" w:cs="Arial" w:eastAsia="Arial" w:hAnsi="Arial"/>
          <w:sz w:val="18"/>
          <w:szCs w:val="18"/>
          <w:color w:val="3A3A3A"/>
        </w:rPr>
        <w:t>made a</w:t>
      </w:r>
      <w:r>
        <w:rPr>
          <w:rFonts w:ascii="Arial" w:cs="Arial" w:eastAsia="Arial" w:hAnsi="Arial"/>
          <w:sz w:val="18"/>
          <w:szCs w:val="18"/>
          <w:color w:val="262626"/>
        </w:rPr>
        <w:t xml:space="preserve"> bona </w:t>
      </w:r>
      <w:r>
        <w:rPr>
          <w:rFonts w:ascii="Arial" w:cs="Arial" w:eastAsia="Arial" w:hAnsi="Arial"/>
          <w:sz w:val="18"/>
          <w:szCs w:val="18"/>
          <w:color w:val="3A3A3A"/>
        </w:rPr>
        <w:t>fide offer to accept any assignment of</w:t>
      </w:r>
      <w:r>
        <w:rPr>
          <w:rFonts w:ascii="Arial" w:cs="Arial" w:eastAsia="Arial" w:hAnsi="Arial"/>
          <w:sz w:val="18"/>
          <w:szCs w:val="18"/>
          <w:color w:val="262626"/>
        </w:rPr>
        <w:t xml:space="preserve"> this Lease on terms acceptable to </w:t>
      </w:r>
      <w:r>
        <w:rPr>
          <w:rFonts w:ascii="Arial" w:cs="Arial" w:eastAsia="Arial" w:hAnsi="Arial"/>
          <w:sz w:val="18"/>
          <w:szCs w:val="18"/>
          <w:color w:val="3A3A3A"/>
        </w:rPr>
        <w:t>Tenant, then</w:t>
      </w:r>
      <w:r>
        <w:rPr>
          <w:rFonts w:ascii="Arial" w:cs="Arial" w:eastAsia="Arial" w:hAnsi="Arial"/>
          <w:sz w:val="18"/>
          <w:szCs w:val="18"/>
          <w:color w:val="262626"/>
        </w:rPr>
        <w:t xml:space="preserve"> notice </w:t>
      </w:r>
      <w:r>
        <w:rPr>
          <w:rFonts w:ascii="Arial" w:cs="Arial" w:eastAsia="Arial" w:hAnsi="Arial"/>
          <w:sz w:val="18"/>
          <w:szCs w:val="18"/>
          <w:color w:val="3A3A3A"/>
        </w:rPr>
        <w:t>of the proposed assignment setting</w:t>
      </w:r>
      <w:r>
        <w:rPr>
          <w:rFonts w:ascii="Arial" w:cs="Arial" w:eastAsia="Arial" w:hAnsi="Arial"/>
          <w:sz w:val="18"/>
          <w:szCs w:val="18"/>
          <w:color w:val="262626"/>
        </w:rPr>
        <w:t xml:space="preserve"> forth (a) the name and address of the proposed assignee, (b) all of the terms and conditions of the offer and proposed assignment, and </w:t>
      </w:r>
      <w:r>
        <w:rPr>
          <w:rFonts w:ascii="Arial" w:cs="Arial" w:eastAsia="Arial" w:hAnsi="Arial"/>
          <w:sz w:val="18"/>
          <w:szCs w:val="18"/>
          <w:color w:val="3A3A3A"/>
        </w:rPr>
        <w:t>(c) the adequate assurance to be furnished</w:t>
      </w:r>
      <w:r>
        <w:rPr>
          <w:rFonts w:ascii="Arial" w:cs="Arial" w:eastAsia="Arial" w:hAnsi="Arial"/>
          <w:sz w:val="18"/>
          <w:szCs w:val="18"/>
          <w:color w:val="262626"/>
        </w:rPr>
        <w:t xml:space="preserve"> by the proposed </w:t>
      </w:r>
      <w:r>
        <w:rPr>
          <w:rFonts w:ascii="Arial" w:cs="Arial" w:eastAsia="Arial" w:hAnsi="Arial"/>
          <w:sz w:val="18"/>
          <w:szCs w:val="18"/>
          <w:color w:val="3A3A3A"/>
        </w:rPr>
        <w:t>assignee of</w:t>
      </w:r>
      <w:r>
        <w:rPr>
          <w:rFonts w:ascii="Arial" w:cs="Arial" w:eastAsia="Arial" w:hAnsi="Arial"/>
          <w:sz w:val="18"/>
          <w:szCs w:val="18"/>
          <w:color w:val="262626"/>
        </w:rPr>
        <w:t xml:space="preserve"> its </w:t>
      </w:r>
      <w:r>
        <w:rPr>
          <w:rFonts w:ascii="Arial" w:cs="Arial" w:eastAsia="Arial" w:hAnsi="Arial"/>
          <w:sz w:val="18"/>
          <w:szCs w:val="18"/>
          <w:color w:val="3A3A3A"/>
        </w:rPr>
        <w:t>future</w:t>
      </w:r>
      <w:r>
        <w:rPr>
          <w:rFonts w:ascii="Arial" w:cs="Arial" w:eastAsia="Arial" w:hAnsi="Arial"/>
          <w:sz w:val="18"/>
          <w:szCs w:val="18"/>
          <w:color w:val="262626"/>
        </w:rPr>
        <w:t xml:space="preserve"> </w:t>
      </w:r>
      <w:r>
        <w:rPr>
          <w:rFonts w:ascii="Arial" w:cs="Arial" w:eastAsia="Arial" w:hAnsi="Arial"/>
          <w:sz w:val="18"/>
          <w:szCs w:val="18"/>
          <w:color w:val="3A3A3A"/>
        </w:rPr>
        <w:t xml:space="preserve">performance </w:t>
      </w:r>
      <w:r>
        <w:rPr>
          <w:rFonts w:ascii="Arial" w:cs="Arial" w:eastAsia="Arial" w:hAnsi="Arial"/>
          <w:sz w:val="18"/>
          <w:szCs w:val="18"/>
          <w:color w:val="262626"/>
        </w:rPr>
        <w:t>under the</w:t>
      </w:r>
      <w:r>
        <w:rPr>
          <w:rFonts w:ascii="Arial" w:cs="Arial" w:eastAsia="Arial" w:hAnsi="Arial"/>
          <w:sz w:val="18"/>
          <w:szCs w:val="18"/>
          <w:color w:val="3A3A3A"/>
        </w:rPr>
        <w:t xml:space="preserve"> Lease, shall </w:t>
      </w:r>
      <w:r>
        <w:rPr>
          <w:rFonts w:ascii="Arial" w:cs="Arial" w:eastAsia="Arial" w:hAnsi="Arial"/>
          <w:sz w:val="18"/>
          <w:szCs w:val="18"/>
          <w:color w:val="262626"/>
        </w:rPr>
        <w:t>be</w:t>
      </w:r>
      <w:r>
        <w:rPr>
          <w:rFonts w:ascii="Arial" w:cs="Arial" w:eastAsia="Arial" w:hAnsi="Arial"/>
          <w:sz w:val="18"/>
          <w:szCs w:val="18"/>
          <w:color w:val="3A3A3A"/>
        </w:rPr>
        <w:t xml:space="preserve"> given </w:t>
      </w:r>
      <w:r>
        <w:rPr>
          <w:rFonts w:ascii="Arial" w:cs="Arial" w:eastAsia="Arial" w:hAnsi="Arial"/>
          <w:sz w:val="18"/>
          <w:szCs w:val="18"/>
          <w:color w:val="262626"/>
        </w:rPr>
        <w:t>to Landlord by</w:t>
      </w:r>
      <w:r>
        <w:rPr>
          <w:rFonts w:ascii="Arial" w:cs="Arial" w:eastAsia="Arial" w:hAnsi="Arial"/>
          <w:sz w:val="18"/>
          <w:szCs w:val="18"/>
          <w:color w:val="3A3A3A"/>
        </w:rPr>
        <w:t xml:space="preserve"> Tenant </w:t>
      </w:r>
      <w:r>
        <w:rPr>
          <w:rFonts w:ascii="Arial" w:cs="Arial" w:eastAsia="Arial" w:hAnsi="Arial"/>
          <w:sz w:val="18"/>
          <w:szCs w:val="18"/>
          <w:color w:val="262626"/>
        </w:rPr>
        <w:t>no</w:t>
      </w:r>
      <w:r>
        <w:rPr>
          <w:rFonts w:ascii="Arial" w:cs="Arial" w:eastAsia="Arial" w:hAnsi="Arial"/>
          <w:sz w:val="18"/>
          <w:szCs w:val="18"/>
          <w:color w:val="3A3A3A"/>
        </w:rPr>
        <w:t xml:space="preserve"> later than twenty (20) </w:t>
      </w:r>
      <w:r>
        <w:rPr>
          <w:rFonts w:ascii="Arial" w:cs="Arial" w:eastAsia="Arial" w:hAnsi="Arial"/>
          <w:sz w:val="18"/>
          <w:szCs w:val="18"/>
          <w:color w:val="262626"/>
        </w:rPr>
        <w:t>days</w:t>
      </w:r>
      <w:r>
        <w:rPr>
          <w:rFonts w:ascii="Arial" w:cs="Arial" w:eastAsia="Arial" w:hAnsi="Arial"/>
          <w:sz w:val="18"/>
          <w:szCs w:val="18"/>
          <w:color w:val="3A3A3A"/>
        </w:rPr>
        <w:t xml:space="preserve"> after the Tenant </w:t>
      </w:r>
      <w:r>
        <w:rPr>
          <w:rFonts w:ascii="Arial" w:cs="Arial" w:eastAsia="Arial" w:hAnsi="Arial"/>
          <w:sz w:val="18"/>
          <w:szCs w:val="18"/>
          <w:color w:val="262626"/>
        </w:rPr>
        <w:t>has made</w:t>
      </w:r>
      <w:r>
        <w:rPr>
          <w:rFonts w:ascii="Arial" w:cs="Arial" w:eastAsia="Arial" w:hAnsi="Arial"/>
          <w:sz w:val="18"/>
          <w:szCs w:val="18"/>
          <w:color w:val="3A3A3A"/>
        </w:rPr>
        <w:t xml:space="preserve"> or </w:t>
      </w:r>
      <w:r>
        <w:rPr>
          <w:rFonts w:ascii="Arial" w:cs="Arial" w:eastAsia="Arial" w:hAnsi="Arial"/>
          <w:sz w:val="18"/>
          <w:szCs w:val="18"/>
          <w:color w:val="262626"/>
        </w:rPr>
        <w:t>received</w:t>
      </w:r>
      <w:r>
        <w:rPr>
          <w:rFonts w:ascii="Arial" w:cs="Arial" w:eastAsia="Arial" w:hAnsi="Arial"/>
          <w:sz w:val="18"/>
          <w:szCs w:val="18"/>
          <w:color w:val="3A3A3A"/>
        </w:rPr>
        <w:t xml:space="preserve"> such offer, but </w:t>
      </w:r>
      <w:r>
        <w:rPr>
          <w:rFonts w:ascii="Arial" w:cs="Arial" w:eastAsia="Arial" w:hAnsi="Arial"/>
          <w:sz w:val="18"/>
          <w:szCs w:val="18"/>
          <w:color w:val="262626"/>
        </w:rPr>
        <w:t>in no</w:t>
      </w:r>
      <w:r>
        <w:rPr>
          <w:rFonts w:ascii="Arial" w:cs="Arial" w:eastAsia="Arial" w:hAnsi="Arial"/>
          <w:sz w:val="18"/>
          <w:szCs w:val="18"/>
          <w:color w:val="3A3A3A"/>
        </w:rPr>
        <w:t xml:space="preserve"> event later </w:t>
      </w:r>
      <w:r>
        <w:rPr>
          <w:rFonts w:ascii="Arial" w:cs="Arial" w:eastAsia="Arial" w:hAnsi="Arial"/>
          <w:sz w:val="18"/>
          <w:szCs w:val="18"/>
          <w:color w:val="262626"/>
        </w:rPr>
        <w:t>than</w:t>
      </w:r>
      <w:r>
        <w:rPr>
          <w:rFonts w:ascii="Arial" w:cs="Arial" w:eastAsia="Arial" w:hAnsi="Arial"/>
          <w:sz w:val="18"/>
          <w:szCs w:val="18"/>
          <w:color w:val="3A3A3A"/>
        </w:rPr>
        <w:t xml:space="preserve"> ten (10) </w:t>
      </w:r>
      <w:r>
        <w:rPr>
          <w:rFonts w:ascii="Arial" w:cs="Arial" w:eastAsia="Arial" w:hAnsi="Arial"/>
          <w:sz w:val="18"/>
          <w:szCs w:val="18"/>
          <w:color w:val="262626"/>
        </w:rPr>
        <w:t>days prior</w:t>
      </w:r>
      <w:r>
        <w:rPr>
          <w:rFonts w:ascii="Arial" w:cs="Arial" w:eastAsia="Arial" w:hAnsi="Arial"/>
          <w:sz w:val="18"/>
          <w:szCs w:val="18"/>
          <w:color w:val="3A3A3A"/>
        </w:rPr>
        <w:t xml:space="preserve"> to the </w:t>
      </w:r>
      <w:r>
        <w:rPr>
          <w:rFonts w:ascii="Arial" w:cs="Arial" w:eastAsia="Arial" w:hAnsi="Arial"/>
          <w:sz w:val="18"/>
          <w:szCs w:val="18"/>
          <w:color w:val="262626"/>
        </w:rPr>
        <w:t>date on</w:t>
      </w:r>
      <w:r>
        <w:rPr>
          <w:rFonts w:ascii="Arial" w:cs="Arial" w:eastAsia="Arial" w:hAnsi="Arial"/>
          <w:sz w:val="18"/>
          <w:szCs w:val="18"/>
          <w:color w:val="3A3A3A"/>
        </w:rPr>
        <w:t xml:space="preserve"> which </w:t>
      </w:r>
      <w:r>
        <w:rPr>
          <w:rFonts w:ascii="Arial" w:cs="Arial" w:eastAsia="Arial" w:hAnsi="Arial"/>
          <w:sz w:val="18"/>
          <w:szCs w:val="18"/>
          <w:color w:val="262626"/>
        </w:rPr>
        <w:t>Tenant applies</w:t>
      </w:r>
      <w:r>
        <w:rPr>
          <w:rFonts w:ascii="Arial" w:cs="Arial" w:eastAsia="Arial" w:hAnsi="Arial"/>
          <w:sz w:val="18"/>
          <w:szCs w:val="18"/>
          <w:color w:val="3A3A3A"/>
        </w:rPr>
        <w:t xml:space="preserve"> to </w:t>
      </w:r>
      <w:r>
        <w:rPr>
          <w:rFonts w:ascii="Arial" w:cs="Arial" w:eastAsia="Arial" w:hAnsi="Arial"/>
          <w:sz w:val="18"/>
          <w:szCs w:val="18"/>
          <w:color w:val="262626"/>
        </w:rPr>
        <w:t>a court of competent jurisdiction for authority and</w:t>
      </w:r>
      <w:r>
        <w:rPr>
          <w:rFonts w:ascii="Arial" w:cs="Arial" w:eastAsia="Arial" w:hAnsi="Arial"/>
          <w:sz w:val="18"/>
          <w:szCs w:val="18"/>
          <w:color w:val="3A3A3A"/>
        </w:rPr>
        <w:t xml:space="preserve"> </w:t>
      </w:r>
      <w:r>
        <w:rPr>
          <w:rFonts w:ascii="Arial" w:cs="Arial" w:eastAsia="Arial" w:hAnsi="Arial"/>
          <w:sz w:val="18"/>
          <w:szCs w:val="18"/>
          <w:color w:val="262626"/>
        </w:rPr>
        <w:t xml:space="preserve">approval to enter into </w:t>
      </w:r>
      <w:r>
        <w:rPr>
          <w:rFonts w:ascii="Arial" w:cs="Arial" w:eastAsia="Arial" w:hAnsi="Arial"/>
          <w:sz w:val="18"/>
          <w:szCs w:val="18"/>
          <w:color w:val="3A3A3A"/>
        </w:rPr>
        <w:t>the</w:t>
      </w:r>
      <w:r>
        <w:rPr>
          <w:rFonts w:ascii="Arial" w:cs="Arial" w:eastAsia="Arial" w:hAnsi="Arial"/>
          <w:sz w:val="18"/>
          <w:szCs w:val="18"/>
          <w:color w:val="262626"/>
        </w:rPr>
        <w:t xml:space="preserve"> proposed assignment. Landlord </w:t>
      </w:r>
      <w:r>
        <w:rPr>
          <w:rFonts w:ascii="Arial" w:cs="Arial" w:eastAsia="Arial" w:hAnsi="Arial"/>
          <w:sz w:val="18"/>
          <w:szCs w:val="18"/>
          <w:color w:val="3A3A3A"/>
        </w:rPr>
        <w:t>shall have</w:t>
      </w:r>
      <w:r>
        <w:rPr>
          <w:rFonts w:ascii="Arial" w:cs="Arial" w:eastAsia="Arial" w:hAnsi="Arial"/>
          <w:sz w:val="18"/>
          <w:szCs w:val="18"/>
          <w:color w:val="262626"/>
        </w:rPr>
        <w:t xml:space="preserve"> the prior right and option, to be exercised by notice to Tenant given at any time prior to the date on which the court order authorizing such assignment becomes final and non-appealable, to receive an assignment of this Lease upon the </w:t>
      </w:r>
      <w:r>
        <w:rPr>
          <w:rFonts w:ascii="Arial" w:cs="Arial" w:eastAsia="Arial" w:hAnsi="Arial"/>
          <w:sz w:val="18"/>
          <w:szCs w:val="18"/>
          <w:color w:val="282828"/>
        </w:rPr>
        <w:t>same terms and conditions, and for the same consideration, if any, as the proposed assignee, less any brokerage commissions</w:t>
      </w:r>
      <w:r>
        <w:rPr>
          <w:rFonts w:ascii="Arial" w:cs="Arial" w:eastAsia="Arial" w:hAnsi="Arial"/>
          <w:sz w:val="18"/>
          <w:szCs w:val="18"/>
          <w:color w:val="262626"/>
        </w:rPr>
        <w:t xml:space="preserve"> </w:t>
      </w:r>
      <w:r>
        <w:rPr>
          <w:rFonts w:ascii="Arial" w:cs="Arial" w:eastAsia="Arial" w:hAnsi="Arial"/>
          <w:sz w:val="18"/>
          <w:szCs w:val="18"/>
          <w:color w:val="282828"/>
        </w:rPr>
        <w:t>which may otherwise be payable out of the consideration to be paid by the proposed assignee for the assignment of this Lease. If this Lease is assigned pursuant to the provisions of the Bankruptcy Code, Landlord: (A) may require from the assignee a deposit or other security for the performance of its obligations under the Lease in an amount substantially the same as would have been required by Landlord upon the initial leasing to a tenant similar to the assignee; (B) shall receive, as additional rent, the sums and economic consideration described in Section 11.4; and (C) shall be entitled to receive reimbursement of reasonable attorneys’ fees and costs incurred in connection with such assignment. Any person or entity to which this Lease is assigned pursuant to the provisions of the Bankruptcy Code shall be deemed, without further act or documentation, to have assumed all of the Tenant’s obligations arising under this Lease on and after the date of such assignment. No provision of this Lease shall be deemed a waiver of Landlord’s rights or remedies under the Bankruptcy Code to oppose any assumption and/or assignment of this Lease, to require a timely performance of Tenant’s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22</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0" w:name="page151"/>
    <w:bookmarkEnd w:id="150"/>
    <w:p>
      <w:pPr>
        <w:ind w:right="180"/>
        <w:spacing w:after="0" w:line="263" w:lineRule="auto"/>
        <w:rPr>
          <w:sz w:val="20"/>
          <w:szCs w:val="20"/>
          <w:color w:val="auto"/>
        </w:rPr>
      </w:pPr>
      <w:r>
        <w:rPr>
          <w:rFonts w:ascii="Arial" w:cs="Arial" w:eastAsia="Arial" w:hAnsi="Arial"/>
          <w:sz w:val="19"/>
          <w:szCs w:val="19"/>
          <w:color w:val="282828"/>
        </w:rPr>
        <w:t>obligations under this Lease, or to regain possession of the Premises if this Lease has neither been assumed nor rejected within sixty (60) days after the date of the order for relief or within such additional time as a court of competent jurisdiction may have fixed. Notwithstanding anything in this Lease to the contrary, all amounts payable by Tenant to or on behalf of Landlord under this Lease, whether or not expressly denominated as Rent, shall constitute rent for the purposes of Section 502(b)(6) of the Bankruptcy Code.</w:t>
      </w:r>
    </w:p>
    <w:p>
      <w:pPr>
        <w:spacing w:after="0" w:line="15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color w:val="282828"/>
        </w:rPr>
        <w:t>11.11</w:t>
      </w:r>
      <w:r>
        <w:rPr>
          <w:sz w:val="20"/>
          <w:szCs w:val="20"/>
          <w:color w:val="auto"/>
        </w:rPr>
        <w:tab/>
      </w:r>
      <w:r>
        <w:rPr>
          <w:rFonts w:ascii="Arial" w:cs="Arial" w:eastAsia="Arial" w:hAnsi="Arial"/>
          <w:sz w:val="16"/>
          <w:szCs w:val="16"/>
          <w:u w:val="single" w:color="auto"/>
          <w:color w:val="262626"/>
        </w:rPr>
        <w:t xml:space="preserve">Permitted </w:t>
      </w:r>
      <w:r>
        <w:rPr>
          <w:rFonts w:ascii="Arial" w:cs="Arial" w:eastAsia="Arial" w:hAnsi="Arial"/>
          <w:sz w:val="16"/>
          <w:szCs w:val="16"/>
          <w:u w:val="single" w:color="auto"/>
          <w:color w:val="282828"/>
        </w:rPr>
        <w:t>Transfers</w:t>
      </w:r>
    </w:p>
    <w:p>
      <w:pPr>
        <w:spacing w:after="0" w:line="202" w:lineRule="exact"/>
        <w:rPr>
          <w:sz w:val="20"/>
          <w:szCs w:val="20"/>
          <w:color w:val="auto"/>
        </w:rPr>
      </w:pPr>
    </w:p>
    <w:p>
      <w:pPr>
        <w:ind w:right="40" w:firstLine="877"/>
        <w:spacing w:after="0" w:line="268" w:lineRule="auto"/>
        <w:rPr>
          <w:sz w:val="20"/>
          <w:szCs w:val="20"/>
          <w:color w:val="auto"/>
        </w:rPr>
      </w:pPr>
      <w:r>
        <w:rPr>
          <w:rFonts w:ascii="Arial" w:cs="Arial" w:eastAsia="Arial" w:hAnsi="Arial"/>
          <w:sz w:val="18"/>
          <w:szCs w:val="18"/>
          <w:color w:val="282828"/>
        </w:rPr>
        <w:t>Notwithstanding any provision of this Article 11 to the contrary, the following Transfers (a Transferee under any such Transfer is herein referred to as a “Permitted Transferee”, and such Transfer, a “Permitted Transfer”) shall be permitted without Landlord’s consent: (a) an assignment of this Lease to a Transferee that purchases all or substantially all (at least eighty-five percent (85%)) of the assets of Tenant, or to a Transferee that is the successor entity to Tenant resulting from a merger, consolidation, non-bankruptcy reorganization, or government action, or (b) an assignment or subletting of all or a portion of the Premises to an affiliate, subsidiary, parent or other entity which is controlled by, controls, or is under common control with, Tenant; provided that (i) no Event of Default exists at the time of the Transfer; (ii) Tenant delivers to Landlord a Notice of Proposed Transfer with respect to such proposed Transfer at least thirty (30) days prior to the effective date thereof (unless such transaction is confidential, in which case, such notice and accompanying information shall be provided to Landlord within thirty</w:t>
      </w:r>
    </w:p>
    <w:p>
      <w:pPr>
        <w:spacing w:after="0" w:line="4" w:lineRule="exact"/>
        <w:rPr>
          <w:sz w:val="20"/>
          <w:szCs w:val="20"/>
          <w:color w:val="auto"/>
        </w:rPr>
      </w:pPr>
    </w:p>
    <w:p>
      <w:pPr>
        <w:ind w:right="60" w:firstLine="8"/>
        <w:spacing w:after="0" w:line="299" w:lineRule="auto"/>
        <w:tabs>
          <w:tab w:leader="none" w:pos="379" w:val="left"/>
        </w:tabs>
        <w:numPr>
          <w:ilvl w:val="0"/>
          <w:numId w:val="58"/>
        </w:numPr>
        <w:rPr>
          <w:rFonts w:ascii="Arial" w:cs="Arial" w:eastAsia="Arial" w:hAnsi="Arial"/>
          <w:sz w:val="16"/>
          <w:szCs w:val="16"/>
          <w:color w:val="282828"/>
        </w:rPr>
      </w:pPr>
      <w:r>
        <w:rPr>
          <w:rFonts w:ascii="Arial" w:cs="Arial" w:eastAsia="Arial" w:hAnsi="Arial"/>
          <w:sz w:val="16"/>
          <w:szCs w:val="16"/>
          <w:color w:val="282828"/>
        </w:rPr>
        <w:t>days after the effective date of the Transfer) and promptly supplies Landlord with any documents or information reasonably requested by Landlord regarding such Transfer or Transferee, including, but not limited to, copies of the sublease or instrument of assignment, copies of documents establishing to the reasonable satisfaction of Landlord that the transaction in question is one described in clause (a) or (b) above, and, in the case of a Transfer pursuant to clause (a) above, evidence reasonably satisfactory to Landlord of the proposed Transferee’s Net Worth (as defined below), (iii) any such Transfer shall be subject to the provisions of Sections 11.2 [other than the requirements of Landlord consent and a processing fee, which are inapplicable to a Permitted Transfer], 11.3 [other than Sections 11.3(a), 11.3(g) and 11.3(h)], 11.6 (except with respect to the Transfer Premium and the provisions thereof regarding consent of Landlord), 11.7, 11.8, and 11.10 hereof (and Sections 11.3,</w:t>
      </w:r>
    </w:p>
    <w:p>
      <w:pPr>
        <w:spacing w:after="0" w:line="2" w:lineRule="exact"/>
        <w:rPr>
          <w:rFonts w:ascii="Arial" w:cs="Arial" w:eastAsia="Arial" w:hAnsi="Arial"/>
          <w:sz w:val="16"/>
          <w:szCs w:val="16"/>
          <w:color w:val="282828"/>
        </w:rPr>
      </w:pPr>
    </w:p>
    <w:p>
      <w:pPr>
        <w:ind w:right="100"/>
        <w:spacing w:after="0" w:line="254" w:lineRule="auto"/>
        <w:rPr>
          <w:rFonts w:ascii="Arial" w:cs="Arial" w:eastAsia="Arial" w:hAnsi="Arial"/>
          <w:sz w:val="16"/>
          <w:szCs w:val="16"/>
          <w:color w:val="282828"/>
        </w:rPr>
      </w:pPr>
      <w:r>
        <w:rPr>
          <w:rFonts w:ascii="Arial" w:cs="Arial" w:eastAsia="Arial" w:hAnsi="Arial"/>
          <w:sz w:val="19"/>
          <w:szCs w:val="19"/>
          <w:color w:val="282828"/>
        </w:rPr>
        <w:t>11.4, 11.5 and 11.9 shall be inapplicable to any Permitted Transfer); (iv) in the case of a Transfer pursuant to clause (a) above, the Transferee has a tangible net worth at the time of the Transfer (i.e., not including intangible assets in the calculation, such as goodwill, patents, copyrights, and trademarks) computed in accordance with generally accepted accounting principles (“Net Worth”) at least equal to the greater of (A) the Net Worth of Tenant immediately prior to such Transfer, or (B) the Net Worth on the date of this Lease of the original named Tenant; (v) the Permitted Transferee shall continue to actively conduct business in the Premises in compliance with the provisions of this Lease; and (vi) any such proposed Transfer is made for a good faith operating business purpose and not, whether in a single transaction or in a series of transactions, be entered into as a subterfuge to evade the obligations and restrictions relating to Transfers set forth in this Article 11. “Control,” as used in this S</w:t>
      </w:r>
      <w:r>
        <w:rPr>
          <w:rFonts w:ascii="Arial" w:cs="Arial" w:eastAsia="Arial" w:hAnsi="Arial"/>
          <w:sz w:val="19"/>
          <w:szCs w:val="19"/>
          <w:color w:val="3D3D3D"/>
        </w:rPr>
        <w:t>ection</w:t>
      </w:r>
      <w:r>
        <w:rPr>
          <w:rFonts w:ascii="Arial" w:cs="Arial" w:eastAsia="Arial" w:hAnsi="Arial"/>
          <w:sz w:val="19"/>
          <w:szCs w:val="19"/>
          <w:color w:val="282828"/>
        </w:rPr>
        <w:t xml:space="preserve"> 11.11, shall mean the ownership, directly or indirectly, of at least fifty-one percent (51</w:t>
      </w:r>
      <w:r>
        <w:rPr>
          <w:rFonts w:ascii="Arial" w:cs="Arial" w:eastAsia="Arial" w:hAnsi="Arial"/>
          <w:sz w:val="19"/>
          <w:szCs w:val="19"/>
          <w:color w:val="3D3D3D"/>
        </w:rPr>
        <w:t>%)</w:t>
      </w:r>
      <w:r>
        <w:rPr>
          <w:rFonts w:ascii="Arial" w:cs="Arial" w:eastAsia="Arial" w:hAnsi="Arial"/>
          <w:sz w:val="19"/>
          <w:szCs w:val="19"/>
          <w:color w:val="282828"/>
        </w:rPr>
        <w:t xml:space="preserve"> of the voting securities of, or possession </w:t>
      </w:r>
      <w:r>
        <w:rPr>
          <w:rFonts w:ascii="Arial" w:cs="Arial" w:eastAsia="Arial" w:hAnsi="Arial"/>
          <w:sz w:val="19"/>
          <w:szCs w:val="19"/>
          <w:color w:val="3D3D3D"/>
        </w:rPr>
        <w:t>o</w:t>
      </w:r>
      <w:r>
        <w:rPr>
          <w:rFonts w:ascii="Arial" w:cs="Arial" w:eastAsia="Arial" w:hAnsi="Arial"/>
          <w:sz w:val="19"/>
          <w:szCs w:val="19"/>
          <w:color w:val="565656"/>
        </w:rPr>
        <w:t>f</w:t>
      </w:r>
      <w:r>
        <w:rPr>
          <w:rFonts w:ascii="Arial" w:cs="Arial" w:eastAsia="Arial" w:hAnsi="Arial"/>
          <w:sz w:val="19"/>
          <w:szCs w:val="19"/>
          <w:color w:val="282828"/>
        </w:rPr>
        <w:t xml:space="preserve"> </w:t>
      </w:r>
      <w:r>
        <w:rPr>
          <w:rFonts w:ascii="Arial" w:cs="Arial" w:eastAsia="Arial" w:hAnsi="Arial"/>
          <w:sz w:val="19"/>
          <w:szCs w:val="19"/>
          <w:color w:val="3D3D3D"/>
        </w:rPr>
        <w:t>the</w:t>
      </w:r>
      <w:r>
        <w:rPr>
          <w:rFonts w:ascii="Arial" w:cs="Arial" w:eastAsia="Arial" w:hAnsi="Arial"/>
          <w:sz w:val="19"/>
          <w:szCs w:val="19"/>
          <w:color w:val="282828"/>
        </w:rPr>
        <w:t xml:space="preserve"> right to vote, in the ordinary direction of its affairs, of at least fifty-one percent (51%) of the voting interest in, any person or entity.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23</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1" w:name="page152"/>
    <w:bookmarkEnd w:id="151"/>
    <w:p>
      <w:pPr>
        <w:jc w:val="center"/>
        <w:ind w:right="20"/>
        <w:spacing w:after="0"/>
        <w:rPr>
          <w:sz w:val="20"/>
          <w:szCs w:val="20"/>
          <w:color w:val="auto"/>
        </w:rPr>
      </w:pPr>
      <w:r>
        <w:rPr>
          <w:rFonts w:ascii="Arial" w:cs="Arial" w:eastAsia="Arial" w:hAnsi="Arial"/>
          <w:sz w:val="20"/>
          <w:szCs w:val="20"/>
          <w:b w:val="1"/>
          <w:bCs w:val="1"/>
          <w:color w:val="262626"/>
        </w:rPr>
        <w:t xml:space="preserve">ARTICLE </w:t>
      </w:r>
      <w:r>
        <w:rPr>
          <w:rFonts w:ascii="Arial" w:cs="Arial" w:eastAsia="Arial" w:hAnsi="Arial"/>
          <w:sz w:val="20"/>
          <w:szCs w:val="20"/>
          <w:b w:val="1"/>
          <w:bCs w:val="1"/>
          <w:color w:val="282828"/>
        </w:rPr>
        <w:t>12</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82828"/>
        </w:rPr>
        <w:t>NON-LIABILITY AND INDEMNIFICATION</w:t>
      </w:r>
    </w:p>
    <w:p>
      <w:pPr>
        <w:spacing w:after="0" w:line="17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12.1</w:t>
      </w:r>
      <w:r>
        <w:rPr>
          <w:sz w:val="20"/>
          <w:szCs w:val="20"/>
          <w:color w:val="auto"/>
        </w:rPr>
        <w:tab/>
      </w:r>
      <w:r>
        <w:rPr>
          <w:rFonts w:ascii="Arial" w:cs="Arial" w:eastAsia="Arial" w:hAnsi="Arial"/>
          <w:sz w:val="19"/>
          <w:szCs w:val="19"/>
          <w:u w:val="single" w:color="auto"/>
          <w:color w:val="262626"/>
        </w:rPr>
        <w:t xml:space="preserve">Waiver </w:t>
      </w:r>
      <w:r>
        <w:rPr>
          <w:rFonts w:ascii="Arial" w:cs="Arial" w:eastAsia="Arial" w:hAnsi="Arial"/>
          <w:sz w:val="19"/>
          <w:szCs w:val="19"/>
          <w:u w:val="single" w:color="auto"/>
          <w:color w:val="3D3D3D"/>
        </w:rPr>
        <w:t>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-14605</wp:posOffset>
            </wp:positionV>
            <wp:extent cx="311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82" w:lineRule="exact"/>
        <w:rPr>
          <w:sz w:val="20"/>
          <w:szCs w:val="20"/>
          <w:color w:val="auto"/>
        </w:rPr>
      </w:pPr>
    </w:p>
    <w:p>
      <w:pPr>
        <w:ind w:right="40" w:firstLine="877"/>
        <w:spacing w:after="0" w:line="271" w:lineRule="auto"/>
        <w:rPr>
          <w:sz w:val="20"/>
          <w:szCs w:val="20"/>
          <w:color w:val="auto"/>
        </w:rPr>
      </w:pPr>
      <w:r>
        <w:rPr>
          <w:rFonts w:ascii="Arial" w:cs="Arial" w:eastAsia="Arial" w:hAnsi="Arial"/>
          <w:sz w:val="18"/>
          <w:szCs w:val="18"/>
          <w:color w:val="282828"/>
        </w:rPr>
        <w:t>Neither Landlord nor any of the other Indemnitees shall be liable or responsible in any way for, and Tenant hereby waives all claims against Landlord and such other Indemnitees with respect to or arising out of any death or any injury of any nature whatsoever that may be suffered or sustained by Tenant or any employee, licensee, invitee, guest, contractor, agent or customer of Tenant or any other person, occurring in or about the Premises or the Building, from any causes whatsoever; or for any loss or damage or injury to any property in or about the Premises or the Building belonging to Tenant or its employees, contractors, agents, customers, licensees, invitees, guests or any other person (except to the extent such limitation on liability is prohibited by Law). Without limiting the generality of the foregoing, Landlord shall not be liable for any damage or damages of any nature whatsoever to persons or property caused by explosion, fire, theft or breakage, by sprinkler, drainage or plumbing systems, by failure for any cause to supply adequate drainage, by the interruption of any public utility or service, by steam, gas, water, rain or other substances leaking, issuing or flowing into any part of the Premises, by natural occurrence, acts of the public enemy, riot, strike, insurrection, war, court order, requisition or order of governmental body or authority. In addition, Landlord shall not be liable for any loss or damage for which the Tenant is required to insure.</w:t>
      </w:r>
    </w:p>
    <w:p>
      <w:pPr>
        <w:spacing w:after="0" w:line="15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12.2</w:t>
      </w:r>
      <w:r>
        <w:rPr>
          <w:sz w:val="20"/>
          <w:szCs w:val="20"/>
          <w:color w:val="auto"/>
        </w:rPr>
        <w:tab/>
      </w:r>
      <w:r>
        <w:rPr>
          <w:rFonts w:ascii="Arial" w:cs="Arial" w:eastAsia="Arial" w:hAnsi="Arial"/>
          <w:sz w:val="18"/>
          <w:szCs w:val="18"/>
          <w:u w:val="single" w:color="auto"/>
          <w:color w:val="262626"/>
        </w:rPr>
        <w:t>Indemnity</w:t>
      </w:r>
    </w:p>
    <w:p>
      <w:pPr>
        <w:spacing w:after="0" w:line="189" w:lineRule="exact"/>
        <w:rPr>
          <w:sz w:val="20"/>
          <w:szCs w:val="20"/>
          <w:color w:val="auto"/>
        </w:rPr>
      </w:pPr>
    </w:p>
    <w:p>
      <w:pPr>
        <w:ind w:right="120" w:firstLine="877"/>
        <w:spacing w:after="0" w:line="304" w:lineRule="auto"/>
        <w:rPr>
          <w:sz w:val="20"/>
          <w:szCs w:val="20"/>
          <w:color w:val="auto"/>
        </w:rPr>
      </w:pPr>
      <w:r>
        <w:rPr>
          <w:rFonts w:ascii="Arial" w:cs="Arial" w:eastAsia="Arial" w:hAnsi="Arial"/>
          <w:sz w:val="16"/>
          <w:szCs w:val="16"/>
          <w:color w:val="282828"/>
        </w:rPr>
        <w:t xml:space="preserve">Tenant shall indemnify and hold Landlord, the Holders of all Superior Interests, Landlord’s agents, the shareholders, constituent partners and other direct or indirect owners of Landlord or any agent of Landlord, and all contractors, officers, directors and employees of any thereof (collectively, “Indemnitees”), and each of them, harmless from and protect and defend each Indemnitee against any and all obligations, losses, claims, actions (including remedial or enforcement actions of any kind and administrative or judicial proceedings, suits, orders or judgments), causes of action, liabilities, penalties, damages (including consequential and punitive damages), costs and expenses (including reasonable attorneys’ and consultants’ fees and expenses) (collectively, “Claims”): (a) occurring in, on, or about the Premises, or any part thereof, arising at any time and from any cause whatsoever, other than, with respect to any </w:t>
      </w:r>
      <w:r>
        <w:rPr>
          <w:rFonts w:ascii="Arial" w:cs="Arial" w:eastAsia="Arial" w:hAnsi="Arial"/>
          <w:sz w:val="16"/>
          <w:szCs w:val="16"/>
          <w:color w:val="262626"/>
        </w:rPr>
        <w:t>Indemnitee, by reason of the</w:t>
      </w:r>
      <w:r>
        <w:rPr>
          <w:rFonts w:ascii="Arial" w:cs="Arial" w:eastAsia="Arial" w:hAnsi="Arial"/>
          <w:sz w:val="16"/>
          <w:szCs w:val="16"/>
          <w:color w:val="282828"/>
        </w:rPr>
        <w:t xml:space="preserve"> </w:t>
      </w:r>
      <w:r>
        <w:rPr>
          <w:rFonts w:ascii="Arial" w:cs="Arial" w:eastAsia="Arial" w:hAnsi="Arial"/>
          <w:sz w:val="16"/>
          <w:szCs w:val="16"/>
          <w:color w:val="363636"/>
        </w:rPr>
        <w:t>gross</w:t>
      </w:r>
      <w:r>
        <w:rPr>
          <w:rFonts w:ascii="Arial" w:cs="Arial" w:eastAsia="Arial" w:hAnsi="Arial"/>
          <w:sz w:val="16"/>
          <w:szCs w:val="16"/>
          <w:color w:val="282828"/>
        </w:rPr>
        <w:t xml:space="preserve"> </w:t>
      </w:r>
      <w:r>
        <w:rPr>
          <w:rFonts w:ascii="Arial" w:cs="Arial" w:eastAsia="Arial" w:hAnsi="Arial"/>
          <w:sz w:val="16"/>
          <w:szCs w:val="16"/>
          <w:color w:val="262626"/>
        </w:rPr>
        <w:t>negligence or</w:t>
      </w:r>
      <w:r>
        <w:rPr>
          <w:rFonts w:ascii="Arial" w:cs="Arial" w:eastAsia="Arial" w:hAnsi="Arial"/>
          <w:sz w:val="16"/>
          <w:szCs w:val="16"/>
          <w:color w:val="282828"/>
        </w:rPr>
        <w:t xml:space="preserve"> </w:t>
      </w:r>
      <w:r>
        <w:rPr>
          <w:rFonts w:ascii="Arial" w:cs="Arial" w:eastAsia="Arial" w:hAnsi="Arial"/>
          <w:sz w:val="16"/>
          <w:szCs w:val="16"/>
          <w:color w:val="262626"/>
        </w:rPr>
        <w:t xml:space="preserve">willful misconduct of such Indemnitee </w:t>
      </w:r>
      <w:r>
        <w:rPr>
          <w:rFonts w:ascii="Arial" w:cs="Arial" w:eastAsia="Arial" w:hAnsi="Arial"/>
          <w:sz w:val="16"/>
          <w:szCs w:val="16"/>
          <w:color w:val="363636"/>
        </w:rPr>
        <w:t>and such</w:t>
      </w:r>
      <w:r>
        <w:rPr>
          <w:rFonts w:ascii="Arial" w:cs="Arial" w:eastAsia="Arial" w:hAnsi="Arial"/>
          <w:sz w:val="16"/>
          <w:szCs w:val="16"/>
          <w:color w:val="262626"/>
        </w:rPr>
        <w:t xml:space="preserve"> matter is not </w:t>
      </w:r>
      <w:r>
        <w:rPr>
          <w:rFonts w:ascii="Arial" w:cs="Arial" w:eastAsia="Arial" w:hAnsi="Arial"/>
          <w:sz w:val="16"/>
          <w:szCs w:val="16"/>
          <w:color w:val="363636"/>
        </w:rPr>
        <w:t>covered</w:t>
      </w:r>
      <w:r>
        <w:rPr>
          <w:rFonts w:ascii="Arial" w:cs="Arial" w:eastAsia="Arial" w:hAnsi="Arial"/>
          <w:sz w:val="16"/>
          <w:szCs w:val="16"/>
          <w:color w:val="262626"/>
        </w:rPr>
        <w:t xml:space="preserve"> by the insurance required to be carried by Tenant hereunder (except to the extent </w:t>
      </w:r>
      <w:r>
        <w:rPr>
          <w:rFonts w:ascii="Arial" w:cs="Arial" w:eastAsia="Arial" w:hAnsi="Arial"/>
          <w:sz w:val="16"/>
          <w:szCs w:val="16"/>
          <w:color w:val="363636"/>
        </w:rPr>
        <w:t>such</w:t>
      </w:r>
      <w:r>
        <w:rPr>
          <w:rFonts w:ascii="Arial" w:cs="Arial" w:eastAsia="Arial" w:hAnsi="Arial"/>
          <w:sz w:val="16"/>
          <w:szCs w:val="16"/>
          <w:color w:val="262626"/>
        </w:rPr>
        <w:t xml:space="preserve"> indemnity obligation is prohibited by </w:t>
      </w:r>
      <w:r>
        <w:rPr>
          <w:rFonts w:ascii="Arial" w:cs="Arial" w:eastAsia="Arial" w:hAnsi="Arial"/>
          <w:sz w:val="16"/>
          <w:szCs w:val="16"/>
          <w:color w:val="363636"/>
        </w:rPr>
        <w:t>Law); (b) occurring</w:t>
      </w:r>
      <w:r>
        <w:rPr>
          <w:rFonts w:ascii="Arial" w:cs="Arial" w:eastAsia="Arial" w:hAnsi="Arial"/>
          <w:sz w:val="16"/>
          <w:szCs w:val="16"/>
          <w:color w:val="262626"/>
        </w:rPr>
        <w:t xml:space="preserve"> in, on, or </w:t>
      </w:r>
      <w:r>
        <w:rPr>
          <w:rFonts w:ascii="Arial" w:cs="Arial" w:eastAsia="Arial" w:hAnsi="Arial"/>
          <w:sz w:val="16"/>
          <w:szCs w:val="16"/>
          <w:color w:val="363636"/>
        </w:rPr>
        <w:t>about</w:t>
      </w:r>
      <w:r>
        <w:rPr>
          <w:rFonts w:ascii="Arial" w:cs="Arial" w:eastAsia="Arial" w:hAnsi="Arial"/>
          <w:sz w:val="16"/>
          <w:szCs w:val="16"/>
          <w:color w:val="262626"/>
        </w:rPr>
        <w:t xml:space="preserve"> any </w:t>
      </w:r>
      <w:r>
        <w:rPr>
          <w:rFonts w:ascii="Arial" w:cs="Arial" w:eastAsia="Arial" w:hAnsi="Arial"/>
          <w:sz w:val="16"/>
          <w:szCs w:val="16"/>
          <w:color w:val="363636"/>
        </w:rPr>
        <w:t>part</w:t>
      </w:r>
      <w:r>
        <w:rPr>
          <w:rFonts w:ascii="Arial" w:cs="Arial" w:eastAsia="Arial" w:hAnsi="Arial"/>
          <w:sz w:val="16"/>
          <w:szCs w:val="16"/>
          <w:color w:val="262626"/>
        </w:rPr>
        <w:t xml:space="preserve"> of the Project other than the Premises, when such damage, injury, illness or death </w:t>
      </w:r>
      <w:r>
        <w:rPr>
          <w:rFonts w:ascii="Arial" w:cs="Arial" w:eastAsia="Arial" w:hAnsi="Arial"/>
          <w:sz w:val="16"/>
          <w:szCs w:val="16"/>
          <w:color w:val="363636"/>
        </w:rPr>
        <w:t>shall</w:t>
      </w:r>
      <w:r>
        <w:rPr>
          <w:rFonts w:ascii="Arial" w:cs="Arial" w:eastAsia="Arial" w:hAnsi="Arial"/>
          <w:sz w:val="16"/>
          <w:szCs w:val="16"/>
          <w:color w:val="262626"/>
        </w:rPr>
        <w:t xml:space="preserve"> be caused by the negligence or willful misconduct of Tenant, its agents, servants, contractors, employees, invitee</w:t>
      </w:r>
      <w:r>
        <w:rPr>
          <w:rFonts w:ascii="Arial" w:cs="Arial" w:eastAsia="Arial" w:hAnsi="Arial"/>
          <w:sz w:val="16"/>
          <w:szCs w:val="16"/>
          <w:color w:val="494949"/>
        </w:rPr>
        <w:t>s</w:t>
      </w:r>
      <w:r>
        <w:rPr>
          <w:rFonts w:ascii="Arial" w:cs="Arial" w:eastAsia="Arial" w:hAnsi="Arial"/>
          <w:sz w:val="16"/>
          <w:szCs w:val="16"/>
          <w:color w:val="262626"/>
        </w:rPr>
        <w:t xml:space="preserve"> </w:t>
      </w:r>
      <w:r>
        <w:rPr>
          <w:rFonts w:ascii="Arial" w:cs="Arial" w:eastAsia="Arial" w:hAnsi="Arial"/>
          <w:sz w:val="16"/>
          <w:szCs w:val="16"/>
          <w:color w:val="363636"/>
        </w:rPr>
        <w:t>or</w:t>
      </w:r>
      <w:r>
        <w:rPr>
          <w:rFonts w:ascii="Arial" w:cs="Arial" w:eastAsia="Arial" w:hAnsi="Arial"/>
          <w:sz w:val="16"/>
          <w:szCs w:val="16"/>
          <w:color w:val="262626"/>
        </w:rPr>
        <w:t xml:space="preserve"> license</w:t>
      </w:r>
      <w:r>
        <w:rPr>
          <w:rFonts w:ascii="Arial" w:cs="Arial" w:eastAsia="Arial" w:hAnsi="Arial"/>
          <w:sz w:val="16"/>
          <w:szCs w:val="16"/>
          <w:color w:val="363636"/>
        </w:rPr>
        <w:t>es (“Tenant Parties); (c) arising</w:t>
      </w:r>
      <w:r>
        <w:rPr>
          <w:rFonts w:ascii="Arial" w:cs="Arial" w:eastAsia="Arial" w:hAnsi="Arial"/>
          <w:sz w:val="16"/>
          <w:szCs w:val="16"/>
          <w:color w:val="262626"/>
        </w:rPr>
        <w:t xml:space="preserve"> out of any toxic or hazardous substance placed </w:t>
      </w:r>
      <w:r>
        <w:rPr>
          <w:rFonts w:ascii="Arial" w:cs="Arial" w:eastAsia="Arial" w:hAnsi="Arial"/>
          <w:sz w:val="16"/>
          <w:szCs w:val="16"/>
          <w:color w:val="363636"/>
        </w:rPr>
        <w:t>in, on, or about the Project</w:t>
      </w:r>
      <w:r>
        <w:rPr>
          <w:rFonts w:ascii="Arial" w:cs="Arial" w:eastAsia="Arial" w:hAnsi="Arial"/>
          <w:sz w:val="16"/>
          <w:szCs w:val="16"/>
          <w:color w:val="262626"/>
        </w:rPr>
        <w:t xml:space="preserve"> by </w:t>
      </w:r>
      <w:r>
        <w:rPr>
          <w:rFonts w:ascii="Arial" w:cs="Arial" w:eastAsia="Arial" w:hAnsi="Arial"/>
          <w:sz w:val="16"/>
          <w:szCs w:val="16"/>
          <w:color w:val="494949"/>
        </w:rPr>
        <w:t>Te</w:t>
      </w:r>
      <w:r>
        <w:rPr>
          <w:rFonts w:ascii="Arial" w:cs="Arial" w:eastAsia="Arial" w:hAnsi="Arial"/>
          <w:sz w:val="16"/>
          <w:szCs w:val="16"/>
          <w:color w:val="262626"/>
        </w:rPr>
        <w:t>nant</w:t>
      </w:r>
      <w:r>
        <w:rPr>
          <w:rFonts w:ascii="Arial" w:cs="Arial" w:eastAsia="Arial" w:hAnsi="Arial"/>
          <w:sz w:val="16"/>
          <w:szCs w:val="16"/>
          <w:color w:val="494949"/>
        </w:rPr>
        <w:t xml:space="preserve"> </w:t>
      </w:r>
      <w:r>
        <w:rPr>
          <w:rFonts w:ascii="Arial" w:cs="Arial" w:eastAsia="Arial" w:hAnsi="Arial"/>
          <w:sz w:val="16"/>
          <w:szCs w:val="16"/>
          <w:color w:val="363636"/>
        </w:rPr>
        <w:t>or</w:t>
      </w:r>
      <w:r>
        <w:rPr>
          <w:rFonts w:ascii="Arial" w:cs="Arial" w:eastAsia="Arial" w:hAnsi="Arial"/>
          <w:sz w:val="16"/>
          <w:szCs w:val="16"/>
          <w:color w:val="494949"/>
        </w:rPr>
        <w:t xml:space="preserve"> </w:t>
      </w:r>
      <w:r>
        <w:rPr>
          <w:rFonts w:ascii="Arial" w:cs="Arial" w:eastAsia="Arial" w:hAnsi="Arial"/>
          <w:sz w:val="16"/>
          <w:szCs w:val="16"/>
          <w:color w:val="262626"/>
        </w:rPr>
        <w:t>any</w:t>
      </w:r>
      <w:r>
        <w:rPr>
          <w:rFonts w:ascii="Arial" w:cs="Arial" w:eastAsia="Arial" w:hAnsi="Arial"/>
          <w:sz w:val="16"/>
          <w:szCs w:val="16"/>
          <w:color w:val="494949"/>
        </w:rPr>
        <w:t xml:space="preserve"> </w:t>
      </w:r>
      <w:r>
        <w:rPr>
          <w:rFonts w:ascii="Arial" w:cs="Arial" w:eastAsia="Arial" w:hAnsi="Arial"/>
          <w:sz w:val="16"/>
          <w:szCs w:val="16"/>
          <w:color w:val="363636"/>
        </w:rPr>
        <w:t>Tenant</w:t>
      </w:r>
      <w:r>
        <w:rPr>
          <w:rFonts w:ascii="Arial" w:cs="Arial" w:eastAsia="Arial" w:hAnsi="Arial"/>
          <w:sz w:val="16"/>
          <w:szCs w:val="16"/>
          <w:color w:val="494949"/>
        </w:rPr>
        <w:t xml:space="preserve"> </w:t>
      </w:r>
      <w:r>
        <w:rPr>
          <w:rFonts w:ascii="Arial" w:cs="Arial" w:eastAsia="Arial" w:hAnsi="Arial"/>
          <w:sz w:val="16"/>
          <w:szCs w:val="16"/>
          <w:color w:val="262626"/>
        </w:rPr>
        <w:t>Party; or (d) arising from the failure of</w:t>
      </w:r>
      <w:r>
        <w:rPr>
          <w:rFonts w:ascii="Arial" w:cs="Arial" w:eastAsia="Arial" w:hAnsi="Arial"/>
          <w:sz w:val="16"/>
          <w:szCs w:val="16"/>
          <w:color w:val="494949"/>
        </w:rPr>
        <w:t xml:space="preserve"> </w:t>
      </w:r>
      <w:r>
        <w:rPr>
          <w:rFonts w:ascii="Arial" w:cs="Arial" w:eastAsia="Arial" w:hAnsi="Arial"/>
          <w:sz w:val="16"/>
          <w:szCs w:val="16"/>
          <w:color w:val="363636"/>
        </w:rPr>
        <w:t>Tenant to observe or</w:t>
      </w:r>
      <w:r>
        <w:rPr>
          <w:rFonts w:ascii="Arial" w:cs="Arial" w:eastAsia="Arial" w:hAnsi="Arial"/>
          <w:sz w:val="16"/>
          <w:szCs w:val="16"/>
          <w:color w:val="494949"/>
        </w:rPr>
        <w:t xml:space="preserve"> </w:t>
      </w:r>
      <w:r>
        <w:rPr>
          <w:rFonts w:ascii="Arial" w:cs="Arial" w:eastAsia="Arial" w:hAnsi="Arial"/>
          <w:sz w:val="16"/>
          <w:szCs w:val="16"/>
          <w:color w:val="262626"/>
        </w:rPr>
        <w:t>perform</w:t>
      </w:r>
      <w:r>
        <w:rPr>
          <w:rFonts w:ascii="Arial" w:cs="Arial" w:eastAsia="Arial" w:hAnsi="Arial"/>
          <w:sz w:val="16"/>
          <w:szCs w:val="16"/>
          <w:color w:val="494949"/>
        </w:rPr>
        <w:t xml:space="preserve"> </w:t>
      </w:r>
      <w:r>
        <w:rPr>
          <w:rFonts w:ascii="Arial" w:cs="Arial" w:eastAsia="Arial" w:hAnsi="Arial"/>
          <w:sz w:val="16"/>
          <w:szCs w:val="16"/>
          <w:color w:val="363636"/>
        </w:rPr>
        <w:t>any of</w:t>
      </w:r>
      <w:r>
        <w:rPr>
          <w:rFonts w:ascii="Arial" w:cs="Arial" w:eastAsia="Arial" w:hAnsi="Arial"/>
          <w:sz w:val="16"/>
          <w:szCs w:val="16"/>
          <w:color w:val="494949"/>
        </w:rPr>
        <w:t xml:space="preserve"> </w:t>
      </w:r>
      <w:r>
        <w:rPr>
          <w:rFonts w:ascii="Arial" w:cs="Arial" w:eastAsia="Arial" w:hAnsi="Arial"/>
          <w:sz w:val="16"/>
          <w:szCs w:val="16"/>
          <w:color w:val="262626"/>
        </w:rPr>
        <w:t>its</w:t>
      </w:r>
      <w:r>
        <w:rPr>
          <w:rFonts w:ascii="Arial" w:cs="Arial" w:eastAsia="Arial" w:hAnsi="Arial"/>
          <w:sz w:val="16"/>
          <w:szCs w:val="16"/>
          <w:color w:val="494949"/>
        </w:rPr>
        <w:t xml:space="preserve"> </w:t>
      </w:r>
      <w:r>
        <w:rPr>
          <w:rFonts w:ascii="Arial" w:cs="Arial" w:eastAsia="Arial" w:hAnsi="Arial"/>
          <w:sz w:val="16"/>
          <w:szCs w:val="16"/>
          <w:color w:val="363636"/>
        </w:rPr>
        <w:t>obligations</w:t>
      </w:r>
      <w:r>
        <w:rPr>
          <w:rFonts w:ascii="Arial" w:cs="Arial" w:eastAsia="Arial" w:hAnsi="Arial"/>
          <w:sz w:val="16"/>
          <w:szCs w:val="16"/>
          <w:color w:val="494949"/>
        </w:rPr>
        <w:t xml:space="preserve"> </w:t>
      </w:r>
      <w:r>
        <w:rPr>
          <w:rFonts w:ascii="Arial" w:cs="Arial" w:eastAsia="Arial" w:hAnsi="Arial"/>
          <w:sz w:val="16"/>
          <w:szCs w:val="16"/>
          <w:color w:val="262626"/>
        </w:rPr>
        <w:t>hereunder. Tenant’s</w:t>
      </w:r>
      <w:r>
        <w:rPr>
          <w:rFonts w:ascii="Arial" w:cs="Arial" w:eastAsia="Arial" w:hAnsi="Arial"/>
          <w:sz w:val="16"/>
          <w:szCs w:val="16"/>
          <w:color w:val="494949"/>
        </w:rPr>
        <w:t xml:space="preserve"> </w:t>
      </w:r>
      <w:r>
        <w:rPr>
          <w:rFonts w:ascii="Arial" w:cs="Arial" w:eastAsia="Arial" w:hAnsi="Arial"/>
          <w:sz w:val="16"/>
          <w:szCs w:val="16"/>
          <w:color w:val="262626"/>
        </w:rPr>
        <w:t xml:space="preserve">indemnification </w:t>
      </w:r>
      <w:r>
        <w:rPr>
          <w:rFonts w:ascii="Arial" w:cs="Arial" w:eastAsia="Arial" w:hAnsi="Arial"/>
          <w:sz w:val="16"/>
          <w:szCs w:val="16"/>
          <w:color w:val="363636"/>
        </w:rPr>
        <w:t>includes, without limitation, any and all costs incurred</w:t>
      </w:r>
      <w:r>
        <w:rPr>
          <w:rFonts w:ascii="Arial" w:cs="Arial" w:eastAsia="Arial" w:hAnsi="Arial"/>
          <w:sz w:val="16"/>
          <w:szCs w:val="16"/>
          <w:color w:val="262626"/>
        </w:rPr>
        <w:t xml:space="preserve"> by Landlord due to any investigation of </w:t>
      </w:r>
      <w:r>
        <w:rPr>
          <w:rFonts w:ascii="Arial" w:cs="Arial" w:eastAsia="Arial" w:hAnsi="Arial"/>
          <w:sz w:val="16"/>
          <w:szCs w:val="16"/>
          <w:color w:val="363636"/>
        </w:rPr>
        <w:t>the</w:t>
      </w:r>
      <w:r>
        <w:rPr>
          <w:rFonts w:ascii="Arial" w:cs="Arial" w:eastAsia="Arial" w:hAnsi="Arial"/>
          <w:sz w:val="16"/>
          <w:szCs w:val="16"/>
          <w:color w:val="262626"/>
        </w:rPr>
        <w:t xml:space="preserve"> </w:t>
      </w:r>
      <w:r>
        <w:rPr>
          <w:rFonts w:ascii="Arial" w:cs="Arial" w:eastAsia="Arial" w:hAnsi="Arial"/>
          <w:sz w:val="16"/>
          <w:szCs w:val="16"/>
          <w:color w:val="494949"/>
        </w:rPr>
        <w:t>s</w:t>
      </w:r>
      <w:r>
        <w:rPr>
          <w:rFonts w:ascii="Arial" w:cs="Arial" w:eastAsia="Arial" w:hAnsi="Arial"/>
          <w:sz w:val="16"/>
          <w:szCs w:val="16"/>
          <w:color w:val="262626"/>
        </w:rPr>
        <w:t xml:space="preserve">ite </w:t>
      </w:r>
      <w:r>
        <w:rPr>
          <w:rFonts w:ascii="Arial" w:cs="Arial" w:eastAsia="Arial" w:hAnsi="Arial"/>
          <w:sz w:val="16"/>
          <w:szCs w:val="16"/>
          <w:color w:val="363636"/>
        </w:rPr>
        <w:t>or any</w:t>
      </w:r>
      <w:r>
        <w:rPr>
          <w:rFonts w:ascii="Arial" w:cs="Arial" w:eastAsia="Arial" w:hAnsi="Arial"/>
          <w:sz w:val="16"/>
          <w:szCs w:val="16"/>
          <w:color w:val="262626"/>
        </w:rPr>
        <w:t xml:space="preserve"> cleanup </w:t>
      </w:r>
      <w:r>
        <w:rPr>
          <w:rFonts w:ascii="Arial" w:cs="Arial" w:eastAsia="Arial" w:hAnsi="Arial"/>
          <w:sz w:val="16"/>
          <w:szCs w:val="16"/>
          <w:color w:val="363636"/>
        </w:rPr>
        <w:t>or</w:t>
      </w:r>
      <w:r>
        <w:rPr>
          <w:rFonts w:ascii="Arial" w:cs="Arial" w:eastAsia="Arial" w:hAnsi="Arial"/>
          <w:sz w:val="16"/>
          <w:szCs w:val="16"/>
          <w:color w:val="262626"/>
        </w:rPr>
        <w:t xml:space="preserve"> </w:t>
      </w:r>
      <w:r>
        <w:rPr>
          <w:rFonts w:ascii="Arial" w:cs="Arial" w:eastAsia="Arial" w:hAnsi="Arial"/>
          <w:sz w:val="16"/>
          <w:szCs w:val="16"/>
          <w:color w:val="363636"/>
        </w:rPr>
        <w:t xml:space="preserve">removal of toxic </w:t>
      </w:r>
      <w:r>
        <w:rPr>
          <w:rFonts w:ascii="Arial" w:cs="Arial" w:eastAsia="Arial" w:hAnsi="Arial"/>
          <w:sz w:val="16"/>
          <w:szCs w:val="16"/>
          <w:color w:val="262626"/>
        </w:rPr>
        <w:t>hazardous</w:t>
      </w:r>
      <w:r>
        <w:rPr>
          <w:rFonts w:ascii="Arial" w:cs="Arial" w:eastAsia="Arial" w:hAnsi="Arial"/>
          <w:sz w:val="16"/>
          <w:szCs w:val="16"/>
          <w:color w:val="363636"/>
        </w:rPr>
        <w:t xml:space="preserve"> substances or </w:t>
      </w:r>
      <w:r>
        <w:rPr>
          <w:rFonts w:ascii="Arial" w:cs="Arial" w:eastAsia="Arial" w:hAnsi="Arial"/>
          <w:sz w:val="16"/>
          <w:szCs w:val="16"/>
          <w:color w:val="262626"/>
        </w:rPr>
        <w:t>restoration mandated by a</w:t>
      </w:r>
      <w:r>
        <w:rPr>
          <w:rFonts w:ascii="Arial" w:cs="Arial" w:eastAsia="Arial" w:hAnsi="Arial"/>
          <w:sz w:val="16"/>
          <w:szCs w:val="16"/>
          <w:color w:val="363636"/>
        </w:rPr>
        <w:t xml:space="preserve"> federal, state or </w:t>
      </w:r>
      <w:r>
        <w:rPr>
          <w:rFonts w:ascii="Arial" w:cs="Arial" w:eastAsia="Arial" w:hAnsi="Arial"/>
          <w:sz w:val="16"/>
          <w:szCs w:val="16"/>
          <w:color w:val="262626"/>
        </w:rPr>
        <w:t>local</w:t>
      </w:r>
      <w:r>
        <w:rPr>
          <w:rFonts w:ascii="Arial" w:cs="Arial" w:eastAsia="Arial" w:hAnsi="Arial"/>
          <w:sz w:val="16"/>
          <w:szCs w:val="16"/>
          <w:color w:val="363636"/>
        </w:rPr>
        <w:t xml:space="preserve"> agency or political subdivision arising out of the </w:t>
      </w:r>
      <w:r>
        <w:rPr>
          <w:rFonts w:ascii="Arial" w:cs="Arial" w:eastAsia="Arial" w:hAnsi="Arial"/>
          <w:sz w:val="16"/>
          <w:szCs w:val="16"/>
          <w:color w:val="262626"/>
        </w:rPr>
        <w:t>action</w:t>
      </w:r>
      <w:r>
        <w:rPr>
          <w:rFonts w:ascii="Arial" w:cs="Arial" w:eastAsia="Arial" w:hAnsi="Arial"/>
          <w:sz w:val="16"/>
          <w:szCs w:val="16"/>
          <w:color w:val="494949"/>
        </w:rPr>
        <w:t>s</w:t>
      </w:r>
      <w:r>
        <w:rPr>
          <w:rFonts w:ascii="Arial" w:cs="Arial" w:eastAsia="Arial" w:hAnsi="Arial"/>
          <w:sz w:val="16"/>
          <w:szCs w:val="16"/>
          <w:color w:val="262626"/>
        </w:rPr>
        <w:t xml:space="preserve"> </w:t>
      </w:r>
      <w:r>
        <w:rPr>
          <w:rFonts w:ascii="Arial" w:cs="Arial" w:eastAsia="Arial" w:hAnsi="Arial"/>
          <w:sz w:val="16"/>
          <w:szCs w:val="16"/>
          <w:color w:val="363636"/>
        </w:rPr>
        <w:t>of Tenant or</w:t>
      </w:r>
      <w:r>
        <w:rPr>
          <w:rFonts w:ascii="Arial" w:cs="Arial" w:eastAsia="Arial" w:hAnsi="Arial"/>
          <w:sz w:val="16"/>
          <w:szCs w:val="16"/>
          <w:color w:val="262626"/>
        </w:rPr>
        <w:t xml:space="preserve"> any </w:t>
      </w:r>
      <w:r>
        <w:rPr>
          <w:rFonts w:ascii="Arial" w:cs="Arial" w:eastAsia="Arial" w:hAnsi="Arial"/>
          <w:sz w:val="16"/>
          <w:szCs w:val="16"/>
          <w:color w:val="363636"/>
        </w:rPr>
        <w:t>Tenant Parties.</w:t>
      </w:r>
      <w:r>
        <w:rPr>
          <w:rFonts w:ascii="Arial" w:cs="Arial" w:eastAsia="Arial" w:hAnsi="Arial"/>
          <w:sz w:val="16"/>
          <w:szCs w:val="16"/>
          <w:color w:val="262626"/>
        </w:rPr>
        <w:t xml:space="preserve"> If </w:t>
      </w:r>
      <w:r>
        <w:rPr>
          <w:rFonts w:ascii="Arial" w:cs="Arial" w:eastAsia="Arial" w:hAnsi="Arial"/>
          <w:sz w:val="16"/>
          <w:szCs w:val="16"/>
          <w:color w:val="363636"/>
        </w:rPr>
        <w:t>any action or</w:t>
      </w:r>
      <w:r>
        <w:rPr>
          <w:rFonts w:ascii="Arial" w:cs="Arial" w:eastAsia="Arial" w:hAnsi="Arial"/>
          <w:sz w:val="16"/>
          <w:szCs w:val="16"/>
          <w:color w:val="262626"/>
        </w:rPr>
        <w:t xml:space="preserve"> proceeding is brought against any of the Indemnitees by reason </w:t>
      </w:r>
      <w:r>
        <w:rPr>
          <w:rFonts w:ascii="Arial" w:cs="Arial" w:eastAsia="Arial" w:hAnsi="Arial"/>
          <w:sz w:val="16"/>
          <w:szCs w:val="16"/>
          <w:color w:val="363636"/>
        </w:rPr>
        <w:t>of any</w:t>
      </w:r>
      <w:r>
        <w:rPr>
          <w:rFonts w:ascii="Arial" w:cs="Arial" w:eastAsia="Arial" w:hAnsi="Arial"/>
          <w:sz w:val="16"/>
          <w:szCs w:val="16"/>
          <w:color w:val="262626"/>
        </w:rPr>
        <w:t xml:space="preserve"> </w:t>
      </w:r>
      <w:r>
        <w:rPr>
          <w:rFonts w:ascii="Arial" w:cs="Arial" w:eastAsia="Arial" w:hAnsi="Arial"/>
          <w:sz w:val="16"/>
          <w:szCs w:val="16"/>
          <w:color w:val="494949"/>
        </w:rPr>
        <w:t>s</w:t>
      </w:r>
      <w:r>
        <w:rPr>
          <w:rFonts w:ascii="Arial" w:cs="Arial" w:eastAsia="Arial" w:hAnsi="Arial"/>
          <w:sz w:val="16"/>
          <w:szCs w:val="16"/>
          <w:color w:val="262626"/>
        </w:rPr>
        <w:t xml:space="preserve">uch </w:t>
      </w:r>
      <w:r>
        <w:rPr>
          <w:rFonts w:ascii="Arial" w:cs="Arial" w:eastAsia="Arial" w:hAnsi="Arial"/>
          <w:sz w:val="16"/>
          <w:szCs w:val="16"/>
          <w:color w:val="363636"/>
        </w:rPr>
        <w:t>Claim or</w:t>
      </w:r>
      <w:r>
        <w:rPr>
          <w:rFonts w:ascii="Arial" w:cs="Arial" w:eastAsia="Arial" w:hAnsi="Arial"/>
          <w:sz w:val="16"/>
          <w:szCs w:val="16"/>
          <w:color w:val="262626"/>
        </w:rPr>
        <w:t xml:space="preserve"> liability, </w:t>
      </w:r>
      <w:r>
        <w:rPr>
          <w:rFonts w:ascii="Arial" w:cs="Arial" w:eastAsia="Arial" w:hAnsi="Arial"/>
          <w:sz w:val="16"/>
          <w:szCs w:val="16"/>
          <w:color w:val="363636"/>
        </w:rPr>
        <w:t>Tenant,</w:t>
      </w:r>
      <w:r>
        <w:rPr>
          <w:rFonts w:ascii="Arial" w:cs="Arial" w:eastAsia="Arial" w:hAnsi="Arial"/>
          <w:sz w:val="16"/>
          <w:szCs w:val="16"/>
          <w:color w:val="262626"/>
        </w:rPr>
        <w:t xml:space="preserve"> upon notice from Landlord, covenants to resist and defend </w:t>
      </w:r>
      <w:r>
        <w:rPr>
          <w:rFonts w:ascii="Arial" w:cs="Arial" w:eastAsia="Arial" w:hAnsi="Arial"/>
          <w:sz w:val="16"/>
          <w:szCs w:val="16"/>
          <w:color w:val="363636"/>
        </w:rPr>
        <w:t>at Tenant’s</w:t>
      </w:r>
      <w:r>
        <w:rPr>
          <w:rFonts w:ascii="Arial" w:cs="Arial" w:eastAsia="Arial" w:hAnsi="Arial"/>
          <w:sz w:val="16"/>
          <w:szCs w:val="16"/>
          <w:color w:val="262626"/>
        </w:rPr>
        <w:t xml:space="preserve"> sole expense </w:t>
      </w:r>
      <w:r>
        <w:rPr>
          <w:rFonts w:ascii="Arial" w:cs="Arial" w:eastAsia="Arial" w:hAnsi="Arial"/>
          <w:sz w:val="16"/>
          <w:szCs w:val="16"/>
          <w:color w:val="363636"/>
        </w:rPr>
        <w:t>such</w:t>
      </w:r>
      <w:r>
        <w:rPr>
          <w:rFonts w:ascii="Arial" w:cs="Arial" w:eastAsia="Arial" w:hAnsi="Arial"/>
          <w:sz w:val="16"/>
          <w:szCs w:val="16"/>
          <w:color w:val="262626"/>
        </w:rPr>
        <w:t xml:space="preserve"> action or proce</w:t>
      </w:r>
      <w:r>
        <w:rPr>
          <w:rFonts w:ascii="Arial" w:cs="Arial" w:eastAsia="Arial" w:hAnsi="Arial"/>
          <w:sz w:val="16"/>
          <w:szCs w:val="16"/>
          <w:color w:val="494949"/>
        </w:rPr>
        <w:t>edi</w:t>
      </w:r>
      <w:r>
        <w:rPr>
          <w:rFonts w:ascii="Arial" w:cs="Arial" w:eastAsia="Arial" w:hAnsi="Arial"/>
          <w:sz w:val="16"/>
          <w:szCs w:val="16"/>
          <w:color w:val="262626"/>
        </w:rPr>
        <w:t xml:space="preserve">ng by counsel reasonably </w:t>
      </w:r>
      <w:r>
        <w:rPr>
          <w:rFonts w:ascii="Arial" w:cs="Arial" w:eastAsia="Arial" w:hAnsi="Arial"/>
          <w:sz w:val="16"/>
          <w:szCs w:val="16"/>
          <w:color w:val="363636"/>
        </w:rPr>
        <w:t>satisfactory</w:t>
      </w:r>
      <w:r>
        <w:rPr>
          <w:rFonts w:ascii="Arial" w:cs="Arial" w:eastAsia="Arial" w:hAnsi="Arial"/>
          <w:sz w:val="16"/>
          <w:szCs w:val="16"/>
          <w:color w:val="262626"/>
        </w:rPr>
        <w:t xml:space="preserve"> to </w:t>
      </w:r>
      <w:r>
        <w:rPr>
          <w:rFonts w:ascii="Arial" w:cs="Arial" w:eastAsia="Arial" w:hAnsi="Arial"/>
          <w:sz w:val="16"/>
          <w:szCs w:val="16"/>
          <w:color w:val="363636"/>
        </w:rPr>
        <w:t>Landlord.</w:t>
      </w:r>
      <w:r>
        <w:rPr>
          <w:rFonts w:ascii="Arial" w:cs="Arial" w:eastAsia="Arial" w:hAnsi="Arial"/>
          <w:sz w:val="16"/>
          <w:szCs w:val="16"/>
          <w:color w:val="262626"/>
        </w:rPr>
        <w:t xml:space="preserve"> Tenant’s </w:t>
      </w:r>
      <w:r>
        <w:rPr>
          <w:rFonts w:ascii="Arial" w:cs="Arial" w:eastAsia="Arial" w:hAnsi="Arial"/>
          <w:sz w:val="16"/>
          <w:szCs w:val="16"/>
          <w:color w:val="363636"/>
        </w:rPr>
        <w:t>obligations</w:t>
      </w:r>
      <w:r>
        <w:rPr>
          <w:rFonts w:ascii="Arial" w:cs="Arial" w:eastAsia="Arial" w:hAnsi="Arial"/>
          <w:sz w:val="16"/>
          <w:szCs w:val="16"/>
          <w:color w:val="262626"/>
        </w:rPr>
        <w:t xml:space="preserve"> under this </w:t>
      </w:r>
      <w:r>
        <w:rPr>
          <w:rFonts w:ascii="Arial" w:cs="Arial" w:eastAsia="Arial" w:hAnsi="Arial"/>
          <w:sz w:val="16"/>
          <w:szCs w:val="16"/>
          <w:color w:val="363636"/>
        </w:rPr>
        <w:t>Section</w:t>
      </w:r>
      <w:r>
        <w:rPr>
          <w:rFonts w:ascii="Arial" w:cs="Arial" w:eastAsia="Arial" w:hAnsi="Arial"/>
          <w:sz w:val="16"/>
          <w:szCs w:val="16"/>
          <w:color w:val="262626"/>
        </w:rPr>
        <w:t xml:space="preserve"> 12.2 </w:t>
      </w:r>
      <w:r>
        <w:rPr>
          <w:rFonts w:ascii="Arial" w:cs="Arial" w:eastAsia="Arial" w:hAnsi="Arial"/>
          <w:sz w:val="16"/>
          <w:szCs w:val="16"/>
          <w:color w:val="363636"/>
        </w:rPr>
        <w:t>shall</w:t>
      </w:r>
      <w:r>
        <w:rPr>
          <w:rFonts w:ascii="Arial" w:cs="Arial" w:eastAsia="Arial" w:hAnsi="Arial"/>
          <w:sz w:val="16"/>
          <w:szCs w:val="16"/>
          <w:color w:val="262626"/>
        </w:rPr>
        <w:t xml:space="preserve"> not be construed as in any way restricting, limiting, or modifying Tenant’s insurance or other obligations under this Lease. Further, Tenant’s compliance with the insurance requirements and other obligations of this Lease </w:t>
      </w:r>
      <w:r>
        <w:rPr>
          <w:rFonts w:ascii="Arial" w:cs="Arial" w:eastAsia="Arial" w:hAnsi="Arial"/>
          <w:sz w:val="16"/>
          <w:szCs w:val="16"/>
          <w:color w:val="494949"/>
        </w:rPr>
        <w:t>s</w:t>
      </w:r>
      <w:r>
        <w:rPr>
          <w:rFonts w:ascii="Arial" w:cs="Arial" w:eastAsia="Arial" w:hAnsi="Arial"/>
          <w:sz w:val="16"/>
          <w:szCs w:val="16"/>
          <w:color w:val="262626"/>
        </w:rPr>
        <w:t xml:space="preserve">hall not in any way restrict, limit </w:t>
      </w:r>
      <w:r>
        <w:rPr>
          <w:rFonts w:ascii="Arial" w:cs="Arial" w:eastAsia="Arial" w:hAnsi="Arial"/>
          <w:sz w:val="16"/>
          <w:szCs w:val="16"/>
          <w:color w:val="363636"/>
        </w:rPr>
        <w:t>or</w:t>
      </w:r>
      <w:r>
        <w:rPr>
          <w:rFonts w:ascii="Arial" w:cs="Arial" w:eastAsia="Arial" w:hAnsi="Arial"/>
          <w:sz w:val="16"/>
          <w:szCs w:val="16"/>
          <w:color w:val="262626"/>
        </w:rPr>
        <w:t xml:space="preserve"> modify Tenant’s obligations under this Section 12.2. </w:t>
      </w:r>
      <w:r>
        <w:rPr>
          <w:rFonts w:ascii="Arial" w:cs="Arial" w:eastAsia="Arial" w:hAnsi="Arial"/>
          <w:sz w:val="16"/>
          <w:szCs w:val="16"/>
          <w:color w:val="494949"/>
        </w:rPr>
        <w:t>Te</w:t>
      </w:r>
      <w:r>
        <w:rPr>
          <w:rFonts w:ascii="Arial" w:cs="Arial" w:eastAsia="Arial" w:hAnsi="Arial"/>
          <w:sz w:val="16"/>
          <w:szCs w:val="16"/>
          <w:color w:val="262626"/>
        </w:rPr>
        <w:t>nant’s duty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24</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152" w:name="page153"/>
    <w:bookmarkEnd w:id="152"/>
    <w:p>
      <w:pPr>
        <w:ind w:right="40"/>
        <w:spacing w:after="0" w:line="273" w:lineRule="auto"/>
        <w:rPr>
          <w:sz w:val="20"/>
          <w:szCs w:val="20"/>
          <w:color w:val="auto"/>
        </w:rPr>
      </w:pPr>
      <w:r>
        <w:rPr>
          <w:rFonts w:ascii="Arial" w:cs="Arial" w:eastAsia="Arial" w:hAnsi="Arial"/>
          <w:sz w:val="18"/>
          <w:szCs w:val="18"/>
          <w:color w:val="262626"/>
        </w:rPr>
        <w:t xml:space="preserve">defend </w:t>
      </w:r>
      <w:r>
        <w:rPr>
          <w:rFonts w:ascii="Arial" w:cs="Arial" w:eastAsia="Arial" w:hAnsi="Arial"/>
          <w:sz w:val="18"/>
          <w:szCs w:val="18"/>
          <w:color w:val="363636"/>
        </w:rPr>
        <w:t>Landlord and the</w:t>
      </w:r>
      <w:r>
        <w:rPr>
          <w:rFonts w:ascii="Arial" w:cs="Arial" w:eastAsia="Arial" w:hAnsi="Arial"/>
          <w:sz w:val="18"/>
          <w:szCs w:val="18"/>
          <w:color w:val="262626"/>
        </w:rPr>
        <w:t xml:space="preserve"> other Indemnitees is </w:t>
      </w:r>
      <w:r>
        <w:rPr>
          <w:rFonts w:ascii="Arial" w:cs="Arial" w:eastAsia="Arial" w:hAnsi="Arial"/>
          <w:sz w:val="18"/>
          <w:szCs w:val="18"/>
          <w:color w:val="363636"/>
        </w:rPr>
        <w:t>separate</w:t>
      </w:r>
      <w:r>
        <w:rPr>
          <w:rFonts w:ascii="Arial" w:cs="Arial" w:eastAsia="Arial" w:hAnsi="Arial"/>
          <w:sz w:val="18"/>
          <w:szCs w:val="18"/>
          <w:color w:val="262626"/>
        </w:rPr>
        <w:t xml:space="preserve"> and independent of Tenant’s duty to indemnify the Indemnitees. The duty to defend includes Claims for </w:t>
      </w:r>
      <w:r>
        <w:rPr>
          <w:rFonts w:ascii="Arial" w:cs="Arial" w:eastAsia="Arial" w:hAnsi="Arial"/>
          <w:sz w:val="18"/>
          <w:szCs w:val="18"/>
          <w:color w:val="363636"/>
        </w:rPr>
        <w:t>which</w:t>
      </w:r>
      <w:r>
        <w:rPr>
          <w:rFonts w:ascii="Arial" w:cs="Arial" w:eastAsia="Arial" w:hAnsi="Arial"/>
          <w:sz w:val="18"/>
          <w:szCs w:val="18"/>
          <w:color w:val="262626"/>
        </w:rPr>
        <w:t xml:space="preserve"> the Indemnitees may be liable without fault </w:t>
      </w:r>
      <w:r>
        <w:rPr>
          <w:rFonts w:ascii="Arial" w:cs="Arial" w:eastAsia="Arial" w:hAnsi="Arial"/>
          <w:sz w:val="18"/>
          <w:szCs w:val="18"/>
          <w:color w:val="363636"/>
        </w:rPr>
        <w:t>or strictly</w:t>
      </w:r>
      <w:r>
        <w:rPr>
          <w:rFonts w:ascii="Arial" w:cs="Arial" w:eastAsia="Arial" w:hAnsi="Arial"/>
          <w:sz w:val="18"/>
          <w:szCs w:val="18"/>
          <w:color w:val="262626"/>
        </w:rPr>
        <w:t xml:space="preserve"> liable. The duty to defend applies regardless </w:t>
      </w:r>
      <w:r>
        <w:rPr>
          <w:rFonts w:ascii="Arial" w:cs="Arial" w:eastAsia="Arial" w:hAnsi="Arial"/>
          <w:sz w:val="18"/>
          <w:szCs w:val="18"/>
          <w:color w:val="494949"/>
        </w:rPr>
        <w:t>of</w:t>
      </w:r>
      <w:r>
        <w:rPr>
          <w:rFonts w:ascii="Arial" w:cs="Arial" w:eastAsia="Arial" w:hAnsi="Arial"/>
          <w:sz w:val="18"/>
          <w:szCs w:val="18"/>
          <w:color w:val="262626"/>
        </w:rPr>
        <w:t xml:space="preserve"> </w:t>
      </w:r>
      <w:r>
        <w:rPr>
          <w:rFonts w:ascii="Arial" w:cs="Arial" w:eastAsia="Arial" w:hAnsi="Arial"/>
          <w:sz w:val="18"/>
          <w:szCs w:val="18"/>
          <w:color w:val="363636"/>
        </w:rPr>
        <w:t>whether</w:t>
      </w:r>
      <w:r>
        <w:rPr>
          <w:rFonts w:ascii="Arial" w:cs="Arial" w:eastAsia="Arial" w:hAnsi="Arial"/>
          <w:sz w:val="18"/>
          <w:szCs w:val="18"/>
          <w:color w:val="262626"/>
        </w:rPr>
        <w:t xml:space="preserve"> </w:t>
      </w:r>
      <w:r>
        <w:rPr>
          <w:rFonts w:ascii="Arial" w:cs="Arial" w:eastAsia="Arial" w:hAnsi="Arial"/>
          <w:sz w:val="18"/>
          <w:szCs w:val="18"/>
          <w:color w:val="494949"/>
        </w:rPr>
        <w:t>t</w:t>
      </w:r>
      <w:r>
        <w:rPr>
          <w:rFonts w:ascii="Arial" w:cs="Arial" w:eastAsia="Arial" w:hAnsi="Arial"/>
          <w:sz w:val="18"/>
          <w:szCs w:val="18"/>
          <w:color w:val="262626"/>
        </w:rPr>
        <w:t>he i</w:t>
      </w:r>
      <w:r>
        <w:rPr>
          <w:rFonts w:ascii="Arial" w:cs="Arial" w:eastAsia="Arial" w:hAnsi="Arial"/>
          <w:sz w:val="18"/>
          <w:szCs w:val="18"/>
          <w:color w:val="494949"/>
        </w:rPr>
        <w:t>ss</w:t>
      </w:r>
      <w:r>
        <w:rPr>
          <w:rFonts w:ascii="Arial" w:cs="Arial" w:eastAsia="Arial" w:hAnsi="Arial"/>
          <w:sz w:val="18"/>
          <w:szCs w:val="18"/>
          <w:color w:val="262626"/>
        </w:rPr>
        <w:t xml:space="preserve">ues </w:t>
      </w:r>
      <w:r>
        <w:rPr>
          <w:rFonts w:ascii="Arial" w:cs="Arial" w:eastAsia="Arial" w:hAnsi="Arial"/>
          <w:sz w:val="18"/>
          <w:szCs w:val="18"/>
          <w:color w:val="363636"/>
        </w:rPr>
        <w:t>of</w:t>
      </w:r>
      <w:r>
        <w:rPr>
          <w:rFonts w:ascii="Arial" w:cs="Arial" w:eastAsia="Arial" w:hAnsi="Arial"/>
          <w:sz w:val="18"/>
          <w:szCs w:val="18"/>
          <w:color w:val="262626"/>
        </w:rPr>
        <w:t xml:space="preserve"> negligence, </w:t>
      </w:r>
      <w:r>
        <w:rPr>
          <w:rFonts w:ascii="Arial" w:cs="Arial" w:eastAsia="Arial" w:hAnsi="Arial"/>
          <w:sz w:val="18"/>
          <w:szCs w:val="18"/>
          <w:color w:val="363636"/>
        </w:rPr>
        <w:t>liability, fault,</w:t>
      </w:r>
      <w:r>
        <w:rPr>
          <w:rFonts w:ascii="Arial" w:cs="Arial" w:eastAsia="Arial" w:hAnsi="Arial"/>
          <w:sz w:val="18"/>
          <w:szCs w:val="18"/>
          <w:color w:val="262626"/>
        </w:rPr>
        <w:t xml:space="preserve"> Default, or other obligation on the part of </w:t>
      </w:r>
      <w:r>
        <w:rPr>
          <w:rFonts w:ascii="Arial" w:cs="Arial" w:eastAsia="Arial" w:hAnsi="Arial"/>
          <w:sz w:val="18"/>
          <w:szCs w:val="18"/>
          <w:color w:val="494949"/>
        </w:rPr>
        <w:t>Tena</w:t>
      </w:r>
      <w:r>
        <w:rPr>
          <w:rFonts w:ascii="Arial" w:cs="Arial" w:eastAsia="Arial" w:hAnsi="Arial"/>
          <w:sz w:val="18"/>
          <w:szCs w:val="18"/>
          <w:color w:val="262626"/>
        </w:rPr>
        <w:t>nt</w:t>
      </w:r>
      <w:r>
        <w:rPr>
          <w:rFonts w:ascii="Arial" w:cs="Arial" w:eastAsia="Arial" w:hAnsi="Arial"/>
          <w:sz w:val="18"/>
          <w:szCs w:val="18"/>
          <w:color w:val="5B5B5B"/>
        </w:rPr>
        <w:t>,</w:t>
      </w:r>
      <w:r>
        <w:rPr>
          <w:rFonts w:ascii="Arial" w:cs="Arial" w:eastAsia="Arial" w:hAnsi="Arial"/>
          <w:sz w:val="18"/>
          <w:szCs w:val="18"/>
          <w:color w:val="262626"/>
        </w:rPr>
        <w:t xml:space="preserve"> its </w:t>
      </w:r>
      <w:r>
        <w:rPr>
          <w:rFonts w:ascii="Arial" w:cs="Arial" w:eastAsia="Arial" w:hAnsi="Arial"/>
          <w:sz w:val="18"/>
          <w:szCs w:val="18"/>
          <w:color w:val="363636"/>
        </w:rPr>
        <w:t>agents, servants, contractors, employees,</w:t>
      </w:r>
      <w:r>
        <w:rPr>
          <w:rFonts w:ascii="Arial" w:cs="Arial" w:eastAsia="Arial" w:hAnsi="Arial"/>
          <w:sz w:val="18"/>
          <w:szCs w:val="18"/>
          <w:color w:val="262626"/>
        </w:rPr>
        <w:t xml:space="preserve"> invitees or licensees have been determined. </w:t>
      </w:r>
      <w:r>
        <w:rPr>
          <w:rFonts w:ascii="Arial" w:cs="Arial" w:eastAsia="Arial" w:hAnsi="Arial"/>
          <w:sz w:val="18"/>
          <w:szCs w:val="18"/>
          <w:color w:val="494949"/>
        </w:rPr>
        <w:t>The</w:t>
      </w:r>
      <w:r>
        <w:rPr>
          <w:rFonts w:ascii="Arial" w:cs="Arial" w:eastAsia="Arial" w:hAnsi="Arial"/>
          <w:sz w:val="18"/>
          <w:szCs w:val="18"/>
          <w:color w:val="262626"/>
        </w:rPr>
        <w:t xml:space="preserve"> dut</w:t>
      </w:r>
      <w:r>
        <w:rPr>
          <w:rFonts w:ascii="Arial" w:cs="Arial" w:eastAsia="Arial" w:hAnsi="Arial"/>
          <w:sz w:val="18"/>
          <w:szCs w:val="18"/>
          <w:color w:val="494949"/>
        </w:rPr>
        <w:t>y</w:t>
      </w:r>
      <w:r>
        <w:rPr>
          <w:rFonts w:ascii="Arial" w:cs="Arial" w:eastAsia="Arial" w:hAnsi="Arial"/>
          <w:sz w:val="18"/>
          <w:szCs w:val="18"/>
          <w:color w:val="262626"/>
        </w:rPr>
        <w:t xml:space="preserve"> </w:t>
      </w:r>
      <w:r>
        <w:rPr>
          <w:rFonts w:ascii="Arial" w:cs="Arial" w:eastAsia="Arial" w:hAnsi="Arial"/>
          <w:sz w:val="18"/>
          <w:szCs w:val="18"/>
          <w:color w:val="363636"/>
        </w:rPr>
        <w:t>to defend applies</w:t>
      </w:r>
      <w:r>
        <w:rPr>
          <w:rFonts w:ascii="Arial" w:cs="Arial" w:eastAsia="Arial" w:hAnsi="Arial"/>
          <w:sz w:val="18"/>
          <w:szCs w:val="18"/>
          <w:color w:val="262626"/>
        </w:rPr>
        <w:t xml:space="preserve"> immediately, </w:t>
      </w:r>
      <w:r>
        <w:rPr>
          <w:rFonts w:ascii="Arial" w:cs="Arial" w:eastAsia="Arial" w:hAnsi="Arial"/>
          <w:sz w:val="18"/>
          <w:szCs w:val="18"/>
          <w:color w:val="363636"/>
        </w:rPr>
        <w:t>regardless</w:t>
      </w:r>
      <w:r>
        <w:rPr>
          <w:rFonts w:ascii="Arial" w:cs="Arial" w:eastAsia="Arial" w:hAnsi="Arial"/>
          <w:sz w:val="18"/>
          <w:szCs w:val="18"/>
          <w:color w:val="262626"/>
        </w:rPr>
        <w:t xml:space="preserve"> of whether </w:t>
      </w:r>
      <w:r>
        <w:rPr>
          <w:rFonts w:ascii="Arial" w:cs="Arial" w:eastAsia="Arial" w:hAnsi="Arial"/>
          <w:sz w:val="18"/>
          <w:szCs w:val="18"/>
          <w:color w:val="363636"/>
        </w:rPr>
        <w:t>the I</w:t>
      </w:r>
      <w:r>
        <w:rPr>
          <w:rFonts w:ascii="Arial" w:cs="Arial" w:eastAsia="Arial" w:hAnsi="Arial"/>
          <w:sz w:val="18"/>
          <w:szCs w:val="18"/>
          <w:color w:val="262626"/>
        </w:rPr>
        <w:t xml:space="preserve">ndemnitees have paid any </w:t>
      </w:r>
      <w:r>
        <w:rPr>
          <w:rFonts w:ascii="Arial" w:cs="Arial" w:eastAsia="Arial" w:hAnsi="Arial"/>
          <w:sz w:val="18"/>
          <w:szCs w:val="18"/>
          <w:color w:val="363636"/>
        </w:rPr>
        <w:t>sums or incurred</w:t>
      </w:r>
      <w:r>
        <w:rPr>
          <w:rFonts w:ascii="Arial" w:cs="Arial" w:eastAsia="Arial" w:hAnsi="Arial"/>
          <w:sz w:val="18"/>
          <w:szCs w:val="18"/>
          <w:color w:val="262626"/>
        </w:rPr>
        <w:t xml:space="preserve"> </w:t>
      </w:r>
      <w:r>
        <w:rPr>
          <w:rFonts w:ascii="Arial" w:cs="Arial" w:eastAsia="Arial" w:hAnsi="Arial"/>
          <w:sz w:val="18"/>
          <w:szCs w:val="18"/>
          <w:color w:val="363636"/>
        </w:rPr>
        <w:t xml:space="preserve">any detriment arising out of or </w:t>
      </w:r>
      <w:r>
        <w:rPr>
          <w:rFonts w:ascii="Arial" w:cs="Arial" w:eastAsia="Arial" w:hAnsi="Arial"/>
          <w:sz w:val="18"/>
          <w:szCs w:val="18"/>
          <w:color w:val="262626"/>
        </w:rPr>
        <w:t>relating (dir</w:t>
      </w:r>
      <w:r>
        <w:rPr>
          <w:rFonts w:ascii="Arial" w:cs="Arial" w:eastAsia="Arial" w:hAnsi="Arial"/>
          <w:sz w:val="18"/>
          <w:szCs w:val="18"/>
          <w:color w:val="363636"/>
        </w:rPr>
        <w:t xml:space="preserve"> </w:t>
      </w:r>
      <w:r>
        <w:rPr>
          <w:rFonts w:ascii="Arial" w:cs="Arial" w:eastAsia="Arial" w:hAnsi="Arial"/>
          <w:sz w:val="18"/>
          <w:szCs w:val="18"/>
          <w:color w:val="494949"/>
        </w:rPr>
        <w:t>ect</w:t>
      </w:r>
      <w:r>
        <w:rPr>
          <w:rFonts w:ascii="Arial" w:cs="Arial" w:eastAsia="Arial" w:hAnsi="Arial"/>
          <w:sz w:val="18"/>
          <w:szCs w:val="18"/>
          <w:color w:val="262626"/>
        </w:rPr>
        <w:t>ly</w:t>
      </w:r>
      <w:r>
        <w:rPr>
          <w:rFonts w:ascii="Arial" w:cs="Arial" w:eastAsia="Arial" w:hAnsi="Arial"/>
          <w:sz w:val="18"/>
          <w:szCs w:val="18"/>
          <w:color w:val="363636"/>
        </w:rPr>
        <w:t xml:space="preserve"> or indirectly) </w:t>
      </w:r>
      <w:r>
        <w:rPr>
          <w:rFonts w:ascii="Arial" w:cs="Arial" w:eastAsia="Arial" w:hAnsi="Arial"/>
          <w:sz w:val="18"/>
          <w:szCs w:val="18"/>
          <w:color w:val="262626"/>
        </w:rPr>
        <w:t>to any Claims. It</w:t>
      </w:r>
      <w:r>
        <w:rPr>
          <w:rFonts w:ascii="Arial" w:cs="Arial" w:eastAsia="Arial" w:hAnsi="Arial"/>
          <w:sz w:val="18"/>
          <w:szCs w:val="18"/>
          <w:color w:val="363636"/>
        </w:rPr>
        <w:t xml:space="preserve"> is the express intention of the </w:t>
      </w:r>
      <w:r>
        <w:rPr>
          <w:rFonts w:ascii="Arial" w:cs="Arial" w:eastAsia="Arial" w:hAnsi="Arial"/>
          <w:sz w:val="18"/>
          <w:szCs w:val="18"/>
          <w:color w:val="262626"/>
        </w:rPr>
        <w:t>parties</w:t>
      </w:r>
      <w:r>
        <w:rPr>
          <w:rFonts w:ascii="Arial" w:cs="Arial" w:eastAsia="Arial" w:hAnsi="Arial"/>
          <w:sz w:val="18"/>
          <w:szCs w:val="18"/>
          <w:color w:val="363636"/>
        </w:rPr>
        <w:t xml:space="preserve"> that the </w:t>
      </w:r>
      <w:r>
        <w:rPr>
          <w:rFonts w:ascii="Arial" w:cs="Arial" w:eastAsia="Arial" w:hAnsi="Arial"/>
          <w:sz w:val="18"/>
          <w:szCs w:val="18"/>
          <w:color w:val="262626"/>
        </w:rPr>
        <w:t>Indemnitees be</w:t>
      </w:r>
      <w:r>
        <w:rPr>
          <w:rFonts w:ascii="Arial" w:cs="Arial" w:eastAsia="Arial" w:hAnsi="Arial"/>
          <w:sz w:val="18"/>
          <w:szCs w:val="18"/>
          <w:color w:val="363636"/>
        </w:rPr>
        <w:t xml:space="preserve"> </w:t>
      </w:r>
      <w:r>
        <w:rPr>
          <w:rFonts w:ascii="Arial" w:cs="Arial" w:eastAsia="Arial" w:hAnsi="Arial"/>
          <w:sz w:val="18"/>
          <w:szCs w:val="18"/>
          <w:color w:val="262626"/>
        </w:rPr>
        <w:t xml:space="preserve">entitled to obtain </w:t>
      </w:r>
      <w:r>
        <w:rPr>
          <w:rFonts w:ascii="Arial" w:cs="Arial" w:eastAsia="Arial" w:hAnsi="Arial"/>
          <w:sz w:val="18"/>
          <w:szCs w:val="18"/>
          <w:color w:val="363636"/>
        </w:rPr>
        <w:t>summary</w:t>
      </w:r>
      <w:r>
        <w:rPr>
          <w:rFonts w:ascii="Arial" w:cs="Arial" w:eastAsia="Arial" w:hAnsi="Arial"/>
          <w:sz w:val="18"/>
          <w:szCs w:val="18"/>
          <w:color w:val="262626"/>
        </w:rPr>
        <w:t xml:space="preserve"> adjudication or summary judgment regarding Tenant’s duty to defend the Indemnitees at any stage of any claim </w:t>
      </w:r>
      <w:r>
        <w:rPr>
          <w:rFonts w:ascii="Arial" w:cs="Arial" w:eastAsia="Arial" w:hAnsi="Arial"/>
          <w:sz w:val="18"/>
          <w:szCs w:val="18"/>
          <w:color w:val="363636"/>
        </w:rPr>
        <w:t>or</w:t>
      </w:r>
      <w:r>
        <w:rPr>
          <w:rFonts w:ascii="Arial" w:cs="Arial" w:eastAsia="Arial" w:hAnsi="Arial"/>
          <w:sz w:val="18"/>
          <w:szCs w:val="18"/>
          <w:color w:val="262626"/>
        </w:rPr>
        <w:t xml:space="preserve"> </w:t>
      </w:r>
      <w:r>
        <w:rPr>
          <w:rFonts w:ascii="Arial" w:cs="Arial" w:eastAsia="Arial" w:hAnsi="Arial"/>
          <w:sz w:val="18"/>
          <w:szCs w:val="18"/>
          <w:color w:val="494949"/>
        </w:rPr>
        <w:t>s</w:t>
      </w:r>
      <w:r>
        <w:rPr>
          <w:rFonts w:ascii="Arial" w:cs="Arial" w:eastAsia="Arial" w:hAnsi="Arial"/>
          <w:sz w:val="18"/>
          <w:szCs w:val="18"/>
          <w:color w:val="262626"/>
        </w:rPr>
        <w:t>uit within the scope</w:t>
      </w:r>
      <w:r>
        <w:rPr>
          <w:rFonts w:ascii="Arial" w:cs="Arial" w:eastAsia="Arial" w:hAnsi="Arial"/>
          <w:sz w:val="18"/>
          <w:szCs w:val="18"/>
          <w:color w:val="494949"/>
        </w:rPr>
        <w:t xml:space="preserve"> </w:t>
      </w:r>
      <w:r>
        <w:rPr>
          <w:rFonts w:ascii="Arial" w:cs="Arial" w:eastAsia="Arial" w:hAnsi="Arial"/>
          <w:sz w:val="18"/>
          <w:szCs w:val="18"/>
          <w:color w:val="363636"/>
        </w:rPr>
        <w:t>of this</w:t>
      </w:r>
      <w:r>
        <w:rPr>
          <w:rFonts w:ascii="Arial" w:cs="Arial" w:eastAsia="Arial" w:hAnsi="Arial"/>
          <w:sz w:val="18"/>
          <w:szCs w:val="18"/>
          <w:color w:val="494949"/>
        </w:rPr>
        <w:t xml:space="preserve"> </w:t>
      </w:r>
      <w:r>
        <w:rPr>
          <w:rFonts w:ascii="Arial" w:cs="Arial" w:eastAsia="Arial" w:hAnsi="Arial"/>
          <w:sz w:val="18"/>
          <w:szCs w:val="18"/>
          <w:color w:val="262626"/>
        </w:rPr>
        <w:t>Section. The provisions of this</w:t>
      </w:r>
      <w:r>
        <w:rPr>
          <w:rFonts w:ascii="Arial" w:cs="Arial" w:eastAsia="Arial" w:hAnsi="Arial"/>
          <w:sz w:val="18"/>
          <w:szCs w:val="18"/>
          <w:color w:val="494949"/>
        </w:rPr>
        <w:t xml:space="preserve"> </w:t>
      </w:r>
      <w:r>
        <w:rPr>
          <w:rFonts w:ascii="Arial" w:cs="Arial" w:eastAsia="Arial" w:hAnsi="Arial"/>
          <w:sz w:val="18"/>
          <w:szCs w:val="18"/>
          <w:color w:val="363636"/>
        </w:rPr>
        <w:t>Section</w:t>
      </w:r>
      <w:r>
        <w:rPr>
          <w:rFonts w:ascii="Arial" w:cs="Arial" w:eastAsia="Arial" w:hAnsi="Arial"/>
          <w:sz w:val="18"/>
          <w:szCs w:val="18"/>
          <w:color w:val="494949"/>
        </w:rPr>
        <w:t xml:space="preserve"> </w:t>
      </w:r>
      <w:r>
        <w:rPr>
          <w:rFonts w:ascii="Arial" w:cs="Arial" w:eastAsia="Arial" w:hAnsi="Arial"/>
          <w:sz w:val="18"/>
          <w:szCs w:val="18"/>
          <w:color w:val="262626"/>
        </w:rPr>
        <w:t>12.2 shall survive the</w:t>
      </w:r>
      <w:r>
        <w:rPr>
          <w:rFonts w:ascii="Arial" w:cs="Arial" w:eastAsia="Arial" w:hAnsi="Arial"/>
          <w:sz w:val="18"/>
          <w:szCs w:val="18"/>
          <w:color w:val="494949"/>
        </w:rPr>
        <w:t xml:space="preserve"> </w:t>
      </w:r>
      <w:r>
        <w:rPr>
          <w:rFonts w:ascii="Arial" w:cs="Arial" w:eastAsia="Arial" w:hAnsi="Arial"/>
          <w:sz w:val="18"/>
          <w:szCs w:val="18"/>
          <w:color w:val="363636"/>
        </w:rPr>
        <w:t>expiration</w:t>
      </w:r>
      <w:r>
        <w:rPr>
          <w:rFonts w:ascii="Arial" w:cs="Arial" w:eastAsia="Arial" w:hAnsi="Arial"/>
          <w:sz w:val="18"/>
          <w:szCs w:val="18"/>
          <w:color w:val="494949"/>
        </w:rPr>
        <w:t xml:space="preserve"> </w:t>
      </w:r>
      <w:r>
        <w:rPr>
          <w:rFonts w:ascii="Arial" w:cs="Arial" w:eastAsia="Arial" w:hAnsi="Arial"/>
          <w:sz w:val="18"/>
          <w:szCs w:val="18"/>
          <w:color w:val="262626"/>
        </w:rPr>
        <w:t>or earlier</w:t>
      </w:r>
      <w:r>
        <w:rPr>
          <w:rFonts w:ascii="Arial" w:cs="Arial" w:eastAsia="Arial" w:hAnsi="Arial"/>
          <w:sz w:val="18"/>
          <w:szCs w:val="18"/>
          <w:color w:val="494949"/>
        </w:rPr>
        <w:t xml:space="preserve"> </w:t>
      </w:r>
      <w:r>
        <w:rPr>
          <w:rFonts w:ascii="Arial" w:cs="Arial" w:eastAsia="Arial" w:hAnsi="Arial"/>
          <w:sz w:val="18"/>
          <w:szCs w:val="18"/>
          <w:color w:val="363636"/>
        </w:rPr>
        <w:t>termination of this</w:t>
      </w:r>
      <w:r>
        <w:rPr>
          <w:rFonts w:ascii="Arial" w:cs="Arial" w:eastAsia="Arial" w:hAnsi="Arial"/>
          <w:sz w:val="18"/>
          <w:szCs w:val="18"/>
          <w:color w:val="494949"/>
        </w:rPr>
        <w:t xml:space="preserve"> </w:t>
      </w:r>
      <w:r>
        <w:rPr>
          <w:rFonts w:ascii="Arial" w:cs="Arial" w:eastAsia="Arial" w:hAnsi="Arial"/>
          <w:sz w:val="18"/>
          <w:szCs w:val="18"/>
          <w:color w:val="262626"/>
        </w:rPr>
        <w:t>Lease</w:t>
      </w:r>
      <w:r>
        <w:rPr>
          <w:rFonts w:ascii="Arial" w:cs="Arial" w:eastAsia="Arial" w:hAnsi="Arial"/>
          <w:sz w:val="18"/>
          <w:szCs w:val="18"/>
          <w:color w:val="494949"/>
        </w:rPr>
        <w:t xml:space="preserve"> </w:t>
      </w:r>
      <w:r>
        <w:rPr>
          <w:rFonts w:ascii="Arial" w:cs="Arial" w:eastAsia="Arial" w:hAnsi="Arial"/>
          <w:sz w:val="18"/>
          <w:szCs w:val="18"/>
          <w:color w:val="363636"/>
        </w:rPr>
        <w:t>with</w:t>
      </w:r>
      <w:r>
        <w:rPr>
          <w:rFonts w:ascii="Arial" w:cs="Arial" w:eastAsia="Arial" w:hAnsi="Arial"/>
          <w:sz w:val="18"/>
          <w:szCs w:val="18"/>
          <w:color w:val="494949"/>
        </w:rPr>
        <w:t xml:space="preserve"> </w:t>
      </w:r>
      <w:r>
        <w:rPr>
          <w:rFonts w:ascii="Arial" w:cs="Arial" w:eastAsia="Arial" w:hAnsi="Arial"/>
          <w:sz w:val="18"/>
          <w:szCs w:val="18"/>
          <w:color w:val="363636"/>
        </w:rPr>
        <w:t xml:space="preserve">respect </w:t>
      </w:r>
      <w:r>
        <w:rPr>
          <w:rFonts w:ascii="Arial" w:cs="Arial" w:eastAsia="Arial" w:hAnsi="Arial"/>
          <w:sz w:val="18"/>
          <w:szCs w:val="18"/>
          <w:color w:val="262626"/>
        </w:rPr>
        <w:t>to</w:t>
      </w:r>
      <w:r>
        <w:rPr>
          <w:rFonts w:ascii="Arial" w:cs="Arial" w:eastAsia="Arial" w:hAnsi="Arial"/>
          <w:sz w:val="18"/>
          <w:szCs w:val="18"/>
          <w:color w:val="363636"/>
        </w:rPr>
        <w:t xml:space="preserve"> any Claims </w:t>
      </w:r>
      <w:r>
        <w:rPr>
          <w:rFonts w:ascii="Arial" w:cs="Arial" w:eastAsia="Arial" w:hAnsi="Arial"/>
          <w:sz w:val="18"/>
          <w:szCs w:val="18"/>
          <w:color w:val="262626"/>
        </w:rPr>
        <w:t>or liability occurring or arising prior to the expiration or earlier termination.</w:t>
      </w:r>
    </w:p>
    <w:p>
      <w:pPr>
        <w:spacing w:after="0" w:line="14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12.3</w:t>
      </w:r>
      <w:r>
        <w:rPr>
          <w:sz w:val="20"/>
          <w:szCs w:val="20"/>
          <w:color w:val="auto"/>
        </w:rPr>
        <w:tab/>
      </w:r>
      <w:r>
        <w:rPr>
          <w:rFonts w:ascii="Arial" w:cs="Arial" w:eastAsia="Arial" w:hAnsi="Arial"/>
          <w:sz w:val="19"/>
          <w:szCs w:val="19"/>
          <w:u w:val="single" w:color="auto"/>
          <w:color w:val="262626"/>
        </w:rPr>
        <w:t xml:space="preserve">Limitation </w:t>
      </w:r>
      <w:r>
        <w:rPr>
          <w:rFonts w:ascii="Arial" w:cs="Arial" w:eastAsia="Arial" w:hAnsi="Arial"/>
          <w:sz w:val="19"/>
          <w:szCs w:val="19"/>
          <w:color w:val="363636"/>
        </w:rPr>
        <w:t>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-14605</wp:posOffset>
            </wp:positionV>
            <wp:extent cx="5905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0550" cy="8890"/>
                    </a:xfrm>
                    <a:prstGeom prst="rect">
                      <a:avLst/>
                    </a:prstGeom>
                    <a:noFill/>
                  </pic:spPr>
                </pic:pic>
              </a:graphicData>
            </a:graphic>
          </wp:anchor>
        </w:drawing>
      </w:r>
    </w:p>
    <w:p>
      <w:pPr>
        <w:spacing w:after="0" w:line="182" w:lineRule="exact"/>
        <w:rPr>
          <w:sz w:val="20"/>
          <w:szCs w:val="20"/>
          <w:color w:val="auto"/>
        </w:rPr>
      </w:pPr>
    </w:p>
    <w:p>
      <w:pPr>
        <w:ind w:right="40" w:firstLine="877"/>
        <w:spacing w:after="0" w:line="254" w:lineRule="auto"/>
        <w:rPr>
          <w:sz w:val="20"/>
          <w:szCs w:val="20"/>
          <w:color w:val="auto"/>
        </w:rPr>
      </w:pPr>
      <w:r>
        <w:rPr>
          <w:rFonts w:ascii="Arial" w:cs="Arial" w:eastAsia="Arial" w:hAnsi="Arial"/>
          <w:sz w:val="19"/>
          <w:szCs w:val="19"/>
          <w:color w:val="262626"/>
        </w:rPr>
        <w:t xml:space="preserve">None of Landlord’s direct or indirect partners, shareholders, members, affiliates, or agents, nor the officers, directors, members and </w:t>
      </w:r>
      <w:r>
        <w:rPr>
          <w:rFonts w:ascii="Arial" w:cs="Arial" w:eastAsia="Arial" w:hAnsi="Arial"/>
          <w:sz w:val="19"/>
          <w:szCs w:val="19"/>
          <w:color w:val="363636"/>
        </w:rPr>
        <w:t xml:space="preserve">employees </w:t>
      </w:r>
      <w:r>
        <w:rPr>
          <w:rFonts w:ascii="Arial" w:cs="Arial" w:eastAsia="Arial" w:hAnsi="Arial"/>
          <w:sz w:val="19"/>
          <w:szCs w:val="19"/>
          <w:color w:val="262626"/>
        </w:rPr>
        <w:t>of Landlord or any such other person or entity (collectively called the “Landlord Parties”) shall be liable for the performance of</w:t>
      </w:r>
      <w:r>
        <w:rPr>
          <w:rFonts w:ascii="Arial" w:cs="Arial" w:eastAsia="Arial" w:hAnsi="Arial"/>
          <w:sz w:val="19"/>
          <w:szCs w:val="19"/>
          <w:color w:val="363636"/>
        </w:rPr>
        <w:t xml:space="preserve"> </w:t>
      </w:r>
      <w:r>
        <w:rPr>
          <w:rFonts w:ascii="Arial" w:cs="Arial" w:eastAsia="Arial" w:hAnsi="Arial"/>
          <w:sz w:val="19"/>
          <w:szCs w:val="19"/>
          <w:color w:val="262626"/>
        </w:rPr>
        <w:t xml:space="preserve">Landlord’s obligations under this Lease. Tenant shall look solely to Landlord to enforce Landlord’s obligations </w:t>
      </w:r>
      <w:r>
        <w:rPr>
          <w:rFonts w:ascii="Arial" w:cs="Arial" w:eastAsia="Arial" w:hAnsi="Arial"/>
          <w:sz w:val="19"/>
          <w:szCs w:val="19"/>
          <w:color w:val="282828"/>
        </w:rPr>
        <w:t>hereunder</w:t>
      </w:r>
      <w:r>
        <w:rPr>
          <w:rFonts w:ascii="Arial" w:cs="Arial" w:eastAsia="Arial" w:hAnsi="Arial"/>
          <w:sz w:val="19"/>
          <w:szCs w:val="19"/>
          <w:color w:val="262626"/>
        </w:rPr>
        <w:t xml:space="preserve"> and shall not seek any damages against any of the Landlord Parties. The liability of Landlord for Landlord’s obligations under this </w:t>
      </w:r>
      <w:r>
        <w:rPr>
          <w:rFonts w:ascii="Arial" w:cs="Arial" w:eastAsia="Arial" w:hAnsi="Arial"/>
          <w:sz w:val="19"/>
          <w:szCs w:val="19"/>
          <w:color w:val="363636"/>
        </w:rPr>
        <w:t>Lease</w:t>
      </w:r>
      <w:r>
        <w:rPr>
          <w:rFonts w:ascii="Arial" w:cs="Arial" w:eastAsia="Arial" w:hAnsi="Arial"/>
          <w:sz w:val="19"/>
          <w:szCs w:val="19"/>
          <w:color w:val="262626"/>
        </w:rPr>
        <w:t xml:space="preserve"> shall not exceed and shall be limited to Landlord’s interest in the Building and Tenant shall not look to the property or assets or </w:t>
      </w:r>
      <w:r>
        <w:rPr>
          <w:rFonts w:ascii="Arial" w:cs="Arial" w:eastAsia="Arial" w:hAnsi="Arial"/>
          <w:sz w:val="19"/>
          <w:szCs w:val="19"/>
          <w:color w:val="363636"/>
        </w:rPr>
        <w:t>any</w:t>
      </w:r>
      <w:r>
        <w:rPr>
          <w:rFonts w:ascii="Arial" w:cs="Arial" w:eastAsia="Arial" w:hAnsi="Arial"/>
          <w:sz w:val="19"/>
          <w:szCs w:val="19"/>
          <w:color w:val="262626"/>
        </w:rPr>
        <w:t xml:space="preserve"> of the Landlord Parties in seeking either to enforce Landlord’s obligations under </w:t>
      </w:r>
      <w:r>
        <w:rPr>
          <w:rFonts w:ascii="Arial" w:cs="Arial" w:eastAsia="Arial" w:hAnsi="Arial"/>
          <w:sz w:val="19"/>
          <w:szCs w:val="19"/>
          <w:color w:val="363636"/>
        </w:rPr>
        <w:t>this</w:t>
      </w:r>
      <w:r>
        <w:rPr>
          <w:rFonts w:ascii="Arial" w:cs="Arial" w:eastAsia="Arial" w:hAnsi="Arial"/>
          <w:sz w:val="19"/>
          <w:szCs w:val="19"/>
          <w:color w:val="262626"/>
        </w:rPr>
        <w:t xml:space="preserve"> Lea</w:t>
      </w:r>
      <w:r>
        <w:rPr>
          <w:rFonts w:ascii="Arial" w:cs="Arial" w:eastAsia="Arial" w:hAnsi="Arial"/>
          <w:sz w:val="19"/>
          <w:szCs w:val="19"/>
          <w:color w:val="494949"/>
        </w:rPr>
        <w:t>s</w:t>
      </w:r>
      <w:r>
        <w:rPr>
          <w:rFonts w:ascii="Arial" w:cs="Arial" w:eastAsia="Arial" w:hAnsi="Arial"/>
          <w:sz w:val="19"/>
          <w:szCs w:val="19"/>
          <w:color w:val="262626"/>
        </w:rPr>
        <w:t xml:space="preserve">e or to </w:t>
      </w:r>
      <w:r>
        <w:rPr>
          <w:rFonts w:ascii="Arial" w:cs="Arial" w:eastAsia="Arial" w:hAnsi="Arial"/>
          <w:sz w:val="19"/>
          <w:szCs w:val="19"/>
          <w:color w:val="494949"/>
        </w:rPr>
        <w:t>sat</w:t>
      </w:r>
      <w:r>
        <w:rPr>
          <w:rFonts w:ascii="Arial" w:cs="Arial" w:eastAsia="Arial" w:hAnsi="Arial"/>
          <w:sz w:val="19"/>
          <w:szCs w:val="19"/>
          <w:color w:val="262626"/>
        </w:rPr>
        <w:t>i</w:t>
      </w:r>
      <w:r>
        <w:rPr>
          <w:rFonts w:ascii="Arial" w:cs="Arial" w:eastAsia="Arial" w:hAnsi="Arial"/>
          <w:sz w:val="19"/>
          <w:szCs w:val="19"/>
          <w:color w:val="494949"/>
        </w:rPr>
        <w:t>sfy</w:t>
      </w:r>
      <w:r>
        <w:rPr>
          <w:rFonts w:ascii="Arial" w:cs="Arial" w:eastAsia="Arial" w:hAnsi="Arial"/>
          <w:sz w:val="19"/>
          <w:szCs w:val="19"/>
          <w:color w:val="262626"/>
        </w:rPr>
        <w:t xml:space="preserve"> </w:t>
      </w:r>
      <w:r>
        <w:rPr>
          <w:rFonts w:ascii="Arial" w:cs="Arial" w:eastAsia="Arial" w:hAnsi="Arial"/>
          <w:sz w:val="19"/>
          <w:szCs w:val="19"/>
          <w:color w:val="363636"/>
        </w:rPr>
        <w:t>a</w:t>
      </w:r>
      <w:r>
        <w:rPr>
          <w:rFonts w:ascii="Arial" w:cs="Arial" w:eastAsia="Arial" w:hAnsi="Arial"/>
          <w:sz w:val="19"/>
          <w:szCs w:val="19"/>
          <w:color w:val="262626"/>
        </w:rPr>
        <w:t xml:space="preserve"> jud</w:t>
      </w:r>
      <w:r>
        <w:rPr>
          <w:rFonts w:ascii="Arial" w:cs="Arial" w:eastAsia="Arial" w:hAnsi="Arial"/>
          <w:sz w:val="19"/>
          <w:szCs w:val="19"/>
          <w:color w:val="494949"/>
        </w:rPr>
        <w:t>g</w:t>
      </w:r>
      <w:r>
        <w:rPr>
          <w:rFonts w:ascii="Arial" w:cs="Arial" w:eastAsia="Arial" w:hAnsi="Arial"/>
          <w:sz w:val="19"/>
          <w:szCs w:val="19"/>
          <w:color w:val="262626"/>
        </w:rPr>
        <w:t xml:space="preserve">ment for </w:t>
      </w:r>
      <w:r>
        <w:rPr>
          <w:rFonts w:ascii="Arial" w:cs="Arial" w:eastAsia="Arial" w:hAnsi="Arial"/>
          <w:sz w:val="19"/>
          <w:szCs w:val="19"/>
          <w:color w:val="363636"/>
        </w:rPr>
        <w:t>Landlord’s failure</w:t>
      </w:r>
      <w:r>
        <w:rPr>
          <w:rFonts w:ascii="Arial" w:cs="Arial" w:eastAsia="Arial" w:hAnsi="Arial"/>
          <w:sz w:val="19"/>
          <w:szCs w:val="19"/>
          <w:color w:val="262626"/>
        </w:rPr>
        <w:t xml:space="preserve"> to </w:t>
      </w:r>
      <w:r>
        <w:rPr>
          <w:rFonts w:ascii="Arial" w:cs="Arial" w:eastAsia="Arial" w:hAnsi="Arial"/>
          <w:sz w:val="19"/>
          <w:szCs w:val="19"/>
          <w:color w:val="363636"/>
        </w:rPr>
        <w:t>perform</w:t>
      </w:r>
      <w:r>
        <w:rPr>
          <w:rFonts w:ascii="Arial" w:cs="Arial" w:eastAsia="Arial" w:hAnsi="Arial"/>
          <w:sz w:val="19"/>
          <w:szCs w:val="19"/>
          <w:color w:val="262626"/>
        </w:rPr>
        <w:t xml:space="preserve"> such obligations. </w:t>
      </w:r>
      <w:r>
        <w:rPr>
          <w:rFonts w:ascii="Arial" w:cs="Arial" w:eastAsia="Arial" w:hAnsi="Arial"/>
          <w:sz w:val="19"/>
          <w:szCs w:val="19"/>
          <w:color w:val="363636"/>
        </w:rPr>
        <w:t xml:space="preserve">Notwithstanding </w:t>
      </w:r>
      <w:r>
        <w:rPr>
          <w:rFonts w:ascii="Arial" w:cs="Arial" w:eastAsia="Arial" w:hAnsi="Arial"/>
          <w:sz w:val="19"/>
          <w:szCs w:val="19"/>
          <w:color w:val="262626"/>
        </w:rPr>
        <w:t>any</w:t>
      </w:r>
      <w:r>
        <w:rPr>
          <w:rFonts w:ascii="Arial" w:cs="Arial" w:eastAsia="Arial" w:hAnsi="Arial"/>
          <w:sz w:val="19"/>
          <w:szCs w:val="19"/>
          <w:color w:val="363636"/>
        </w:rPr>
        <w:t xml:space="preserve"> other </w:t>
      </w:r>
      <w:r>
        <w:rPr>
          <w:rFonts w:ascii="Arial" w:cs="Arial" w:eastAsia="Arial" w:hAnsi="Arial"/>
          <w:sz w:val="19"/>
          <w:szCs w:val="19"/>
          <w:color w:val="262626"/>
        </w:rPr>
        <w:t>provision of this</w:t>
      </w:r>
      <w:r>
        <w:rPr>
          <w:rFonts w:ascii="Arial" w:cs="Arial" w:eastAsia="Arial" w:hAnsi="Arial"/>
          <w:sz w:val="19"/>
          <w:szCs w:val="19"/>
          <w:color w:val="363636"/>
        </w:rPr>
        <w:t xml:space="preserve"> Lease, </w:t>
      </w:r>
      <w:r>
        <w:rPr>
          <w:rFonts w:ascii="Arial" w:cs="Arial" w:eastAsia="Arial" w:hAnsi="Arial"/>
          <w:sz w:val="19"/>
          <w:szCs w:val="19"/>
          <w:color w:val="262626"/>
        </w:rPr>
        <w:t>Landlord</w:t>
      </w:r>
      <w:r>
        <w:rPr>
          <w:rFonts w:ascii="Arial" w:cs="Arial" w:eastAsia="Arial" w:hAnsi="Arial"/>
          <w:sz w:val="19"/>
          <w:szCs w:val="19"/>
          <w:color w:val="363636"/>
        </w:rPr>
        <w:t xml:space="preserve"> shall </w:t>
      </w:r>
      <w:r>
        <w:rPr>
          <w:rFonts w:ascii="Arial" w:cs="Arial" w:eastAsia="Arial" w:hAnsi="Arial"/>
          <w:sz w:val="19"/>
          <w:szCs w:val="19"/>
          <w:color w:val="262626"/>
        </w:rPr>
        <w:t>not be liable for loss of</w:t>
      </w:r>
      <w:r>
        <w:rPr>
          <w:rFonts w:ascii="Arial" w:cs="Arial" w:eastAsia="Arial" w:hAnsi="Arial"/>
          <w:sz w:val="19"/>
          <w:szCs w:val="19"/>
          <w:color w:val="363636"/>
        </w:rPr>
        <w:t xml:space="preserve"> or </w:t>
      </w:r>
      <w:r>
        <w:rPr>
          <w:rFonts w:ascii="Arial" w:cs="Arial" w:eastAsia="Arial" w:hAnsi="Arial"/>
          <w:sz w:val="19"/>
          <w:szCs w:val="19"/>
          <w:color w:val="262626"/>
        </w:rPr>
        <w:t>damage</w:t>
      </w:r>
      <w:r>
        <w:rPr>
          <w:rFonts w:ascii="Arial" w:cs="Arial" w:eastAsia="Arial" w:hAnsi="Arial"/>
          <w:sz w:val="19"/>
          <w:szCs w:val="19"/>
          <w:color w:val="363636"/>
        </w:rPr>
        <w:t xml:space="preserve"> to artwork, currency, </w:t>
      </w:r>
      <w:r>
        <w:rPr>
          <w:rFonts w:ascii="Arial" w:cs="Arial" w:eastAsia="Arial" w:hAnsi="Arial"/>
          <w:sz w:val="19"/>
          <w:szCs w:val="19"/>
          <w:color w:val="262626"/>
        </w:rPr>
        <w:t>jewelry, bullion,</w:t>
      </w:r>
      <w:r>
        <w:rPr>
          <w:rFonts w:ascii="Arial" w:cs="Arial" w:eastAsia="Arial" w:hAnsi="Arial"/>
          <w:sz w:val="19"/>
          <w:szCs w:val="19"/>
          <w:color w:val="363636"/>
        </w:rPr>
        <w:t xml:space="preserve"> </w:t>
      </w:r>
      <w:r>
        <w:rPr>
          <w:rFonts w:ascii="Arial" w:cs="Arial" w:eastAsia="Arial" w:hAnsi="Arial"/>
          <w:sz w:val="19"/>
          <w:szCs w:val="19"/>
          <w:color w:val="262626"/>
        </w:rPr>
        <w:t xml:space="preserve">unique </w:t>
      </w:r>
      <w:r>
        <w:rPr>
          <w:rFonts w:ascii="Arial" w:cs="Arial" w:eastAsia="Arial" w:hAnsi="Arial"/>
          <w:sz w:val="19"/>
          <w:szCs w:val="19"/>
          <w:color w:val="363636"/>
        </w:rPr>
        <w:t>or valuable</w:t>
      </w:r>
      <w:r>
        <w:rPr>
          <w:rFonts w:ascii="Arial" w:cs="Arial" w:eastAsia="Arial" w:hAnsi="Arial"/>
          <w:sz w:val="19"/>
          <w:szCs w:val="19"/>
          <w:color w:val="262626"/>
        </w:rPr>
        <w:t xml:space="preserve"> document</w:t>
      </w:r>
      <w:r>
        <w:rPr>
          <w:rFonts w:ascii="Arial" w:cs="Arial" w:eastAsia="Arial" w:hAnsi="Arial"/>
          <w:sz w:val="19"/>
          <w:szCs w:val="19"/>
          <w:color w:val="494949"/>
        </w:rPr>
        <w:t>s,</w:t>
      </w:r>
      <w:r>
        <w:rPr>
          <w:rFonts w:ascii="Arial" w:cs="Arial" w:eastAsia="Arial" w:hAnsi="Arial"/>
          <w:sz w:val="19"/>
          <w:szCs w:val="19"/>
          <w:color w:val="262626"/>
        </w:rPr>
        <w:t xml:space="preserve"> securities </w:t>
      </w:r>
      <w:r>
        <w:rPr>
          <w:rFonts w:ascii="Arial" w:cs="Arial" w:eastAsia="Arial" w:hAnsi="Arial"/>
          <w:sz w:val="19"/>
          <w:szCs w:val="19"/>
          <w:color w:val="363636"/>
        </w:rPr>
        <w:t>or other valuables, or for</w:t>
      </w:r>
      <w:r>
        <w:rPr>
          <w:rFonts w:ascii="Arial" w:cs="Arial" w:eastAsia="Arial" w:hAnsi="Arial"/>
          <w:sz w:val="19"/>
          <w:szCs w:val="19"/>
          <w:color w:val="262626"/>
        </w:rPr>
        <w:t xml:space="preserve"> other property not in the </w:t>
      </w:r>
      <w:r>
        <w:rPr>
          <w:rFonts w:ascii="Arial" w:cs="Arial" w:eastAsia="Arial" w:hAnsi="Arial"/>
          <w:sz w:val="19"/>
          <w:szCs w:val="19"/>
          <w:color w:val="363636"/>
        </w:rPr>
        <w:t>nature of ordinary fixtures,</w:t>
      </w:r>
      <w:r>
        <w:rPr>
          <w:rFonts w:ascii="Arial" w:cs="Arial" w:eastAsia="Arial" w:hAnsi="Arial"/>
          <w:sz w:val="19"/>
          <w:szCs w:val="19"/>
          <w:color w:val="262626"/>
        </w:rPr>
        <w:t xml:space="preserve"> furnishing</w:t>
      </w:r>
      <w:r>
        <w:rPr>
          <w:rFonts w:ascii="Arial" w:cs="Arial" w:eastAsia="Arial" w:hAnsi="Arial"/>
          <w:sz w:val="19"/>
          <w:szCs w:val="19"/>
          <w:color w:val="494949"/>
        </w:rPr>
        <w:t>s</w:t>
      </w:r>
      <w:r>
        <w:rPr>
          <w:rFonts w:ascii="Arial" w:cs="Arial" w:eastAsia="Arial" w:hAnsi="Arial"/>
          <w:sz w:val="19"/>
          <w:szCs w:val="19"/>
          <w:color w:val="262626"/>
        </w:rPr>
        <w:t xml:space="preserve"> </w:t>
      </w:r>
      <w:r>
        <w:rPr>
          <w:rFonts w:ascii="Arial" w:cs="Arial" w:eastAsia="Arial" w:hAnsi="Arial"/>
          <w:sz w:val="19"/>
          <w:szCs w:val="19"/>
          <w:color w:val="363636"/>
        </w:rPr>
        <w:t>and</w:t>
      </w:r>
      <w:r>
        <w:rPr>
          <w:rFonts w:ascii="Arial" w:cs="Arial" w:eastAsia="Arial" w:hAnsi="Arial"/>
          <w:sz w:val="19"/>
          <w:szCs w:val="19"/>
          <w:color w:val="262626"/>
        </w:rPr>
        <w:t xml:space="preserve"> </w:t>
      </w:r>
      <w:r>
        <w:rPr>
          <w:rFonts w:ascii="Arial" w:cs="Arial" w:eastAsia="Arial" w:hAnsi="Arial"/>
          <w:sz w:val="19"/>
          <w:szCs w:val="19"/>
          <w:color w:val="363636"/>
        </w:rPr>
        <w:t xml:space="preserve">equipment </w:t>
      </w:r>
      <w:r>
        <w:rPr>
          <w:rFonts w:ascii="Arial" w:cs="Arial" w:eastAsia="Arial" w:hAnsi="Arial"/>
          <w:sz w:val="19"/>
          <w:szCs w:val="19"/>
          <w:color w:val="262626"/>
        </w:rPr>
        <w:t>u</w:t>
      </w:r>
      <w:r>
        <w:rPr>
          <w:rFonts w:ascii="Arial" w:cs="Arial" w:eastAsia="Arial" w:hAnsi="Arial"/>
          <w:sz w:val="19"/>
          <w:szCs w:val="19"/>
          <w:color w:val="494949"/>
        </w:rPr>
        <w:t>sed</w:t>
      </w:r>
      <w:r>
        <w:rPr>
          <w:rFonts w:ascii="Arial" w:cs="Arial" w:eastAsia="Arial" w:hAnsi="Arial"/>
          <w:sz w:val="19"/>
          <w:szCs w:val="19"/>
          <w:color w:val="363636"/>
        </w:rPr>
        <w:t xml:space="preserve"> </w:t>
      </w:r>
      <w:r>
        <w:rPr>
          <w:rFonts w:ascii="Arial" w:cs="Arial" w:eastAsia="Arial" w:hAnsi="Arial"/>
          <w:sz w:val="19"/>
          <w:szCs w:val="19"/>
          <w:color w:val="262626"/>
        </w:rPr>
        <w:t>in</w:t>
      </w:r>
      <w:r>
        <w:rPr>
          <w:rFonts w:ascii="Arial" w:cs="Arial" w:eastAsia="Arial" w:hAnsi="Arial"/>
          <w:sz w:val="19"/>
          <w:szCs w:val="19"/>
          <w:color w:val="363636"/>
        </w:rPr>
        <w:t xml:space="preserve"> general administrative and executive office activities </w:t>
      </w:r>
      <w:r>
        <w:rPr>
          <w:rFonts w:ascii="Arial" w:cs="Arial" w:eastAsia="Arial" w:hAnsi="Arial"/>
          <w:sz w:val="19"/>
          <w:szCs w:val="19"/>
          <w:color w:val="262626"/>
        </w:rPr>
        <w:t>and functions. Wherever in this Lease Tenant (a) releases Landlord</w:t>
      </w:r>
      <w:r>
        <w:rPr>
          <w:rFonts w:ascii="Arial" w:cs="Arial" w:eastAsia="Arial" w:hAnsi="Arial"/>
          <w:sz w:val="19"/>
          <w:szCs w:val="19"/>
          <w:color w:val="363636"/>
        </w:rPr>
        <w:t xml:space="preserve"> </w:t>
      </w:r>
      <w:r>
        <w:rPr>
          <w:rFonts w:ascii="Arial" w:cs="Arial" w:eastAsia="Arial" w:hAnsi="Arial"/>
          <w:sz w:val="19"/>
          <w:szCs w:val="19"/>
          <w:color w:val="262626"/>
        </w:rPr>
        <w:t xml:space="preserve">from any claim or liability, (b) </w:t>
      </w:r>
      <w:r>
        <w:rPr>
          <w:rFonts w:ascii="Arial" w:cs="Arial" w:eastAsia="Arial" w:hAnsi="Arial"/>
          <w:sz w:val="19"/>
          <w:szCs w:val="19"/>
          <w:color w:val="282828"/>
        </w:rPr>
        <w:t>waives or limits any right of Tenant to assert any claim against Landlord or to seek recourse against any property</w:t>
      </w:r>
      <w:r>
        <w:rPr>
          <w:rFonts w:ascii="Arial" w:cs="Arial" w:eastAsia="Arial" w:hAnsi="Arial"/>
          <w:sz w:val="19"/>
          <w:szCs w:val="19"/>
          <w:color w:val="262626"/>
        </w:rPr>
        <w:t xml:space="preserve"> </w:t>
      </w:r>
      <w:r>
        <w:rPr>
          <w:rFonts w:ascii="Arial" w:cs="Arial" w:eastAsia="Arial" w:hAnsi="Arial"/>
          <w:sz w:val="19"/>
          <w:szCs w:val="19"/>
          <w:color w:val="282828"/>
        </w:rPr>
        <w:t>of Landlord or (c) agrees to indemnify Landlord against any matters, the relevant release, waiver, limitation or indemnity shall run in favor of and apply to Landlord and each of the Landlord Parties. Further, regardless of the basis on which Tenant is entitled to claim damages (including breach, negligence, misrepresentation, or other contract or tort claim), in no event shall Landlord or the Landlord Parties be liable under any circumstances for any special, incidental, punitive, indirect or consequential damages or for injury or damage to, or interference with, Tenant’s business, including but not limited to, loss of profits, loss of rents or other revenues, loss of business opportunity, loss of goodwill, or loss of use, however occurring.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 xml:space="preserve">ARTICLE </w:t>
      </w:r>
      <w:r>
        <w:rPr>
          <w:rFonts w:ascii="Arial" w:cs="Arial" w:eastAsia="Arial" w:hAnsi="Arial"/>
          <w:sz w:val="20"/>
          <w:szCs w:val="20"/>
          <w:b w:val="1"/>
          <w:bCs w:val="1"/>
          <w:color w:val="282828"/>
        </w:rPr>
        <w:t>13</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82828"/>
        </w:rPr>
        <w:t>INSURANCE</w:t>
      </w:r>
    </w:p>
    <w:p>
      <w:pPr>
        <w:spacing w:after="0" w:line="17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13.1</w:t>
      </w:r>
      <w:r>
        <w:rPr>
          <w:sz w:val="20"/>
          <w:szCs w:val="20"/>
          <w:color w:val="auto"/>
        </w:rPr>
        <w:tab/>
      </w:r>
      <w:r>
        <w:rPr>
          <w:rFonts w:ascii="Arial" w:cs="Arial" w:eastAsia="Arial" w:hAnsi="Arial"/>
          <w:sz w:val="16"/>
          <w:szCs w:val="16"/>
          <w:u w:val="single" w:color="auto"/>
          <w:color w:val="262626"/>
        </w:rPr>
        <w:t xml:space="preserve">Insurance </w:t>
      </w:r>
      <w:r>
        <w:rPr>
          <w:rFonts w:ascii="Arial" w:cs="Arial" w:eastAsia="Arial" w:hAnsi="Arial"/>
          <w:sz w:val="16"/>
          <w:szCs w:val="16"/>
          <w:color w:val="282828"/>
        </w:rPr>
        <w:t>to be</w:t>
      </w:r>
      <w:r>
        <w:rPr>
          <w:rFonts w:ascii="Arial" w:cs="Arial" w:eastAsia="Arial" w:hAnsi="Arial"/>
          <w:sz w:val="16"/>
          <w:szCs w:val="16"/>
          <w:u w:val="single" w:color="auto"/>
          <w:color w:val="262626"/>
        </w:rPr>
        <w:t xml:space="preserve"> </w:t>
      </w:r>
      <w:r>
        <w:rPr>
          <w:rFonts w:ascii="Arial" w:cs="Arial" w:eastAsia="Arial" w:hAnsi="Arial"/>
          <w:sz w:val="16"/>
          <w:szCs w:val="16"/>
          <w:u w:val="single" w:color="auto"/>
          <w:color w:val="3F3F3F"/>
        </w:rPr>
        <w:t>Carried</w:t>
      </w:r>
      <w:r>
        <w:rPr>
          <w:rFonts w:ascii="Arial" w:cs="Arial" w:eastAsia="Arial" w:hAnsi="Arial"/>
          <w:sz w:val="16"/>
          <w:szCs w:val="16"/>
          <w:u w:val="single" w:color="auto"/>
          <w:color w:val="262626"/>
        </w:rPr>
        <w:t xml:space="preserve"> </w:t>
      </w:r>
      <w:r>
        <w:rPr>
          <w:rFonts w:ascii="Arial" w:cs="Arial" w:eastAsia="Arial" w:hAnsi="Arial"/>
          <w:sz w:val="16"/>
          <w:szCs w:val="16"/>
          <w:u w:val="single" w:color="auto"/>
          <w:color w:val="282828"/>
        </w:rPr>
        <w:t>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3105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0515" cy="8890"/>
                    </a:xfrm>
                    <a:prstGeom prst="rect">
                      <a:avLst/>
                    </a:prstGeom>
                    <a:noFill/>
                  </pic:spPr>
                </pic:pic>
              </a:graphicData>
            </a:graphic>
          </wp:anchor>
        </w:drawing>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Tenant shall during the Term, at its sole cost and expense, obtain and maintain the following types of insurance:</w:t>
      </w:r>
    </w:p>
    <w:p>
      <w:pPr>
        <w:spacing w:after="0" w:line="202" w:lineRule="exact"/>
        <w:rPr>
          <w:sz w:val="20"/>
          <w:szCs w:val="20"/>
          <w:color w:val="auto"/>
        </w:rPr>
      </w:pPr>
    </w:p>
    <w:p>
      <w:pPr>
        <w:ind w:right="340" w:firstLine="1763"/>
        <w:spacing w:after="0" w:line="260" w:lineRule="auto"/>
        <w:tabs>
          <w:tab w:leader="none" w:pos="2620" w:val="left"/>
        </w:tabs>
        <w:numPr>
          <w:ilvl w:val="0"/>
          <w:numId w:val="59"/>
        </w:numPr>
        <w:rPr>
          <w:rFonts w:ascii="Arial" w:cs="Arial" w:eastAsia="Arial" w:hAnsi="Arial"/>
          <w:sz w:val="19"/>
          <w:szCs w:val="19"/>
          <w:color w:val="282828"/>
        </w:rPr>
      </w:pPr>
      <w:r>
        <w:rPr>
          <w:rFonts w:ascii="Arial" w:cs="Arial" w:eastAsia="Arial" w:hAnsi="Arial"/>
          <w:sz w:val="19"/>
          <w:szCs w:val="19"/>
          <w:color w:val="282828"/>
        </w:rPr>
        <w:t>All Risk coverage insurance, including endorsements for vandalism, malicious mischief, theft, sprinkler leakage, and earthquake sprinkler leakage, covering all of Tenant’s property, including, but not limited to, furniture, equipment, additions, fixtures, and anything in the nature of a leasehold improvement constructed by Tenant in an amount equal to the full replacement cost of such property without deduction for depreciation. Landlord and Landlord’s agent shall be named an additional insured with respect to Landlord’s interest in any real property on Tenant’s fire and extended coverage policy;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25</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3" w:name="page154"/>
    <w:bookmarkEnd w:id="153"/>
    <w:p>
      <w:pPr>
        <w:ind w:right="240" w:firstLine="1763"/>
        <w:spacing w:after="0" w:line="276" w:lineRule="auto"/>
        <w:tabs>
          <w:tab w:leader="none" w:pos="2631" w:val="left"/>
        </w:tabs>
        <w:numPr>
          <w:ilvl w:val="0"/>
          <w:numId w:val="60"/>
        </w:numPr>
        <w:rPr>
          <w:rFonts w:ascii="Arial" w:cs="Arial" w:eastAsia="Arial" w:hAnsi="Arial"/>
          <w:sz w:val="18"/>
          <w:szCs w:val="18"/>
          <w:color w:val="282828"/>
        </w:rPr>
      </w:pPr>
      <w:r>
        <w:rPr>
          <w:rFonts w:ascii="Arial" w:cs="Arial" w:eastAsia="Arial" w:hAnsi="Arial"/>
          <w:sz w:val="18"/>
          <w:szCs w:val="18"/>
          <w:color w:val="282828"/>
        </w:rPr>
        <w:t>Commercial general liability insurance, including bodily injury and property damage, personal injury and contractual liability with respect to all claims, demands or actions by any person or entity, in and arising from, related to, or connected with the conduct and operation of Tenant’s business in the Premises or Tenant’s use of the Premises. Landlord, the Holder of any Superior Interest and any agent of Landlord designated by Landlord shall be shown as an “additional insured” on any such policy at Tenant’s expense. Such policies shall be written with no more than a Five Thousand Dollar ($5,000.00) deductible, with coverage limits of not less than Two Million Dollars ($2,000,000.00) per occurrence and Five Million Dollars ($5,000,000.00) aggregate;</w:t>
      </w:r>
    </w:p>
    <w:p>
      <w:pPr>
        <w:spacing w:after="0" w:line="138" w:lineRule="exact"/>
        <w:rPr>
          <w:rFonts w:ascii="Arial" w:cs="Arial" w:eastAsia="Arial" w:hAnsi="Arial"/>
          <w:sz w:val="18"/>
          <w:szCs w:val="18"/>
          <w:color w:val="282828"/>
        </w:rPr>
      </w:pPr>
    </w:p>
    <w:p>
      <w:pPr>
        <w:ind w:right="320" w:firstLine="1763"/>
        <w:spacing w:after="0" w:line="260" w:lineRule="auto"/>
        <w:tabs>
          <w:tab w:leader="none" w:pos="2620" w:val="left"/>
        </w:tabs>
        <w:numPr>
          <w:ilvl w:val="0"/>
          <w:numId w:val="60"/>
        </w:numPr>
        <w:rPr>
          <w:rFonts w:ascii="Arial" w:cs="Arial" w:eastAsia="Arial" w:hAnsi="Arial"/>
          <w:sz w:val="20"/>
          <w:szCs w:val="20"/>
          <w:color w:val="282828"/>
        </w:rPr>
      </w:pPr>
      <w:r>
        <w:rPr>
          <w:rFonts w:ascii="Arial" w:cs="Arial" w:eastAsia="Arial" w:hAnsi="Arial"/>
          <w:sz w:val="20"/>
          <w:szCs w:val="20"/>
          <w:color w:val="282828"/>
        </w:rPr>
        <w:t>Worker’s Compensation insurance coverage as required by Law, together with employer’s liability insurance coverage with limits not less than One Million Dollars ($1,000,000.00);</w:t>
      </w:r>
    </w:p>
    <w:p>
      <w:pPr>
        <w:spacing w:after="0" w:line="163" w:lineRule="exact"/>
        <w:rPr>
          <w:rFonts w:ascii="Arial" w:cs="Arial" w:eastAsia="Arial" w:hAnsi="Arial"/>
          <w:sz w:val="20"/>
          <w:szCs w:val="20"/>
          <w:color w:val="282828"/>
        </w:rPr>
      </w:pPr>
    </w:p>
    <w:p>
      <w:pPr>
        <w:jc w:val="both"/>
        <w:ind w:right="160" w:firstLine="1763"/>
        <w:spacing w:after="0" w:line="282" w:lineRule="auto"/>
        <w:tabs>
          <w:tab w:leader="none" w:pos="2631" w:val="left"/>
        </w:tabs>
        <w:numPr>
          <w:ilvl w:val="0"/>
          <w:numId w:val="60"/>
        </w:numPr>
        <w:rPr>
          <w:rFonts w:ascii="Arial" w:cs="Arial" w:eastAsia="Arial" w:hAnsi="Arial"/>
          <w:sz w:val="18"/>
          <w:szCs w:val="18"/>
          <w:color w:val="282828"/>
        </w:rPr>
      </w:pPr>
      <w:r>
        <w:rPr>
          <w:rFonts w:ascii="Arial" w:cs="Arial" w:eastAsia="Arial" w:hAnsi="Arial"/>
          <w:sz w:val="18"/>
          <w:szCs w:val="18"/>
          <w:color w:val="282828"/>
        </w:rPr>
        <w:t>Business income insurance and extra expense coverage with coverage amounts that shall reimburse Tenant for all rental, expense and other payment obligations of Tenant under this Lease for a period of not less than one year, including, without limitation, Basic Monthly Rent and adjustments thereto and Direct Expenses, Taxes and all other costs, fees, charges and payments which would be borne by or due from Tenant under this Lease if the Premises and Tenant’s business were fully open and operating; and</w:t>
      </w:r>
    </w:p>
    <w:p>
      <w:pPr>
        <w:spacing w:after="0" w:line="148" w:lineRule="exact"/>
        <w:rPr>
          <w:rFonts w:ascii="Arial" w:cs="Arial" w:eastAsia="Arial" w:hAnsi="Arial"/>
          <w:sz w:val="18"/>
          <w:szCs w:val="18"/>
          <w:color w:val="282828"/>
        </w:rPr>
      </w:pPr>
    </w:p>
    <w:p>
      <w:pPr>
        <w:jc w:val="both"/>
        <w:ind w:right="60" w:firstLine="1763"/>
        <w:spacing w:after="0" w:line="250" w:lineRule="auto"/>
        <w:tabs>
          <w:tab w:leader="none" w:pos="2620" w:val="left"/>
        </w:tabs>
        <w:numPr>
          <w:ilvl w:val="0"/>
          <w:numId w:val="60"/>
        </w:numPr>
        <w:rPr>
          <w:rFonts w:ascii="Arial" w:cs="Arial" w:eastAsia="Arial" w:hAnsi="Arial"/>
          <w:sz w:val="20"/>
          <w:szCs w:val="20"/>
          <w:color w:val="282828"/>
        </w:rPr>
      </w:pPr>
      <w:r>
        <w:rPr>
          <w:rFonts w:ascii="Arial" w:cs="Arial" w:eastAsia="Arial" w:hAnsi="Arial"/>
          <w:sz w:val="20"/>
          <w:szCs w:val="20"/>
          <w:color w:val="282828"/>
        </w:rPr>
        <w:t>Any other form or forms of insurance (including increases to the limits of existing coverage) as Landlord or the Holder of any Superior Interest may reasonably require from time to time in form and in amounts and for insurance risks against which a prudent tenant would protect itself.</w:t>
      </w:r>
    </w:p>
    <w:p>
      <w:pPr>
        <w:spacing w:after="0" w:line="159" w:lineRule="exact"/>
        <w:rPr>
          <w:sz w:val="20"/>
          <w:szCs w:val="20"/>
          <w:color w:val="auto"/>
        </w:rPr>
      </w:pPr>
    </w:p>
    <w:p>
      <w:pPr>
        <w:ind w:right="400" w:firstLine="877"/>
        <w:spacing w:after="0" w:line="316" w:lineRule="auto"/>
        <w:rPr>
          <w:sz w:val="20"/>
          <w:szCs w:val="20"/>
          <w:color w:val="auto"/>
        </w:rPr>
      </w:pPr>
      <w:r>
        <w:rPr>
          <w:rFonts w:ascii="Arial" w:cs="Arial" w:eastAsia="Arial" w:hAnsi="Arial"/>
          <w:sz w:val="18"/>
          <w:szCs w:val="18"/>
          <w:color w:val="282828"/>
        </w:rPr>
        <w:t>Each policy evidencing insurance required to be carried by Tenant pursuant to this Article 13 shall contain a provision including Landlord and Landlord’s managing agent, and any other parties in interest designated by Landlord, as an additional insured(s).</w:t>
      </w:r>
    </w:p>
    <w:p>
      <w:pPr>
        <w:spacing w:after="0" w:line="11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13.2</w:t>
      </w:r>
      <w:r>
        <w:rPr>
          <w:sz w:val="20"/>
          <w:szCs w:val="20"/>
          <w:color w:val="auto"/>
        </w:rPr>
        <w:tab/>
      </w:r>
      <w:r>
        <w:rPr>
          <w:rFonts w:ascii="Arial" w:cs="Arial" w:eastAsia="Arial" w:hAnsi="Arial"/>
          <w:sz w:val="18"/>
          <w:szCs w:val="18"/>
          <w:u w:val="single" w:color="auto"/>
          <w:color w:val="424242"/>
        </w:rPr>
        <w:t>P</w:t>
      </w:r>
      <w:r>
        <w:rPr>
          <w:rFonts w:ascii="Arial" w:cs="Arial" w:eastAsia="Arial" w:hAnsi="Arial"/>
          <w:sz w:val="18"/>
          <w:szCs w:val="18"/>
          <w:u w:val="single" w:color="auto"/>
          <w:color w:val="282828"/>
        </w:rPr>
        <w:t>olicy</w:t>
      </w:r>
      <w:r>
        <w:rPr>
          <w:rFonts w:ascii="Arial" w:cs="Arial" w:eastAsia="Arial" w:hAnsi="Arial"/>
          <w:sz w:val="18"/>
          <w:szCs w:val="18"/>
          <w:u w:val="single" w:color="auto"/>
          <w:color w:val="424242"/>
        </w:rPr>
        <w:t xml:space="preserve"> </w:t>
      </w:r>
      <w:r>
        <w:rPr>
          <w:rFonts w:ascii="Arial" w:cs="Arial" w:eastAsia="Arial" w:hAnsi="Arial"/>
          <w:sz w:val="18"/>
          <w:szCs w:val="18"/>
          <w:u w:val="single" w:color="auto"/>
          <w:color w:val="262626"/>
        </w:rPr>
        <w:t>Form</w:t>
      </w:r>
      <w:r>
        <w:rPr>
          <w:rFonts w:ascii="Arial" w:cs="Arial" w:eastAsia="Arial" w:hAnsi="Arial"/>
          <w:sz w:val="18"/>
          <w:szCs w:val="18"/>
          <w:u w:val="single" w:color="auto"/>
          <w:color w:val="424242"/>
        </w:rPr>
        <w:t xml:space="preserve">s </w:t>
      </w:r>
      <w:r>
        <w:rPr>
          <w:rFonts w:ascii="Arial" w:cs="Arial" w:eastAsia="Arial" w:hAnsi="Arial"/>
          <w:sz w:val="18"/>
          <w:szCs w:val="18"/>
          <w:u w:val="single" w:color="auto"/>
          <w:color w:val="282828"/>
        </w:rPr>
        <w:t>and Delivery</w:t>
      </w:r>
    </w:p>
    <w:p>
      <w:pPr>
        <w:spacing w:after="0" w:line="202" w:lineRule="exact"/>
        <w:rPr>
          <w:sz w:val="20"/>
          <w:szCs w:val="20"/>
          <w:color w:val="auto"/>
        </w:rPr>
      </w:pPr>
    </w:p>
    <w:p>
      <w:pPr>
        <w:ind w:right="300" w:firstLine="877"/>
        <w:spacing w:after="0" w:line="250" w:lineRule="auto"/>
        <w:rPr>
          <w:sz w:val="20"/>
          <w:szCs w:val="20"/>
          <w:color w:val="auto"/>
        </w:rPr>
      </w:pPr>
      <w:r>
        <w:rPr>
          <w:rFonts w:ascii="Arial" w:cs="Arial" w:eastAsia="Arial" w:hAnsi="Arial"/>
          <w:sz w:val="20"/>
          <w:szCs w:val="20"/>
          <w:color w:val="282828"/>
        </w:rPr>
        <w:t>All policies shall be taken out from insurers acceptable to Landlord and in a form satisfactory to Landlord. Tenant agrees that certificates of such insurance shall be delivered to Landlord as soon as practicable after the placing of the required insurance</w:t>
      </w:r>
      <w:r>
        <w:rPr>
          <w:rFonts w:ascii="Arial" w:cs="Arial" w:eastAsia="Arial" w:hAnsi="Arial"/>
          <w:sz w:val="20"/>
          <w:szCs w:val="20"/>
          <w:color w:val="424242"/>
        </w:rPr>
        <w:t>,</w:t>
      </w:r>
      <w:r>
        <w:rPr>
          <w:rFonts w:ascii="Arial" w:cs="Arial" w:eastAsia="Arial" w:hAnsi="Arial"/>
          <w:sz w:val="20"/>
          <w:szCs w:val="20"/>
          <w:color w:val="282828"/>
        </w:rPr>
        <w:t xml:space="preserve"> but in no event later than ten (10) days prior to the date Tenant takes possession of the Premises.</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13.3</w:t>
      </w:r>
      <w:r>
        <w:rPr>
          <w:sz w:val="20"/>
          <w:szCs w:val="20"/>
          <w:color w:val="auto"/>
        </w:rPr>
        <w:tab/>
      </w:r>
      <w:r>
        <w:rPr>
          <w:rFonts w:ascii="Arial" w:cs="Arial" w:eastAsia="Arial" w:hAnsi="Arial"/>
          <w:sz w:val="16"/>
          <w:szCs w:val="16"/>
          <w:u w:val="single" w:color="auto"/>
          <w:color w:val="282828"/>
        </w:rPr>
        <w:t>Use of Proceeds</w:t>
      </w:r>
    </w:p>
    <w:p>
      <w:pPr>
        <w:spacing w:after="0" w:line="202" w:lineRule="exact"/>
        <w:rPr>
          <w:sz w:val="20"/>
          <w:szCs w:val="20"/>
          <w:color w:val="auto"/>
        </w:rPr>
      </w:pPr>
    </w:p>
    <w:p>
      <w:pPr>
        <w:ind w:right="40" w:firstLine="877"/>
        <w:spacing w:after="0" w:line="244" w:lineRule="auto"/>
        <w:rPr>
          <w:sz w:val="20"/>
          <w:szCs w:val="20"/>
          <w:color w:val="auto"/>
        </w:rPr>
      </w:pPr>
      <w:r>
        <w:rPr>
          <w:rFonts w:ascii="Arial" w:cs="Arial" w:eastAsia="Arial" w:hAnsi="Arial"/>
          <w:sz w:val="20"/>
          <w:szCs w:val="20"/>
          <w:color w:val="282828"/>
        </w:rPr>
        <w:t>In the event of damage or destruction to the leasehold improvements in the Premises covered by insurance required to be taken out by Tenant pursuant to this Article, Tenant shall use the proceeds of such insurance for the purposes of repairing or restoring such leasehold improvements. In the event of damage or destruction of the Building entitling the Landlord or Tenant to terminate this Lease pursuant to Article 15 hereof, then, if the Premises have also been damaged, Tenant will pay to Landlord that portion of its insurance proceeds relating to the leasehold improvements in the Premises.</w:t>
      </w:r>
    </w:p>
    <w:p>
      <w:pPr>
        <w:spacing w:after="0" w:line="18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13.4</w:t>
      </w:r>
      <w:r>
        <w:rPr>
          <w:sz w:val="20"/>
          <w:szCs w:val="20"/>
          <w:color w:val="auto"/>
        </w:rPr>
        <w:tab/>
      </w:r>
      <w:r>
        <w:rPr>
          <w:rFonts w:ascii="Arial" w:cs="Arial" w:eastAsia="Arial" w:hAnsi="Arial"/>
          <w:sz w:val="18"/>
          <w:szCs w:val="18"/>
          <w:u w:val="single" w:color="auto"/>
          <w:color w:val="282828"/>
        </w:rPr>
        <w:t>Landlord’s Insurance</w:t>
      </w:r>
    </w:p>
    <w:p>
      <w:pPr>
        <w:spacing w:after="0" w:line="189" w:lineRule="exact"/>
        <w:rPr>
          <w:sz w:val="20"/>
          <w:szCs w:val="20"/>
          <w:color w:val="auto"/>
        </w:rPr>
      </w:pPr>
    </w:p>
    <w:p>
      <w:pPr>
        <w:ind w:right="160" w:firstLine="877"/>
        <w:spacing w:after="0" w:line="258" w:lineRule="auto"/>
        <w:rPr>
          <w:sz w:val="20"/>
          <w:szCs w:val="20"/>
          <w:color w:val="auto"/>
        </w:rPr>
      </w:pPr>
      <w:r>
        <w:rPr>
          <w:rFonts w:ascii="Arial" w:cs="Arial" w:eastAsia="Arial" w:hAnsi="Arial"/>
          <w:sz w:val="19"/>
          <w:szCs w:val="19"/>
          <w:color w:val="282828"/>
        </w:rPr>
        <w:t>Subject to reimbursement as a Direct Expense in accordance with the provisions of Article 4 hereof, Landlord shall procure and maintain in effect throughout the Term property insurance and such other types of insurance as are customarily carried by owners of office buildings in the vicinity of the Building, and/or as may be required by Landlord’s mortgage lender. Such coverages shall be in such amounts, from such companies and on such other terms and conditions as Landlord may from time to time determine, and Landlord shall have the right, but not the obligation, to change, cancel, decrease or increase any insurance coverages in respect of the Building</w:t>
      </w:r>
      <w:r>
        <w:rPr>
          <w:rFonts w:ascii="Arial" w:cs="Arial" w:eastAsia="Arial" w:hAnsi="Arial"/>
          <w:sz w:val="19"/>
          <w:szCs w:val="19"/>
          <w:color w:val="424242"/>
        </w:rPr>
        <w:t>,</w:t>
      </w:r>
      <w:r>
        <w:rPr>
          <w:rFonts w:ascii="Arial" w:cs="Arial" w:eastAsia="Arial" w:hAnsi="Arial"/>
          <w:sz w:val="19"/>
          <w:szCs w:val="19"/>
          <w:color w:val="282828"/>
        </w:rPr>
        <w:t xml:space="preserve"> add additional forms of insurance as Landlord shall deem necessary, and/or obtain umbrella or other policies covering both the Building and other assets owned by or associated with Landlord or its affiliates.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26</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154" w:name="page155"/>
    <w:bookmarkEnd w:id="154"/>
    <w:p>
      <w:pPr>
        <w:ind w:left="880"/>
        <w:spacing w:after="0"/>
        <w:tabs>
          <w:tab w:leader="none" w:pos="1860" w:val="left"/>
        </w:tabs>
        <w:rPr>
          <w:sz w:val="20"/>
          <w:szCs w:val="20"/>
          <w:color w:val="auto"/>
        </w:rPr>
      </w:pPr>
      <w:r>
        <w:rPr>
          <w:rFonts w:ascii="Arial" w:cs="Arial" w:eastAsia="Arial" w:hAnsi="Arial"/>
          <w:sz w:val="20"/>
          <w:szCs w:val="20"/>
          <w:color w:val="282828"/>
        </w:rPr>
        <w:t>13.5</w:t>
      </w:r>
      <w:r>
        <w:rPr>
          <w:sz w:val="20"/>
          <w:szCs w:val="20"/>
          <w:color w:val="auto"/>
        </w:rPr>
        <w:tab/>
      </w:r>
      <w:r>
        <w:rPr>
          <w:rFonts w:ascii="Arial" w:cs="Arial" w:eastAsia="Arial" w:hAnsi="Arial"/>
          <w:sz w:val="18"/>
          <w:szCs w:val="18"/>
          <w:u w:val="single" w:color="auto"/>
          <w:color w:val="262626"/>
        </w:rPr>
        <w:t xml:space="preserve">Waiver </w:t>
      </w:r>
      <w:r>
        <w:rPr>
          <w:rFonts w:ascii="Arial" w:cs="Arial" w:eastAsia="Arial" w:hAnsi="Arial"/>
          <w:sz w:val="18"/>
          <w:szCs w:val="18"/>
          <w:u w:val="single" w:color="auto"/>
          <w:color w:val="282828"/>
        </w:rPr>
        <w:t>of Subroga</w:t>
      </w:r>
      <w:r>
        <w:rPr>
          <w:rFonts w:ascii="Arial" w:cs="Arial" w:eastAsia="Arial" w:hAnsi="Arial"/>
          <w:sz w:val="18"/>
          <w:szCs w:val="18"/>
          <w:u w:val="single" w:color="auto"/>
          <w:color w:val="424242"/>
        </w:rPr>
        <w:t>t</w:t>
      </w:r>
      <w:r>
        <w:rPr>
          <w:rFonts w:ascii="Arial" w:cs="Arial" w:eastAsia="Arial" w:hAnsi="Arial"/>
          <w:sz w:val="18"/>
          <w:szCs w:val="18"/>
          <w:u w:val="single" w:color="auto"/>
          <w:color w:val="282828"/>
        </w:rPr>
        <w:t>i</w:t>
      </w:r>
      <w:r>
        <w:rPr>
          <w:rFonts w:ascii="Arial" w:cs="Arial" w:eastAsia="Arial" w:hAnsi="Arial"/>
          <w:sz w:val="18"/>
          <w:szCs w:val="18"/>
          <w:u w:val="single" w:color="auto"/>
          <w:color w:val="424242"/>
        </w:rPr>
        <w:t>o</w:t>
      </w:r>
      <w:r>
        <w:rPr>
          <w:rFonts w:ascii="Arial" w:cs="Arial" w:eastAsia="Arial" w:hAnsi="Arial"/>
          <w:sz w:val="18"/>
          <w:szCs w:val="18"/>
          <w:u w:val="single" w:color="auto"/>
          <w:color w:val="282828"/>
        </w:rPr>
        <w:t>n</w:t>
      </w:r>
    </w:p>
    <w:p>
      <w:pPr>
        <w:spacing w:after="0" w:line="189" w:lineRule="exact"/>
        <w:rPr>
          <w:sz w:val="20"/>
          <w:szCs w:val="20"/>
          <w:color w:val="auto"/>
        </w:rPr>
      </w:pPr>
    </w:p>
    <w:p>
      <w:pPr>
        <w:ind w:right="160" w:firstLine="877"/>
        <w:spacing w:after="0" w:line="259" w:lineRule="auto"/>
        <w:rPr>
          <w:sz w:val="20"/>
          <w:szCs w:val="20"/>
          <w:color w:val="auto"/>
        </w:rPr>
      </w:pPr>
      <w:r>
        <w:rPr>
          <w:rFonts w:ascii="Arial" w:cs="Arial" w:eastAsia="Arial" w:hAnsi="Arial"/>
          <w:sz w:val="19"/>
          <w:szCs w:val="19"/>
          <w:color w:val="282828"/>
        </w:rPr>
        <w:t>Landlord and Tenant hereby waive and release any and all rights of recovery against the other party</w:t>
      </w:r>
      <w:r>
        <w:rPr>
          <w:rFonts w:ascii="Arial" w:cs="Arial" w:eastAsia="Arial" w:hAnsi="Arial"/>
          <w:sz w:val="19"/>
          <w:szCs w:val="19"/>
          <w:color w:val="424242"/>
        </w:rPr>
        <w:t>,</w:t>
      </w:r>
      <w:r>
        <w:rPr>
          <w:rFonts w:ascii="Arial" w:cs="Arial" w:eastAsia="Arial" w:hAnsi="Arial"/>
          <w:sz w:val="19"/>
          <w:szCs w:val="19"/>
          <w:color w:val="282828"/>
        </w:rPr>
        <w:t xml:space="preserve"> including officers</w:t>
      </w:r>
      <w:r>
        <w:rPr>
          <w:rFonts w:ascii="Arial" w:cs="Arial" w:eastAsia="Arial" w:hAnsi="Arial"/>
          <w:sz w:val="19"/>
          <w:szCs w:val="19"/>
          <w:color w:val="424242"/>
        </w:rPr>
        <w:t>,</w:t>
      </w:r>
      <w:r>
        <w:rPr>
          <w:rFonts w:ascii="Arial" w:cs="Arial" w:eastAsia="Arial" w:hAnsi="Arial"/>
          <w:sz w:val="19"/>
          <w:szCs w:val="19"/>
          <w:color w:val="282828"/>
        </w:rPr>
        <w:t xml:space="preserve"> employees, agents and authorized representatives (whether in contract or tort) of such other party, that arise or result from any and all loss of or damage to any property of the waiving party located within or constituting part of the Project, including the Premises (whether or not the party suffering the loss or damage actually carries any insurance</w:t>
      </w:r>
      <w:r>
        <w:rPr>
          <w:rFonts w:ascii="Arial" w:cs="Arial" w:eastAsia="Arial" w:hAnsi="Arial"/>
          <w:sz w:val="19"/>
          <w:szCs w:val="19"/>
          <w:color w:val="424242"/>
        </w:rPr>
        <w:t>,</w:t>
      </w:r>
      <w:r>
        <w:rPr>
          <w:rFonts w:ascii="Arial" w:cs="Arial" w:eastAsia="Arial" w:hAnsi="Arial"/>
          <w:sz w:val="19"/>
          <w:szCs w:val="19"/>
          <w:color w:val="282828"/>
        </w:rPr>
        <w:t xml:space="preserve"> recovers under any insurance or self-insures the loss or damage). Each party shall have their insurance policies issued in such form as to waive any right of subrogation as might otherwise exist. This mutual waiver is in addition to any other waiver or release contained in this Lease.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14</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TRANSFER OF LANDLORD’S INTEREST</w:t>
      </w:r>
    </w:p>
    <w:p>
      <w:pPr>
        <w:spacing w:after="0" w:line="186" w:lineRule="exact"/>
        <w:rPr>
          <w:sz w:val="20"/>
          <w:szCs w:val="20"/>
          <w:color w:val="auto"/>
        </w:rPr>
      </w:pPr>
    </w:p>
    <w:p>
      <w:pPr>
        <w:ind w:right="60" w:firstLine="877"/>
        <w:spacing w:after="0" w:line="278" w:lineRule="auto"/>
        <w:rPr>
          <w:sz w:val="20"/>
          <w:szCs w:val="20"/>
          <w:color w:val="auto"/>
        </w:rPr>
      </w:pPr>
      <w:r>
        <w:rPr>
          <w:rFonts w:ascii="Arial" w:cs="Arial" w:eastAsia="Arial" w:hAnsi="Arial"/>
          <w:sz w:val="18"/>
          <w:szCs w:val="18"/>
          <w:color w:val="282828"/>
        </w:rPr>
        <w:t>In the event of a sale or conveyance by Landlord of the Building, the same shall operate to release Landlord from any future liability upon any of the agreements, obligations, covenants or conditions, express or implied, herein contained in favor of Tenant, and in such event Tenant agrees to look solely to the successor-in-interest of Landlord in and to this Lease. This Lease shall not be affected by any such sale or conveyance, however, and Tenant agrees to attorn to the successor-in-interest of Landlord in and to this Lease, such attornment to be effective and self-operative without the execution of any further instruments on the part of any of the parties of this Lease.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15</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DAMAGE OR DESTRUCTION</w:t>
      </w:r>
    </w:p>
    <w:p>
      <w:pPr>
        <w:spacing w:after="0" w:line="18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15.1</w:t>
      </w:r>
      <w:r>
        <w:rPr>
          <w:sz w:val="20"/>
          <w:szCs w:val="20"/>
          <w:color w:val="auto"/>
        </w:rPr>
        <w:tab/>
      </w:r>
      <w:r>
        <w:rPr>
          <w:rFonts w:ascii="Arial" w:cs="Arial" w:eastAsia="Arial" w:hAnsi="Arial"/>
          <w:sz w:val="18"/>
          <w:szCs w:val="18"/>
          <w:u w:val="single" w:color="auto"/>
          <w:color w:val="282828"/>
        </w:rPr>
        <w:t xml:space="preserve">Repair </w:t>
      </w:r>
      <w:r>
        <w:rPr>
          <w:rFonts w:ascii="Arial" w:cs="Arial" w:eastAsia="Arial" w:hAnsi="Arial"/>
          <w:sz w:val="18"/>
          <w:szCs w:val="18"/>
          <w:u w:val="single" w:color="auto"/>
          <w:color w:val="3F3F3F"/>
        </w:rPr>
        <w:t>or</w:t>
      </w:r>
      <w:r>
        <w:rPr>
          <w:rFonts w:ascii="Arial" w:cs="Arial" w:eastAsia="Arial" w:hAnsi="Arial"/>
          <w:sz w:val="18"/>
          <w:szCs w:val="18"/>
          <w:u w:val="single" w:color="auto"/>
          <w:color w:val="282828"/>
        </w:rPr>
        <w:t xml:space="preserve"> Termination</w:t>
      </w:r>
    </w:p>
    <w:p>
      <w:pPr>
        <w:spacing w:after="0" w:line="202" w:lineRule="exact"/>
        <w:rPr>
          <w:sz w:val="20"/>
          <w:szCs w:val="20"/>
          <w:color w:val="auto"/>
        </w:rPr>
      </w:pPr>
    </w:p>
    <w:p>
      <w:pPr>
        <w:ind w:right="60" w:firstLine="1763"/>
        <w:spacing w:after="0" w:line="311" w:lineRule="auto"/>
        <w:tabs>
          <w:tab w:leader="none" w:pos="2620" w:val="left"/>
        </w:tabs>
        <w:numPr>
          <w:ilvl w:val="0"/>
          <w:numId w:val="61"/>
        </w:numPr>
        <w:rPr>
          <w:rFonts w:ascii="Arial" w:cs="Arial" w:eastAsia="Arial" w:hAnsi="Arial"/>
          <w:sz w:val="16"/>
          <w:szCs w:val="16"/>
          <w:color w:val="282828"/>
        </w:rPr>
      </w:pPr>
      <w:r>
        <w:rPr>
          <w:rFonts w:ascii="Arial" w:cs="Arial" w:eastAsia="Arial" w:hAnsi="Arial"/>
          <w:sz w:val="16"/>
          <w:szCs w:val="16"/>
          <w:color w:val="282828"/>
        </w:rPr>
        <w:t xml:space="preserve">If the Premises, the Common Areas or the Building are damaged by fire or other casualty of the type insured by Landlord, in a way that materially interferes with Tenant’s use of the Premises, the damage shall be repaired by Landlord; provided Landlord reasonably determines that </w:t>
      </w:r>
      <w:r>
        <w:rPr>
          <w:rFonts w:ascii="Arial" w:cs="Arial" w:eastAsia="Arial" w:hAnsi="Arial"/>
          <w:sz w:val="16"/>
          <w:szCs w:val="16"/>
          <w:color w:val="3F3F3F"/>
        </w:rPr>
        <w:t>such</w:t>
      </w:r>
      <w:r>
        <w:rPr>
          <w:rFonts w:ascii="Arial" w:cs="Arial" w:eastAsia="Arial" w:hAnsi="Arial"/>
          <w:sz w:val="16"/>
          <w:szCs w:val="16"/>
          <w:color w:val="282828"/>
        </w:rPr>
        <w:t xml:space="preserve"> repairs can be made within one hundred eighty (180) days after the commencement of repairs without </w:t>
      </w:r>
      <w:r>
        <w:rPr>
          <w:rFonts w:ascii="Arial" w:cs="Arial" w:eastAsia="Arial" w:hAnsi="Arial"/>
          <w:sz w:val="16"/>
          <w:szCs w:val="16"/>
          <w:color w:val="3F3F3F"/>
        </w:rPr>
        <w:t>the</w:t>
      </w:r>
      <w:r>
        <w:rPr>
          <w:rFonts w:ascii="Arial" w:cs="Arial" w:eastAsia="Arial" w:hAnsi="Arial"/>
          <w:sz w:val="16"/>
          <w:szCs w:val="16"/>
          <w:color w:val="282828"/>
        </w:rPr>
        <w:t xml:space="preserve"> payment of </w:t>
      </w:r>
      <w:r>
        <w:rPr>
          <w:rFonts w:ascii="Arial" w:cs="Arial" w:eastAsia="Arial" w:hAnsi="Arial"/>
          <w:sz w:val="16"/>
          <w:szCs w:val="16"/>
          <w:color w:val="3F3F3F"/>
        </w:rPr>
        <w:t>overtime</w:t>
      </w:r>
      <w:r>
        <w:rPr>
          <w:rFonts w:ascii="Arial" w:cs="Arial" w:eastAsia="Arial" w:hAnsi="Arial"/>
          <w:sz w:val="16"/>
          <w:szCs w:val="16"/>
          <w:color w:val="282828"/>
        </w:rPr>
        <w:t xml:space="preserve"> or other premiums and that the </w:t>
      </w:r>
      <w:r>
        <w:rPr>
          <w:rFonts w:ascii="Arial" w:cs="Arial" w:eastAsia="Arial" w:hAnsi="Arial"/>
          <w:sz w:val="16"/>
          <w:szCs w:val="16"/>
          <w:color w:val="1A1A1A"/>
        </w:rPr>
        <w:t>in</w:t>
      </w:r>
      <w:r>
        <w:rPr>
          <w:rFonts w:ascii="Arial" w:cs="Arial" w:eastAsia="Arial" w:hAnsi="Arial"/>
          <w:sz w:val="16"/>
          <w:szCs w:val="16"/>
          <w:color w:val="3F3F3F"/>
        </w:rPr>
        <w:t>surance</w:t>
      </w:r>
      <w:r>
        <w:rPr>
          <w:rFonts w:ascii="Arial" w:cs="Arial" w:eastAsia="Arial" w:hAnsi="Arial"/>
          <w:sz w:val="16"/>
          <w:szCs w:val="16"/>
          <w:color w:val="282828"/>
        </w:rPr>
        <w:t xml:space="preserve"> proceeds </w:t>
      </w:r>
      <w:r>
        <w:rPr>
          <w:rFonts w:ascii="Arial" w:cs="Arial" w:eastAsia="Arial" w:hAnsi="Arial"/>
          <w:sz w:val="16"/>
          <w:szCs w:val="16"/>
          <w:color w:val="3F3F3F"/>
        </w:rPr>
        <w:t>are sufficient</w:t>
      </w:r>
      <w:r>
        <w:rPr>
          <w:rFonts w:ascii="Arial" w:cs="Arial" w:eastAsia="Arial" w:hAnsi="Arial"/>
          <w:sz w:val="16"/>
          <w:szCs w:val="16"/>
          <w:color w:val="282828"/>
        </w:rPr>
        <w:t xml:space="preserve"> to pay the cost of </w:t>
      </w:r>
      <w:r>
        <w:rPr>
          <w:rFonts w:ascii="Arial" w:cs="Arial" w:eastAsia="Arial" w:hAnsi="Arial"/>
          <w:sz w:val="16"/>
          <w:szCs w:val="16"/>
          <w:color w:val="3F3F3F"/>
        </w:rPr>
        <w:t>such</w:t>
      </w:r>
      <w:r>
        <w:rPr>
          <w:rFonts w:ascii="Arial" w:cs="Arial" w:eastAsia="Arial" w:hAnsi="Arial"/>
          <w:sz w:val="16"/>
          <w:szCs w:val="16"/>
          <w:color w:val="282828"/>
        </w:rPr>
        <w:t xml:space="preserve"> repairs. Until such repairs are completed or this Lease is terminated as herein provided, Basic Monthly Rent shall be abated in proportion to the part of the Premises which is rendered unusable by Tenant in the conduct of its business as a result of such casualty, but provided that there shall be no abatement of Basic Monthly Rent by reason of any portion of the Premises being unusable for a period of three (3) days or less. If the damage is due to the act or negligence of Tenant or its agents, servants, contractors, employees, invitees or licensees there shall be no abatement of Rent.</w:t>
      </w:r>
    </w:p>
    <w:p>
      <w:pPr>
        <w:spacing w:after="0" w:line="118" w:lineRule="exact"/>
        <w:rPr>
          <w:rFonts w:ascii="Arial" w:cs="Arial" w:eastAsia="Arial" w:hAnsi="Arial"/>
          <w:sz w:val="16"/>
          <w:szCs w:val="16"/>
          <w:color w:val="282828"/>
        </w:rPr>
      </w:pPr>
    </w:p>
    <w:p>
      <w:pPr>
        <w:ind w:right="500" w:firstLine="1763"/>
        <w:spacing w:after="0" w:line="260" w:lineRule="auto"/>
        <w:tabs>
          <w:tab w:leader="none" w:pos="2631" w:val="left"/>
        </w:tabs>
        <w:numPr>
          <w:ilvl w:val="0"/>
          <w:numId w:val="61"/>
        </w:numPr>
        <w:rPr>
          <w:rFonts w:ascii="Arial" w:cs="Arial" w:eastAsia="Arial" w:hAnsi="Arial"/>
          <w:sz w:val="20"/>
          <w:szCs w:val="20"/>
          <w:color w:val="282828"/>
        </w:rPr>
      </w:pPr>
      <w:r>
        <w:rPr>
          <w:rFonts w:ascii="Arial" w:cs="Arial" w:eastAsia="Arial" w:hAnsi="Arial"/>
          <w:sz w:val="20"/>
          <w:szCs w:val="20"/>
          <w:color w:val="282828"/>
        </w:rPr>
        <w:t>Landlord shall not be liable for any failure to make any such repairs to the extent such failure is caused by accidents, strikes, lockouts or other conditions beyond the reasonable control of Landlord.</w:t>
      </w:r>
    </w:p>
    <w:p>
      <w:pPr>
        <w:spacing w:after="0" w:line="163" w:lineRule="exact"/>
        <w:rPr>
          <w:rFonts w:ascii="Arial" w:cs="Arial" w:eastAsia="Arial" w:hAnsi="Arial"/>
          <w:sz w:val="20"/>
          <w:szCs w:val="20"/>
          <w:color w:val="282828"/>
        </w:rPr>
      </w:pPr>
    </w:p>
    <w:p>
      <w:pPr>
        <w:ind w:right="160" w:firstLine="1763"/>
        <w:spacing w:after="0" w:line="276" w:lineRule="auto"/>
        <w:tabs>
          <w:tab w:leader="none" w:pos="2620" w:val="left"/>
        </w:tabs>
        <w:numPr>
          <w:ilvl w:val="0"/>
          <w:numId w:val="61"/>
        </w:numPr>
        <w:rPr>
          <w:rFonts w:ascii="Arial" w:cs="Arial" w:eastAsia="Arial" w:hAnsi="Arial"/>
          <w:sz w:val="18"/>
          <w:szCs w:val="18"/>
          <w:color w:val="282828"/>
        </w:rPr>
      </w:pPr>
      <w:r>
        <w:rPr>
          <w:rFonts w:ascii="Arial" w:cs="Arial" w:eastAsia="Arial" w:hAnsi="Arial"/>
          <w:sz w:val="18"/>
          <w:szCs w:val="18"/>
          <w:color w:val="282828"/>
        </w:rPr>
        <w:t>If such repairs cannot reasonably be made within such one hundred eighty (180) days, if such repairs will cost more than the available insurance proceeds, if such casualty is not of the type insured by Landlord, or if Landlord has the right to terminate this Lease under Section 15.1(g) below, Landlord may, at its option, elect to either (i) make such repairs within a reasonable time and, in such event, this Lease shall continue in effect and the Basic Monthly Rent shall be abated in the manner provided above, or (ii) terminate this Lease. Within thirty (30) days after the occurrence of a casualty, Landlord shall give written notice to Tenant of Landlord’s election to (i) repair the damage caused by such casualty, or (ii) terminate this Lease as of the date specified in such notice.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27</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5" w:name="page156"/>
    <w:bookmarkEnd w:id="155"/>
    <w:p>
      <w:pPr>
        <w:ind w:right="280" w:firstLine="1763"/>
        <w:spacing w:after="0" w:line="260" w:lineRule="auto"/>
        <w:tabs>
          <w:tab w:leader="none" w:pos="2631" w:val="left"/>
        </w:tabs>
        <w:numPr>
          <w:ilvl w:val="0"/>
          <w:numId w:val="62"/>
        </w:numPr>
        <w:rPr>
          <w:rFonts w:ascii="Arial" w:cs="Arial" w:eastAsia="Arial" w:hAnsi="Arial"/>
          <w:sz w:val="20"/>
          <w:szCs w:val="20"/>
          <w:color w:val="262626"/>
        </w:rPr>
      </w:pPr>
      <w:r>
        <w:rPr>
          <w:rFonts w:ascii="Arial" w:cs="Arial" w:eastAsia="Arial" w:hAnsi="Arial"/>
          <w:sz w:val="20"/>
          <w:szCs w:val="20"/>
          <w:color w:val="262626"/>
        </w:rPr>
        <w:t>With respect to any damage and repairs, Tenant waives the provisions of Section 1932(2), 1933(4), 1941 and 1942 of the California Civil Code or any successor statute thereto or similar statute hereinafter enacted.</w:t>
      </w:r>
    </w:p>
    <w:p>
      <w:pPr>
        <w:spacing w:after="0" w:line="149" w:lineRule="exact"/>
        <w:rPr>
          <w:rFonts w:ascii="Arial" w:cs="Arial" w:eastAsia="Arial" w:hAnsi="Arial"/>
          <w:sz w:val="20"/>
          <w:szCs w:val="20"/>
          <w:color w:val="262626"/>
        </w:rPr>
      </w:pPr>
    </w:p>
    <w:p>
      <w:pPr>
        <w:ind w:right="180" w:firstLine="1763"/>
        <w:spacing w:after="0" w:line="250" w:lineRule="auto"/>
        <w:tabs>
          <w:tab w:leader="none" w:pos="2620" w:val="left"/>
        </w:tabs>
        <w:numPr>
          <w:ilvl w:val="0"/>
          <w:numId w:val="62"/>
        </w:numPr>
        <w:rPr>
          <w:rFonts w:ascii="Arial" w:cs="Arial" w:eastAsia="Arial" w:hAnsi="Arial"/>
          <w:sz w:val="20"/>
          <w:szCs w:val="20"/>
          <w:color w:val="262626"/>
        </w:rPr>
      </w:pPr>
      <w:r>
        <w:rPr>
          <w:rFonts w:ascii="Arial" w:cs="Arial" w:eastAsia="Arial" w:hAnsi="Arial"/>
          <w:sz w:val="20"/>
          <w:szCs w:val="20"/>
          <w:color w:val="262626"/>
        </w:rPr>
        <w:t>All proceeds of any insurance maintained by Tenant or Landlord upon the Premises (including insurance on Tenant improvements) shall be used to pay for the repairs to the property covered by said insurance, to the extent that repairs are made pursuant to this Article.</w:t>
      </w:r>
    </w:p>
    <w:p>
      <w:pPr>
        <w:spacing w:after="0" w:line="172" w:lineRule="exact"/>
        <w:rPr>
          <w:rFonts w:ascii="Arial" w:cs="Arial" w:eastAsia="Arial" w:hAnsi="Arial"/>
          <w:sz w:val="20"/>
          <w:szCs w:val="20"/>
          <w:color w:val="262626"/>
        </w:rPr>
      </w:pPr>
    </w:p>
    <w:p>
      <w:pPr>
        <w:jc w:val="both"/>
        <w:ind w:right="520" w:firstLine="1763"/>
        <w:spacing w:after="0" w:line="269" w:lineRule="auto"/>
        <w:tabs>
          <w:tab w:leader="none" w:pos="2598" w:val="left"/>
        </w:tabs>
        <w:numPr>
          <w:ilvl w:val="0"/>
          <w:numId w:val="62"/>
        </w:numPr>
        <w:rPr>
          <w:rFonts w:ascii="Arial" w:cs="Arial" w:eastAsia="Arial" w:hAnsi="Arial"/>
          <w:sz w:val="19"/>
          <w:szCs w:val="19"/>
          <w:color w:val="262626"/>
        </w:rPr>
      </w:pPr>
      <w:r>
        <w:rPr>
          <w:rFonts w:ascii="Arial" w:cs="Arial" w:eastAsia="Arial" w:hAnsi="Arial"/>
          <w:sz w:val="19"/>
          <w:szCs w:val="19"/>
          <w:color w:val="262626"/>
        </w:rPr>
        <w:t xml:space="preserve">If the Premises, the Building, or the Common Areas are damaged, and such damage is of the type insured against under the insurance maintained by Landlord, the cost of repairing said damage up to the amount of the deductible, or any amount in excess of the coverage under said insurance </w:t>
      </w:r>
      <w:r>
        <w:rPr>
          <w:rFonts w:ascii="Arial" w:cs="Arial" w:eastAsia="Arial" w:hAnsi="Arial"/>
          <w:sz w:val="19"/>
          <w:szCs w:val="19"/>
          <w:color w:val="282828"/>
        </w:rPr>
        <w:t>policy</w:t>
      </w:r>
      <w:r>
        <w:rPr>
          <w:rFonts w:ascii="Arial" w:cs="Arial" w:eastAsia="Arial" w:hAnsi="Arial"/>
          <w:sz w:val="19"/>
          <w:szCs w:val="19"/>
          <w:color w:val="262626"/>
        </w:rPr>
        <w:t>, shall be included as a part of Direct Expenses.</w:t>
      </w:r>
    </w:p>
    <w:p>
      <w:pPr>
        <w:spacing w:after="0" w:line="156" w:lineRule="exact"/>
        <w:rPr>
          <w:rFonts w:ascii="Arial" w:cs="Arial" w:eastAsia="Arial" w:hAnsi="Arial"/>
          <w:sz w:val="19"/>
          <w:szCs w:val="19"/>
          <w:color w:val="262626"/>
        </w:rPr>
      </w:pPr>
    </w:p>
    <w:p>
      <w:pPr>
        <w:ind w:right="120" w:firstLine="1763"/>
        <w:spacing w:after="0" w:line="259" w:lineRule="auto"/>
        <w:tabs>
          <w:tab w:leader="none" w:pos="2631" w:val="left"/>
        </w:tabs>
        <w:numPr>
          <w:ilvl w:val="0"/>
          <w:numId w:val="62"/>
        </w:numPr>
        <w:rPr>
          <w:rFonts w:ascii="Arial" w:cs="Arial" w:eastAsia="Arial" w:hAnsi="Arial"/>
          <w:sz w:val="19"/>
          <w:szCs w:val="19"/>
          <w:color w:val="262626"/>
        </w:rPr>
      </w:pPr>
      <w:r>
        <w:rPr>
          <w:rFonts w:ascii="Arial" w:cs="Arial" w:eastAsia="Arial" w:hAnsi="Arial"/>
          <w:sz w:val="19"/>
          <w:szCs w:val="19"/>
          <w:color w:val="262626"/>
        </w:rPr>
        <w:t>Landlord shall not have any obligation whatsoever to repair, reconstruct, or restore the Premises or any portion of Common Areas or the Building when the damage occurs during the last eighteen (18) months of the Term</w:t>
      </w:r>
      <w:r>
        <w:rPr>
          <w:rFonts w:ascii="Arial" w:cs="Arial" w:eastAsia="Arial" w:hAnsi="Arial"/>
          <w:sz w:val="19"/>
          <w:szCs w:val="19"/>
          <w:color w:val="414141"/>
        </w:rPr>
        <w:t>.</w:t>
      </w:r>
      <w:r>
        <w:rPr>
          <w:rFonts w:ascii="Arial" w:cs="Arial" w:eastAsia="Arial" w:hAnsi="Arial"/>
          <w:sz w:val="19"/>
          <w:szCs w:val="19"/>
          <w:color w:val="262626"/>
        </w:rPr>
        <w:t xml:space="preserve"> Tenant may terminate this Lease if the Premises are damaged, in any </w:t>
      </w:r>
      <w:r>
        <w:rPr>
          <w:rFonts w:ascii="Arial" w:cs="Arial" w:eastAsia="Arial" w:hAnsi="Arial"/>
          <w:sz w:val="19"/>
          <w:szCs w:val="19"/>
          <w:color w:val="282828"/>
        </w:rPr>
        <w:t>material</w:t>
      </w:r>
      <w:r>
        <w:rPr>
          <w:rFonts w:ascii="Arial" w:cs="Arial" w:eastAsia="Arial" w:hAnsi="Arial"/>
          <w:sz w:val="19"/>
          <w:szCs w:val="19"/>
          <w:color w:val="262626"/>
        </w:rPr>
        <w:t xml:space="preserve"> manner, during the last eighteen (18) months of the Term, unless such damage may be r</w:t>
      </w:r>
      <w:r>
        <w:rPr>
          <w:rFonts w:ascii="Arial" w:cs="Arial" w:eastAsia="Arial" w:hAnsi="Arial"/>
          <w:sz w:val="19"/>
          <w:szCs w:val="19"/>
          <w:color w:val="414141"/>
        </w:rPr>
        <w:t>e</w:t>
      </w:r>
      <w:r>
        <w:rPr>
          <w:rFonts w:ascii="Arial" w:cs="Arial" w:eastAsia="Arial" w:hAnsi="Arial"/>
          <w:sz w:val="19"/>
          <w:szCs w:val="19"/>
          <w:color w:val="262626"/>
        </w:rPr>
        <w:t>paired or the Premises be restored within ninety (90) days after such damage, provided, within thirty (30) days after such damage occurs, Tenant shall give Landlord written notice of its election to terminate on a date specified in such notice, which date shall not be less than thirty (30) nor more than sixty (60) days after the date of such notice.</w:t>
      </w:r>
    </w:p>
    <w:p>
      <w:pPr>
        <w:spacing w:after="0" w:line="15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15.2</w:t>
      </w:r>
      <w:r>
        <w:rPr>
          <w:sz w:val="20"/>
          <w:szCs w:val="20"/>
          <w:color w:val="auto"/>
        </w:rPr>
        <w:tab/>
      </w:r>
      <w:r>
        <w:rPr>
          <w:rFonts w:ascii="Arial" w:cs="Arial" w:eastAsia="Arial" w:hAnsi="Arial"/>
          <w:sz w:val="18"/>
          <w:szCs w:val="18"/>
          <w:u w:val="single" w:color="auto"/>
          <w:color w:val="262626"/>
        </w:rPr>
        <w:t>Lo</w:t>
      </w:r>
      <w:r>
        <w:rPr>
          <w:rFonts w:ascii="Arial" w:cs="Arial" w:eastAsia="Arial" w:hAnsi="Arial"/>
          <w:sz w:val="18"/>
          <w:szCs w:val="18"/>
          <w:u w:val="single" w:color="auto"/>
          <w:color w:val="414141"/>
        </w:rPr>
        <w:t>ss of E</w:t>
      </w:r>
      <w:r>
        <w:rPr>
          <w:rFonts w:ascii="Arial" w:cs="Arial" w:eastAsia="Arial" w:hAnsi="Arial"/>
          <w:sz w:val="18"/>
          <w:szCs w:val="18"/>
          <w:u w:val="single" w:color="auto"/>
          <w:color w:val="262626"/>
        </w:rPr>
        <w:t>njoym</w:t>
      </w:r>
      <w:r>
        <w:rPr>
          <w:rFonts w:ascii="Arial" w:cs="Arial" w:eastAsia="Arial" w:hAnsi="Arial"/>
          <w:sz w:val="18"/>
          <w:szCs w:val="18"/>
          <w:u w:val="single" w:color="auto"/>
          <w:color w:val="414141"/>
        </w:rPr>
        <w:t>e</w:t>
      </w:r>
      <w:r>
        <w:rPr>
          <w:rFonts w:ascii="Arial" w:cs="Arial" w:eastAsia="Arial" w:hAnsi="Arial"/>
          <w:sz w:val="18"/>
          <w:szCs w:val="18"/>
          <w:u w:val="single" w:color="auto"/>
          <w:color w:val="262626"/>
        </w:rPr>
        <w:t>nt</w:t>
      </w:r>
    </w:p>
    <w:p>
      <w:pPr>
        <w:spacing w:after="0" w:line="202" w:lineRule="exact"/>
        <w:rPr>
          <w:sz w:val="20"/>
          <w:szCs w:val="20"/>
          <w:color w:val="auto"/>
        </w:rPr>
      </w:pPr>
    </w:p>
    <w:p>
      <w:pPr>
        <w:ind w:right="60" w:firstLine="877"/>
        <w:spacing w:after="0" w:line="246" w:lineRule="auto"/>
        <w:rPr>
          <w:sz w:val="20"/>
          <w:szCs w:val="20"/>
          <w:color w:val="auto"/>
        </w:rPr>
      </w:pPr>
      <w:r>
        <w:rPr>
          <w:rFonts w:ascii="Arial" w:cs="Arial" w:eastAsia="Arial" w:hAnsi="Arial"/>
          <w:sz w:val="20"/>
          <w:szCs w:val="20"/>
          <w:color w:val="262626"/>
        </w:rPr>
        <w:t>No damages</w:t>
      </w:r>
      <w:r>
        <w:rPr>
          <w:rFonts w:ascii="Arial" w:cs="Arial" w:eastAsia="Arial" w:hAnsi="Arial"/>
          <w:sz w:val="20"/>
          <w:szCs w:val="20"/>
          <w:color w:val="414141"/>
        </w:rPr>
        <w:t>,</w:t>
      </w:r>
      <w:r>
        <w:rPr>
          <w:rFonts w:ascii="Arial" w:cs="Arial" w:eastAsia="Arial" w:hAnsi="Arial"/>
          <w:sz w:val="20"/>
          <w:szCs w:val="20"/>
          <w:color w:val="262626"/>
        </w:rPr>
        <w:t xml:space="preserve"> compensation or claim shall be payable by Landlord to Tenant for any inconvenience, loss of business or annoyance of Tenant arising from any repair or restoration of any portion of the Premises or any other portion of the Building or Common Areas performed by Landlord or its </w:t>
      </w:r>
      <w:r>
        <w:rPr>
          <w:rFonts w:ascii="Arial" w:cs="Arial" w:eastAsia="Arial" w:hAnsi="Arial"/>
          <w:sz w:val="20"/>
          <w:szCs w:val="20"/>
          <w:color w:val="282828"/>
        </w:rPr>
        <w:t>agents</w:t>
      </w:r>
      <w:r>
        <w:rPr>
          <w:rFonts w:ascii="Arial" w:cs="Arial" w:eastAsia="Arial" w:hAnsi="Arial"/>
          <w:sz w:val="20"/>
          <w:szCs w:val="20"/>
          <w:color w:val="262626"/>
        </w:rPr>
        <w:t>. Landlord shall use commercially reasonable efforts to effect such repair or restoration promptly and in such manner as not unreasonably to interfere with Tenant’s use and occupancy of the Premises.</w:t>
      </w:r>
    </w:p>
    <w:p>
      <w:pPr>
        <w:spacing w:after="0" w:line="17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15.3</w:t>
      </w:r>
      <w:r>
        <w:rPr>
          <w:sz w:val="20"/>
          <w:szCs w:val="20"/>
          <w:color w:val="auto"/>
        </w:rPr>
        <w:tab/>
      </w:r>
      <w:r>
        <w:rPr>
          <w:rFonts w:ascii="Arial" w:cs="Arial" w:eastAsia="Arial" w:hAnsi="Arial"/>
          <w:sz w:val="18"/>
          <w:szCs w:val="18"/>
          <w:u w:val="single" w:color="auto"/>
          <w:color w:val="262626"/>
        </w:rPr>
        <w:t>Aut</w:t>
      </w:r>
      <w:r>
        <w:rPr>
          <w:rFonts w:ascii="Arial" w:cs="Arial" w:eastAsia="Arial" w:hAnsi="Arial"/>
          <w:sz w:val="18"/>
          <w:szCs w:val="18"/>
          <w:u w:val="single" w:color="auto"/>
          <w:color w:val="414141"/>
        </w:rPr>
        <w:t>o</w:t>
      </w:r>
      <w:r>
        <w:rPr>
          <w:rFonts w:ascii="Arial" w:cs="Arial" w:eastAsia="Arial" w:hAnsi="Arial"/>
          <w:sz w:val="18"/>
          <w:szCs w:val="18"/>
          <w:u w:val="single" w:color="auto"/>
          <w:color w:val="262626"/>
        </w:rPr>
        <w:t>m</w:t>
      </w:r>
      <w:r>
        <w:rPr>
          <w:rFonts w:ascii="Arial" w:cs="Arial" w:eastAsia="Arial" w:hAnsi="Arial"/>
          <w:sz w:val="18"/>
          <w:szCs w:val="18"/>
          <w:u w:val="single" w:color="auto"/>
          <w:color w:val="414141"/>
        </w:rPr>
        <w:t>a</w:t>
      </w:r>
      <w:r>
        <w:rPr>
          <w:rFonts w:ascii="Arial" w:cs="Arial" w:eastAsia="Arial" w:hAnsi="Arial"/>
          <w:sz w:val="18"/>
          <w:szCs w:val="18"/>
          <w:u w:val="single" w:color="auto"/>
          <w:color w:val="262626"/>
        </w:rPr>
        <w:t>ti</w:t>
      </w:r>
      <w:r>
        <w:rPr>
          <w:rFonts w:ascii="Arial" w:cs="Arial" w:eastAsia="Arial" w:hAnsi="Arial"/>
          <w:sz w:val="18"/>
          <w:szCs w:val="18"/>
          <w:u w:val="single" w:color="auto"/>
          <w:color w:val="414141"/>
        </w:rPr>
        <w:t>c Te</w:t>
      </w:r>
      <w:r>
        <w:rPr>
          <w:rFonts w:ascii="Arial" w:cs="Arial" w:eastAsia="Arial" w:hAnsi="Arial"/>
          <w:sz w:val="18"/>
          <w:szCs w:val="18"/>
          <w:u w:val="single" w:color="auto"/>
          <w:color w:val="262626"/>
        </w:rPr>
        <w:t>rmination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262626"/>
        </w:rPr>
        <w:t xml:space="preserve">A total </w:t>
      </w:r>
      <w:r>
        <w:rPr>
          <w:rFonts w:ascii="Arial" w:cs="Arial" w:eastAsia="Arial" w:hAnsi="Arial"/>
          <w:sz w:val="20"/>
          <w:szCs w:val="20"/>
          <w:color w:val="282828"/>
        </w:rPr>
        <w:t>destruction</w:t>
      </w:r>
      <w:r>
        <w:rPr>
          <w:rFonts w:ascii="Arial" w:cs="Arial" w:eastAsia="Arial" w:hAnsi="Arial"/>
          <w:sz w:val="20"/>
          <w:szCs w:val="20"/>
          <w:color w:val="262626"/>
        </w:rPr>
        <w:t xml:space="preserve"> of the Building shall automatically terminate this Lease.</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262626"/>
        </w:rPr>
        <w:t>ARTICLE 16</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DEFAULTS AND REMEDIES</w:t>
      </w:r>
    </w:p>
    <w:p>
      <w:pPr>
        <w:spacing w:after="0" w:line="18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16.1</w:t>
      </w:r>
      <w:r>
        <w:rPr>
          <w:sz w:val="20"/>
          <w:szCs w:val="20"/>
          <w:color w:val="auto"/>
        </w:rPr>
        <w:tab/>
      </w:r>
      <w:r>
        <w:rPr>
          <w:rFonts w:ascii="Arial" w:cs="Arial" w:eastAsia="Arial" w:hAnsi="Arial"/>
          <w:sz w:val="18"/>
          <w:szCs w:val="18"/>
          <w:u w:val="single" w:color="auto"/>
          <w:color w:val="414141"/>
        </w:rPr>
        <w:t>E</w:t>
      </w:r>
      <w:r>
        <w:rPr>
          <w:rFonts w:ascii="Arial" w:cs="Arial" w:eastAsia="Arial" w:hAnsi="Arial"/>
          <w:sz w:val="18"/>
          <w:szCs w:val="18"/>
          <w:u w:val="single" w:color="auto"/>
          <w:color w:val="262626"/>
        </w:rPr>
        <w:t>ven</w:t>
      </w:r>
      <w:r>
        <w:rPr>
          <w:rFonts w:ascii="Arial" w:cs="Arial" w:eastAsia="Arial" w:hAnsi="Arial"/>
          <w:sz w:val="18"/>
          <w:szCs w:val="18"/>
          <w:u w:val="single" w:color="auto"/>
          <w:color w:val="414141"/>
        </w:rPr>
        <w:t xml:space="preserve">ts </w:t>
      </w:r>
      <w:r>
        <w:rPr>
          <w:rFonts w:ascii="Arial" w:cs="Arial" w:eastAsia="Arial" w:hAnsi="Arial"/>
          <w:sz w:val="18"/>
          <w:szCs w:val="18"/>
          <w:u w:val="single" w:color="auto"/>
          <w:color w:val="282828"/>
        </w:rPr>
        <w:t>of</w:t>
      </w:r>
      <w:r>
        <w:rPr>
          <w:rFonts w:ascii="Arial" w:cs="Arial" w:eastAsia="Arial" w:hAnsi="Arial"/>
          <w:sz w:val="18"/>
          <w:szCs w:val="18"/>
          <w:u w:val="single" w:color="auto"/>
          <w:color w:val="414141"/>
        </w:rPr>
        <w:t xml:space="preserve"> </w:t>
      </w:r>
      <w:r>
        <w:rPr>
          <w:rFonts w:ascii="Arial" w:cs="Arial" w:eastAsia="Arial" w:hAnsi="Arial"/>
          <w:sz w:val="18"/>
          <w:szCs w:val="18"/>
          <w:u w:val="single" w:color="auto"/>
          <w:color w:val="262626"/>
        </w:rPr>
        <w:t>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-14605</wp:posOffset>
            </wp:positionV>
            <wp:extent cx="311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9" w:lineRule="exact"/>
        <w:rPr>
          <w:sz w:val="20"/>
          <w:szCs w:val="20"/>
          <w:color w:val="auto"/>
        </w:rPr>
      </w:pPr>
    </w:p>
    <w:p>
      <w:pPr>
        <w:ind w:right="560" w:firstLine="877"/>
        <w:spacing w:after="0" w:line="260" w:lineRule="auto"/>
        <w:rPr>
          <w:sz w:val="20"/>
          <w:szCs w:val="20"/>
          <w:color w:val="auto"/>
        </w:rPr>
      </w:pPr>
      <w:r>
        <w:rPr>
          <w:rFonts w:ascii="Arial" w:cs="Arial" w:eastAsia="Arial" w:hAnsi="Arial"/>
          <w:sz w:val="20"/>
          <w:szCs w:val="20"/>
          <w:color w:val="262626"/>
        </w:rPr>
        <w:t>Any act or omission of Tenant, in breach of the Lease, which does not constitute an Event of Default shall be a “Default.” The occurrence of any of the following shall constitute an “Event of Default” and breach of this Lease by Tenant:</w:t>
      </w:r>
    </w:p>
    <w:p>
      <w:pPr>
        <w:spacing w:after="0" w:line="163" w:lineRule="exact"/>
        <w:rPr>
          <w:sz w:val="20"/>
          <w:szCs w:val="20"/>
          <w:color w:val="auto"/>
        </w:rPr>
      </w:pPr>
    </w:p>
    <w:p>
      <w:pPr>
        <w:ind w:right="80" w:firstLine="1763"/>
        <w:spacing w:after="0" w:line="291" w:lineRule="auto"/>
        <w:tabs>
          <w:tab w:leader="none" w:pos="2620" w:val="left"/>
        </w:tabs>
        <w:numPr>
          <w:ilvl w:val="0"/>
          <w:numId w:val="63"/>
        </w:numPr>
        <w:rPr>
          <w:rFonts w:ascii="Arial" w:cs="Arial" w:eastAsia="Arial" w:hAnsi="Arial"/>
          <w:sz w:val="18"/>
          <w:szCs w:val="18"/>
          <w:color w:val="262626"/>
        </w:rPr>
      </w:pPr>
      <w:r>
        <w:rPr>
          <w:rFonts w:ascii="Arial" w:cs="Arial" w:eastAsia="Arial" w:hAnsi="Arial"/>
          <w:sz w:val="18"/>
          <w:szCs w:val="18"/>
          <w:color w:val="262626"/>
        </w:rPr>
        <w:t>Any failur</w:t>
      </w:r>
      <w:r>
        <w:rPr>
          <w:rFonts w:ascii="Arial" w:cs="Arial" w:eastAsia="Arial" w:hAnsi="Arial"/>
          <w:sz w:val="18"/>
          <w:szCs w:val="18"/>
          <w:color w:val="414141"/>
        </w:rPr>
        <w:t>e</w:t>
      </w:r>
      <w:r>
        <w:rPr>
          <w:rFonts w:ascii="Arial" w:cs="Arial" w:eastAsia="Arial" w:hAnsi="Arial"/>
          <w:sz w:val="18"/>
          <w:szCs w:val="18"/>
          <w:color w:val="262626"/>
        </w:rPr>
        <w:t xml:space="preserve"> by T</w:t>
      </w:r>
      <w:r>
        <w:rPr>
          <w:rFonts w:ascii="Arial" w:cs="Arial" w:eastAsia="Arial" w:hAnsi="Arial"/>
          <w:sz w:val="18"/>
          <w:szCs w:val="18"/>
          <w:color w:val="414141"/>
        </w:rPr>
        <w:t>e</w:t>
      </w:r>
      <w:r>
        <w:rPr>
          <w:rFonts w:ascii="Arial" w:cs="Arial" w:eastAsia="Arial" w:hAnsi="Arial"/>
          <w:sz w:val="18"/>
          <w:szCs w:val="18"/>
          <w:color w:val="262626"/>
        </w:rPr>
        <w:t>nan</w:t>
      </w:r>
      <w:r>
        <w:rPr>
          <w:rFonts w:ascii="Arial" w:cs="Arial" w:eastAsia="Arial" w:hAnsi="Arial"/>
          <w:sz w:val="18"/>
          <w:szCs w:val="18"/>
          <w:color w:val="414141"/>
        </w:rPr>
        <w:t>t</w:t>
      </w:r>
      <w:r>
        <w:rPr>
          <w:rFonts w:ascii="Arial" w:cs="Arial" w:eastAsia="Arial" w:hAnsi="Arial"/>
          <w:sz w:val="18"/>
          <w:szCs w:val="18"/>
          <w:color w:val="262626"/>
        </w:rPr>
        <w:t xml:space="preserve"> to pay R</w:t>
      </w:r>
      <w:r>
        <w:rPr>
          <w:rFonts w:ascii="Arial" w:cs="Arial" w:eastAsia="Arial" w:hAnsi="Arial"/>
          <w:sz w:val="18"/>
          <w:szCs w:val="18"/>
          <w:color w:val="414141"/>
        </w:rPr>
        <w:t>e</w:t>
      </w:r>
      <w:r>
        <w:rPr>
          <w:rFonts w:ascii="Arial" w:cs="Arial" w:eastAsia="Arial" w:hAnsi="Arial"/>
          <w:sz w:val="18"/>
          <w:szCs w:val="18"/>
          <w:color w:val="262626"/>
        </w:rPr>
        <w:t>n</w:t>
      </w:r>
      <w:r>
        <w:rPr>
          <w:rFonts w:ascii="Arial" w:cs="Arial" w:eastAsia="Arial" w:hAnsi="Arial"/>
          <w:sz w:val="18"/>
          <w:szCs w:val="18"/>
          <w:color w:val="414141"/>
        </w:rPr>
        <w:t>t a</w:t>
      </w:r>
      <w:r>
        <w:rPr>
          <w:rFonts w:ascii="Arial" w:cs="Arial" w:eastAsia="Arial" w:hAnsi="Arial"/>
          <w:sz w:val="18"/>
          <w:szCs w:val="18"/>
          <w:color w:val="262626"/>
        </w:rPr>
        <w:t>s and when du</w:t>
      </w:r>
      <w:r>
        <w:rPr>
          <w:rFonts w:ascii="Arial" w:cs="Arial" w:eastAsia="Arial" w:hAnsi="Arial"/>
          <w:sz w:val="18"/>
          <w:szCs w:val="18"/>
          <w:color w:val="414141"/>
        </w:rPr>
        <w:t>e,</w:t>
      </w:r>
      <w:r>
        <w:rPr>
          <w:rFonts w:ascii="Arial" w:cs="Arial" w:eastAsia="Arial" w:hAnsi="Arial"/>
          <w:sz w:val="18"/>
          <w:szCs w:val="18"/>
          <w:color w:val="262626"/>
        </w:rPr>
        <w:t xml:space="preserve"> for more than three (3) days after written noti</w:t>
      </w:r>
      <w:r>
        <w:rPr>
          <w:rFonts w:ascii="Arial" w:cs="Arial" w:eastAsia="Arial" w:hAnsi="Arial"/>
          <w:sz w:val="18"/>
          <w:szCs w:val="18"/>
          <w:color w:val="414141"/>
        </w:rPr>
        <w:t>ce</w:t>
      </w:r>
      <w:r>
        <w:rPr>
          <w:rFonts w:ascii="Arial" w:cs="Arial" w:eastAsia="Arial" w:hAnsi="Arial"/>
          <w:sz w:val="18"/>
          <w:szCs w:val="18"/>
          <w:color w:val="262626"/>
        </w:rPr>
        <w:t xml:space="preserve"> thereof by </w:t>
      </w:r>
      <w:r>
        <w:rPr>
          <w:rFonts w:ascii="Arial" w:cs="Arial" w:eastAsia="Arial" w:hAnsi="Arial"/>
          <w:sz w:val="18"/>
          <w:szCs w:val="18"/>
          <w:color w:val="414141"/>
        </w:rPr>
        <w:t>La</w:t>
      </w:r>
      <w:r>
        <w:rPr>
          <w:rFonts w:ascii="Arial" w:cs="Arial" w:eastAsia="Arial" w:hAnsi="Arial"/>
          <w:sz w:val="18"/>
          <w:szCs w:val="18"/>
          <w:color w:val="262626"/>
        </w:rPr>
        <w:t xml:space="preserve">ndlord to </w:t>
      </w:r>
      <w:r>
        <w:rPr>
          <w:rFonts w:ascii="Arial" w:cs="Arial" w:eastAsia="Arial" w:hAnsi="Arial"/>
          <w:sz w:val="18"/>
          <w:szCs w:val="18"/>
          <w:color w:val="414141"/>
        </w:rPr>
        <w:t>Te</w:t>
      </w:r>
      <w:r>
        <w:rPr>
          <w:rFonts w:ascii="Arial" w:cs="Arial" w:eastAsia="Arial" w:hAnsi="Arial"/>
          <w:sz w:val="18"/>
          <w:szCs w:val="18"/>
          <w:color w:val="262626"/>
        </w:rPr>
        <w:t>nant; provided, ho</w:t>
      </w:r>
      <w:r>
        <w:rPr>
          <w:rFonts w:ascii="Arial" w:cs="Arial" w:eastAsia="Arial" w:hAnsi="Arial"/>
          <w:sz w:val="18"/>
          <w:szCs w:val="18"/>
          <w:color w:val="414141"/>
        </w:rPr>
        <w:t>we</w:t>
      </w:r>
      <w:r>
        <w:rPr>
          <w:rFonts w:ascii="Arial" w:cs="Arial" w:eastAsia="Arial" w:hAnsi="Arial"/>
          <w:sz w:val="18"/>
          <w:szCs w:val="18"/>
          <w:color w:val="262626"/>
        </w:rPr>
        <w:t xml:space="preserve">ver, </w:t>
      </w:r>
      <w:r>
        <w:rPr>
          <w:rFonts w:ascii="Arial" w:cs="Arial" w:eastAsia="Arial" w:hAnsi="Arial"/>
          <w:sz w:val="18"/>
          <w:szCs w:val="18"/>
          <w:color w:val="414141"/>
        </w:rPr>
        <w:t>t</w:t>
      </w:r>
      <w:r>
        <w:rPr>
          <w:rFonts w:ascii="Arial" w:cs="Arial" w:eastAsia="Arial" w:hAnsi="Arial"/>
          <w:sz w:val="18"/>
          <w:szCs w:val="18"/>
          <w:color w:val="262626"/>
        </w:rPr>
        <w:t>h</w:t>
      </w:r>
      <w:r>
        <w:rPr>
          <w:rFonts w:ascii="Arial" w:cs="Arial" w:eastAsia="Arial" w:hAnsi="Arial"/>
          <w:sz w:val="18"/>
          <w:szCs w:val="18"/>
          <w:color w:val="414141"/>
        </w:rPr>
        <w:t>at</w:t>
      </w:r>
      <w:r>
        <w:rPr>
          <w:rFonts w:ascii="Arial" w:cs="Arial" w:eastAsia="Arial" w:hAnsi="Arial"/>
          <w:sz w:val="18"/>
          <w:szCs w:val="18"/>
          <w:color w:val="262626"/>
        </w:rPr>
        <w:t xml:space="preserve"> any such notice shall be in lieu of, and not in addition to, any notice required under Section 1161, et seq. of the California Code of Civil Procedure or any successor statute thereto or similar statute hereinafter enacted; or</w:t>
      </w:r>
    </w:p>
    <w:p>
      <w:pPr>
        <w:spacing w:after="0" w:line="138" w:lineRule="exact"/>
        <w:rPr>
          <w:rFonts w:ascii="Arial" w:cs="Arial" w:eastAsia="Arial" w:hAnsi="Arial"/>
          <w:sz w:val="18"/>
          <w:szCs w:val="18"/>
          <w:color w:val="262626"/>
        </w:rPr>
      </w:pPr>
    </w:p>
    <w:p>
      <w:pPr>
        <w:ind w:right="460" w:firstLine="1763"/>
        <w:spacing w:after="0" w:line="260" w:lineRule="auto"/>
        <w:tabs>
          <w:tab w:leader="none" w:pos="2631" w:val="left"/>
        </w:tabs>
        <w:numPr>
          <w:ilvl w:val="0"/>
          <w:numId w:val="63"/>
        </w:numPr>
        <w:rPr>
          <w:rFonts w:ascii="Arial" w:cs="Arial" w:eastAsia="Arial" w:hAnsi="Arial"/>
          <w:sz w:val="20"/>
          <w:szCs w:val="20"/>
          <w:color w:val="262626"/>
        </w:rPr>
      </w:pPr>
      <w:r>
        <w:rPr>
          <w:rFonts w:ascii="Arial" w:cs="Arial" w:eastAsia="Arial" w:hAnsi="Arial"/>
          <w:sz w:val="20"/>
          <w:szCs w:val="20"/>
          <w:color w:val="262626"/>
        </w:rPr>
        <w:t>The abandonment of the Premises by Tenant, Landlord acknowledging that ceasing operations shall not be deemed abandonment unless Tenant ceases operations for more than sixty (60) days; 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28</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6" w:name="page157"/>
    <w:bookmarkEnd w:id="156"/>
    <w:p>
      <w:pPr>
        <w:ind w:right="240" w:firstLine="1763"/>
        <w:spacing w:after="0" w:line="316" w:lineRule="auto"/>
        <w:tabs>
          <w:tab w:leader="none" w:pos="2620" w:val="left"/>
        </w:tabs>
        <w:numPr>
          <w:ilvl w:val="0"/>
          <w:numId w:val="64"/>
        </w:numPr>
        <w:rPr>
          <w:rFonts w:ascii="Arial" w:cs="Arial" w:eastAsia="Arial" w:hAnsi="Arial"/>
          <w:sz w:val="18"/>
          <w:szCs w:val="18"/>
          <w:color w:val="262626"/>
        </w:rPr>
      </w:pPr>
      <w:r>
        <w:rPr>
          <w:rFonts w:ascii="Arial" w:cs="Arial" w:eastAsia="Arial" w:hAnsi="Arial"/>
          <w:sz w:val="18"/>
          <w:szCs w:val="18"/>
          <w:color w:val="262626"/>
        </w:rPr>
        <w:t>Any failure by Tenant to deliver an estoppel certificate under Section 20.11 or an instrument requested by the Holder of a Superior Interest under Article 18, as the case may be, within the time period set forth in such provisions; or</w:t>
      </w:r>
    </w:p>
    <w:p>
      <w:pPr>
        <w:spacing w:after="0" w:line="103" w:lineRule="exact"/>
        <w:rPr>
          <w:rFonts w:ascii="Arial" w:cs="Arial" w:eastAsia="Arial" w:hAnsi="Arial"/>
          <w:sz w:val="18"/>
          <w:szCs w:val="18"/>
          <w:color w:val="262626"/>
        </w:rPr>
      </w:pPr>
    </w:p>
    <w:p>
      <w:pPr>
        <w:ind w:right="40" w:firstLine="1763"/>
        <w:spacing w:after="0" w:line="263" w:lineRule="auto"/>
        <w:tabs>
          <w:tab w:leader="none" w:pos="2631" w:val="left"/>
        </w:tabs>
        <w:numPr>
          <w:ilvl w:val="0"/>
          <w:numId w:val="64"/>
        </w:numPr>
        <w:rPr>
          <w:rFonts w:ascii="Arial" w:cs="Arial" w:eastAsia="Arial" w:hAnsi="Arial"/>
          <w:sz w:val="19"/>
          <w:szCs w:val="19"/>
          <w:color w:val="262626"/>
        </w:rPr>
      </w:pPr>
      <w:r>
        <w:rPr>
          <w:rFonts w:ascii="Arial" w:cs="Arial" w:eastAsia="Arial" w:hAnsi="Arial"/>
          <w:sz w:val="19"/>
          <w:szCs w:val="19"/>
          <w:color w:val="262626"/>
        </w:rPr>
        <w:t>Any failure by Tenant to observe and perform any other provision of this Lease or the Rules and Regulations (as defined in Section 20.14 below) where such failure continues for thirty (30) days after written notice thereof by Landlord to Tenant; provided, however, that any such notice shall be in lieu of and not in addition to, any notice required under Section 1161, et seq. of the California Code of Civil Procedure or any successor statute thereto or similar statute hereinafter enacted; or</w:t>
      </w:r>
    </w:p>
    <w:p>
      <w:pPr>
        <w:spacing w:after="0" w:line="163" w:lineRule="exact"/>
        <w:rPr>
          <w:rFonts w:ascii="Arial" w:cs="Arial" w:eastAsia="Arial" w:hAnsi="Arial"/>
          <w:sz w:val="19"/>
          <w:szCs w:val="19"/>
          <w:color w:val="262626"/>
        </w:rPr>
      </w:pPr>
    </w:p>
    <w:p>
      <w:pPr>
        <w:ind w:right="40" w:firstLine="1763"/>
        <w:spacing w:after="0" w:line="316" w:lineRule="auto"/>
        <w:tabs>
          <w:tab w:leader="none" w:pos="2620" w:val="left"/>
        </w:tabs>
        <w:numPr>
          <w:ilvl w:val="0"/>
          <w:numId w:val="64"/>
        </w:numPr>
        <w:rPr>
          <w:rFonts w:ascii="Arial" w:cs="Arial" w:eastAsia="Arial" w:hAnsi="Arial"/>
          <w:sz w:val="16"/>
          <w:szCs w:val="16"/>
          <w:color w:val="262626"/>
        </w:rPr>
      </w:pPr>
      <w:r>
        <w:rPr>
          <w:rFonts w:ascii="Arial" w:cs="Arial" w:eastAsia="Arial" w:hAnsi="Arial"/>
          <w:sz w:val="16"/>
          <w:szCs w:val="16"/>
          <w:color w:val="262626"/>
        </w:rPr>
        <w:t>The making by Tenant of any general assignment for the benefit of creditors; the filing by or against Tenant of a petition to have Tenant adjudged a Chapter 7 debtor or to have debts discharged or of a petition for reorganization or arrangement under any Law relating to bankruptcy (unless, in the case of a petition filed against Tenant, the same is dismissed within ninety (90) days); the appointment of a trustee or receiver to take possession of substantially all of Tenant’s assets located at the Premises or of Tenant’s interest in this Lease, where possession is not restored to Tenant within ninety (90) days; or the attachment, execution or other judicial seizure of substantially all of Tenant’s assets located at the Premises or of Tenant’s interest in this Lease, where such seizure is not discharged within ninety (90) days.</w:t>
      </w:r>
    </w:p>
    <w:p>
      <w:pPr>
        <w:spacing w:after="0" w:line="12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16.2</w:t>
      </w:r>
      <w:r>
        <w:rPr>
          <w:sz w:val="20"/>
          <w:szCs w:val="20"/>
          <w:color w:val="auto"/>
        </w:rPr>
        <w:tab/>
      </w:r>
      <w:r>
        <w:rPr>
          <w:rFonts w:ascii="Arial" w:cs="Arial" w:eastAsia="Arial" w:hAnsi="Arial"/>
          <w:sz w:val="18"/>
          <w:szCs w:val="18"/>
          <w:u w:val="single" w:color="auto"/>
          <w:color w:val="262626"/>
        </w:rPr>
        <w:t>Landlord’s Remedies</w:t>
      </w:r>
    </w:p>
    <w:p>
      <w:pPr>
        <w:spacing w:after="0" w:line="189" w:lineRule="exact"/>
        <w:rPr>
          <w:sz w:val="20"/>
          <w:szCs w:val="20"/>
          <w:color w:val="auto"/>
        </w:rPr>
      </w:pPr>
    </w:p>
    <w:p>
      <w:pPr>
        <w:ind w:right="320" w:firstLine="1763"/>
        <w:spacing w:after="0" w:line="246" w:lineRule="auto"/>
        <w:tabs>
          <w:tab w:leader="none" w:pos="2620" w:val="left"/>
        </w:tabs>
        <w:numPr>
          <w:ilvl w:val="0"/>
          <w:numId w:val="65"/>
        </w:numPr>
        <w:rPr>
          <w:rFonts w:ascii="Arial" w:cs="Arial" w:eastAsia="Arial" w:hAnsi="Arial"/>
          <w:sz w:val="20"/>
          <w:szCs w:val="20"/>
          <w:color w:val="262626"/>
        </w:rPr>
      </w:pPr>
      <w:r>
        <w:rPr>
          <w:rFonts w:ascii="Arial" w:cs="Arial" w:eastAsia="Arial" w:hAnsi="Arial"/>
          <w:sz w:val="20"/>
          <w:szCs w:val="20"/>
          <w:color w:val="262626"/>
        </w:rPr>
        <w:t>In the event of an Event of Default by Tenant, as defined herein, then, in addition to any other remedies available to Landlord at law or in equity, Landlord shall have the immediate option, but shall not be obligated to do so, to terminate this Lease and all rights of Tenant hereunder by giving Tenant written notice of such election to terminate. In the event that Landlord shall elect to so terminate this Lease, then Landlord may recover from Tenant:</w:t>
      </w:r>
    </w:p>
    <w:p>
      <w:pPr>
        <w:spacing w:after="0" w:line="178" w:lineRule="exact"/>
        <w:rPr>
          <w:rFonts w:ascii="Arial" w:cs="Arial" w:eastAsia="Arial" w:hAnsi="Arial"/>
          <w:sz w:val="20"/>
          <w:szCs w:val="20"/>
          <w:color w:val="262626"/>
        </w:rPr>
      </w:pPr>
    </w:p>
    <w:p>
      <w:pPr>
        <w:ind w:left="3480" w:hanging="838"/>
        <w:spacing w:after="0"/>
        <w:tabs>
          <w:tab w:leader="none" w:pos="3480" w:val="left"/>
        </w:tabs>
        <w:numPr>
          <w:ilvl w:val="1"/>
          <w:numId w:val="65"/>
        </w:numPr>
        <w:rPr>
          <w:rFonts w:ascii="Arial" w:cs="Arial" w:eastAsia="Arial" w:hAnsi="Arial"/>
          <w:sz w:val="19"/>
          <w:szCs w:val="19"/>
          <w:color w:val="262626"/>
        </w:rPr>
      </w:pPr>
      <w:r>
        <w:rPr>
          <w:rFonts w:ascii="Arial" w:cs="Arial" w:eastAsia="Arial" w:hAnsi="Arial"/>
          <w:sz w:val="19"/>
          <w:szCs w:val="19"/>
          <w:color w:val="262626"/>
        </w:rPr>
        <w:t>The worth at the time of award of any unpaid Rent which had been earned at the time of such</w:t>
      </w:r>
    </w:p>
    <w:p>
      <w:pPr>
        <w:spacing w:after="0" w:line="27" w:lineRule="exact"/>
        <w:rPr>
          <w:rFonts w:ascii="Arial" w:cs="Arial" w:eastAsia="Arial" w:hAnsi="Arial"/>
          <w:sz w:val="19"/>
          <w:szCs w:val="19"/>
          <w:color w:val="262626"/>
        </w:rPr>
      </w:pPr>
    </w:p>
    <w:p>
      <w:pPr>
        <w:spacing w:after="0"/>
        <w:rPr>
          <w:rFonts w:ascii="Arial" w:cs="Arial" w:eastAsia="Arial" w:hAnsi="Arial"/>
          <w:sz w:val="19"/>
          <w:szCs w:val="19"/>
          <w:color w:val="262626"/>
        </w:rPr>
      </w:pPr>
      <w:r>
        <w:rPr>
          <w:rFonts w:ascii="Arial" w:cs="Arial" w:eastAsia="Arial" w:hAnsi="Arial"/>
          <w:sz w:val="20"/>
          <w:szCs w:val="20"/>
          <w:color w:val="262626"/>
        </w:rPr>
        <w:t>termination; plus</w:t>
      </w:r>
    </w:p>
    <w:p>
      <w:pPr>
        <w:spacing w:after="0" w:line="186" w:lineRule="exact"/>
        <w:rPr>
          <w:rFonts w:ascii="Arial" w:cs="Arial" w:eastAsia="Arial" w:hAnsi="Arial"/>
          <w:sz w:val="19"/>
          <w:szCs w:val="19"/>
          <w:color w:val="262626"/>
        </w:rPr>
      </w:pPr>
    </w:p>
    <w:p>
      <w:pPr>
        <w:ind w:right="40" w:firstLine="2642"/>
        <w:spacing w:after="0" w:line="386" w:lineRule="auto"/>
        <w:tabs>
          <w:tab w:leader="none" w:pos="3520" w:val="left"/>
        </w:tabs>
        <w:numPr>
          <w:ilvl w:val="1"/>
          <w:numId w:val="65"/>
        </w:numPr>
        <w:rPr>
          <w:rFonts w:ascii="Arial" w:cs="Arial" w:eastAsia="Arial" w:hAnsi="Arial"/>
          <w:sz w:val="16"/>
          <w:szCs w:val="16"/>
          <w:color w:val="262626"/>
        </w:rPr>
      </w:pPr>
      <w:r>
        <w:rPr>
          <w:rFonts w:ascii="Arial" w:cs="Arial" w:eastAsia="Arial" w:hAnsi="Arial"/>
          <w:sz w:val="16"/>
          <w:szCs w:val="16"/>
          <w:color w:val="262626"/>
        </w:rPr>
        <w:t>The worth at the time of award of the amount by which the unpaid Rent which would have been earned after termination until the time of award exceeds that portion of rental loss which Tenant proves could have been reasonably avoided; plus</w:t>
      </w:r>
    </w:p>
    <w:p>
      <w:pPr>
        <w:spacing w:after="0" w:line="56" w:lineRule="exact"/>
        <w:rPr>
          <w:rFonts w:ascii="Arial" w:cs="Arial" w:eastAsia="Arial" w:hAnsi="Arial"/>
          <w:sz w:val="16"/>
          <w:szCs w:val="16"/>
          <w:color w:val="262626"/>
        </w:rPr>
      </w:pPr>
    </w:p>
    <w:p>
      <w:pPr>
        <w:ind w:left="3580" w:hanging="938"/>
        <w:spacing w:after="0"/>
        <w:tabs>
          <w:tab w:leader="none" w:pos="3580" w:val="left"/>
        </w:tabs>
        <w:numPr>
          <w:ilvl w:val="1"/>
          <w:numId w:val="65"/>
        </w:numPr>
        <w:rPr>
          <w:rFonts w:ascii="Arial" w:cs="Arial" w:eastAsia="Arial" w:hAnsi="Arial"/>
          <w:sz w:val="16"/>
          <w:szCs w:val="16"/>
          <w:color w:val="262626"/>
        </w:rPr>
      </w:pPr>
      <w:r>
        <w:rPr>
          <w:rFonts w:ascii="Arial" w:cs="Arial" w:eastAsia="Arial" w:hAnsi="Arial"/>
          <w:sz w:val="16"/>
          <w:szCs w:val="16"/>
          <w:color w:val="262626"/>
        </w:rPr>
        <w:t>The worth at the time of award of the amount by which the unpaid Rent for the balance of the Term</w:t>
      </w:r>
    </w:p>
    <w:p>
      <w:pPr>
        <w:spacing w:after="0" w:line="61" w:lineRule="exact"/>
        <w:rPr>
          <w:rFonts w:ascii="Arial" w:cs="Arial" w:eastAsia="Arial" w:hAnsi="Arial"/>
          <w:sz w:val="16"/>
          <w:szCs w:val="16"/>
          <w:color w:val="262626"/>
        </w:rPr>
      </w:pPr>
    </w:p>
    <w:p>
      <w:pPr>
        <w:spacing w:after="0"/>
        <w:rPr>
          <w:rFonts w:ascii="Arial" w:cs="Arial" w:eastAsia="Arial" w:hAnsi="Arial"/>
          <w:sz w:val="16"/>
          <w:szCs w:val="16"/>
          <w:color w:val="262626"/>
        </w:rPr>
      </w:pPr>
      <w:r>
        <w:rPr>
          <w:rFonts w:ascii="Arial" w:cs="Arial" w:eastAsia="Arial" w:hAnsi="Arial"/>
          <w:sz w:val="20"/>
          <w:szCs w:val="20"/>
          <w:color w:val="262626"/>
        </w:rPr>
        <w:t>after the time of award exceeds the amount of such rental loss which Tenant proves reasonably could be avoided; plus</w:t>
      </w:r>
    </w:p>
    <w:p>
      <w:pPr>
        <w:spacing w:after="0" w:line="186" w:lineRule="exact"/>
        <w:rPr>
          <w:rFonts w:ascii="Arial" w:cs="Arial" w:eastAsia="Arial" w:hAnsi="Arial"/>
          <w:sz w:val="16"/>
          <w:szCs w:val="16"/>
          <w:color w:val="262626"/>
        </w:rPr>
      </w:pPr>
    </w:p>
    <w:p>
      <w:pPr>
        <w:ind w:right="80" w:firstLine="2642"/>
        <w:spacing w:after="0" w:line="291" w:lineRule="auto"/>
        <w:tabs>
          <w:tab w:leader="none" w:pos="3564" w:val="left"/>
        </w:tabs>
        <w:numPr>
          <w:ilvl w:val="1"/>
          <w:numId w:val="65"/>
        </w:numPr>
        <w:rPr>
          <w:rFonts w:ascii="Arial" w:cs="Arial" w:eastAsia="Arial" w:hAnsi="Arial"/>
          <w:sz w:val="18"/>
          <w:szCs w:val="18"/>
          <w:color w:val="282828"/>
        </w:rPr>
      </w:pPr>
      <w:r>
        <w:rPr>
          <w:rFonts w:ascii="Arial" w:cs="Arial" w:eastAsia="Arial" w:hAnsi="Arial"/>
          <w:sz w:val="18"/>
          <w:szCs w:val="18"/>
          <w:color w:val="282828"/>
        </w:rPr>
        <w:t>Any other amount necessary to compensate Landlord for all the detriment proximately caused by Tenant’s failure to perform its obligation under this Lease or which in the ordinary course of things would be likely to result therefrom including, but not limited to, brokerage commissions and the cost of restoring said Premises to the condition required under this Lease; plus</w:t>
      </w:r>
    </w:p>
    <w:p>
      <w:pPr>
        <w:spacing w:after="0" w:line="138" w:lineRule="exact"/>
        <w:rPr>
          <w:rFonts w:ascii="Arial" w:cs="Arial" w:eastAsia="Arial" w:hAnsi="Arial"/>
          <w:sz w:val="18"/>
          <w:szCs w:val="18"/>
          <w:color w:val="282828"/>
        </w:rPr>
      </w:pPr>
    </w:p>
    <w:p>
      <w:pPr>
        <w:ind w:right="580" w:firstLine="2642"/>
        <w:spacing w:after="0" w:line="260" w:lineRule="auto"/>
        <w:tabs>
          <w:tab w:leader="none" w:pos="3510" w:val="left"/>
        </w:tabs>
        <w:numPr>
          <w:ilvl w:val="1"/>
          <w:numId w:val="65"/>
        </w:numPr>
        <w:rPr>
          <w:rFonts w:ascii="Arial" w:cs="Arial" w:eastAsia="Arial" w:hAnsi="Arial"/>
          <w:sz w:val="20"/>
          <w:szCs w:val="20"/>
          <w:color w:val="282828"/>
        </w:rPr>
      </w:pPr>
      <w:r>
        <w:rPr>
          <w:rFonts w:ascii="Arial" w:cs="Arial" w:eastAsia="Arial" w:hAnsi="Arial"/>
          <w:sz w:val="20"/>
          <w:szCs w:val="20"/>
          <w:color w:val="282828"/>
        </w:rPr>
        <w:t>At Landlord’s election, such other amounts in addition to or in lieu of the foregoing as may be permitted from time to time by applicable Law.</w:t>
      </w:r>
    </w:p>
    <w:p>
      <w:pPr>
        <w:spacing w:after="0" w:line="149" w:lineRule="exact"/>
        <w:rPr>
          <w:rFonts w:ascii="Arial" w:cs="Arial" w:eastAsia="Arial" w:hAnsi="Arial"/>
          <w:sz w:val="20"/>
          <w:szCs w:val="20"/>
          <w:color w:val="282828"/>
        </w:rPr>
      </w:pPr>
    </w:p>
    <w:p>
      <w:pPr>
        <w:ind w:right="300" w:firstLine="2642"/>
        <w:spacing w:after="0" w:line="269" w:lineRule="auto"/>
        <w:tabs>
          <w:tab w:leader="none" w:pos="3564" w:val="left"/>
        </w:tabs>
        <w:numPr>
          <w:ilvl w:val="1"/>
          <w:numId w:val="65"/>
        </w:numPr>
        <w:rPr>
          <w:rFonts w:ascii="Arial" w:cs="Arial" w:eastAsia="Arial" w:hAnsi="Arial"/>
          <w:sz w:val="19"/>
          <w:szCs w:val="19"/>
          <w:color w:val="282828"/>
        </w:rPr>
      </w:pPr>
      <w:r>
        <w:rPr>
          <w:rFonts w:ascii="Arial" w:cs="Arial" w:eastAsia="Arial" w:hAnsi="Arial"/>
          <w:sz w:val="19"/>
          <w:szCs w:val="19"/>
          <w:color w:val="282828"/>
        </w:rPr>
        <w:t>As used in (i) and (ii) above</w:t>
      </w:r>
      <w:r>
        <w:rPr>
          <w:rFonts w:ascii="Arial" w:cs="Arial" w:eastAsia="Arial" w:hAnsi="Arial"/>
          <w:sz w:val="19"/>
          <w:szCs w:val="19"/>
          <w:color w:val="4B4B4B"/>
        </w:rPr>
        <w:t>,</w:t>
      </w:r>
      <w:r>
        <w:rPr>
          <w:rFonts w:ascii="Arial" w:cs="Arial" w:eastAsia="Arial" w:hAnsi="Arial"/>
          <w:sz w:val="19"/>
          <w:szCs w:val="19"/>
          <w:color w:val="282828"/>
        </w:rPr>
        <w:t xml:space="preserve"> the “worth at the time of award” shall be computed by allowing interest at the Interest Rate. As used in (iii) above, “worth at the time of award” shall be computed by discounting such amount at the discount rate of the Federal Reserve Bank at San Francisco at the time of award, plus one (1) percentage point.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29</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7" w:name="page158"/>
    <w:bookmarkEnd w:id="157"/>
    <w:p>
      <w:pPr>
        <w:ind w:right="140" w:firstLine="1763"/>
        <w:spacing w:after="0" w:line="250" w:lineRule="auto"/>
        <w:tabs>
          <w:tab w:leader="none" w:pos="2631" w:val="left"/>
        </w:tabs>
        <w:numPr>
          <w:ilvl w:val="0"/>
          <w:numId w:val="66"/>
        </w:numPr>
        <w:rPr>
          <w:rFonts w:ascii="Arial" w:cs="Arial" w:eastAsia="Arial" w:hAnsi="Arial"/>
          <w:sz w:val="20"/>
          <w:szCs w:val="20"/>
          <w:color w:val="282828"/>
        </w:rPr>
      </w:pPr>
      <w:r>
        <w:rPr>
          <w:rFonts w:ascii="Arial" w:cs="Arial" w:eastAsia="Arial" w:hAnsi="Arial"/>
          <w:sz w:val="20"/>
          <w:szCs w:val="20"/>
          <w:color w:val="282828"/>
        </w:rPr>
        <w:t>In the event of any such Event of Default by Tenant, Landlord shall also have the right</w:t>
      </w:r>
      <w:r>
        <w:rPr>
          <w:rFonts w:ascii="Arial" w:cs="Arial" w:eastAsia="Arial" w:hAnsi="Arial"/>
          <w:sz w:val="20"/>
          <w:szCs w:val="20"/>
          <w:color w:val="4B4B4B"/>
        </w:rPr>
        <w:t>,</w:t>
      </w:r>
      <w:r>
        <w:rPr>
          <w:rFonts w:ascii="Arial" w:cs="Arial" w:eastAsia="Arial" w:hAnsi="Arial"/>
          <w:sz w:val="20"/>
          <w:szCs w:val="20"/>
          <w:color w:val="282828"/>
        </w:rPr>
        <w:t xml:space="preserve"> with or </w:t>
      </w:r>
      <w:r>
        <w:rPr>
          <w:rFonts w:ascii="Arial" w:cs="Arial" w:eastAsia="Arial" w:hAnsi="Arial"/>
          <w:sz w:val="20"/>
          <w:szCs w:val="20"/>
          <w:color w:val="262626"/>
        </w:rPr>
        <w:t>without</w:t>
      </w:r>
      <w:r>
        <w:rPr>
          <w:rFonts w:ascii="Arial" w:cs="Arial" w:eastAsia="Arial" w:hAnsi="Arial"/>
          <w:sz w:val="20"/>
          <w:szCs w:val="20"/>
          <w:color w:val="282828"/>
        </w:rPr>
        <w:t xml:space="preserve"> </w:t>
      </w:r>
      <w:r>
        <w:rPr>
          <w:rFonts w:ascii="Arial" w:cs="Arial" w:eastAsia="Arial" w:hAnsi="Arial"/>
          <w:sz w:val="20"/>
          <w:szCs w:val="20"/>
          <w:color w:val="262626"/>
        </w:rPr>
        <w:t>terminating this Lease, to reenter the Premises to remove all persons and property from the Premises. Such property may be removed and stored in a public warehouse or elsewhere at the cost of and for the account of Tenant.</w:t>
      </w:r>
    </w:p>
    <w:p>
      <w:pPr>
        <w:spacing w:after="0" w:line="159" w:lineRule="exact"/>
        <w:rPr>
          <w:rFonts w:ascii="Arial" w:cs="Arial" w:eastAsia="Arial" w:hAnsi="Arial"/>
          <w:sz w:val="20"/>
          <w:szCs w:val="20"/>
          <w:color w:val="282828"/>
        </w:rPr>
      </w:pPr>
    </w:p>
    <w:p>
      <w:pPr>
        <w:ind w:right="80" w:firstLine="1763"/>
        <w:spacing w:after="0" w:line="291" w:lineRule="auto"/>
        <w:tabs>
          <w:tab w:leader="none" w:pos="2623" w:val="left"/>
        </w:tabs>
        <w:numPr>
          <w:ilvl w:val="0"/>
          <w:numId w:val="66"/>
        </w:numPr>
        <w:rPr>
          <w:rFonts w:ascii="Arial" w:cs="Arial" w:eastAsia="Arial" w:hAnsi="Arial"/>
          <w:sz w:val="18"/>
          <w:szCs w:val="18"/>
          <w:color w:val="262626"/>
        </w:rPr>
      </w:pPr>
      <w:r>
        <w:rPr>
          <w:rFonts w:ascii="Arial" w:cs="Arial" w:eastAsia="Arial" w:hAnsi="Arial"/>
          <w:sz w:val="18"/>
          <w:szCs w:val="18"/>
          <w:color w:val="262626"/>
        </w:rPr>
        <w:t xml:space="preserve">In the </w:t>
      </w:r>
      <w:r>
        <w:rPr>
          <w:rFonts w:ascii="Arial" w:cs="Arial" w:eastAsia="Arial" w:hAnsi="Arial"/>
          <w:sz w:val="18"/>
          <w:szCs w:val="18"/>
          <w:color w:val="282828"/>
        </w:rPr>
        <w:t>event of the abandonment of the Premises by Tenant or in the event of any Event of Default by Tenant,</w:t>
      </w:r>
      <w:r>
        <w:rPr>
          <w:rFonts w:ascii="Arial" w:cs="Arial" w:eastAsia="Arial" w:hAnsi="Arial"/>
          <w:sz w:val="18"/>
          <w:szCs w:val="18"/>
          <w:color w:val="262626"/>
        </w:rPr>
        <w:t xml:space="preserve"> </w:t>
      </w:r>
      <w:r>
        <w:rPr>
          <w:rFonts w:ascii="Arial" w:cs="Arial" w:eastAsia="Arial" w:hAnsi="Arial"/>
          <w:sz w:val="18"/>
          <w:szCs w:val="18"/>
          <w:color w:val="282828"/>
        </w:rPr>
        <w:t>if Landlord does not elect to terminate this Lease as provided in this Section, then Landlord may exercise the remedy and shall be entitled to all the rights provided for in California Civil Code Section 1951.4 or any successor statute thereto or similar statute hereinafter enacted.</w:t>
      </w:r>
    </w:p>
    <w:p>
      <w:pPr>
        <w:spacing w:after="0" w:line="138" w:lineRule="exact"/>
        <w:rPr>
          <w:rFonts w:ascii="Arial" w:cs="Arial" w:eastAsia="Arial" w:hAnsi="Arial"/>
          <w:sz w:val="18"/>
          <w:szCs w:val="18"/>
          <w:color w:val="262626"/>
        </w:rPr>
      </w:pPr>
    </w:p>
    <w:p>
      <w:pPr>
        <w:ind w:right="120" w:firstLine="1763"/>
        <w:spacing w:after="0" w:line="246" w:lineRule="auto"/>
        <w:tabs>
          <w:tab w:leader="none" w:pos="2634" w:val="left"/>
        </w:tabs>
        <w:numPr>
          <w:ilvl w:val="0"/>
          <w:numId w:val="66"/>
        </w:numPr>
        <w:rPr>
          <w:rFonts w:ascii="Arial" w:cs="Arial" w:eastAsia="Arial" w:hAnsi="Arial"/>
          <w:sz w:val="20"/>
          <w:szCs w:val="20"/>
          <w:color w:val="262626"/>
        </w:rPr>
      </w:pPr>
      <w:r>
        <w:rPr>
          <w:rFonts w:ascii="Arial" w:cs="Arial" w:eastAsia="Arial" w:hAnsi="Arial"/>
          <w:sz w:val="20"/>
          <w:szCs w:val="20"/>
          <w:color w:val="262626"/>
        </w:rPr>
        <w:t>Landlord shall not, by any reentry or other act, be deemed to have accepted any surrender by Tenant of the Premises or Tenant’s interest therein, or be deemed to have terminated this Lease or Tenant’s right to possession of the Premises or the liability of Tenant to pay Rent thereafter to accrue or Tenant’s liability for damages under any of the provisions hereof, unless Landlord shall have notified Tenant in writing that it has so elected to terminate this Lease.</w:t>
      </w:r>
    </w:p>
    <w:p>
      <w:pPr>
        <w:spacing w:after="0" w:line="178" w:lineRule="exact"/>
        <w:rPr>
          <w:rFonts w:ascii="Arial" w:cs="Arial" w:eastAsia="Arial" w:hAnsi="Arial"/>
          <w:sz w:val="20"/>
          <w:szCs w:val="20"/>
          <w:color w:val="262626"/>
        </w:rPr>
      </w:pPr>
    </w:p>
    <w:p>
      <w:pPr>
        <w:ind w:right="40" w:firstLine="1763"/>
        <w:spacing w:after="0" w:line="250" w:lineRule="auto"/>
        <w:tabs>
          <w:tab w:leader="none" w:pos="2623" w:val="left"/>
        </w:tabs>
        <w:numPr>
          <w:ilvl w:val="0"/>
          <w:numId w:val="66"/>
        </w:numPr>
        <w:rPr>
          <w:rFonts w:ascii="Arial" w:cs="Arial" w:eastAsia="Arial" w:hAnsi="Arial"/>
          <w:sz w:val="20"/>
          <w:szCs w:val="20"/>
          <w:color w:val="262626"/>
        </w:rPr>
      </w:pPr>
      <w:r>
        <w:rPr>
          <w:rFonts w:ascii="Arial" w:cs="Arial" w:eastAsia="Arial" w:hAnsi="Arial"/>
          <w:sz w:val="20"/>
          <w:szCs w:val="20"/>
          <w:color w:val="262626"/>
        </w:rPr>
        <w:t>Landlord may suspend or discontinue all or any of the services specified in Article 7 during the continuance of any material and undisputed monetary Event of Default; and no such suspension or discontinuance will be deemed or construed to be an eviction, constructive or actual, or an ejection of Tenant.</w:t>
      </w:r>
    </w:p>
    <w:p>
      <w:pPr>
        <w:spacing w:after="0" w:line="159" w:lineRule="exact"/>
        <w:rPr>
          <w:rFonts w:ascii="Arial" w:cs="Arial" w:eastAsia="Arial" w:hAnsi="Arial"/>
          <w:sz w:val="20"/>
          <w:szCs w:val="20"/>
          <w:color w:val="262626"/>
        </w:rPr>
      </w:pPr>
    </w:p>
    <w:p>
      <w:pPr>
        <w:ind w:right="20" w:firstLine="1763"/>
        <w:spacing w:after="0" w:line="282" w:lineRule="auto"/>
        <w:tabs>
          <w:tab w:leader="none" w:pos="2601" w:val="left"/>
        </w:tabs>
        <w:numPr>
          <w:ilvl w:val="0"/>
          <w:numId w:val="66"/>
        </w:numPr>
        <w:rPr>
          <w:rFonts w:ascii="Arial" w:cs="Arial" w:eastAsia="Arial" w:hAnsi="Arial"/>
          <w:sz w:val="18"/>
          <w:szCs w:val="18"/>
          <w:color w:val="262626"/>
        </w:rPr>
      </w:pPr>
      <w:r>
        <w:rPr>
          <w:rFonts w:ascii="Arial" w:cs="Arial" w:eastAsia="Arial" w:hAnsi="Arial"/>
          <w:sz w:val="18"/>
          <w:szCs w:val="18"/>
          <w:color w:val="262626"/>
        </w:rPr>
        <w:t>If Landlord reenters the Premises following an Event of Default, Tenant shall have no claims for damages that may be caused by Landlord’s reentering or removing and storing the property of Tenant, and without limiting Section 12.2 above, Tenant agrees to indemnify, defend, protect and hold Landlord harmless from all losses, costs, expenses (including attorney’s fees and court costs) or damages occasioned by Landlord. No such entry shall be considered or deemed to be a forcible entry by Landlord.</w:t>
      </w:r>
    </w:p>
    <w:p>
      <w:pPr>
        <w:spacing w:after="0" w:line="148" w:lineRule="exact"/>
        <w:rPr>
          <w:rFonts w:ascii="Arial" w:cs="Arial" w:eastAsia="Arial" w:hAnsi="Arial"/>
          <w:sz w:val="18"/>
          <w:szCs w:val="18"/>
          <w:color w:val="262626"/>
        </w:rPr>
      </w:pPr>
    </w:p>
    <w:p>
      <w:pPr>
        <w:ind w:right="280" w:firstLine="1763"/>
        <w:spacing w:after="0" w:line="250" w:lineRule="auto"/>
        <w:tabs>
          <w:tab w:leader="none" w:pos="2634" w:val="left"/>
        </w:tabs>
        <w:numPr>
          <w:ilvl w:val="0"/>
          <w:numId w:val="66"/>
        </w:numPr>
        <w:rPr>
          <w:rFonts w:ascii="Arial" w:cs="Arial" w:eastAsia="Arial" w:hAnsi="Arial"/>
          <w:sz w:val="20"/>
          <w:szCs w:val="20"/>
          <w:color w:val="282828"/>
        </w:rPr>
      </w:pPr>
      <w:r>
        <w:rPr>
          <w:rFonts w:ascii="Arial" w:cs="Arial" w:eastAsia="Arial" w:hAnsi="Arial"/>
          <w:sz w:val="20"/>
          <w:szCs w:val="20"/>
          <w:color w:val="282828"/>
        </w:rPr>
        <w:t xml:space="preserve">All rights, options, and remedies of Landlord contained in this Lease shall be construed and held to be cumulative, and no one of them shall be exclusive of the other, and </w:t>
      </w:r>
      <w:r>
        <w:rPr>
          <w:rFonts w:ascii="Arial" w:cs="Arial" w:eastAsia="Arial" w:hAnsi="Arial"/>
          <w:sz w:val="20"/>
          <w:szCs w:val="20"/>
          <w:color w:val="262626"/>
        </w:rPr>
        <w:t>Landlord shall have the right to pursue any one or all of such remedies or</w:t>
      </w:r>
      <w:r>
        <w:rPr>
          <w:rFonts w:ascii="Arial" w:cs="Arial" w:eastAsia="Arial" w:hAnsi="Arial"/>
          <w:sz w:val="20"/>
          <w:szCs w:val="20"/>
          <w:color w:val="282828"/>
        </w:rPr>
        <w:t xml:space="preserve"> </w:t>
      </w:r>
      <w:r>
        <w:rPr>
          <w:rFonts w:ascii="Arial" w:cs="Arial" w:eastAsia="Arial" w:hAnsi="Arial"/>
          <w:sz w:val="20"/>
          <w:szCs w:val="20"/>
          <w:color w:val="262626"/>
        </w:rPr>
        <w:t>any other remedy or relief which may be provided by law, whether or not stated in this Lease.</w:t>
      </w:r>
    </w:p>
    <w:p>
      <w:pPr>
        <w:spacing w:after="0" w:line="172" w:lineRule="exact"/>
        <w:rPr>
          <w:rFonts w:ascii="Arial" w:cs="Arial" w:eastAsia="Arial" w:hAnsi="Arial"/>
          <w:sz w:val="20"/>
          <w:szCs w:val="20"/>
          <w:color w:val="282828"/>
        </w:rPr>
      </w:pPr>
    </w:p>
    <w:p>
      <w:pPr>
        <w:ind w:right="60" w:firstLine="1763"/>
        <w:spacing w:after="0" w:line="250" w:lineRule="auto"/>
        <w:tabs>
          <w:tab w:leader="none" w:pos="2634" w:val="left"/>
        </w:tabs>
        <w:numPr>
          <w:ilvl w:val="0"/>
          <w:numId w:val="66"/>
        </w:numPr>
        <w:rPr>
          <w:rFonts w:ascii="Arial" w:cs="Arial" w:eastAsia="Arial" w:hAnsi="Arial"/>
          <w:sz w:val="20"/>
          <w:szCs w:val="20"/>
          <w:color w:val="262626"/>
        </w:rPr>
      </w:pPr>
      <w:r>
        <w:rPr>
          <w:rFonts w:ascii="Arial" w:cs="Arial" w:eastAsia="Arial" w:hAnsi="Arial"/>
          <w:sz w:val="20"/>
          <w:szCs w:val="20"/>
          <w:color w:val="262626"/>
        </w:rPr>
        <w:t>Tenant hereby expressly waives any and all rights of redemption granted by or under any present or future law in the event Tenant is evicted or dispossessed from the Premises for any cause, or in the event Landlord obtains possession of the Premises by reason of the commission by Tenant of an Event of Default or otherwise.</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16.3</w:t>
      </w:r>
      <w:r>
        <w:rPr>
          <w:sz w:val="20"/>
          <w:szCs w:val="20"/>
          <w:color w:val="auto"/>
        </w:rPr>
        <w:tab/>
      </w:r>
      <w:r>
        <w:rPr>
          <w:rFonts w:ascii="Arial" w:cs="Arial" w:eastAsia="Arial" w:hAnsi="Arial"/>
          <w:sz w:val="18"/>
          <w:szCs w:val="18"/>
          <w:u w:val="single" w:color="auto"/>
          <w:color w:val="262626"/>
        </w:rPr>
        <w:t>Landlord’s Default</w:t>
      </w:r>
    </w:p>
    <w:p>
      <w:pPr>
        <w:spacing w:after="0" w:line="202" w:lineRule="exact"/>
        <w:rPr>
          <w:sz w:val="20"/>
          <w:szCs w:val="20"/>
          <w:color w:val="auto"/>
        </w:rPr>
      </w:pPr>
    </w:p>
    <w:p>
      <w:pPr>
        <w:ind w:right="120" w:firstLine="877"/>
        <w:spacing w:after="0" w:line="276" w:lineRule="auto"/>
        <w:rPr>
          <w:sz w:val="20"/>
          <w:szCs w:val="20"/>
          <w:color w:val="auto"/>
        </w:rPr>
      </w:pPr>
      <w:r>
        <w:rPr>
          <w:rFonts w:ascii="Arial" w:cs="Arial" w:eastAsia="Arial" w:hAnsi="Arial"/>
          <w:sz w:val="18"/>
          <w:szCs w:val="18"/>
          <w:color w:val="262626"/>
        </w:rPr>
        <w:t>Landlord shall not be deemed to be in default under this Lease for failure to perform its obligations unless and until it has failed to perform such obligations within thirty (30) days after written notice by Tenant to Landlord specifying the manner in which Landlord has failed to perform such obligations; provided, however</w:t>
      </w:r>
      <w:r>
        <w:rPr>
          <w:rFonts w:ascii="Arial" w:cs="Arial" w:eastAsia="Arial" w:hAnsi="Arial"/>
          <w:sz w:val="18"/>
          <w:szCs w:val="18"/>
          <w:color w:val="424242"/>
        </w:rPr>
        <w:t>,</w:t>
      </w:r>
      <w:r>
        <w:rPr>
          <w:rFonts w:ascii="Arial" w:cs="Arial" w:eastAsia="Arial" w:hAnsi="Arial"/>
          <w:sz w:val="18"/>
          <w:szCs w:val="18"/>
          <w:color w:val="262626"/>
        </w:rPr>
        <w:t xml:space="preserve"> that if the nature of Landlord’s obligation is such that more than thirty (30) days are required for this performance, then Landlord shall not be deemed to be in default, if it shall commence such performance within such thirty (30) day period and thereafter diligently prosecutes the same to completion. In the event of a default by Landlord hereunder, the extent of Landlord’s liability shall be strictly limited to and shall not extend beyond Landlord’s interest in the Building as per Section 12.3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30</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20"/>
          <w:szCs w:val="20"/>
          <w:b w:val="1"/>
          <w:bCs w:val="1"/>
          <w:color w:val="262626"/>
        </w:rPr>
        <w:t>ARTICLE 17</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EMINENT DOMAIN</w:t>
      </w:r>
    </w:p>
    <w:p>
      <w:pPr>
        <w:spacing w:after="0" w:line="17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17.1</w:t>
      </w:r>
      <w:r>
        <w:rPr>
          <w:sz w:val="20"/>
          <w:szCs w:val="20"/>
          <w:color w:val="auto"/>
        </w:rPr>
        <w:tab/>
      </w:r>
      <w:r>
        <w:rPr>
          <w:rFonts w:ascii="Arial" w:cs="Arial" w:eastAsia="Arial" w:hAnsi="Arial"/>
          <w:sz w:val="16"/>
          <w:szCs w:val="16"/>
          <w:u w:val="single" w:color="auto"/>
          <w:color w:val="262626"/>
        </w:rPr>
        <w:t>Taking o</w:t>
      </w:r>
      <w:r>
        <w:rPr>
          <w:rFonts w:ascii="Arial" w:cs="Arial" w:eastAsia="Arial" w:hAnsi="Arial"/>
          <w:sz w:val="16"/>
          <w:szCs w:val="16"/>
          <w:u w:val="single" w:color="auto"/>
          <w:color w:val="424242"/>
        </w:rPr>
        <w:t>f</w:t>
      </w:r>
      <w:r>
        <w:rPr>
          <w:rFonts w:ascii="Arial" w:cs="Arial" w:eastAsia="Arial" w:hAnsi="Arial"/>
          <w:sz w:val="16"/>
          <w:szCs w:val="16"/>
          <w:u w:val="single" w:color="auto"/>
          <w:color w:val="262626"/>
        </w:rPr>
        <w:t xml:space="preserve"> Premi</w:t>
      </w:r>
      <w:r>
        <w:rPr>
          <w:rFonts w:ascii="Arial" w:cs="Arial" w:eastAsia="Arial" w:hAnsi="Arial"/>
          <w:sz w:val="16"/>
          <w:szCs w:val="16"/>
          <w:u w:val="single" w:color="auto"/>
          <w:color w:val="424242"/>
        </w:rPr>
        <w:t>ses</w:t>
      </w:r>
    </w:p>
    <w:p>
      <w:pPr>
        <w:spacing w:after="0" w:line="202" w:lineRule="exact"/>
        <w:rPr>
          <w:sz w:val="20"/>
          <w:szCs w:val="20"/>
          <w:color w:val="auto"/>
        </w:rPr>
      </w:pPr>
    </w:p>
    <w:p>
      <w:pPr>
        <w:ind w:right="60" w:firstLine="877"/>
        <w:spacing w:after="0" w:line="271" w:lineRule="auto"/>
        <w:rPr>
          <w:sz w:val="20"/>
          <w:szCs w:val="20"/>
          <w:color w:val="auto"/>
        </w:rPr>
      </w:pPr>
      <w:r>
        <w:rPr>
          <w:rFonts w:ascii="Arial" w:cs="Arial" w:eastAsia="Arial" w:hAnsi="Arial"/>
          <w:sz w:val="18"/>
          <w:szCs w:val="18"/>
          <w:color w:val="262626"/>
        </w:rPr>
        <w:t>If all or any part of the Premises shall be taken by any public or quasi-public authority as a result of the exercise of the power of eminent domain, this Lease shall terminate as to the part so taken as of the date of taking</w:t>
      </w:r>
      <w:r>
        <w:rPr>
          <w:rFonts w:ascii="Arial" w:cs="Arial" w:eastAsia="Arial" w:hAnsi="Arial"/>
          <w:sz w:val="18"/>
          <w:szCs w:val="18"/>
          <w:color w:val="424242"/>
        </w:rPr>
        <w:t>,</w:t>
      </w:r>
      <w:r>
        <w:rPr>
          <w:rFonts w:ascii="Arial" w:cs="Arial" w:eastAsia="Arial" w:hAnsi="Arial"/>
          <w:sz w:val="18"/>
          <w:szCs w:val="18"/>
          <w:color w:val="262626"/>
        </w:rPr>
        <w:t xml:space="preserve"> and, in the case of partial taking, either Landlord or Tenant shall have the right to terminate this Lease as to the balance of the Premises by written notice to the other within thirty (30) days after the date of such taking; provided, however, that a condition to the exercise by Landlord or Tenant of such right to terminate shall be that the portion of the Premises taken shall, in Tenant’s and Landlord’s commercially reasonable judgment, be of such extent and nature as substantially to handicap</w:t>
      </w:r>
      <w:r>
        <w:rPr>
          <w:rFonts w:ascii="Arial" w:cs="Arial" w:eastAsia="Arial" w:hAnsi="Arial"/>
          <w:sz w:val="18"/>
          <w:szCs w:val="18"/>
          <w:color w:val="424242"/>
        </w:rPr>
        <w:t>,</w:t>
      </w:r>
      <w:r>
        <w:rPr>
          <w:rFonts w:ascii="Arial" w:cs="Arial" w:eastAsia="Arial" w:hAnsi="Arial"/>
          <w:sz w:val="18"/>
          <w:szCs w:val="18"/>
          <w:color w:val="262626"/>
        </w:rPr>
        <w:t xml:space="preserve"> impede and impair Tenant’s use of the balance of the Premises</w:t>
      </w:r>
      <w:r>
        <w:rPr>
          <w:rFonts w:ascii="Arial" w:cs="Arial" w:eastAsia="Arial" w:hAnsi="Arial"/>
          <w:sz w:val="18"/>
          <w:szCs w:val="18"/>
          <w:color w:val="424242"/>
        </w:rPr>
        <w:t>.</w:t>
      </w:r>
      <w:r>
        <w:rPr>
          <w:rFonts w:ascii="Arial" w:cs="Arial" w:eastAsia="Arial" w:hAnsi="Arial"/>
          <w:sz w:val="18"/>
          <w:szCs w:val="18"/>
          <w:color w:val="262626"/>
        </w:rPr>
        <w:t xml:space="preserve"> If a material part of the Building or the Common Areas are condemned or taken, or if substantial alteration or reconstruction of the Building or Common Areas shall, in Landlord’s reasonable opinion, be necessary as a result of such condemnation or taking, Landlord may terminate this Lease by written notice to Tenant within thirty (30) days after the date of taking. If a material part of the Building or the Common Areas are condemned or taken, and Tenant reasonably determines that it is unable to continue to operate the Premises in the same manner following such condemnation or taking, Tenant may terminate this Lease by written notice to Landlord within thirty (30) days after the date of taking.</w:t>
      </w:r>
    </w:p>
    <w:p>
      <w:pPr>
        <w:spacing w:after="0" w:line="15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62626"/>
        </w:rPr>
        <w:t>17.2</w:t>
      </w:r>
      <w:r>
        <w:rPr>
          <w:sz w:val="20"/>
          <w:szCs w:val="20"/>
          <w:color w:val="auto"/>
        </w:rPr>
        <w:tab/>
      </w:r>
      <w:r>
        <w:rPr>
          <w:rFonts w:ascii="Arial" w:cs="Arial" w:eastAsia="Arial" w:hAnsi="Arial"/>
          <w:sz w:val="18"/>
          <w:szCs w:val="18"/>
          <w:u w:val="single" w:color="auto"/>
          <w:color w:val="262626"/>
        </w:rPr>
        <w:t>Condemnation Award</w:t>
      </w:r>
    </w:p>
    <w:p>
      <w:pPr>
        <w:spacing w:after="0" w:line="189" w:lineRule="exact"/>
        <w:rPr>
          <w:sz w:val="20"/>
          <w:szCs w:val="20"/>
          <w:color w:val="auto"/>
        </w:rPr>
      </w:pPr>
    </w:p>
    <w:p>
      <w:pPr>
        <w:ind w:right="240" w:firstLine="877"/>
        <w:spacing w:after="0" w:line="244" w:lineRule="auto"/>
        <w:rPr>
          <w:sz w:val="20"/>
          <w:szCs w:val="20"/>
          <w:color w:val="auto"/>
        </w:rPr>
      </w:pPr>
      <w:r>
        <w:rPr>
          <w:rFonts w:ascii="Arial" w:cs="Arial" w:eastAsia="Arial" w:hAnsi="Arial"/>
          <w:sz w:val="20"/>
          <w:szCs w:val="20"/>
          <w:color w:val="262626"/>
        </w:rPr>
        <w:t xml:space="preserve">In the event of any taking, Landlord shall be entitled to any and all compensation, damages, income, rent, awards, and any interest therein whatsoever which may be paid or made in connection therewith, and Tenant shall have no claim against Landlord for the value of any unexpired Term or otherwise. In the event of a partial taking of the Premises which does not </w:t>
      </w:r>
      <w:r>
        <w:rPr>
          <w:rFonts w:ascii="Arial" w:cs="Arial" w:eastAsia="Arial" w:hAnsi="Arial"/>
          <w:sz w:val="20"/>
          <w:szCs w:val="20"/>
          <w:color w:val="1F1F1F"/>
        </w:rPr>
        <w:t>result in a termination of this Lease, the Basic</w:t>
      </w:r>
      <w:r>
        <w:rPr>
          <w:rFonts w:ascii="Arial" w:cs="Arial" w:eastAsia="Arial" w:hAnsi="Arial"/>
          <w:sz w:val="20"/>
          <w:szCs w:val="20"/>
          <w:color w:val="262626"/>
        </w:rPr>
        <w:t xml:space="preserve"> </w:t>
      </w:r>
      <w:r>
        <w:rPr>
          <w:rFonts w:ascii="Arial" w:cs="Arial" w:eastAsia="Arial" w:hAnsi="Arial"/>
          <w:sz w:val="20"/>
          <w:szCs w:val="20"/>
          <w:color w:val="1F1F1F"/>
        </w:rPr>
        <w:t>Monthly Rent thereafter to be paid shall be equitably reduced by Landlord. Tenant hereby waives sections 1265.110 through 1265.160 of the California Code of Civil Procedure.</w:t>
      </w:r>
    </w:p>
    <w:p>
      <w:pPr>
        <w:spacing w:after="0" w:line="18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1F1F1F"/>
        </w:rPr>
        <w:t>17.3</w:t>
      </w:r>
      <w:r>
        <w:rPr>
          <w:sz w:val="20"/>
          <w:szCs w:val="20"/>
          <w:color w:val="auto"/>
        </w:rPr>
        <w:tab/>
      </w:r>
      <w:r>
        <w:rPr>
          <w:rFonts w:ascii="Arial" w:cs="Arial" w:eastAsia="Arial" w:hAnsi="Arial"/>
          <w:sz w:val="18"/>
          <w:szCs w:val="18"/>
          <w:u w:val="single" w:color="auto"/>
          <w:color w:val="262626"/>
        </w:rPr>
        <w:t xml:space="preserve">Temporary </w:t>
      </w:r>
      <w:r>
        <w:rPr>
          <w:rFonts w:ascii="Arial" w:cs="Arial" w:eastAsia="Arial" w:hAnsi="Arial"/>
          <w:sz w:val="18"/>
          <w:szCs w:val="18"/>
          <w:u w:val="single" w:color="auto"/>
          <w:color w:val="363636"/>
        </w:rPr>
        <w:t>Taking</w:t>
      </w:r>
    </w:p>
    <w:p>
      <w:pPr>
        <w:spacing w:after="0" w:line="202" w:lineRule="exact"/>
        <w:rPr>
          <w:sz w:val="20"/>
          <w:szCs w:val="20"/>
          <w:color w:val="auto"/>
        </w:rPr>
      </w:pPr>
    </w:p>
    <w:p>
      <w:pPr>
        <w:ind w:right="320" w:firstLine="877"/>
        <w:spacing w:after="0" w:line="250" w:lineRule="auto"/>
        <w:rPr>
          <w:sz w:val="20"/>
          <w:szCs w:val="20"/>
          <w:color w:val="auto"/>
        </w:rPr>
      </w:pPr>
      <w:r>
        <w:rPr>
          <w:rFonts w:ascii="Arial" w:cs="Arial" w:eastAsia="Arial" w:hAnsi="Arial"/>
          <w:sz w:val="20"/>
          <w:szCs w:val="20"/>
          <w:color w:val="1F1F1F"/>
        </w:rPr>
        <w:t>Without limiting any other provision of this Article 17, if all of the Premises shall be condemned or taken for governmental occupancy for a period of more than one year, this Lease shall terminate as of the date of taking and Landlord shall be entitled to any and all compensation, damages, income, rent and awards in connection therewith.</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18</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SUBORDINATION</w:t>
      </w:r>
    </w:p>
    <w:p>
      <w:pPr>
        <w:spacing w:after="0" w:line="186" w:lineRule="exact"/>
        <w:rPr>
          <w:sz w:val="20"/>
          <w:szCs w:val="20"/>
          <w:color w:val="auto"/>
        </w:rPr>
      </w:pPr>
    </w:p>
    <w:p>
      <w:pPr>
        <w:ind w:right="160" w:firstLine="877"/>
        <w:spacing w:after="0" w:line="274" w:lineRule="auto"/>
        <w:rPr>
          <w:sz w:val="20"/>
          <w:szCs w:val="20"/>
          <w:color w:val="auto"/>
        </w:rPr>
      </w:pPr>
      <w:r>
        <w:rPr>
          <w:rFonts w:ascii="Arial" w:cs="Arial" w:eastAsia="Arial" w:hAnsi="Arial"/>
          <w:sz w:val="18"/>
          <w:szCs w:val="18"/>
          <w:color w:val="1F1F1F"/>
        </w:rPr>
        <w:t xml:space="preserve">This Lease is subject and subordinate to all declarations of restrictions, ground leases, mortgages, deeds of trust or other security interests of any kind now or hereafter encumbering or affecting the Project or </w:t>
      </w:r>
      <w:r>
        <w:rPr>
          <w:rFonts w:ascii="Arial" w:cs="Arial" w:eastAsia="Arial" w:hAnsi="Arial"/>
          <w:sz w:val="18"/>
          <w:szCs w:val="18"/>
          <w:color w:val="262626"/>
        </w:rPr>
        <w:t>any</w:t>
      </w:r>
      <w:r>
        <w:rPr>
          <w:rFonts w:ascii="Arial" w:cs="Arial" w:eastAsia="Arial" w:hAnsi="Arial"/>
          <w:sz w:val="18"/>
          <w:szCs w:val="18"/>
          <w:color w:val="1F1F1F"/>
        </w:rPr>
        <w:t xml:space="preserve"> portion thereof, or on or against Landlords interest or estate therein (collectively, “Superior Interests”), all without the necessity of any further instrument executed or delivered by or on the part of Tenant for the purpose of effectuating such subordination. Notwithstanding the foregoing, Tenant covenants and agrees to execute and deliver, upon demand, such further instruments evidencing such subordination of this Lease to any such Superior Interest and the other terms of this Article 18 as may be required by Landlord or by the current or prospective holder of such Superior Interest (the “Holder”). Notwithstanding anything to the contrary in this Article 18 or otherwise in this Lease, the Holder of any mortgage or deed of trust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31</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159" w:name="page160"/>
    <w:bookmarkEnd w:id="159"/>
    <w:p>
      <w:pPr>
        <w:ind w:right="40"/>
        <w:spacing w:after="0" w:line="270" w:lineRule="auto"/>
        <w:rPr>
          <w:sz w:val="20"/>
          <w:szCs w:val="20"/>
          <w:color w:val="auto"/>
        </w:rPr>
      </w:pPr>
      <w:r>
        <w:rPr>
          <w:rFonts w:ascii="Arial" w:cs="Arial" w:eastAsia="Arial" w:hAnsi="Arial"/>
          <w:sz w:val="18"/>
          <w:szCs w:val="18"/>
          <w:color w:val="1F1F1F"/>
        </w:rPr>
        <w:t>now or hereafter placed on or against the Building or the Project, or both (“Lender”) may at any time subordinate such mortgage or deed of trust to this Lease in whole or in part, without any need to obtain Tenant’s consent, by execution of a written document subordinating such mortgage or deed of trust to this Lease to the extent set forth in such document and thereupon this Lease shall be deemed prior to such mortgage or deed of trust to the extent set forth in such document without regard to this Lease, such mortgage or deed of trust, or their respective dates of execution, delivery and/or recording. In that event, to the extent set forth in such document, such mortgage or deed of trust shall have the same rights with respect to this Lease as would have existed if this Lease had been executed, and a memorandum thereof recorded prior to the execution, delivery and recording of such mortgage or deed of trust. In the event of foreclosure or exercise of any power of sale under any Superior Interest, Tenant, upon demand, shall attorn to the purchaser at any foreclosure sale or sale pursuant to the exercise of any power of sale in which event this Lease shall not terminate and Tenant shall automatically be and become the tenant of the purchaser; provided, no landlord or purchaser at any foreclosure sale or sale pursuant to the exercise of any power of sale or any successor thereto shall be liable for any act or omission of any prior landlord (including Landlord) or be subject to an offsets or defenses which Tenant might have against any prior landlord (including Landlord), except and to the extent that any such amount has been assigned, recovered or obtained by the successor-in-interest to Landlord or be bound by any Rent which Tenant might have paid in advance to any prior landlord (including Landlord) for a period in excess of one month or by any Prepaid Rent</w:t>
      </w:r>
    </w:p>
    <w:p>
      <w:pPr>
        <w:spacing w:after="0" w:line="143" w:lineRule="exact"/>
        <w:rPr>
          <w:sz w:val="20"/>
          <w:szCs w:val="20"/>
          <w:color w:val="auto"/>
        </w:rPr>
      </w:pPr>
    </w:p>
    <w:p>
      <w:pPr>
        <w:ind w:right="260" w:firstLine="877"/>
        <w:spacing w:after="0" w:line="276" w:lineRule="auto"/>
        <w:rPr>
          <w:sz w:val="20"/>
          <w:szCs w:val="20"/>
          <w:color w:val="auto"/>
        </w:rPr>
      </w:pPr>
      <w:r>
        <w:rPr>
          <w:rFonts w:ascii="Arial" w:cs="Arial" w:eastAsia="Arial" w:hAnsi="Arial"/>
          <w:sz w:val="18"/>
          <w:szCs w:val="18"/>
          <w:color w:val="1F1F1F"/>
        </w:rPr>
        <w:t xml:space="preserve">or other prepaid charge which Tenant might have paid in advance to any prior landlord (including Landlord), or be bound by an agreement or modification of this Lease made after </w:t>
      </w:r>
      <w:r>
        <w:rPr>
          <w:rFonts w:ascii="Arial" w:cs="Arial" w:eastAsia="Arial" w:hAnsi="Arial"/>
          <w:sz w:val="18"/>
          <w:szCs w:val="18"/>
          <w:color w:val="282828"/>
        </w:rPr>
        <w:t>Tenant has written notice of the interest of such party without the prior written consent of</w:t>
      </w:r>
      <w:r>
        <w:rPr>
          <w:rFonts w:ascii="Arial" w:cs="Arial" w:eastAsia="Arial" w:hAnsi="Arial"/>
          <w:sz w:val="18"/>
          <w:szCs w:val="18"/>
          <w:color w:val="1F1F1F"/>
        </w:rPr>
        <w:t xml:space="preserve"> </w:t>
      </w:r>
      <w:r>
        <w:rPr>
          <w:rFonts w:ascii="Arial" w:cs="Arial" w:eastAsia="Arial" w:hAnsi="Arial"/>
          <w:sz w:val="18"/>
          <w:szCs w:val="18"/>
          <w:color w:val="282828"/>
        </w:rPr>
        <w:t>such party. If requested by Tenant in writing concurrently with the execution and delivery of this Lease, at Tenant’s sole cost and expense, Landlord shall use commercially reasonable efforts to obtain from its existing Lender</w:t>
      </w:r>
      <w:r>
        <w:rPr>
          <w:rFonts w:ascii="Arial" w:cs="Arial" w:eastAsia="Arial" w:hAnsi="Arial"/>
          <w:sz w:val="18"/>
          <w:szCs w:val="18"/>
          <w:color w:val="444444"/>
        </w:rPr>
        <w:t>,</w:t>
      </w:r>
      <w:r>
        <w:rPr>
          <w:rFonts w:ascii="Arial" w:cs="Arial" w:eastAsia="Arial" w:hAnsi="Arial"/>
          <w:sz w:val="18"/>
          <w:szCs w:val="18"/>
          <w:color w:val="282828"/>
        </w:rPr>
        <w:t xml:space="preserve"> such Lender’s subordination, non-disturbance and attornment agreement (if any); provided</w:t>
      </w:r>
      <w:r>
        <w:rPr>
          <w:rFonts w:ascii="Arial" w:cs="Arial" w:eastAsia="Arial" w:hAnsi="Arial"/>
          <w:sz w:val="18"/>
          <w:szCs w:val="18"/>
          <w:color w:val="444444"/>
        </w:rPr>
        <w:t>,</w:t>
      </w:r>
      <w:r>
        <w:rPr>
          <w:rFonts w:ascii="Arial" w:cs="Arial" w:eastAsia="Arial" w:hAnsi="Arial"/>
          <w:sz w:val="18"/>
          <w:szCs w:val="18"/>
          <w:color w:val="282828"/>
        </w:rPr>
        <w:t xml:space="preserve"> however, that the failure to obtain such an agreement shall not subject Landlord to any liability and shall not affect the validity or effectiveness of or any of Tenant’s obligations under this Lease.</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19</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SURRENDER OF PREMISES; REMOVAL OF PROPERTY</w:t>
      </w:r>
    </w:p>
    <w:p>
      <w:pPr>
        <w:spacing w:after="0" w:line="18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19.1</w:t>
      </w:r>
      <w:r>
        <w:rPr>
          <w:sz w:val="20"/>
          <w:szCs w:val="20"/>
          <w:color w:val="auto"/>
        </w:rPr>
        <w:tab/>
      </w:r>
      <w:r>
        <w:rPr>
          <w:rFonts w:ascii="Arial" w:cs="Arial" w:eastAsia="Arial" w:hAnsi="Arial"/>
          <w:sz w:val="18"/>
          <w:szCs w:val="18"/>
          <w:u w:val="single" w:color="auto"/>
          <w:color w:val="444444"/>
        </w:rPr>
        <w:t>Te</w:t>
      </w:r>
      <w:r>
        <w:rPr>
          <w:rFonts w:ascii="Arial" w:cs="Arial" w:eastAsia="Arial" w:hAnsi="Arial"/>
          <w:sz w:val="18"/>
          <w:szCs w:val="18"/>
          <w:u w:val="single" w:color="auto"/>
          <w:color w:val="282828"/>
        </w:rPr>
        <w:t>n</w:t>
      </w:r>
      <w:r>
        <w:rPr>
          <w:rFonts w:ascii="Arial" w:cs="Arial" w:eastAsia="Arial" w:hAnsi="Arial"/>
          <w:sz w:val="18"/>
          <w:szCs w:val="18"/>
          <w:u w:val="single" w:color="auto"/>
          <w:color w:val="444444"/>
        </w:rPr>
        <w:t>a</w:t>
      </w:r>
      <w:r>
        <w:rPr>
          <w:rFonts w:ascii="Arial" w:cs="Arial" w:eastAsia="Arial" w:hAnsi="Arial"/>
          <w:sz w:val="18"/>
          <w:szCs w:val="18"/>
          <w:u w:val="single" w:color="auto"/>
          <w:color w:val="282828"/>
        </w:rPr>
        <w:t>nt’s</w:t>
      </w:r>
      <w:r>
        <w:rPr>
          <w:rFonts w:ascii="Arial" w:cs="Arial" w:eastAsia="Arial" w:hAnsi="Arial"/>
          <w:sz w:val="18"/>
          <w:szCs w:val="18"/>
          <w:u w:val="single" w:color="auto"/>
          <w:color w:val="444444"/>
        </w:rPr>
        <w:t xml:space="preserve"> </w:t>
      </w:r>
      <w:r>
        <w:rPr>
          <w:rFonts w:ascii="Arial" w:cs="Arial" w:eastAsia="Arial" w:hAnsi="Arial"/>
          <w:sz w:val="18"/>
          <w:szCs w:val="18"/>
          <w:u w:val="single" w:color="auto"/>
          <w:color w:val="262626"/>
        </w:rPr>
        <w:t>Removal</w:t>
      </w:r>
      <w:r>
        <w:rPr>
          <w:rFonts w:ascii="Arial" w:cs="Arial" w:eastAsia="Arial" w:hAnsi="Arial"/>
          <w:sz w:val="18"/>
          <w:szCs w:val="18"/>
          <w:u w:val="single" w:color="auto"/>
          <w:color w:val="444444"/>
        </w:rPr>
        <w:t xml:space="preserve"> </w:t>
      </w:r>
      <w:r>
        <w:rPr>
          <w:rFonts w:ascii="Arial" w:cs="Arial" w:eastAsia="Arial" w:hAnsi="Arial"/>
          <w:sz w:val="18"/>
          <w:szCs w:val="18"/>
          <w:color w:val="444444"/>
        </w:rPr>
        <w:t>of</w:t>
      </w:r>
      <w:r>
        <w:rPr>
          <w:rFonts w:ascii="Arial" w:cs="Arial" w:eastAsia="Arial" w:hAnsi="Arial"/>
          <w:sz w:val="18"/>
          <w:szCs w:val="18"/>
          <w:u w:val="single" w:color="auto"/>
          <w:color w:val="444444"/>
        </w:rPr>
        <w:t xml:space="preserve"> </w:t>
      </w:r>
      <w:r>
        <w:rPr>
          <w:rFonts w:ascii="Arial" w:cs="Arial" w:eastAsia="Arial" w:hAnsi="Arial"/>
          <w:sz w:val="18"/>
          <w:szCs w:val="18"/>
          <w:u w:val="single" w:color="auto"/>
          <w:color w:val="282828"/>
        </w:rPr>
        <w:t>Prop</w:t>
      </w:r>
      <w:r>
        <w:rPr>
          <w:rFonts w:ascii="Arial" w:cs="Arial" w:eastAsia="Arial" w:hAnsi="Arial"/>
          <w:sz w:val="18"/>
          <w:szCs w:val="18"/>
          <w:u w:val="single" w:color="auto"/>
          <w:color w:val="444444"/>
        </w:rPr>
        <w:t>e</w:t>
      </w:r>
      <w:r>
        <w:rPr>
          <w:rFonts w:ascii="Arial" w:cs="Arial" w:eastAsia="Arial" w:hAnsi="Arial"/>
          <w:sz w:val="18"/>
          <w:szCs w:val="18"/>
          <w:u w:val="single" w:color="auto"/>
          <w:color w:val="282828"/>
        </w:rPr>
        <w:t>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-14605</wp:posOffset>
            </wp:positionV>
            <wp:extent cx="1651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5100" cy="8890"/>
                    </a:xfrm>
                    <a:prstGeom prst="rect">
                      <a:avLst/>
                    </a:prstGeom>
                    <a:noFill/>
                  </pic:spPr>
                </pic:pic>
              </a:graphicData>
            </a:graphic>
          </wp:anchor>
        </w:drawing>
      </w:r>
    </w:p>
    <w:p>
      <w:pPr>
        <w:spacing w:after="0" w:line="169" w:lineRule="exact"/>
        <w:rPr>
          <w:sz w:val="20"/>
          <w:szCs w:val="20"/>
          <w:color w:val="auto"/>
        </w:rPr>
      </w:pPr>
    </w:p>
    <w:p>
      <w:pPr>
        <w:ind w:right="40" w:firstLine="877"/>
        <w:spacing w:after="0" w:line="256" w:lineRule="auto"/>
        <w:rPr>
          <w:sz w:val="20"/>
          <w:szCs w:val="20"/>
          <w:color w:val="auto"/>
        </w:rPr>
      </w:pPr>
      <w:r>
        <w:rPr>
          <w:rFonts w:ascii="Arial" w:cs="Arial" w:eastAsia="Arial" w:hAnsi="Arial"/>
          <w:sz w:val="19"/>
          <w:szCs w:val="19"/>
          <w:color w:val="282828"/>
        </w:rPr>
        <w:t>Upon the expiration or termination of the Term</w:t>
      </w:r>
      <w:r>
        <w:rPr>
          <w:rFonts w:ascii="Arial" w:cs="Arial" w:eastAsia="Arial" w:hAnsi="Arial"/>
          <w:sz w:val="19"/>
          <w:szCs w:val="19"/>
          <w:color w:val="444444"/>
        </w:rPr>
        <w:t>,</w:t>
      </w:r>
      <w:r>
        <w:rPr>
          <w:rFonts w:ascii="Arial" w:cs="Arial" w:eastAsia="Arial" w:hAnsi="Arial"/>
          <w:sz w:val="19"/>
          <w:szCs w:val="19"/>
          <w:color w:val="282828"/>
        </w:rPr>
        <w:t xml:space="preserve"> Tenant shall quit and surrender possession of the Premises to Landlord in as good order, condition and repair as the same are now or hereafter may be improved by Landlord or Tenant, reasonable wear and tear and repairs which are Landlord’s obligation excepted</w:t>
      </w:r>
      <w:r>
        <w:rPr>
          <w:rFonts w:ascii="Arial" w:cs="Arial" w:eastAsia="Arial" w:hAnsi="Arial"/>
          <w:sz w:val="19"/>
          <w:szCs w:val="19"/>
          <w:color w:val="444444"/>
        </w:rPr>
        <w:t>,</w:t>
      </w:r>
      <w:r>
        <w:rPr>
          <w:rFonts w:ascii="Arial" w:cs="Arial" w:eastAsia="Arial" w:hAnsi="Arial"/>
          <w:sz w:val="19"/>
          <w:szCs w:val="19"/>
          <w:color w:val="282828"/>
        </w:rPr>
        <w:t xml:space="preserve"> and in a reasonable state of cleanliness. In such event, Tenant shall, without expense to Landlord, remove from the Premises all debris</w:t>
      </w:r>
      <w:r>
        <w:rPr>
          <w:rFonts w:ascii="Arial" w:cs="Arial" w:eastAsia="Arial" w:hAnsi="Arial"/>
          <w:sz w:val="19"/>
          <w:szCs w:val="19"/>
          <w:color w:val="444444"/>
        </w:rPr>
        <w:t>,</w:t>
      </w:r>
      <w:r>
        <w:rPr>
          <w:rFonts w:ascii="Arial" w:cs="Arial" w:eastAsia="Arial" w:hAnsi="Arial"/>
          <w:sz w:val="19"/>
          <w:szCs w:val="19"/>
          <w:color w:val="282828"/>
        </w:rPr>
        <w:t xml:space="preserve"> rubbish, furniture, equipment, business and trade fixtures, free-standing cabinet work, moveable partitions and other articles of personal property owned by Tenant or installed or placed by Tenant at its expense in the Premises and all similar articles of any other persons claiming under Tenant. Unless otherwise required to do so by Landlord, however, Tenant shall not remove any additions or improv</w:t>
      </w:r>
      <w:r>
        <w:rPr>
          <w:rFonts w:ascii="Arial" w:cs="Arial" w:eastAsia="Arial" w:hAnsi="Arial"/>
          <w:sz w:val="19"/>
          <w:szCs w:val="19"/>
          <w:color w:val="444444"/>
        </w:rPr>
        <w:t>e</w:t>
      </w:r>
      <w:r>
        <w:rPr>
          <w:rFonts w:ascii="Arial" w:cs="Arial" w:eastAsia="Arial" w:hAnsi="Arial"/>
          <w:sz w:val="19"/>
          <w:szCs w:val="19"/>
          <w:color w:val="282828"/>
        </w:rPr>
        <w:t xml:space="preserve">ments to the Premises, </w:t>
      </w:r>
      <w:r>
        <w:rPr>
          <w:rFonts w:ascii="Arial" w:cs="Arial" w:eastAsia="Arial" w:hAnsi="Arial"/>
          <w:sz w:val="19"/>
          <w:szCs w:val="19"/>
          <w:color w:val="444444"/>
        </w:rPr>
        <w:t>s</w:t>
      </w:r>
      <w:r>
        <w:rPr>
          <w:rFonts w:ascii="Arial" w:cs="Arial" w:eastAsia="Arial" w:hAnsi="Arial"/>
          <w:sz w:val="19"/>
          <w:szCs w:val="19"/>
          <w:color w:val="282828"/>
        </w:rPr>
        <w:t xml:space="preserve">uch as carpet, int </w:t>
      </w:r>
      <w:r>
        <w:rPr>
          <w:rFonts w:ascii="Arial" w:cs="Arial" w:eastAsia="Arial" w:hAnsi="Arial"/>
          <w:sz w:val="19"/>
          <w:szCs w:val="19"/>
          <w:color w:val="444444"/>
        </w:rPr>
        <w:t>e</w:t>
      </w:r>
      <w:r>
        <w:rPr>
          <w:rFonts w:ascii="Arial" w:cs="Arial" w:eastAsia="Arial" w:hAnsi="Arial"/>
          <w:sz w:val="19"/>
          <w:szCs w:val="19"/>
          <w:color w:val="282828"/>
        </w:rPr>
        <w:t>rior p</w:t>
      </w:r>
      <w:r>
        <w:rPr>
          <w:rFonts w:ascii="Arial" w:cs="Arial" w:eastAsia="Arial" w:hAnsi="Arial"/>
          <w:sz w:val="19"/>
          <w:szCs w:val="19"/>
          <w:color w:val="444444"/>
        </w:rPr>
        <w:t>a</w:t>
      </w:r>
      <w:r>
        <w:rPr>
          <w:rFonts w:ascii="Arial" w:cs="Arial" w:eastAsia="Arial" w:hAnsi="Arial"/>
          <w:sz w:val="19"/>
          <w:szCs w:val="19"/>
          <w:color w:val="282828"/>
        </w:rPr>
        <w:t>rtition wall</w:t>
      </w:r>
      <w:r>
        <w:rPr>
          <w:rFonts w:ascii="Arial" w:cs="Arial" w:eastAsia="Arial" w:hAnsi="Arial"/>
          <w:sz w:val="19"/>
          <w:szCs w:val="19"/>
          <w:color w:val="444444"/>
        </w:rPr>
        <w:t>s</w:t>
      </w:r>
      <w:r>
        <w:rPr>
          <w:rFonts w:ascii="Arial" w:cs="Arial" w:eastAsia="Arial" w:hAnsi="Arial"/>
          <w:sz w:val="19"/>
          <w:szCs w:val="19"/>
          <w:color w:val="282828"/>
        </w:rPr>
        <w:t xml:space="preserve"> and door</w:t>
      </w:r>
      <w:r>
        <w:rPr>
          <w:rFonts w:ascii="Arial" w:cs="Arial" w:eastAsia="Arial" w:hAnsi="Arial"/>
          <w:sz w:val="19"/>
          <w:szCs w:val="19"/>
          <w:color w:val="444444"/>
        </w:rPr>
        <w:t>s, “</w:t>
      </w:r>
      <w:r>
        <w:rPr>
          <w:rFonts w:ascii="Arial" w:cs="Arial" w:eastAsia="Arial" w:hAnsi="Arial"/>
          <w:sz w:val="19"/>
          <w:szCs w:val="19"/>
          <w:color w:val="282828"/>
        </w:rPr>
        <w:t>built-ins”, shelv</w:t>
      </w:r>
      <w:r>
        <w:rPr>
          <w:rFonts w:ascii="Arial" w:cs="Arial" w:eastAsia="Arial" w:hAnsi="Arial"/>
          <w:sz w:val="19"/>
          <w:szCs w:val="19"/>
          <w:color w:val="444444"/>
        </w:rPr>
        <w:t>es,</w:t>
      </w:r>
      <w:r>
        <w:rPr>
          <w:rFonts w:ascii="Arial" w:cs="Arial" w:eastAsia="Arial" w:hAnsi="Arial"/>
          <w:sz w:val="19"/>
          <w:szCs w:val="19"/>
          <w:color w:val="282828"/>
        </w:rPr>
        <w:t xml:space="preserve"> built-in fixtures or other similar it</w:t>
      </w:r>
      <w:r>
        <w:rPr>
          <w:rFonts w:ascii="Arial" w:cs="Arial" w:eastAsia="Arial" w:hAnsi="Arial"/>
          <w:sz w:val="19"/>
          <w:szCs w:val="19"/>
          <w:color w:val="444444"/>
        </w:rPr>
        <w:t>e</w:t>
      </w:r>
      <w:r>
        <w:rPr>
          <w:rFonts w:ascii="Arial" w:cs="Arial" w:eastAsia="Arial" w:hAnsi="Arial"/>
          <w:sz w:val="19"/>
          <w:szCs w:val="19"/>
          <w:color w:val="282828"/>
        </w:rPr>
        <w:t>m</w:t>
      </w:r>
      <w:r>
        <w:rPr>
          <w:rFonts w:ascii="Arial" w:cs="Arial" w:eastAsia="Arial" w:hAnsi="Arial"/>
          <w:sz w:val="19"/>
          <w:szCs w:val="19"/>
          <w:color w:val="444444"/>
        </w:rPr>
        <w:t>s</w:t>
      </w:r>
      <w:r>
        <w:rPr>
          <w:rFonts w:ascii="Arial" w:cs="Arial" w:eastAsia="Arial" w:hAnsi="Arial"/>
          <w:sz w:val="19"/>
          <w:szCs w:val="19"/>
          <w:color w:val="282828"/>
        </w:rPr>
        <w:t>, it bein</w:t>
      </w:r>
      <w:r>
        <w:rPr>
          <w:rFonts w:ascii="Arial" w:cs="Arial" w:eastAsia="Arial" w:hAnsi="Arial"/>
          <w:sz w:val="19"/>
          <w:szCs w:val="19"/>
          <w:color w:val="444444"/>
        </w:rPr>
        <w:t>g</w:t>
      </w:r>
      <w:r>
        <w:rPr>
          <w:rFonts w:ascii="Arial" w:cs="Arial" w:eastAsia="Arial" w:hAnsi="Arial"/>
          <w:sz w:val="19"/>
          <w:szCs w:val="19"/>
          <w:color w:val="282828"/>
        </w:rPr>
        <w:t xml:space="preserve"> und</w:t>
      </w:r>
      <w:r>
        <w:rPr>
          <w:rFonts w:ascii="Arial" w:cs="Arial" w:eastAsia="Arial" w:hAnsi="Arial"/>
          <w:sz w:val="19"/>
          <w:szCs w:val="19"/>
          <w:color w:val="444444"/>
        </w:rPr>
        <w:t>e</w:t>
      </w:r>
      <w:r>
        <w:rPr>
          <w:rFonts w:ascii="Arial" w:cs="Arial" w:eastAsia="Arial" w:hAnsi="Arial"/>
          <w:sz w:val="19"/>
          <w:szCs w:val="19"/>
          <w:color w:val="282828"/>
        </w:rPr>
        <w:t>r</w:t>
      </w:r>
      <w:r>
        <w:rPr>
          <w:rFonts w:ascii="Arial" w:cs="Arial" w:eastAsia="Arial" w:hAnsi="Arial"/>
          <w:sz w:val="19"/>
          <w:szCs w:val="19"/>
          <w:color w:val="444444"/>
        </w:rPr>
        <w:t>s</w:t>
      </w:r>
      <w:r>
        <w:rPr>
          <w:rFonts w:ascii="Arial" w:cs="Arial" w:eastAsia="Arial" w:hAnsi="Arial"/>
          <w:sz w:val="19"/>
          <w:szCs w:val="19"/>
          <w:color w:val="282828"/>
        </w:rPr>
        <w:t>to</w:t>
      </w:r>
      <w:r>
        <w:rPr>
          <w:rFonts w:ascii="Arial" w:cs="Arial" w:eastAsia="Arial" w:hAnsi="Arial"/>
          <w:sz w:val="19"/>
          <w:szCs w:val="19"/>
          <w:color w:val="444444"/>
        </w:rPr>
        <w:t>o</w:t>
      </w:r>
      <w:r>
        <w:rPr>
          <w:rFonts w:ascii="Arial" w:cs="Arial" w:eastAsia="Arial" w:hAnsi="Arial"/>
          <w:sz w:val="19"/>
          <w:szCs w:val="19"/>
          <w:color w:val="282828"/>
        </w:rPr>
        <w:t>d and a</w:t>
      </w:r>
      <w:r>
        <w:rPr>
          <w:rFonts w:ascii="Arial" w:cs="Arial" w:eastAsia="Arial" w:hAnsi="Arial"/>
          <w:sz w:val="19"/>
          <w:szCs w:val="19"/>
          <w:color w:val="444444"/>
        </w:rPr>
        <w:t>g</w:t>
      </w:r>
      <w:r>
        <w:rPr>
          <w:rFonts w:ascii="Arial" w:cs="Arial" w:eastAsia="Arial" w:hAnsi="Arial"/>
          <w:sz w:val="19"/>
          <w:szCs w:val="19"/>
          <w:color w:val="282828"/>
        </w:rPr>
        <w:t>r</w:t>
      </w:r>
      <w:r>
        <w:rPr>
          <w:rFonts w:ascii="Arial" w:cs="Arial" w:eastAsia="Arial" w:hAnsi="Arial"/>
          <w:sz w:val="19"/>
          <w:szCs w:val="19"/>
          <w:color w:val="444444"/>
        </w:rPr>
        <w:t>ee</w:t>
      </w:r>
      <w:r>
        <w:rPr>
          <w:rFonts w:ascii="Arial" w:cs="Arial" w:eastAsia="Arial" w:hAnsi="Arial"/>
          <w:sz w:val="19"/>
          <w:szCs w:val="19"/>
          <w:color w:val="282828"/>
        </w:rPr>
        <w:t xml:space="preserve">d that </w:t>
      </w:r>
      <w:r>
        <w:rPr>
          <w:rFonts w:ascii="Arial" w:cs="Arial" w:eastAsia="Arial" w:hAnsi="Arial"/>
          <w:sz w:val="19"/>
          <w:szCs w:val="19"/>
          <w:color w:val="444444"/>
        </w:rPr>
        <w:t>s</w:t>
      </w:r>
      <w:r>
        <w:rPr>
          <w:rFonts w:ascii="Arial" w:cs="Arial" w:eastAsia="Arial" w:hAnsi="Arial"/>
          <w:sz w:val="19"/>
          <w:szCs w:val="19"/>
          <w:color w:val="282828"/>
        </w:rPr>
        <w:t>uch items are and shall remain the property of Landlord. Tenant shall also repair, at its expense, all damage resulting from such removal.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32</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0" w:name="page161"/>
    <w:bookmarkEnd w:id="160"/>
    <w:p>
      <w:pPr>
        <w:ind w:left="880"/>
        <w:spacing w:after="0"/>
        <w:tabs>
          <w:tab w:leader="none" w:pos="1860" w:val="left"/>
        </w:tabs>
        <w:rPr>
          <w:sz w:val="20"/>
          <w:szCs w:val="20"/>
          <w:color w:val="auto"/>
        </w:rPr>
      </w:pPr>
      <w:r>
        <w:rPr>
          <w:rFonts w:ascii="Arial" w:cs="Arial" w:eastAsia="Arial" w:hAnsi="Arial"/>
          <w:sz w:val="20"/>
          <w:szCs w:val="20"/>
          <w:color w:val="282828"/>
        </w:rPr>
        <w:t>19.2</w:t>
      </w:r>
      <w:r>
        <w:rPr>
          <w:sz w:val="20"/>
          <w:szCs w:val="20"/>
          <w:color w:val="auto"/>
        </w:rPr>
        <w:tab/>
      </w:r>
      <w:r>
        <w:rPr>
          <w:rFonts w:ascii="Arial" w:cs="Arial" w:eastAsia="Arial" w:hAnsi="Arial"/>
          <w:sz w:val="18"/>
          <w:szCs w:val="18"/>
          <w:u w:val="single" w:color="auto"/>
          <w:color w:val="262626"/>
        </w:rPr>
        <w:t xml:space="preserve">Abandoned </w:t>
      </w:r>
      <w:r>
        <w:rPr>
          <w:rFonts w:ascii="Arial" w:cs="Arial" w:eastAsia="Arial" w:hAnsi="Arial"/>
          <w:sz w:val="18"/>
          <w:szCs w:val="18"/>
          <w:u w:val="single" w:color="auto"/>
          <w:color w:val="282828"/>
        </w:rPr>
        <w:t>Property</w:t>
      </w:r>
    </w:p>
    <w:p>
      <w:pPr>
        <w:spacing w:after="0" w:line="189" w:lineRule="exact"/>
        <w:rPr>
          <w:sz w:val="20"/>
          <w:szCs w:val="20"/>
          <w:color w:val="auto"/>
        </w:rPr>
      </w:pPr>
    </w:p>
    <w:p>
      <w:pPr>
        <w:ind w:right="200" w:firstLine="877"/>
        <w:spacing w:after="0" w:line="263" w:lineRule="auto"/>
        <w:rPr>
          <w:sz w:val="20"/>
          <w:szCs w:val="20"/>
          <w:color w:val="auto"/>
        </w:rPr>
      </w:pPr>
      <w:r>
        <w:rPr>
          <w:rFonts w:ascii="Arial" w:cs="Arial" w:eastAsia="Arial" w:hAnsi="Arial"/>
          <w:sz w:val="19"/>
          <w:szCs w:val="19"/>
          <w:color w:val="282828"/>
        </w:rPr>
        <w:t>Whenever Landlord shall reenter the Premises as provided in this Lease, any property of Tenan</w:t>
      </w:r>
      <w:r>
        <w:rPr>
          <w:rFonts w:ascii="Arial" w:cs="Arial" w:eastAsia="Arial" w:hAnsi="Arial"/>
          <w:sz w:val="19"/>
          <w:szCs w:val="19"/>
          <w:color w:val="444444"/>
        </w:rPr>
        <w:t>t</w:t>
      </w:r>
      <w:r>
        <w:rPr>
          <w:rFonts w:ascii="Arial" w:cs="Arial" w:eastAsia="Arial" w:hAnsi="Arial"/>
          <w:sz w:val="19"/>
          <w:szCs w:val="19"/>
          <w:color w:val="282828"/>
        </w:rPr>
        <w:t xml:space="preserve"> not removed by </w:t>
      </w:r>
      <w:r>
        <w:rPr>
          <w:rFonts w:ascii="Arial" w:cs="Arial" w:eastAsia="Arial" w:hAnsi="Arial"/>
          <w:sz w:val="19"/>
          <w:szCs w:val="19"/>
          <w:color w:val="444444"/>
        </w:rPr>
        <w:t>T</w:t>
      </w:r>
      <w:r>
        <w:rPr>
          <w:rFonts w:ascii="Arial" w:cs="Arial" w:eastAsia="Arial" w:hAnsi="Arial"/>
          <w:sz w:val="19"/>
          <w:szCs w:val="19"/>
          <w:color w:val="282828"/>
        </w:rPr>
        <w:t xml:space="preserve">enant upon the </w:t>
      </w:r>
      <w:r>
        <w:rPr>
          <w:rFonts w:ascii="Arial" w:cs="Arial" w:eastAsia="Arial" w:hAnsi="Arial"/>
          <w:sz w:val="19"/>
          <w:szCs w:val="19"/>
          <w:color w:val="444444"/>
        </w:rPr>
        <w:t>e</w:t>
      </w:r>
      <w:r>
        <w:rPr>
          <w:rFonts w:ascii="Arial" w:cs="Arial" w:eastAsia="Arial" w:hAnsi="Arial"/>
          <w:sz w:val="19"/>
          <w:szCs w:val="19"/>
          <w:color w:val="282828"/>
        </w:rPr>
        <w:t>xpira</w:t>
      </w:r>
      <w:r>
        <w:rPr>
          <w:rFonts w:ascii="Arial" w:cs="Arial" w:eastAsia="Arial" w:hAnsi="Arial"/>
          <w:sz w:val="19"/>
          <w:szCs w:val="19"/>
          <w:color w:val="444444"/>
        </w:rPr>
        <w:t>t</w:t>
      </w:r>
      <w:r>
        <w:rPr>
          <w:rFonts w:ascii="Arial" w:cs="Arial" w:eastAsia="Arial" w:hAnsi="Arial"/>
          <w:sz w:val="19"/>
          <w:szCs w:val="19"/>
          <w:color w:val="282828"/>
        </w:rPr>
        <w:t>ion of the Term or within five (5) business days after a termination by rea</w:t>
      </w:r>
      <w:r>
        <w:rPr>
          <w:rFonts w:ascii="Arial" w:cs="Arial" w:eastAsia="Arial" w:hAnsi="Arial"/>
          <w:sz w:val="19"/>
          <w:szCs w:val="19"/>
          <w:color w:val="444444"/>
        </w:rPr>
        <w:t>s</w:t>
      </w:r>
      <w:r>
        <w:rPr>
          <w:rFonts w:ascii="Arial" w:cs="Arial" w:eastAsia="Arial" w:hAnsi="Arial"/>
          <w:sz w:val="19"/>
          <w:szCs w:val="19"/>
          <w:color w:val="282828"/>
        </w:rPr>
        <w:t>on o</w:t>
      </w:r>
      <w:r>
        <w:rPr>
          <w:rFonts w:ascii="Arial" w:cs="Arial" w:eastAsia="Arial" w:hAnsi="Arial"/>
          <w:sz w:val="19"/>
          <w:szCs w:val="19"/>
          <w:color w:val="444444"/>
        </w:rPr>
        <w:t xml:space="preserve">f </w:t>
      </w:r>
      <w:r>
        <w:rPr>
          <w:rFonts w:ascii="Arial" w:cs="Arial" w:eastAsia="Arial" w:hAnsi="Arial"/>
          <w:sz w:val="19"/>
          <w:szCs w:val="19"/>
          <w:color w:val="282828"/>
        </w:rPr>
        <w:t>an</w:t>
      </w:r>
      <w:r>
        <w:rPr>
          <w:rFonts w:ascii="Arial" w:cs="Arial" w:eastAsia="Arial" w:hAnsi="Arial"/>
          <w:sz w:val="19"/>
          <w:szCs w:val="19"/>
          <w:color w:val="444444"/>
        </w:rPr>
        <w:t xml:space="preserve"> E</w:t>
      </w:r>
      <w:r>
        <w:rPr>
          <w:rFonts w:ascii="Arial" w:cs="Arial" w:eastAsia="Arial" w:hAnsi="Arial"/>
          <w:sz w:val="19"/>
          <w:szCs w:val="19"/>
          <w:color w:val="282828"/>
        </w:rPr>
        <w:t>ven</w:t>
      </w:r>
      <w:r>
        <w:rPr>
          <w:rFonts w:ascii="Arial" w:cs="Arial" w:eastAsia="Arial" w:hAnsi="Arial"/>
          <w:sz w:val="19"/>
          <w:szCs w:val="19"/>
          <w:color w:val="444444"/>
        </w:rPr>
        <w:t>t o</w:t>
      </w:r>
      <w:r>
        <w:rPr>
          <w:rFonts w:ascii="Arial" w:cs="Arial" w:eastAsia="Arial" w:hAnsi="Arial"/>
          <w:sz w:val="19"/>
          <w:szCs w:val="19"/>
          <w:color w:val="282828"/>
        </w:rPr>
        <w:t>f Default, as provided in this Lease, shall be</w:t>
      </w:r>
      <w:r>
        <w:rPr>
          <w:rFonts w:ascii="Arial" w:cs="Arial" w:eastAsia="Arial" w:hAnsi="Arial"/>
          <w:sz w:val="19"/>
          <w:szCs w:val="19"/>
          <w:color w:val="444444"/>
        </w:rPr>
        <w:t xml:space="preserve"> </w:t>
      </w:r>
      <w:r>
        <w:rPr>
          <w:rFonts w:ascii="Arial" w:cs="Arial" w:eastAsia="Arial" w:hAnsi="Arial"/>
          <w:sz w:val="19"/>
          <w:szCs w:val="19"/>
          <w:color w:val="282828"/>
        </w:rPr>
        <w:t>considered abandoned, and Landlord may remove any or all such items and dispose of the same in any manner or store the same in a public warehouse or elsewhere at the cost of and for the account of Tenant as per Section 16.2(b) hereof.</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ARTICLE 20</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MISCELLANEOUS</w:t>
      </w:r>
    </w:p>
    <w:p>
      <w:pPr>
        <w:spacing w:after="0" w:line="18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20.1</w:t>
      </w:r>
      <w:r>
        <w:rPr>
          <w:sz w:val="20"/>
          <w:szCs w:val="20"/>
          <w:color w:val="auto"/>
        </w:rPr>
        <w:tab/>
      </w:r>
      <w:r>
        <w:rPr>
          <w:rFonts w:ascii="Arial" w:cs="Arial" w:eastAsia="Arial" w:hAnsi="Arial"/>
          <w:sz w:val="18"/>
          <w:szCs w:val="18"/>
          <w:u w:val="single" w:color="auto"/>
          <w:color w:val="282828"/>
        </w:rPr>
        <w:t>Land</w:t>
      </w:r>
      <w:r>
        <w:rPr>
          <w:rFonts w:ascii="Arial" w:cs="Arial" w:eastAsia="Arial" w:hAnsi="Arial"/>
          <w:sz w:val="18"/>
          <w:szCs w:val="18"/>
          <w:u w:val="single" w:color="auto"/>
          <w:color w:val="262626"/>
        </w:rPr>
        <w:t>lord’s</w:t>
      </w:r>
      <w:r>
        <w:rPr>
          <w:rFonts w:ascii="Arial" w:cs="Arial" w:eastAsia="Arial" w:hAnsi="Arial"/>
          <w:sz w:val="18"/>
          <w:szCs w:val="18"/>
          <w:u w:val="single" w:color="auto"/>
          <w:color w:val="282828"/>
        </w:rPr>
        <w:t xml:space="preserve"> </w:t>
      </w:r>
      <w:r>
        <w:rPr>
          <w:rFonts w:ascii="Arial" w:cs="Arial" w:eastAsia="Arial" w:hAnsi="Arial"/>
          <w:sz w:val="18"/>
          <w:szCs w:val="18"/>
          <w:color w:val="444444"/>
        </w:rPr>
        <w:t>I</w:t>
      </w:r>
      <w:r>
        <w:rPr>
          <w:rFonts w:ascii="Arial" w:cs="Arial" w:eastAsia="Arial" w:hAnsi="Arial"/>
          <w:sz w:val="18"/>
          <w:szCs w:val="18"/>
          <w:u w:val="single" w:color="auto"/>
          <w:color w:val="282828"/>
        </w:rPr>
        <w:t>nspection and Maintenan</w:t>
      </w:r>
      <w:r>
        <w:rPr>
          <w:rFonts w:ascii="Arial" w:cs="Arial" w:eastAsia="Arial" w:hAnsi="Arial"/>
          <w:sz w:val="18"/>
          <w:szCs w:val="18"/>
          <w:u w:val="single" w:color="auto"/>
          <w:color w:val="444444"/>
        </w:rPr>
        <w: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-14605</wp:posOffset>
            </wp:positionV>
            <wp:extent cx="730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25" cy="8890"/>
                    </a:xfrm>
                    <a:prstGeom prst="rect">
                      <a:avLst/>
                    </a:prstGeom>
                    <a:noFill/>
                  </pic:spPr>
                </pic:pic>
              </a:graphicData>
            </a:graphic>
          </wp:anchor>
        </w:drawing>
      </w:r>
    </w:p>
    <w:p>
      <w:pPr>
        <w:spacing w:after="0" w:line="169" w:lineRule="exact"/>
        <w:rPr>
          <w:sz w:val="20"/>
          <w:szCs w:val="20"/>
          <w:color w:val="auto"/>
        </w:rPr>
      </w:pPr>
    </w:p>
    <w:p>
      <w:pPr>
        <w:ind w:right="240" w:firstLine="877"/>
        <w:spacing w:after="0" w:line="244" w:lineRule="auto"/>
        <w:rPr>
          <w:sz w:val="20"/>
          <w:szCs w:val="20"/>
          <w:color w:val="auto"/>
        </w:rPr>
      </w:pPr>
      <w:r>
        <w:rPr>
          <w:rFonts w:ascii="Arial" w:cs="Arial" w:eastAsia="Arial" w:hAnsi="Arial"/>
          <w:sz w:val="20"/>
          <w:szCs w:val="20"/>
          <w:color w:val="282828"/>
        </w:rPr>
        <w:t>Tenant shall permit Landlord and its agents upon one (1) business day prior notice (except in the event of an emergency) at all reasonable times, in the company of a representative of Tenant, to enter the Premises for the purpose of inspecting the same and/or for the purpose of protecting the interest therein of Landlord, and to take all required materials and equipment into the Premises and perform all required work therein, subject to the terms of this Lease, and provided that Landlord and its agents shall comply with Tenant’s confidentiality policies and procedures.</w:t>
      </w:r>
    </w:p>
    <w:p>
      <w:pPr>
        <w:spacing w:after="0" w:line="18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20.2</w:t>
      </w:r>
      <w:r>
        <w:rPr>
          <w:sz w:val="20"/>
          <w:szCs w:val="20"/>
          <w:color w:val="auto"/>
        </w:rPr>
        <w:tab/>
      </w:r>
      <w:r>
        <w:rPr>
          <w:rFonts w:ascii="Arial" w:cs="Arial" w:eastAsia="Arial" w:hAnsi="Arial"/>
          <w:sz w:val="18"/>
          <w:szCs w:val="18"/>
          <w:u w:val="single" w:color="auto"/>
          <w:color w:val="262626"/>
        </w:rPr>
        <w:t xml:space="preserve">Exhibition </w:t>
      </w:r>
      <w:r>
        <w:rPr>
          <w:rFonts w:ascii="Arial" w:cs="Arial" w:eastAsia="Arial" w:hAnsi="Arial"/>
          <w:sz w:val="18"/>
          <w:szCs w:val="18"/>
          <w:color w:val="282828"/>
        </w:rPr>
        <w:t>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-14605</wp:posOffset>
            </wp:positionV>
            <wp:extent cx="6210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1030" cy="8890"/>
                    </a:xfrm>
                    <a:prstGeom prst="rect">
                      <a:avLst/>
                    </a:prstGeom>
                    <a:noFill/>
                  </pic:spPr>
                </pic:pic>
              </a:graphicData>
            </a:graphic>
          </wp:anchor>
        </w:drawing>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Tenant shall permit Landlord and its agents to enter and pass through the Premises at all reasonable hours to:</w:t>
      </w:r>
    </w:p>
    <w:p>
      <w:pPr>
        <w:spacing w:after="0" w:line="189" w:lineRule="exact"/>
        <w:rPr>
          <w:sz w:val="20"/>
          <w:szCs w:val="20"/>
          <w:color w:val="auto"/>
        </w:rPr>
      </w:pPr>
    </w:p>
    <w:p>
      <w:pPr>
        <w:ind w:left="2620" w:hanging="857"/>
        <w:spacing w:after="0"/>
        <w:tabs>
          <w:tab w:leader="none" w:pos="2620" w:val="left"/>
        </w:tabs>
        <w:numPr>
          <w:ilvl w:val="0"/>
          <w:numId w:val="67"/>
        </w:numPr>
        <w:rPr>
          <w:rFonts w:ascii="Arial" w:cs="Arial" w:eastAsia="Arial" w:hAnsi="Arial"/>
          <w:sz w:val="20"/>
          <w:szCs w:val="20"/>
          <w:color w:val="282828"/>
        </w:rPr>
      </w:pPr>
      <w:r>
        <w:rPr>
          <w:rFonts w:ascii="Arial" w:cs="Arial" w:eastAsia="Arial" w:hAnsi="Arial"/>
          <w:sz w:val="20"/>
          <w:szCs w:val="20"/>
          <w:color w:val="282828"/>
        </w:rPr>
        <w:t>Post notices of non-responsibility; and</w:t>
      </w:r>
    </w:p>
    <w:p>
      <w:pPr>
        <w:spacing w:after="0" w:line="202" w:lineRule="exact"/>
        <w:rPr>
          <w:rFonts w:ascii="Arial" w:cs="Arial" w:eastAsia="Arial" w:hAnsi="Arial"/>
          <w:sz w:val="20"/>
          <w:szCs w:val="20"/>
          <w:color w:val="282828"/>
        </w:rPr>
      </w:pPr>
    </w:p>
    <w:p>
      <w:pPr>
        <w:ind w:right="160" w:firstLine="1763"/>
        <w:spacing w:after="0" w:line="291" w:lineRule="auto"/>
        <w:tabs>
          <w:tab w:leader="none" w:pos="2631" w:val="left"/>
        </w:tabs>
        <w:numPr>
          <w:ilvl w:val="0"/>
          <w:numId w:val="67"/>
        </w:numPr>
        <w:rPr>
          <w:rFonts w:ascii="Arial" w:cs="Arial" w:eastAsia="Arial" w:hAnsi="Arial"/>
          <w:sz w:val="18"/>
          <w:szCs w:val="18"/>
          <w:color w:val="282828"/>
        </w:rPr>
      </w:pPr>
      <w:r>
        <w:rPr>
          <w:rFonts w:ascii="Arial" w:cs="Arial" w:eastAsia="Arial" w:hAnsi="Arial"/>
          <w:sz w:val="18"/>
          <w:szCs w:val="18"/>
          <w:color w:val="282828"/>
        </w:rPr>
        <w:t>Exhibit the Premises to Holders of Superior Interests and to any prospective Lender, purchaser or lessee of the Building, provided that Landlord provides Tenant with at least one (1) business day prior notice (except in the event of an emergency) of such entry, enters in the company of a representative of Tenant, and complies with Tenant’s confidentiality policies and procedures.</w:t>
      </w:r>
    </w:p>
    <w:p>
      <w:pPr>
        <w:spacing w:after="0" w:line="13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20.3</w:t>
      </w:r>
      <w:r>
        <w:rPr>
          <w:sz w:val="20"/>
          <w:szCs w:val="20"/>
          <w:color w:val="auto"/>
        </w:rPr>
        <w:tab/>
      </w:r>
      <w:r>
        <w:rPr>
          <w:rFonts w:ascii="Arial" w:cs="Arial" w:eastAsia="Arial" w:hAnsi="Arial"/>
          <w:sz w:val="16"/>
          <w:szCs w:val="16"/>
          <w:u w:val="single" w:color="auto"/>
          <w:color w:val="262626"/>
        </w:rPr>
        <w:t xml:space="preserve">Rights </w:t>
      </w:r>
      <w:r>
        <w:rPr>
          <w:rFonts w:ascii="Arial" w:cs="Arial" w:eastAsia="Arial" w:hAnsi="Arial"/>
          <w:sz w:val="16"/>
          <w:szCs w:val="16"/>
          <w:u w:val="single" w:color="auto"/>
          <w:color w:val="282828"/>
        </w:rPr>
        <w:t>Reserved by Landlord</w:t>
      </w:r>
    </w:p>
    <w:p>
      <w:pPr>
        <w:spacing w:after="0" w:line="189" w:lineRule="exact"/>
        <w:rPr>
          <w:sz w:val="20"/>
          <w:szCs w:val="20"/>
          <w:color w:val="auto"/>
        </w:rPr>
      </w:pPr>
    </w:p>
    <w:p>
      <w:pPr>
        <w:jc w:val="both"/>
        <w:ind w:right="720" w:firstLine="877"/>
        <w:spacing w:after="0" w:line="386" w:lineRule="auto"/>
        <w:rPr>
          <w:sz w:val="20"/>
          <w:szCs w:val="20"/>
          <w:color w:val="auto"/>
        </w:rPr>
      </w:pPr>
      <w:r>
        <w:rPr>
          <w:rFonts w:ascii="Arial" w:cs="Arial" w:eastAsia="Arial" w:hAnsi="Arial"/>
          <w:sz w:val="16"/>
          <w:szCs w:val="16"/>
          <w:color w:val="282828"/>
        </w:rPr>
        <w:t>Landlord reserves the following rights, exercisable without liability to Tenant for (a) damage or injury to property, person or business, (b) causing an actual or constructive eviction from the Premises, or (c) disturbing Tenant’s use or possession of the Premises:</w:t>
      </w:r>
    </w:p>
    <w:p>
      <w:pPr>
        <w:spacing w:after="0" w:line="70" w:lineRule="exact"/>
        <w:rPr>
          <w:sz w:val="20"/>
          <w:szCs w:val="20"/>
          <w:color w:val="auto"/>
        </w:rPr>
      </w:pPr>
    </w:p>
    <w:p>
      <w:pPr>
        <w:ind w:left="3480" w:hanging="838"/>
        <w:spacing w:after="0"/>
        <w:tabs>
          <w:tab w:leader="none" w:pos="3480" w:val="left"/>
        </w:tabs>
        <w:numPr>
          <w:ilvl w:val="0"/>
          <w:numId w:val="68"/>
        </w:numPr>
        <w:rPr>
          <w:rFonts w:ascii="Arial" w:cs="Arial" w:eastAsia="Arial" w:hAnsi="Arial"/>
          <w:sz w:val="20"/>
          <w:szCs w:val="20"/>
          <w:color w:val="282828"/>
        </w:rPr>
      </w:pPr>
      <w:r>
        <w:rPr>
          <w:rFonts w:ascii="Arial" w:cs="Arial" w:eastAsia="Arial" w:hAnsi="Arial"/>
          <w:sz w:val="20"/>
          <w:szCs w:val="20"/>
          <w:color w:val="282828"/>
        </w:rPr>
        <w:t>To name the Building and to change the name or street address of the Building.</w:t>
      </w:r>
    </w:p>
    <w:p>
      <w:pPr>
        <w:spacing w:after="0" w:line="202" w:lineRule="exact"/>
        <w:rPr>
          <w:rFonts w:ascii="Arial" w:cs="Arial" w:eastAsia="Arial" w:hAnsi="Arial"/>
          <w:sz w:val="20"/>
          <w:szCs w:val="20"/>
          <w:color w:val="282828"/>
        </w:rPr>
      </w:pPr>
    </w:p>
    <w:p>
      <w:pPr>
        <w:ind w:left="3520" w:hanging="878"/>
        <w:spacing w:after="0"/>
        <w:tabs>
          <w:tab w:leader="none" w:pos="3520" w:val="left"/>
        </w:tabs>
        <w:numPr>
          <w:ilvl w:val="0"/>
          <w:numId w:val="68"/>
        </w:numPr>
        <w:rPr>
          <w:rFonts w:ascii="Arial" w:cs="Arial" w:eastAsia="Arial" w:hAnsi="Arial"/>
          <w:sz w:val="20"/>
          <w:szCs w:val="20"/>
          <w:color w:val="282828"/>
        </w:rPr>
      </w:pPr>
      <w:r>
        <w:rPr>
          <w:rFonts w:ascii="Arial" w:cs="Arial" w:eastAsia="Arial" w:hAnsi="Arial"/>
          <w:sz w:val="20"/>
          <w:szCs w:val="20"/>
          <w:color w:val="282828"/>
        </w:rPr>
        <w:t>To install and maintain all signs on the exterior and interior of the Building.</w:t>
      </w:r>
    </w:p>
    <w:p>
      <w:pPr>
        <w:spacing w:after="0" w:line="188" w:lineRule="exact"/>
        <w:rPr>
          <w:rFonts w:ascii="Arial" w:cs="Arial" w:eastAsia="Arial" w:hAnsi="Arial"/>
          <w:sz w:val="20"/>
          <w:szCs w:val="20"/>
          <w:color w:val="282828"/>
        </w:rPr>
      </w:pPr>
    </w:p>
    <w:p>
      <w:pPr>
        <w:ind w:left="3580" w:hanging="938"/>
        <w:spacing w:after="0"/>
        <w:tabs>
          <w:tab w:leader="none" w:pos="3580" w:val="left"/>
        </w:tabs>
        <w:numPr>
          <w:ilvl w:val="0"/>
          <w:numId w:val="68"/>
        </w:numPr>
        <w:rPr>
          <w:rFonts w:ascii="Arial" w:cs="Arial" w:eastAsia="Arial" w:hAnsi="Arial"/>
          <w:sz w:val="16"/>
          <w:szCs w:val="16"/>
          <w:color w:val="282828"/>
        </w:rPr>
      </w:pPr>
      <w:r>
        <w:rPr>
          <w:rFonts w:ascii="Arial" w:cs="Arial" w:eastAsia="Arial" w:hAnsi="Arial"/>
          <w:sz w:val="16"/>
          <w:szCs w:val="16"/>
          <w:color w:val="282828"/>
        </w:rPr>
        <w:t>To have pass keys to the Premises and all doors within the Premises, excluding Tenant’s vaults and</w:t>
      </w:r>
    </w:p>
    <w:p>
      <w:pPr>
        <w:spacing w:after="0" w:line="61" w:lineRule="exact"/>
        <w:rPr>
          <w:rFonts w:ascii="Arial" w:cs="Arial" w:eastAsia="Arial" w:hAnsi="Arial"/>
          <w:sz w:val="16"/>
          <w:szCs w:val="16"/>
          <w:color w:val="282828"/>
        </w:rPr>
      </w:pPr>
    </w:p>
    <w:p>
      <w:pPr>
        <w:spacing w:after="0"/>
        <w:rPr>
          <w:rFonts w:ascii="Arial" w:cs="Arial" w:eastAsia="Arial" w:hAnsi="Arial"/>
          <w:sz w:val="16"/>
          <w:szCs w:val="16"/>
          <w:color w:val="282828"/>
        </w:rPr>
      </w:pPr>
      <w:r>
        <w:rPr>
          <w:rFonts w:ascii="Arial" w:cs="Arial" w:eastAsia="Arial" w:hAnsi="Arial"/>
          <w:sz w:val="20"/>
          <w:szCs w:val="20"/>
          <w:color w:val="282828"/>
        </w:rPr>
        <w:t>safes, which keys shall be safeguarded by Landlord and available only to Landlord’s authorized personnel.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33</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1" w:name="page162"/>
    <w:bookmarkEnd w:id="161"/>
    <w:p>
      <w:pPr>
        <w:ind w:right="80" w:firstLine="2642"/>
        <w:spacing w:after="0" w:line="276" w:lineRule="auto"/>
        <w:tabs>
          <w:tab w:leader="none" w:pos="3564" w:val="left"/>
        </w:tabs>
        <w:numPr>
          <w:ilvl w:val="0"/>
          <w:numId w:val="69"/>
        </w:numPr>
        <w:rPr>
          <w:rFonts w:ascii="Arial" w:cs="Arial" w:eastAsia="Arial" w:hAnsi="Arial"/>
          <w:sz w:val="18"/>
          <w:szCs w:val="18"/>
          <w:color w:val="282828"/>
        </w:rPr>
      </w:pPr>
      <w:r>
        <w:rPr>
          <w:rFonts w:ascii="Arial" w:cs="Arial" w:eastAsia="Arial" w:hAnsi="Arial"/>
          <w:sz w:val="18"/>
          <w:szCs w:val="18"/>
          <w:color w:val="282828"/>
        </w:rPr>
        <w:t>To enter the Premises for the purpose of making inspections, repairs, alterations, additions or improvements to the Premises or the Building and to take all steps as may be reasonably necessary or desirable for the safety, protection, maintenance or preservation of the Premises or the Building or Landlord’s interest therein, or as may be necessary or desirable for the operation or improvement of the Building or in order to comply with Laws, in all cases, subject to the terms of this Lease; provided that Landlord shall provide Tenant with at least one (1) business day prior notice (except in the event of an emergency), shall enter the Premises in the company of a representative of Tenant, and shall comply with Tenant’s confidentiality policies and procedures.</w:t>
      </w:r>
    </w:p>
    <w:p>
      <w:pPr>
        <w:spacing w:after="0" w:line="13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20.4</w:t>
      </w:r>
      <w:r>
        <w:rPr>
          <w:sz w:val="20"/>
          <w:szCs w:val="20"/>
          <w:color w:val="auto"/>
        </w:rPr>
        <w:tab/>
      </w:r>
      <w:r>
        <w:rPr>
          <w:rFonts w:ascii="Arial" w:cs="Arial" w:eastAsia="Arial" w:hAnsi="Arial"/>
          <w:sz w:val="18"/>
          <w:szCs w:val="18"/>
          <w:u w:val="single" w:color="auto"/>
          <w:color w:val="262626"/>
        </w:rPr>
        <w:t xml:space="preserve">Quiet </w:t>
      </w:r>
      <w:r>
        <w:rPr>
          <w:rFonts w:ascii="Arial" w:cs="Arial" w:eastAsia="Arial" w:hAnsi="Arial"/>
          <w:sz w:val="18"/>
          <w:szCs w:val="18"/>
          <w:u w:val="single" w:color="auto"/>
          <w:color w:val="3F3F3F"/>
        </w:rPr>
        <w:t>Enjoyment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-14605</wp:posOffset>
            </wp:positionV>
            <wp:extent cx="457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82" w:lineRule="exact"/>
        <w:rPr>
          <w:sz w:val="20"/>
          <w:szCs w:val="20"/>
          <w:color w:val="auto"/>
        </w:rPr>
      </w:pPr>
    </w:p>
    <w:p>
      <w:pPr>
        <w:ind w:right="160" w:firstLine="877"/>
        <w:spacing w:after="0" w:line="246" w:lineRule="auto"/>
        <w:rPr>
          <w:sz w:val="20"/>
          <w:szCs w:val="20"/>
          <w:color w:val="auto"/>
        </w:rPr>
      </w:pPr>
      <w:r>
        <w:rPr>
          <w:rFonts w:ascii="Arial" w:cs="Arial" w:eastAsia="Arial" w:hAnsi="Arial"/>
          <w:sz w:val="20"/>
          <w:szCs w:val="20"/>
          <w:color w:val="282828"/>
        </w:rPr>
        <w:t>Landlord covenants, in lieu of any implied covenant of quiet possession or quiet enjoyment, that so long as Tenant is in compliance with the covenants and conditions set forth in this Lease, Tenant shall have the right to quiet enjoyment of the Premises without hindrance or interference from Landlord or those claiming through Landlord, and subject to the covenants and conditions set forth in this Lease and to the rights of any Holders of Superior Interests.</w:t>
      </w:r>
    </w:p>
    <w:p>
      <w:pPr>
        <w:spacing w:after="0" w:line="17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20.5</w:t>
      </w:r>
      <w:r>
        <w:rPr>
          <w:sz w:val="20"/>
          <w:szCs w:val="20"/>
          <w:color w:val="auto"/>
        </w:rPr>
        <w:tab/>
      </w:r>
      <w:r>
        <w:rPr>
          <w:rFonts w:ascii="Arial" w:cs="Arial" w:eastAsia="Arial" w:hAnsi="Arial"/>
          <w:sz w:val="18"/>
          <w:szCs w:val="18"/>
          <w:u w:val="single" w:color="auto"/>
          <w:color w:val="282828"/>
        </w:rPr>
        <w:t xml:space="preserve">Force </w:t>
      </w:r>
      <w:r>
        <w:rPr>
          <w:rFonts w:ascii="Arial" w:cs="Arial" w:eastAsia="Arial" w:hAnsi="Arial"/>
          <w:sz w:val="18"/>
          <w:szCs w:val="18"/>
          <w:u w:val="single" w:color="auto"/>
          <w:color w:val="262626"/>
        </w:rPr>
        <w:t>Majeure</w:t>
      </w:r>
    </w:p>
    <w:p>
      <w:pPr>
        <w:spacing w:after="0" w:line="189" w:lineRule="exact"/>
        <w:rPr>
          <w:sz w:val="20"/>
          <w:szCs w:val="20"/>
          <w:color w:val="auto"/>
        </w:rPr>
      </w:pPr>
    </w:p>
    <w:p>
      <w:pPr>
        <w:ind w:right="40" w:firstLine="877"/>
        <w:spacing w:after="0" w:line="243" w:lineRule="auto"/>
        <w:rPr>
          <w:sz w:val="20"/>
          <w:szCs w:val="20"/>
          <w:color w:val="auto"/>
        </w:rPr>
      </w:pPr>
      <w:r>
        <w:rPr>
          <w:rFonts w:ascii="Arial" w:cs="Arial" w:eastAsia="Arial" w:hAnsi="Arial"/>
          <w:sz w:val="20"/>
          <w:szCs w:val="20"/>
          <w:color w:val="282828"/>
        </w:rPr>
        <w:t>Any prevention, delay or stoppage of work to be performed by Landlord or Tenant which is due to strikes, labor disputes, inability to obtain labor, materials equipment or reasonable substitutes therefore, acts of God, governmental restrictions or regulations or controls, judicial orders, enemy or hostile government actions, civil commotion, war or other casualty, or other causes beyond the reasonable control of the party obligated to perform hereunder, shall excuse performance of the work by that party for a period equal to the duration of that prevention, delay or stoppage. Nothing in this Section, however, shall excuse or delay Tenant’s obligation to pay Rent or other charges under this Lease except as otherwise expressly provided.</w:t>
      </w:r>
    </w:p>
    <w:p>
      <w:pPr>
        <w:spacing w:after="0" w:line="18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20.6</w:t>
      </w:r>
      <w:r>
        <w:rPr>
          <w:sz w:val="20"/>
          <w:szCs w:val="20"/>
          <w:color w:val="auto"/>
        </w:rPr>
        <w:tab/>
      </w:r>
      <w:r>
        <w:rPr>
          <w:rFonts w:ascii="Arial" w:cs="Arial" w:eastAsia="Arial" w:hAnsi="Arial"/>
          <w:sz w:val="16"/>
          <w:szCs w:val="16"/>
          <w:u w:val="single" w:color="auto"/>
          <w:color w:val="262626"/>
        </w:rPr>
        <w:t>Counterparts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This Lease may be executed in multiple counterparts, all of which shall constitute one and the same Lease.</w:t>
      </w:r>
    </w:p>
    <w:p>
      <w:pPr>
        <w:spacing w:after="0" w:line="18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20.7</w:t>
      </w:r>
      <w:r>
        <w:rPr>
          <w:sz w:val="20"/>
          <w:szCs w:val="20"/>
          <w:color w:val="auto"/>
        </w:rPr>
        <w:tab/>
      </w:r>
      <w:r>
        <w:rPr>
          <w:rFonts w:ascii="Arial" w:cs="Arial" w:eastAsia="Arial" w:hAnsi="Arial"/>
          <w:sz w:val="16"/>
          <w:szCs w:val="16"/>
          <w:u w:val="single" w:color="auto"/>
          <w:color w:val="262626"/>
        </w:rPr>
        <w:t xml:space="preserve">Execution </w:t>
      </w:r>
      <w:r>
        <w:rPr>
          <w:rFonts w:ascii="Arial" w:cs="Arial" w:eastAsia="Arial" w:hAnsi="Arial"/>
          <w:sz w:val="16"/>
          <w:szCs w:val="16"/>
          <w:color w:val="282828"/>
        </w:rPr>
        <w:t>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-14605</wp:posOffset>
            </wp:positionV>
            <wp:extent cx="4603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0375" cy="8890"/>
                    </a:xfrm>
                    <a:prstGeom prst="rect">
                      <a:avLst/>
                    </a:prstGeom>
                    <a:noFill/>
                  </pic:spPr>
                </pic:pic>
              </a:graphicData>
            </a:graphic>
          </wp:anchor>
        </w:drawing>
      </w:r>
    </w:p>
    <w:p>
      <w:pPr>
        <w:spacing w:after="0" w:line="182" w:lineRule="exact"/>
        <w:rPr>
          <w:sz w:val="20"/>
          <w:szCs w:val="20"/>
          <w:color w:val="auto"/>
        </w:rPr>
      </w:pPr>
    </w:p>
    <w:p>
      <w:pPr>
        <w:ind w:right="80" w:firstLine="877"/>
        <w:spacing w:after="0" w:line="246" w:lineRule="auto"/>
        <w:rPr>
          <w:sz w:val="20"/>
          <w:szCs w:val="20"/>
          <w:color w:val="auto"/>
        </w:rPr>
      </w:pPr>
      <w:r>
        <w:rPr>
          <w:rFonts w:ascii="Arial" w:cs="Arial" w:eastAsia="Arial" w:hAnsi="Arial"/>
          <w:sz w:val="20"/>
          <w:szCs w:val="20"/>
          <w:color w:val="282828"/>
        </w:rPr>
        <w:t>The submission of this Lease to Tenant shall be for examination purposes only, and does not and shall not constitute a reservation of or option for Tenant to lease, or otherwise create any interest of Tenant in the Premises or any other premises within the Building. Execution of this Lease by Tenant and its return to Landlord shall not be binding on Landlord notwithstanding any time interval, until Landlord has in fact signed and delivered this Lease to Tenant.</w:t>
      </w:r>
    </w:p>
    <w:p>
      <w:pPr>
        <w:spacing w:after="0" w:line="17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20.8</w:t>
      </w:r>
      <w:r>
        <w:rPr>
          <w:sz w:val="20"/>
          <w:szCs w:val="20"/>
          <w:color w:val="auto"/>
        </w:rPr>
        <w:tab/>
      </w:r>
      <w:r>
        <w:rPr>
          <w:rFonts w:ascii="Arial" w:cs="Arial" w:eastAsia="Arial" w:hAnsi="Arial"/>
          <w:sz w:val="16"/>
          <w:szCs w:val="16"/>
          <w:u w:val="single" w:color="auto"/>
          <w:color w:val="262626"/>
        </w:rPr>
        <w:t xml:space="preserve">Further </w:t>
      </w:r>
      <w:r>
        <w:rPr>
          <w:rFonts w:ascii="Arial" w:cs="Arial" w:eastAsia="Arial" w:hAnsi="Arial"/>
          <w:sz w:val="16"/>
          <w:szCs w:val="16"/>
          <w:u w:val="single" w:color="auto"/>
          <w:color w:val="282828"/>
        </w:rPr>
        <w:t>Assurances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The parties agree to promptly sign all documents reasonably requested to give effect to the provision of this Lease.</w:t>
      </w:r>
    </w:p>
    <w:p>
      <w:pPr>
        <w:spacing w:after="0" w:line="20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282828"/>
        </w:rPr>
        <w:t>20.9</w:t>
      </w:r>
      <w:r>
        <w:rPr>
          <w:sz w:val="20"/>
          <w:szCs w:val="20"/>
          <w:color w:val="auto"/>
        </w:rPr>
        <w:tab/>
      </w:r>
      <w:r>
        <w:rPr>
          <w:rFonts w:ascii="Arial" w:cs="Arial" w:eastAsia="Arial" w:hAnsi="Arial"/>
          <w:sz w:val="18"/>
          <w:szCs w:val="18"/>
          <w:u w:val="single" w:color="auto"/>
          <w:color w:val="282828"/>
        </w:rPr>
        <w:t>Lender Protection</w:t>
      </w:r>
    </w:p>
    <w:p>
      <w:pPr>
        <w:spacing w:after="0" w:line="202" w:lineRule="exact"/>
        <w:rPr>
          <w:sz w:val="20"/>
          <w:szCs w:val="20"/>
          <w:color w:val="auto"/>
        </w:rPr>
      </w:pPr>
    </w:p>
    <w:p>
      <w:pPr>
        <w:ind w:right="120" w:firstLine="877"/>
        <w:spacing w:after="0" w:line="282" w:lineRule="auto"/>
        <w:rPr>
          <w:sz w:val="20"/>
          <w:szCs w:val="20"/>
          <w:color w:val="auto"/>
        </w:rPr>
      </w:pPr>
      <w:r>
        <w:rPr>
          <w:rFonts w:ascii="Arial" w:cs="Arial" w:eastAsia="Arial" w:hAnsi="Arial"/>
          <w:sz w:val="18"/>
          <w:szCs w:val="18"/>
          <w:color w:val="282828"/>
        </w:rPr>
        <w:t>Tenant agrees to send by certified or registered mail to any Lender whose address has been furnished to Tenant in writing, a copy of any notice of default served by Tenant on Landlord. If Landlord fails to cure such default within the time provided for in this Lease, such Lender shall have an additional thirty (30) days to cure such default; provided that if such default cannot reasonably be cured within that thirty (30) day period, then such Lender shall have such additional time to cure the default as is reasonably necessary under the circumstances.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34</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2" w:name="page163"/>
    <w:bookmarkEnd w:id="162"/>
    <w:p>
      <w:pPr>
        <w:ind w:left="880"/>
        <w:spacing w:after="0"/>
        <w:tabs>
          <w:tab w:leader="none" w:pos="1960" w:val="left"/>
        </w:tabs>
        <w:rPr>
          <w:sz w:val="20"/>
          <w:szCs w:val="20"/>
          <w:color w:val="auto"/>
        </w:rPr>
      </w:pPr>
      <w:r>
        <w:rPr>
          <w:rFonts w:ascii="Arial" w:cs="Arial" w:eastAsia="Arial" w:hAnsi="Arial"/>
          <w:sz w:val="20"/>
          <w:szCs w:val="20"/>
          <w:color w:val="282828"/>
        </w:rPr>
        <w:t>20.10</w:t>
      </w:r>
      <w:r>
        <w:rPr>
          <w:sz w:val="20"/>
          <w:szCs w:val="20"/>
          <w:color w:val="auto"/>
        </w:rPr>
        <w:tab/>
      </w:r>
      <w:r>
        <w:rPr>
          <w:rFonts w:ascii="Arial" w:cs="Arial" w:eastAsia="Arial" w:hAnsi="Arial"/>
          <w:sz w:val="18"/>
          <w:szCs w:val="18"/>
          <w:u w:val="single" w:color="auto"/>
          <w:color w:val="282828"/>
        </w:rPr>
        <w:t>E</w:t>
      </w:r>
      <w:r>
        <w:rPr>
          <w:rFonts w:ascii="Arial" w:cs="Arial" w:eastAsia="Arial" w:hAnsi="Arial"/>
          <w:sz w:val="18"/>
          <w:szCs w:val="18"/>
          <w:u w:val="single" w:color="auto"/>
          <w:color w:val="262626"/>
        </w:rPr>
        <w:t>xpenses</w:t>
      </w:r>
      <w:r>
        <w:rPr>
          <w:rFonts w:ascii="Arial" w:cs="Arial" w:eastAsia="Arial" w:hAnsi="Arial"/>
          <w:sz w:val="18"/>
          <w:szCs w:val="18"/>
          <w:u w:val="single" w:color="auto"/>
          <w:color w:val="282828"/>
        </w:rPr>
        <w:t xml:space="preserve"> of </w:t>
      </w:r>
      <w:r>
        <w:rPr>
          <w:rFonts w:ascii="Arial" w:cs="Arial" w:eastAsia="Arial" w:hAnsi="Arial"/>
          <w:sz w:val="18"/>
          <w:szCs w:val="18"/>
          <w:u w:val="single" w:color="auto"/>
          <w:color w:val="3D3D3D"/>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-14605</wp:posOffset>
            </wp:positionV>
            <wp:extent cx="311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9" w:lineRule="exact"/>
        <w:rPr>
          <w:sz w:val="20"/>
          <w:szCs w:val="20"/>
          <w:color w:val="auto"/>
        </w:rPr>
      </w:pPr>
    </w:p>
    <w:p>
      <w:pPr>
        <w:ind w:right="40" w:firstLine="877"/>
        <w:spacing w:after="0" w:line="256" w:lineRule="auto"/>
        <w:rPr>
          <w:sz w:val="20"/>
          <w:szCs w:val="20"/>
          <w:color w:val="auto"/>
        </w:rPr>
      </w:pPr>
      <w:r>
        <w:rPr>
          <w:rFonts w:ascii="Arial" w:cs="Arial" w:eastAsia="Arial" w:hAnsi="Arial"/>
          <w:sz w:val="19"/>
          <w:szCs w:val="19"/>
          <w:color w:val="282828"/>
        </w:rPr>
        <w:t>If either party incurs any expense, including reasonable attorneys’ fees, in connection with any action instituted by either party by reason of any dispute under this Lease or any Default or alleged Default of the other party, the party prevailing in such action shall be entitled to recover its reasonable attorneys’ fees and expenses from the other party, which shall include fees and expenses of any appeal, all as fixed by the court. Any such attorneys’ fees and other expenses incurred by either party in enforcing a judgment in its favor under this Lease shall be recoverable separately from and in addition to any other amount included in such judgment, and such attorneys’ fees obligation is intended to be severable from the other provisions of this Lease and to survive and not be merged into any such judgment. In addition, if Landlord utilizes the services of an attorney for the purpose of collecting any Rent due and unpaid by Tenant or in connection with any other breach of this Lease by Tenant, Tenant agrees to pay Landlord actual attorneys’ fees for such services</w:t>
      </w:r>
      <w:r>
        <w:rPr>
          <w:rFonts w:ascii="Arial" w:cs="Arial" w:eastAsia="Arial" w:hAnsi="Arial"/>
          <w:sz w:val="19"/>
          <w:szCs w:val="19"/>
          <w:color w:val="424242"/>
        </w:rPr>
        <w:t>,</w:t>
      </w:r>
      <w:r>
        <w:rPr>
          <w:rFonts w:ascii="Arial" w:cs="Arial" w:eastAsia="Arial" w:hAnsi="Arial"/>
          <w:sz w:val="19"/>
          <w:szCs w:val="19"/>
          <w:color w:val="282828"/>
        </w:rPr>
        <w:t xml:space="preserve"> regardless of the fact that no legal action may be commenced or filed by Landlord.</w:t>
      </w:r>
    </w:p>
    <w:p>
      <w:pPr>
        <w:spacing w:after="0" w:line="171"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20.11</w:t>
      </w:r>
      <w:r>
        <w:rPr>
          <w:sz w:val="20"/>
          <w:szCs w:val="20"/>
          <w:color w:val="auto"/>
        </w:rPr>
        <w:tab/>
      </w:r>
      <w:r>
        <w:rPr>
          <w:rFonts w:ascii="Arial" w:cs="Arial" w:eastAsia="Arial" w:hAnsi="Arial"/>
          <w:sz w:val="18"/>
          <w:szCs w:val="18"/>
          <w:u w:val="single" w:color="auto"/>
          <w:color w:val="282828"/>
        </w:rPr>
        <w:t>T</w:t>
      </w:r>
      <w:r>
        <w:rPr>
          <w:rFonts w:ascii="Arial" w:cs="Arial" w:eastAsia="Arial" w:hAnsi="Arial"/>
          <w:sz w:val="18"/>
          <w:szCs w:val="18"/>
          <w:u w:val="single" w:color="auto"/>
          <w:color w:val="424242"/>
        </w:rPr>
        <w:t>e</w:t>
      </w:r>
      <w:r>
        <w:rPr>
          <w:rFonts w:ascii="Arial" w:cs="Arial" w:eastAsia="Arial" w:hAnsi="Arial"/>
          <w:sz w:val="18"/>
          <w:szCs w:val="18"/>
          <w:u w:val="single" w:color="auto"/>
          <w:color w:val="282828"/>
        </w:rPr>
        <w:t>n</w:t>
      </w:r>
      <w:r>
        <w:rPr>
          <w:rFonts w:ascii="Arial" w:cs="Arial" w:eastAsia="Arial" w:hAnsi="Arial"/>
          <w:sz w:val="18"/>
          <w:szCs w:val="18"/>
          <w:u w:val="single" w:color="auto"/>
          <w:color w:val="424242"/>
        </w:rPr>
        <w:t>a</w:t>
      </w:r>
      <w:r>
        <w:rPr>
          <w:rFonts w:ascii="Arial" w:cs="Arial" w:eastAsia="Arial" w:hAnsi="Arial"/>
          <w:sz w:val="18"/>
          <w:szCs w:val="18"/>
          <w:u w:val="single" w:color="auto"/>
          <w:color w:val="282828"/>
        </w:rPr>
        <w:t>nt’</w:t>
      </w:r>
      <w:r>
        <w:rPr>
          <w:rFonts w:ascii="Arial" w:cs="Arial" w:eastAsia="Arial" w:hAnsi="Arial"/>
          <w:sz w:val="18"/>
          <w:szCs w:val="18"/>
          <w:u w:val="single" w:color="auto"/>
          <w:color w:val="424242"/>
        </w:rPr>
        <w:t>s</w:t>
      </w:r>
      <w:r>
        <w:rPr>
          <w:rFonts w:ascii="Arial" w:cs="Arial" w:eastAsia="Arial" w:hAnsi="Arial"/>
          <w:sz w:val="18"/>
          <w:szCs w:val="18"/>
          <w:u w:val="single" w:color="auto"/>
          <w:color w:val="282828"/>
        </w:rPr>
        <w:t xml:space="preserve"> </w:t>
      </w:r>
      <w:r>
        <w:rPr>
          <w:rFonts w:ascii="Arial" w:cs="Arial" w:eastAsia="Arial" w:hAnsi="Arial"/>
          <w:sz w:val="18"/>
          <w:szCs w:val="18"/>
          <w:u w:val="single" w:color="auto"/>
          <w:color w:val="262626"/>
        </w:rPr>
        <w:t>Certificates</w:t>
      </w:r>
    </w:p>
    <w:p>
      <w:pPr>
        <w:spacing w:after="0" w:line="202" w:lineRule="exact"/>
        <w:rPr>
          <w:sz w:val="20"/>
          <w:szCs w:val="20"/>
          <w:color w:val="auto"/>
        </w:rPr>
      </w:pPr>
    </w:p>
    <w:p>
      <w:pPr>
        <w:ind w:right="80" w:firstLine="877"/>
        <w:spacing w:after="0" w:line="272" w:lineRule="auto"/>
        <w:rPr>
          <w:sz w:val="20"/>
          <w:szCs w:val="20"/>
          <w:color w:val="auto"/>
        </w:rPr>
      </w:pPr>
      <w:r>
        <w:rPr>
          <w:rFonts w:ascii="Arial" w:cs="Arial" w:eastAsia="Arial" w:hAnsi="Arial"/>
          <w:sz w:val="18"/>
          <w:szCs w:val="18"/>
          <w:color w:val="282828"/>
        </w:rPr>
        <w:t>Tenant agrees at any time from time to time, within twenty (20) days of receipt of written request, to execute, acknowledge and deliver to Landlord a statement in writing certifying: (a) that this Lease is unmodified and in full force and effect or if there have been modifications, that this Lease is in full force and effect as modified and stating the modifications; (b) the Term Commencement Date</w:t>
      </w:r>
      <w:r>
        <w:rPr>
          <w:rFonts w:ascii="Arial" w:cs="Arial" w:eastAsia="Arial" w:hAnsi="Arial"/>
          <w:sz w:val="18"/>
          <w:szCs w:val="18"/>
          <w:color w:val="424242"/>
        </w:rPr>
        <w:t>,</w:t>
      </w:r>
      <w:r>
        <w:rPr>
          <w:rFonts w:ascii="Arial" w:cs="Arial" w:eastAsia="Arial" w:hAnsi="Arial"/>
          <w:sz w:val="18"/>
          <w:szCs w:val="18"/>
          <w:color w:val="282828"/>
        </w:rPr>
        <w:t xml:space="preserve"> Rent Commencement Date and Term Expiration Date; (c) the dates to which the Basic Monthly Rent and Rent hereunder have been paid in advance, if any; (d) the amount of the current Basic Monthly Rent</w:t>
      </w:r>
      <w:r>
        <w:rPr>
          <w:rFonts w:ascii="Arial" w:cs="Arial" w:eastAsia="Arial" w:hAnsi="Arial"/>
          <w:sz w:val="18"/>
          <w:szCs w:val="18"/>
          <w:color w:val="424242"/>
        </w:rPr>
        <w:t>;</w:t>
      </w:r>
      <w:r>
        <w:rPr>
          <w:rFonts w:ascii="Arial" w:cs="Arial" w:eastAsia="Arial" w:hAnsi="Arial"/>
          <w:sz w:val="18"/>
          <w:szCs w:val="18"/>
          <w:color w:val="282828"/>
        </w:rPr>
        <w:t xml:space="preserve"> (e) as to any actual or proposed Transfers</w:t>
      </w:r>
      <w:r>
        <w:rPr>
          <w:rFonts w:ascii="Arial" w:cs="Arial" w:eastAsia="Arial" w:hAnsi="Arial"/>
          <w:sz w:val="18"/>
          <w:szCs w:val="18"/>
          <w:color w:val="424242"/>
        </w:rPr>
        <w:t>;</w:t>
      </w:r>
      <w:r>
        <w:rPr>
          <w:rFonts w:ascii="Arial" w:cs="Arial" w:eastAsia="Arial" w:hAnsi="Arial"/>
          <w:sz w:val="18"/>
          <w:szCs w:val="18"/>
          <w:color w:val="282828"/>
        </w:rPr>
        <w:t xml:space="preserve"> (f) whether or not, to the best knowledge of Tenant</w:t>
      </w:r>
      <w:r>
        <w:rPr>
          <w:rFonts w:ascii="Arial" w:cs="Arial" w:eastAsia="Arial" w:hAnsi="Arial"/>
          <w:sz w:val="18"/>
          <w:szCs w:val="18"/>
          <w:color w:val="424242"/>
        </w:rPr>
        <w:t>,</w:t>
      </w:r>
      <w:r>
        <w:rPr>
          <w:rFonts w:ascii="Arial" w:cs="Arial" w:eastAsia="Arial" w:hAnsi="Arial"/>
          <w:sz w:val="18"/>
          <w:szCs w:val="18"/>
          <w:color w:val="282828"/>
        </w:rPr>
        <w:t xml:space="preserve"> Landlord is in default in the performance of any covenant, agreement or condition contained in this Lease</w:t>
      </w:r>
      <w:r>
        <w:rPr>
          <w:rFonts w:ascii="Arial" w:cs="Arial" w:eastAsia="Arial" w:hAnsi="Arial"/>
          <w:sz w:val="18"/>
          <w:szCs w:val="18"/>
          <w:color w:val="424242"/>
        </w:rPr>
        <w:t>,</w:t>
      </w:r>
      <w:r>
        <w:rPr>
          <w:rFonts w:ascii="Arial" w:cs="Arial" w:eastAsia="Arial" w:hAnsi="Arial"/>
          <w:sz w:val="18"/>
          <w:szCs w:val="18"/>
          <w:color w:val="282828"/>
        </w:rPr>
        <w:t xml:space="preserve"> and</w:t>
      </w:r>
      <w:r>
        <w:rPr>
          <w:rFonts w:ascii="Arial" w:cs="Arial" w:eastAsia="Arial" w:hAnsi="Arial"/>
          <w:sz w:val="18"/>
          <w:szCs w:val="18"/>
          <w:color w:val="424242"/>
        </w:rPr>
        <w:t>,</w:t>
      </w:r>
      <w:r>
        <w:rPr>
          <w:rFonts w:ascii="Arial" w:cs="Arial" w:eastAsia="Arial" w:hAnsi="Arial"/>
          <w:sz w:val="18"/>
          <w:szCs w:val="18"/>
          <w:color w:val="282828"/>
        </w:rPr>
        <w:t xml:space="preserve"> if so</w:t>
      </w:r>
      <w:r>
        <w:rPr>
          <w:rFonts w:ascii="Arial" w:cs="Arial" w:eastAsia="Arial" w:hAnsi="Arial"/>
          <w:sz w:val="18"/>
          <w:szCs w:val="18"/>
          <w:color w:val="424242"/>
        </w:rPr>
        <w:t>,</w:t>
      </w:r>
      <w:r>
        <w:rPr>
          <w:rFonts w:ascii="Arial" w:cs="Arial" w:eastAsia="Arial" w:hAnsi="Arial"/>
          <w:sz w:val="18"/>
          <w:szCs w:val="18"/>
          <w:color w:val="282828"/>
        </w:rPr>
        <w:t xml:space="preserve"> specifying each such default of which it may have knowledge; (g) the amount of Prepaid Rent, if any; and (h) any other information reasonably requested. Any such statement delivered pursuant to this Section may be relied upon by Landlord, any prospective purchaser of the Building, any current or prospective Lender, any other current or prospective Holder of a Superior Interest</w:t>
      </w:r>
      <w:r>
        <w:rPr>
          <w:rFonts w:ascii="Arial" w:cs="Arial" w:eastAsia="Arial" w:hAnsi="Arial"/>
          <w:sz w:val="18"/>
          <w:szCs w:val="18"/>
          <w:color w:val="424242"/>
        </w:rPr>
        <w:t>,</w:t>
      </w:r>
      <w:r>
        <w:rPr>
          <w:rFonts w:ascii="Arial" w:cs="Arial" w:eastAsia="Arial" w:hAnsi="Arial"/>
          <w:sz w:val="18"/>
          <w:szCs w:val="18"/>
          <w:color w:val="282828"/>
        </w:rPr>
        <w:t xml:space="preserve"> and any other third parties.</w:t>
      </w:r>
    </w:p>
    <w:p>
      <w:pPr>
        <w:spacing w:after="0" w:line="144"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20.12</w:t>
      </w:r>
      <w:r>
        <w:rPr>
          <w:sz w:val="20"/>
          <w:szCs w:val="20"/>
          <w:color w:val="auto"/>
        </w:rPr>
        <w:tab/>
      </w:r>
      <w:r>
        <w:rPr>
          <w:rFonts w:ascii="Arial" w:cs="Arial" w:eastAsia="Arial" w:hAnsi="Arial"/>
          <w:sz w:val="19"/>
          <w:szCs w:val="19"/>
          <w:u w:val="single" w:color="auto"/>
          <w:color w:val="262626"/>
        </w:rPr>
        <w:t xml:space="preserve">Holding </w:t>
      </w:r>
      <w:r>
        <w:rPr>
          <w:rFonts w:ascii="Arial" w:cs="Arial" w:eastAsia="Arial" w:hAnsi="Arial"/>
          <w:sz w:val="19"/>
          <w:szCs w:val="19"/>
          <w:color w:val="282828"/>
        </w:rPr>
        <w:t>Ov</w:t>
      </w:r>
      <w:r>
        <w:rPr>
          <w:rFonts w:ascii="Arial" w:cs="Arial" w:eastAsia="Arial" w:hAnsi="Arial"/>
          <w:sz w:val="19"/>
          <w:szCs w:val="19"/>
          <w:u w:val="single" w:color="auto"/>
          <w:color w:val="424242"/>
        </w:rPr>
        <w:t>e</w:t>
      </w:r>
      <w:r>
        <w:rPr>
          <w:rFonts w:ascii="Arial" w:cs="Arial" w:eastAsia="Arial" w:hAnsi="Arial"/>
          <w:sz w:val="19"/>
          <w:szCs w:val="19"/>
          <w:u w:val="single" w:color="auto"/>
          <w:color w:val="282828"/>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wp:posOffset>
            </wp:positionV>
            <wp:extent cx="1962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6215" cy="8890"/>
                    </a:xfrm>
                    <a:prstGeom prst="rect">
                      <a:avLst/>
                    </a:prstGeom>
                    <a:noFill/>
                  </pic:spPr>
                </pic:pic>
              </a:graphicData>
            </a:graphic>
          </wp:anchor>
        </w:drawing>
      </w:r>
    </w:p>
    <w:p>
      <w:pPr>
        <w:spacing w:after="0" w:line="182" w:lineRule="exact"/>
        <w:rPr>
          <w:sz w:val="20"/>
          <w:szCs w:val="20"/>
          <w:color w:val="auto"/>
        </w:rPr>
      </w:pPr>
    </w:p>
    <w:p>
      <w:pPr>
        <w:ind w:right="80" w:firstLine="877"/>
        <w:spacing w:after="0" w:line="271" w:lineRule="auto"/>
        <w:rPr>
          <w:sz w:val="20"/>
          <w:szCs w:val="20"/>
          <w:color w:val="auto"/>
        </w:rPr>
      </w:pPr>
      <w:r>
        <w:rPr>
          <w:rFonts w:ascii="Arial" w:cs="Arial" w:eastAsia="Arial" w:hAnsi="Arial"/>
          <w:sz w:val="18"/>
          <w:szCs w:val="18"/>
          <w:color w:val="282828"/>
        </w:rPr>
        <w:t>Any holding over after the expiration or termination of the Term without the consent of Landlord shall be construed to be a tenancy at sufferance upon the same provisions and conditions as otherwise set forth herein, except that the Basic Monthly Rent shall be an amount equal to one hundred fifty percent (150%) of the Basic Monthly Rent payable (without reduction) immediately prior to such holding over. Acceptance by Landlord of Rent after the expiration or termination of this Lease shall not constitute a consent by Landlord to any such tenancy from month to month or result in any other tenancy or any renewal of the Term. Tenant acknowledges that if Tenant holds over without Landlord’s consent, such holding over may compromise or otherwise affect Landlord’s ability to enter into or perform under new leases with prospective tenants regarding the Premises</w:t>
      </w:r>
      <w:r>
        <w:rPr>
          <w:rFonts w:ascii="Arial" w:cs="Arial" w:eastAsia="Arial" w:hAnsi="Arial"/>
          <w:sz w:val="18"/>
          <w:szCs w:val="18"/>
          <w:color w:val="424242"/>
        </w:rPr>
        <w:t>.</w:t>
      </w:r>
      <w:r>
        <w:rPr>
          <w:rFonts w:ascii="Arial" w:cs="Arial" w:eastAsia="Arial" w:hAnsi="Arial"/>
          <w:sz w:val="18"/>
          <w:szCs w:val="18"/>
          <w:color w:val="282828"/>
        </w:rPr>
        <w:t xml:space="preserve"> Therefore, if Tenant fails to surrender the Premises within thirty (30) days of the expiration or other termination of this Lease, then, in addition to any other liabilities to Landlord accruing therefrom, Tenant shall protect, defend</w:t>
      </w:r>
      <w:r>
        <w:rPr>
          <w:rFonts w:ascii="Arial" w:cs="Arial" w:eastAsia="Arial" w:hAnsi="Arial"/>
          <w:sz w:val="18"/>
          <w:szCs w:val="18"/>
          <w:color w:val="424242"/>
        </w:rPr>
        <w:t>,</w:t>
      </w:r>
      <w:r>
        <w:rPr>
          <w:rFonts w:ascii="Arial" w:cs="Arial" w:eastAsia="Arial" w:hAnsi="Arial"/>
          <w:sz w:val="18"/>
          <w:szCs w:val="18"/>
          <w:color w:val="282828"/>
        </w:rPr>
        <w:t xml:space="preserve"> indemnify and hold Landlord harmless from all Claims resulting from such failure, including, without limiting the generality of the foregoing, any claims made by any succeeding tenant founded upon such failure to surrender and any lost profits to Landlord resulting therefrom. The provisions of this Section 20.12 are in addition to, and do not affect</w:t>
      </w:r>
      <w:r>
        <w:rPr>
          <w:rFonts w:ascii="Arial" w:cs="Arial" w:eastAsia="Arial" w:hAnsi="Arial"/>
          <w:sz w:val="18"/>
          <w:szCs w:val="18"/>
          <w:color w:val="424242"/>
        </w:rPr>
        <w:t>,</w:t>
      </w:r>
      <w:r>
        <w:rPr>
          <w:rFonts w:ascii="Arial" w:cs="Arial" w:eastAsia="Arial" w:hAnsi="Arial"/>
          <w:sz w:val="18"/>
          <w:szCs w:val="18"/>
          <w:color w:val="282828"/>
        </w:rPr>
        <w:t xml:space="preserve"> Landlord’s right to re-entry or other rights hereunder or provided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35</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3" w:name="page164"/>
    <w:bookmarkEnd w:id="163"/>
    <w:p>
      <w:pPr>
        <w:ind w:left="880"/>
        <w:spacing w:after="0"/>
        <w:tabs>
          <w:tab w:leader="none" w:pos="1960" w:val="left"/>
        </w:tabs>
        <w:rPr>
          <w:sz w:val="20"/>
          <w:szCs w:val="20"/>
          <w:color w:val="auto"/>
        </w:rPr>
      </w:pPr>
      <w:r>
        <w:rPr>
          <w:rFonts w:ascii="Arial" w:cs="Arial" w:eastAsia="Arial" w:hAnsi="Arial"/>
          <w:sz w:val="20"/>
          <w:szCs w:val="20"/>
          <w:color w:val="282828"/>
        </w:rPr>
        <w:t>20.13</w:t>
      </w:r>
      <w:r>
        <w:rPr>
          <w:sz w:val="20"/>
          <w:szCs w:val="20"/>
          <w:color w:val="auto"/>
        </w:rPr>
        <w:tab/>
      </w:r>
      <w:r>
        <w:rPr>
          <w:rFonts w:ascii="Arial" w:cs="Arial" w:eastAsia="Arial" w:hAnsi="Arial"/>
          <w:sz w:val="16"/>
          <w:szCs w:val="16"/>
          <w:u w:val="single" w:color="auto"/>
          <w:color w:val="262626"/>
        </w:rPr>
        <w:t>Notices</w:t>
      </w:r>
    </w:p>
    <w:p>
      <w:pPr>
        <w:spacing w:after="0" w:line="189" w:lineRule="exact"/>
        <w:rPr>
          <w:sz w:val="20"/>
          <w:szCs w:val="20"/>
          <w:color w:val="auto"/>
        </w:rPr>
      </w:pPr>
    </w:p>
    <w:p>
      <w:pPr>
        <w:ind w:right="80" w:firstLine="877"/>
        <w:spacing w:after="0" w:line="243" w:lineRule="auto"/>
        <w:rPr>
          <w:sz w:val="20"/>
          <w:szCs w:val="20"/>
          <w:color w:val="auto"/>
        </w:rPr>
      </w:pPr>
      <w:r>
        <w:rPr>
          <w:rFonts w:ascii="Arial" w:cs="Arial" w:eastAsia="Arial" w:hAnsi="Arial"/>
          <w:sz w:val="20"/>
          <w:szCs w:val="20"/>
          <w:color w:val="282828"/>
        </w:rPr>
        <w:t>All notices, which Landlord or Tenant may be required or may desire to serve on the other shall be in writing and shall be served by personal delivery, overnight delivery or by mailing the same by registered or certified mail, postage prepaid, addressed as specified in Item 1 of the Basic Lease Information or addressed to such other address or addresses as either Landlord or Tenant may from time to time designate to the other in writing in accordance with this Section. Any notice so given by mail as provided above shall be deemed effectively given forty-eight (48) hours after deposit in the mail as provided above, unless received earlier by the addressee. Any notice served by personal delivery shall be deemed effectively given when delivered at the party’s address. Any notice by overnight delivery shall be deemed effectively given on the next business day.</w:t>
      </w:r>
    </w:p>
    <w:p>
      <w:pPr>
        <w:spacing w:after="0" w:line="18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20.14</w:t>
      </w:r>
      <w:r>
        <w:rPr>
          <w:sz w:val="20"/>
          <w:szCs w:val="20"/>
          <w:color w:val="auto"/>
        </w:rPr>
        <w:tab/>
      </w:r>
      <w:r>
        <w:rPr>
          <w:rFonts w:ascii="Arial" w:cs="Arial" w:eastAsia="Arial" w:hAnsi="Arial"/>
          <w:sz w:val="16"/>
          <w:szCs w:val="16"/>
          <w:u w:val="single" w:color="auto"/>
          <w:color w:val="282828"/>
        </w:rPr>
        <w:t xml:space="preserve">Rules and </w:t>
      </w:r>
      <w:r>
        <w:rPr>
          <w:rFonts w:ascii="Arial" w:cs="Arial" w:eastAsia="Arial" w:hAnsi="Arial"/>
          <w:sz w:val="16"/>
          <w:szCs w:val="16"/>
          <w:u w:val="single" w:color="auto"/>
          <w:color w:val="262626"/>
        </w:rPr>
        <w:t>Regulations</w:t>
      </w:r>
    </w:p>
    <w:p>
      <w:pPr>
        <w:spacing w:after="0" w:line="202" w:lineRule="exact"/>
        <w:rPr>
          <w:sz w:val="20"/>
          <w:szCs w:val="20"/>
          <w:color w:val="auto"/>
        </w:rPr>
      </w:pPr>
    </w:p>
    <w:p>
      <w:pPr>
        <w:ind w:right="260" w:firstLine="877"/>
        <w:spacing w:after="0" w:line="244" w:lineRule="auto"/>
        <w:rPr>
          <w:sz w:val="20"/>
          <w:szCs w:val="20"/>
          <w:color w:val="auto"/>
        </w:rPr>
      </w:pPr>
      <w:r>
        <w:rPr>
          <w:rFonts w:ascii="Arial" w:cs="Arial" w:eastAsia="Arial" w:hAnsi="Arial"/>
          <w:sz w:val="20"/>
          <w:szCs w:val="20"/>
          <w:color w:val="282828"/>
        </w:rPr>
        <w:t>Tenant agrees to abide by and comply with the Rules and Regulations attached hereto as Exhibit B (the “Rules and Regulations”) and incorporated herein by this reference. Landlord shall not be liable to Tenant for any violation of such Rules and Regulations by any other tenant or occupant of the Building. In the event of any inconsistencies between this Lease and the Rules and Regulations, the terms of this Lease shall prevail. Landlord shall have the right upon written notice, from time to time, to amend, modify and add to the Rules and Regulations.</w:t>
      </w:r>
    </w:p>
    <w:p>
      <w:pPr>
        <w:spacing w:after="0" w:line="168"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20.15</w:t>
      </w:r>
      <w:r>
        <w:rPr>
          <w:sz w:val="20"/>
          <w:szCs w:val="20"/>
          <w:color w:val="auto"/>
        </w:rPr>
        <w:tab/>
      </w:r>
      <w:r>
        <w:rPr>
          <w:rFonts w:ascii="Arial" w:cs="Arial" w:eastAsia="Arial" w:hAnsi="Arial"/>
          <w:sz w:val="18"/>
          <w:szCs w:val="18"/>
          <w:u w:val="single" w:color="auto"/>
          <w:color w:val="282828"/>
        </w:rPr>
        <w:t xml:space="preserve">Waiver of Jury </w:t>
      </w:r>
      <w:r>
        <w:rPr>
          <w:rFonts w:ascii="Arial" w:cs="Arial" w:eastAsia="Arial" w:hAnsi="Arial"/>
          <w:sz w:val="18"/>
          <w:szCs w:val="18"/>
          <w:u w:val="single" w:color="auto"/>
          <w:color w:val="3D3D3D"/>
        </w:rPr>
        <w:t>Trial;</w:t>
      </w:r>
      <w:r>
        <w:rPr>
          <w:rFonts w:ascii="Arial" w:cs="Arial" w:eastAsia="Arial" w:hAnsi="Arial"/>
          <w:sz w:val="18"/>
          <w:szCs w:val="18"/>
          <w:u w:val="single" w:color="auto"/>
          <w:color w:val="282828"/>
        </w:rPr>
        <w:t xml:space="preserve"> Venue and Jurisdiction</w:t>
      </w:r>
    </w:p>
    <w:p>
      <w:pPr>
        <w:spacing w:after="0" w:line="202" w:lineRule="exact"/>
        <w:rPr>
          <w:sz w:val="20"/>
          <w:szCs w:val="20"/>
          <w:color w:val="auto"/>
        </w:rPr>
      </w:pPr>
    </w:p>
    <w:p>
      <w:pPr>
        <w:ind w:right="40" w:firstLine="877"/>
        <w:spacing w:after="0" w:line="271" w:lineRule="auto"/>
        <w:rPr>
          <w:sz w:val="20"/>
          <w:szCs w:val="20"/>
          <w:color w:val="auto"/>
        </w:rPr>
      </w:pPr>
      <w:r>
        <w:rPr>
          <w:rFonts w:ascii="Arial" w:cs="Arial" w:eastAsia="Arial" w:hAnsi="Arial"/>
          <w:sz w:val="18"/>
          <w:szCs w:val="18"/>
          <w:color w:val="282828"/>
        </w:rPr>
        <w:t>To the extent permitted by Law, each party hereto shall not seek a jury trial, hereby waives trial by jury, and hereby further waives any objection to venue in the City and County of San Francisco, and agrees and consents to personal jurisdiction of the courts of the State of California, in any action or proceeding or counterclaim brought by any party hereto against the other on any matter whatsoever arising out of or in any way connected with this Lease, the relationship of Landlord and Tenant, Tenant’s use or occupancy of the Premises, or any claim of injury or damage, or the enforcement of any remedy under any statute, emergency or otherwise, whether any of the foregoing is based on this Lease or on tort law. No party will seek to consolidate any such action in which a jury has been waived with any other action in which a jury trial cannot or has not been waived. It is the intention of the parties that these provisions shall be subject to no exceptions. By execution of this Lease, the parties agree that this provision may be filed by any party hereto with the clerk or judge before whom any action is instituted, which filing shall constitute the written consent to a waiver of jury trial pursuant to and in accordance with Section 631 of the California Code of Civil Procedure. No party has in any way agreed with or represented to any other party that the provisions of this Section 20.15 will not be fully enforced in all instances. The provisions of this Section 20.15 shall survive the expiration or earlier termination of this Lease.</w:t>
      </w:r>
    </w:p>
    <w:p>
      <w:pPr>
        <w:spacing w:after="0" w:line="157"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20.16</w:t>
      </w:r>
      <w:r>
        <w:rPr>
          <w:sz w:val="20"/>
          <w:szCs w:val="20"/>
          <w:color w:val="auto"/>
        </w:rPr>
        <w:tab/>
      </w:r>
      <w:r>
        <w:rPr>
          <w:rFonts w:ascii="Arial" w:cs="Arial" w:eastAsia="Arial" w:hAnsi="Arial"/>
          <w:sz w:val="18"/>
          <w:szCs w:val="18"/>
          <w:u w:val="single" w:color="auto"/>
          <w:color w:val="282828"/>
        </w:rPr>
        <w:t>Governing Laws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This Lease shall be governed by and construed in accordance with the laws of the State of California.</w:t>
      </w:r>
    </w:p>
    <w:p>
      <w:pPr>
        <w:spacing w:after="0" w:line="20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20.17</w:t>
      </w:r>
      <w:r>
        <w:rPr>
          <w:sz w:val="20"/>
          <w:szCs w:val="20"/>
          <w:color w:val="auto"/>
        </w:rPr>
        <w:tab/>
      </w:r>
      <w:r>
        <w:rPr>
          <w:rFonts w:ascii="Arial" w:cs="Arial" w:eastAsia="Arial" w:hAnsi="Arial"/>
          <w:sz w:val="18"/>
          <w:szCs w:val="18"/>
          <w:u w:val="single" w:color="auto"/>
          <w:color w:val="282828"/>
        </w:rPr>
        <w:t xml:space="preserve">Heading </w:t>
      </w:r>
      <w:r>
        <w:rPr>
          <w:rFonts w:ascii="Arial" w:cs="Arial" w:eastAsia="Arial" w:hAnsi="Arial"/>
          <w:sz w:val="18"/>
          <w:szCs w:val="18"/>
          <w:u w:val="single" w:color="auto"/>
          <w:color w:val="262626"/>
        </w:rPr>
        <w:t>and</w:t>
      </w:r>
      <w:r>
        <w:rPr>
          <w:rFonts w:ascii="Arial" w:cs="Arial" w:eastAsia="Arial" w:hAnsi="Arial"/>
          <w:sz w:val="18"/>
          <w:szCs w:val="18"/>
          <w:u w:val="single" w:color="auto"/>
          <w:color w:val="282828"/>
        </w:rPr>
        <w:t xml:space="preserve"> </w:t>
      </w:r>
      <w:r>
        <w:rPr>
          <w:rFonts w:ascii="Arial" w:cs="Arial" w:eastAsia="Arial" w:hAnsi="Arial"/>
          <w:sz w:val="18"/>
          <w:szCs w:val="18"/>
          <w:color w:val="3D3D3D"/>
        </w:rPr>
        <w:t>T</w:t>
      </w:r>
      <w:r>
        <w:rPr>
          <w:rFonts w:ascii="Arial" w:cs="Arial" w:eastAsia="Arial" w:hAnsi="Arial"/>
          <w:sz w:val="18"/>
          <w:szCs w:val="18"/>
          <w:u w:val="single" w:color="auto"/>
          <w:color w:val="0E0E0E"/>
        </w:rPr>
        <w:t>i</w:t>
      </w:r>
      <w:r>
        <w:rPr>
          <w:rFonts w:ascii="Arial" w:cs="Arial" w:eastAsia="Arial" w:hAnsi="Arial"/>
          <w:sz w:val="18"/>
          <w:szCs w:val="18"/>
          <w:u w:val="single" w:color="auto"/>
          <w:color w:val="282828"/>
        </w:rPr>
        <w: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-14605</wp:posOffset>
            </wp:positionV>
            <wp:extent cx="1155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5570" cy="8890"/>
                    </a:xfrm>
                    <a:prstGeom prst="rect">
                      <a:avLst/>
                    </a:prstGeom>
                    <a:noFill/>
                  </pic:spPr>
                </pic:pic>
              </a:graphicData>
            </a:graphic>
          </wp:anchor>
        </w:drawing>
      </w:r>
    </w:p>
    <w:p>
      <w:pPr>
        <w:spacing w:after="0" w:line="182" w:lineRule="exact"/>
        <w:rPr>
          <w:sz w:val="20"/>
          <w:szCs w:val="20"/>
          <w:color w:val="auto"/>
        </w:rPr>
      </w:pPr>
    </w:p>
    <w:p>
      <w:pPr>
        <w:ind w:right="480" w:firstLine="877"/>
        <w:spacing w:after="0" w:line="260" w:lineRule="auto"/>
        <w:rPr>
          <w:sz w:val="20"/>
          <w:szCs w:val="20"/>
          <w:color w:val="auto"/>
        </w:rPr>
      </w:pPr>
      <w:r>
        <w:rPr>
          <w:rFonts w:ascii="Arial" w:cs="Arial" w:eastAsia="Arial" w:hAnsi="Arial"/>
          <w:sz w:val="20"/>
          <w:szCs w:val="20"/>
          <w:color w:val="282828"/>
        </w:rPr>
        <w:t>The marginal titles to the Articles of this Lease are inserted for convenience of reference only and shall have no effect upon the construction or interpretation of any part 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36</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164" w:name="page165"/>
    <w:bookmarkEnd w:id="164"/>
    <w:p>
      <w:pPr>
        <w:ind w:left="880"/>
        <w:spacing w:after="0"/>
        <w:tabs>
          <w:tab w:leader="none" w:pos="1960" w:val="left"/>
        </w:tabs>
        <w:rPr>
          <w:sz w:val="20"/>
          <w:szCs w:val="20"/>
          <w:color w:val="auto"/>
        </w:rPr>
      </w:pPr>
      <w:r>
        <w:rPr>
          <w:rFonts w:ascii="Arial" w:cs="Arial" w:eastAsia="Arial" w:hAnsi="Arial"/>
          <w:sz w:val="20"/>
          <w:szCs w:val="20"/>
          <w:color w:val="282828"/>
        </w:rPr>
        <w:t>20.18</w:t>
      </w:r>
      <w:r>
        <w:rPr>
          <w:sz w:val="20"/>
          <w:szCs w:val="20"/>
          <w:color w:val="auto"/>
        </w:rPr>
        <w:tab/>
      </w:r>
      <w:r>
        <w:rPr>
          <w:rFonts w:ascii="Arial" w:cs="Arial" w:eastAsia="Arial" w:hAnsi="Arial"/>
          <w:sz w:val="18"/>
          <w:szCs w:val="18"/>
          <w:u w:val="single" w:color="auto"/>
          <w:color w:val="282828"/>
        </w:rPr>
        <w:t xml:space="preserve">Heirs and </w:t>
      </w:r>
      <w:r>
        <w:rPr>
          <w:rFonts w:ascii="Arial" w:cs="Arial" w:eastAsia="Arial" w:hAnsi="Arial"/>
          <w:sz w:val="18"/>
          <w:szCs w:val="18"/>
          <w:u w:val="single" w:color="auto"/>
          <w:color w:val="262626"/>
        </w:rPr>
        <w:t>Assigns</w:t>
      </w:r>
    </w:p>
    <w:p>
      <w:pPr>
        <w:spacing w:after="0" w:line="189" w:lineRule="exact"/>
        <w:rPr>
          <w:sz w:val="20"/>
          <w:szCs w:val="20"/>
          <w:color w:val="auto"/>
        </w:rPr>
      </w:pPr>
    </w:p>
    <w:p>
      <w:pPr>
        <w:ind w:right="200" w:firstLine="877"/>
        <w:spacing w:after="0" w:line="260" w:lineRule="auto"/>
        <w:rPr>
          <w:sz w:val="20"/>
          <w:szCs w:val="20"/>
          <w:color w:val="auto"/>
        </w:rPr>
      </w:pPr>
      <w:r>
        <w:rPr>
          <w:rFonts w:ascii="Arial" w:cs="Arial" w:eastAsia="Arial" w:hAnsi="Arial"/>
          <w:sz w:val="20"/>
          <w:szCs w:val="20"/>
          <w:color w:val="282828"/>
        </w:rPr>
        <w:t>Subject to the limitations on Transfers, this Lease shall be binding upon and shall inure to the benefit of the parties hereto and their respective heirs, personal representatives, successors and assigns.</w:t>
      </w:r>
    </w:p>
    <w:p>
      <w:pPr>
        <w:spacing w:after="0" w:line="16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20.19</w:t>
      </w:r>
      <w:r>
        <w:rPr>
          <w:sz w:val="20"/>
          <w:szCs w:val="20"/>
          <w:color w:val="auto"/>
        </w:rPr>
        <w:tab/>
      </w:r>
      <w:r>
        <w:rPr>
          <w:rFonts w:ascii="Arial" w:cs="Arial" w:eastAsia="Arial" w:hAnsi="Arial"/>
          <w:sz w:val="16"/>
          <w:szCs w:val="16"/>
          <w:u w:val="single" w:color="auto"/>
          <w:color w:val="282828"/>
        </w:rPr>
        <w:t>Time of Essence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Time is of the essence with respect to the performance of every provision of this Lease.</w:t>
      </w:r>
    </w:p>
    <w:p>
      <w:pPr>
        <w:spacing w:after="0" w:line="18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20.20</w:t>
      </w:r>
      <w:r>
        <w:rPr>
          <w:sz w:val="20"/>
          <w:szCs w:val="20"/>
          <w:color w:val="auto"/>
        </w:rPr>
        <w:tab/>
      </w:r>
      <w:r>
        <w:rPr>
          <w:rFonts w:ascii="Arial" w:cs="Arial" w:eastAsia="Arial" w:hAnsi="Arial"/>
          <w:sz w:val="18"/>
          <w:szCs w:val="18"/>
          <w:u w:val="single" w:color="auto"/>
          <w:color w:val="262626"/>
        </w:rPr>
        <w:t>Severability</w:t>
      </w:r>
    </w:p>
    <w:p>
      <w:pPr>
        <w:spacing w:after="0" w:line="202" w:lineRule="exact"/>
        <w:rPr>
          <w:sz w:val="20"/>
          <w:szCs w:val="20"/>
          <w:color w:val="auto"/>
        </w:rPr>
      </w:pPr>
    </w:p>
    <w:p>
      <w:pPr>
        <w:jc w:val="both"/>
        <w:ind w:right="220" w:firstLine="877"/>
        <w:spacing w:after="0" w:line="250" w:lineRule="auto"/>
        <w:rPr>
          <w:sz w:val="20"/>
          <w:szCs w:val="20"/>
          <w:color w:val="auto"/>
        </w:rPr>
      </w:pPr>
      <w:r>
        <w:rPr>
          <w:rFonts w:ascii="Arial" w:cs="Arial" w:eastAsia="Arial" w:hAnsi="Arial"/>
          <w:sz w:val="20"/>
          <w:szCs w:val="20"/>
          <w:color w:val="282828"/>
        </w:rPr>
        <w:t>If any condition or provision of this Lease shall be held invalid or unenforceable to any extent under any applicable Law or by any court of competent jurisdiction, the remainder of this Lease shall be affected thereby, and each condition and provision of this Lease shall be valid and enforceable to the fullest extent permitted by law.</w:t>
      </w:r>
    </w:p>
    <w:p>
      <w:pPr>
        <w:spacing w:after="0" w:line="17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20.21</w:t>
      </w:r>
      <w:r>
        <w:rPr>
          <w:sz w:val="20"/>
          <w:szCs w:val="20"/>
          <w:color w:val="auto"/>
        </w:rPr>
        <w:tab/>
      </w:r>
      <w:r>
        <w:rPr>
          <w:rFonts w:ascii="Arial" w:cs="Arial" w:eastAsia="Arial" w:hAnsi="Arial"/>
          <w:sz w:val="19"/>
          <w:szCs w:val="19"/>
          <w:u w:val="single" w:color="auto"/>
          <w:color w:val="262626"/>
        </w:rPr>
        <w:t>Authority</w:t>
      </w:r>
    </w:p>
    <w:p>
      <w:pPr>
        <w:spacing w:after="0" w:line="189" w:lineRule="exact"/>
        <w:rPr>
          <w:sz w:val="20"/>
          <w:szCs w:val="20"/>
          <w:color w:val="auto"/>
        </w:rPr>
      </w:pPr>
    </w:p>
    <w:p>
      <w:pPr>
        <w:ind w:right="580" w:firstLine="877"/>
        <w:spacing w:after="0" w:line="287" w:lineRule="auto"/>
        <w:rPr>
          <w:sz w:val="20"/>
          <w:szCs w:val="20"/>
          <w:color w:val="auto"/>
        </w:rPr>
      </w:pPr>
      <w:r>
        <w:rPr>
          <w:rFonts w:ascii="Arial" w:cs="Arial" w:eastAsia="Arial" w:hAnsi="Arial"/>
          <w:sz w:val="19"/>
          <w:szCs w:val="19"/>
          <w:color w:val="282828"/>
        </w:rPr>
        <w:t>Tenant represents and warrants that each individual executing this Lease on behalf of Tenant is duly authorized to execute and deliver this Lease on behalf of Tenant and that this Lease is binding upon Tenant in accordance with its terms.</w:t>
      </w:r>
    </w:p>
    <w:p>
      <w:pPr>
        <w:spacing w:after="0" w:line="13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20.22</w:t>
      </w:r>
      <w:r>
        <w:rPr>
          <w:sz w:val="20"/>
          <w:szCs w:val="20"/>
          <w:color w:val="auto"/>
        </w:rPr>
        <w:tab/>
      </w:r>
      <w:r>
        <w:rPr>
          <w:rFonts w:ascii="Arial" w:cs="Arial" w:eastAsia="Arial" w:hAnsi="Arial"/>
          <w:sz w:val="16"/>
          <w:szCs w:val="16"/>
          <w:u w:val="single" w:color="auto"/>
          <w:color w:val="262626"/>
        </w:rPr>
        <w:t>Brokers</w:t>
      </w:r>
    </w:p>
    <w:p>
      <w:pPr>
        <w:spacing w:after="0" w:line="202" w:lineRule="exact"/>
        <w:rPr>
          <w:sz w:val="20"/>
          <w:szCs w:val="20"/>
          <w:color w:val="auto"/>
        </w:rPr>
      </w:pPr>
    </w:p>
    <w:p>
      <w:pPr>
        <w:ind w:right="400" w:firstLine="877"/>
        <w:spacing w:after="0" w:line="260" w:lineRule="auto"/>
        <w:rPr>
          <w:sz w:val="20"/>
          <w:szCs w:val="20"/>
          <w:color w:val="auto"/>
        </w:rPr>
      </w:pPr>
      <w:r>
        <w:rPr>
          <w:rFonts w:ascii="Arial" w:cs="Arial" w:eastAsia="Arial" w:hAnsi="Arial"/>
          <w:sz w:val="20"/>
          <w:szCs w:val="20"/>
          <w:color w:val="282828"/>
        </w:rPr>
        <w:t>Landlord shall be solely responsible for the payment of brokerage commissions to the entity or entities specified in Item 8 of the Basic Lease Information.</w:t>
      </w:r>
    </w:p>
    <w:p>
      <w:pPr>
        <w:spacing w:after="0" w:line="15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20.23</w:t>
      </w:r>
      <w:r>
        <w:rPr>
          <w:sz w:val="20"/>
          <w:szCs w:val="20"/>
          <w:color w:val="auto"/>
        </w:rPr>
        <w:tab/>
      </w:r>
      <w:r>
        <w:rPr>
          <w:rFonts w:ascii="Arial" w:cs="Arial" w:eastAsia="Arial" w:hAnsi="Arial"/>
          <w:sz w:val="18"/>
          <w:szCs w:val="18"/>
          <w:u w:val="single" w:color="auto"/>
          <w:color w:val="3B3B3B"/>
        </w:rPr>
        <w:t xml:space="preserve">No </w:t>
      </w:r>
      <w:r>
        <w:rPr>
          <w:rFonts w:ascii="Arial" w:cs="Arial" w:eastAsia="Arial" w:hAnsi="Arial"/>
          <w:sz w:val="18"/>
          <w:szCs w:val="18"/>
          <w:u w:val="single" w:color="auto"/>
          <w:color w:val="262626"/>
        </w:rPr>
        <w:t>Light</w:t>
      </w:r>
      <w:r>
        <w:rPr>
          <w:rFonts w:ascii="Arial" w:cs="Arial" w:eastAsia="Arial" w:hAnsi="Arial"/>
          <w:sz w:val="18"/>
          <w:szCs w:val="18"/>
          <w:u w:val="single" w:color="auto"/>
          <w:color w:val="3B3B3B"/>
        </w:rPr>
        <w:t xml:space="preserve">. </w:t>
      </w:r>
      <w:r>
        <w:rPr>
          <w:rFonts w:ascii="Arial" w:cs="Arial" w:eastAsia="Arial" w:hAnsi="Arial"/>
          <w:sz w:val="18"/>
          <w:szCs w:val="18"/>
          <w:u w:val="single" w:color="auto"/>
          <w:color w:val="282828"/>
        </w:rPr>
        <w:t>Air or View</w:t>
      </w:r>
      <w:r>
        <w:rPr>
          <w:rFonts w:ascii="Arial" w:cs="Arial" w:eastAsia="Arial" w:hAnsi="Arial"/>
          <w:sz w:val="18"/>
          <w:szCs w:val="18"/>
          <w:u w:val="single" w:color="auto"/>
          <w:color w:val="3B3B3B"/>
        </w:rPr>
        <w:t xml:space="preserve"> </w:t>
      </w:r>
      <w:r>
        <w:rPr>
          <w:rFonts w:ascii="Arial" w:cs="Arial" w:eastAsia="Arial" w:hAnsi="Arial"/>
          <w:sz w:val="18"/>
          <w:szCs w:val="18"/>
          <w:u w:val="single" w:color="auto"/>
          <w:color w:val="494949"/>
        </w:rPr>
        <w:t>Ease</w:t>
      </w:r>
      <w:r>
        <w:rPr>
          <w:rFonts w:ascii="Arial" w:cs="Arial" w:eastAsia="Arial" w:hAnsi="Arial"/>
          <w:sz w:val="18"/>
          <w:szCs w:val="18"/>
          <w:u w:val="single" w:color="auto"/>
          <w:color w:val="282828"/>
        </w:rPr>
        <w:t>ment</w:t>
      </w:r>
    </w:p>
    <w:p>
      <w:pPr>
        <w:spacing w:after="0" w:line="202" w:lineRule="exact"/>
        <w:rPr>
          <w:sz w:val="20"/>
          <w:szCs w:val="20"/>
          <w:color w:val="auto"/>
        </w:rPr>
      </w:pPr>
    </w:p>
    <w:p>
      <w:pPr>
        <w:ind w:right="40" w:firstLine="877"/>
        <w:spacing w:after="0" w:line="260" w:lineRule="auto"/>
        <w:rPr>
          <w:sz w:val="20"/>
          <w:szCs w:val="20"/>
          <w:color w:val="auto"/>
        </w:rPr>
      </w:pPr>
      <w:r>
        <w:rPr>
          <w:rFonts w:ascii="Arial" w:cs="Arial" w:eastAsia="Arial" w:hAnsi="Arial"/>
          <w:sz w:val="20"/>
          <w:szCs w:val="20"/>
          <w:color w:val="282828"/>
        </w:rPr>
        <w:t>Any diminution or shutting off of light, air or view by any structure which may be erected on lands adjacent to the Building shall not in any way affect this Lease or impose any liability on Landlord.</w:t>
      </w:r>
    </w:p>
    <w:p>
      <w:pPr>
        <w:spacing w:after="0" w:line="16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20.24</w:t>
      </w:r>
      <w:r>
        <w:rPr>
          <w:sz w:val="20"/>
          <w:szCs w:val="20"/>
          <w:color w:val="auto"/>
        </w:rPr>
        <w:tab/>
      </w:r>
      <w:r>
        <w:rPr>
          <w:rFonts w:ascii="Arial" w:cs="Arial" w:eastAsia="Arial" w:hAnsi="Arial"/>
          <w:sz w:val="18"/>
          <w:szCs w:val="18"/>
          <w:u w:val="single" w:color="auto"/>
          <w:color w:val="494949"/>
        </w:rPr>
        <w:t>E</w:t>
      </w:r>
      <w:r>
        <w:rPr>
          <w:rFonts w:ascii="Arial" w:cs="Arial" w:eastAsia="Arial" w:hAnsi="Arial"/>
          <w:sz w:val="18"/>
          <w:szCs w:val="18"/>
          <w:u w:val="single" w:color="auto"/>
          <w:color w:val="282828"/>
        </w:rPr>
        <w:t>ntire Agreement</w:t>
      </w:r>
    </w:p>
    <w:p>
      <w:pPr>
        <w:spacing w:after="0" w:line="189" w:lineRule="exact"/>
        <w:rPr>
          <w:sz w:val="20"/>
          <w:szCs w:val="20"/>
          <w:color w:val="auto"/>
        </w:rPr>
      </w:pPr>
    </w:p>
    <w:p>
      <w:pPr>
        <w:ind w:right="400" w:firstLine="877"/>
        <w:spacing w:after="0" w:line="260" w:lineRule="auto"/>
        <w:rPr>
          <w:sz w:val="20"/>
          <w:szCs w:val="20"/>
          <w:color w:val="auto"/>
        </w:rPr>
      </w:pPr>
      <w:r>
        <w:rPr>
          <w:rFonts w:ascii="Arial" w:cs="Arial" w:eastAsia="Arial" w:hAnsi="Arial"/>
          <w:sz w:val="20"/>
          <w:szCs w:val="20"/>
          <w:color w:val="282828"/>
        </w:rPr>
        <w:t>This Lease, along with any Exhibits affixed hereto, constitutes the entire and exclusive agreement between Landlord and Tenant relative to the Premises.</w:t>
      </w:r>
    </w:p>
    <w:p>
      <w:pPr>
        <w:spacing w:after="0" w:line="16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20.25</w:t>
      </w:r>
      <w:r>
        <w:rPr>
          <w:sz w:val="20"/>
          <w:szCs w:val="20"/>
          <w:color w:val="auto"/>
        </w:rPr>
        <w:tab/>
      </w:r>
      <w:r>
        <w:rPr>
          <w:rFonts w:ascii="Arial" w:cs="Arial" w:eastAsia="Arial" w:hAnsi="Arial"/>
          <w:sz w:val="16"/>
          <w:szCs w:val="16"/>
          <w:u w:val="single" w:color="auto"/>
          <w:color w:val="262626"/>
        </w:rPr>
        <w:t>Recording</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Neither Landlord nor Tenant shall record this Lease.</w:t>
      </w:r>
    </w:p>
    <w:p>
      <w:pPr>
        <w:spacing w:after="0" w:line="18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20.26</w:t>
      </w:r>
      <w:r>
        <w:rPr>
          <w:sz w:val="20"/>
          <w:szCs w:val="20"/>
          <w:color w:val="auto"/>
        </w:rPr>
        <w:tab/>
      </w:r>
      <w:r>
        <w:rPr>
          <w:rFonts w:ascii="Arial" w:cs="Arial" w:eastAsia="Arial" w:hAnsi="Arial"/>
          <w:sz w:val="18"/>
          <w:szCs w:val="18"/>
          <w:u w:val="single" w:color="auto"/>
          <w:color w:val="3B3B3B"/>
        </w:rPr>
        <w:t xml:space="preserve">Number </w:t>
      </w:r>
      <w:r>
        <w:rPr>
          <w:rFonts w:ascii="Arial" w:cs="Arial" w:eastAsia="Arial" w:hAnsi="Arial"/>
          <w:sz w:val="18"/>
          <w:szCs w:val="18"/>
          <w:u w:val="single" w:color="auto"/>
          <w:color w:val="282828"/>
        </w:rPr>
        <w:t>and Gender</w:t>
      </w:r>
      <w:r>
        <w:rPr>
          <w:rFonts w:ascii="Arial" w:cs="Arial" w:eastAsia="Arial" w:hAnsi="Arial"/>
          <w:sz w:val="18"/>
          <w:szCs w:val="18"/>
          <w:u w:val="single" w:color="auto"/>
          <w:color w:val="494949"/>
        </w:rPr>
        <w:t>s;</w:t>
      </w:r>
      <w:r>
        <w:rPr>
          <w:rFonts w:ascii="Arial" w:cs="Arial" w:eastAsia="Arial" w:hAnsi="Arial"/>
          <w:sz w:val="18"/>
          <w:szCs w:val="18"/>
          <w:u w:val="single" w:color="auto"/>
          <w:color w:val="3B3B3B"/>
        </w:rPr>
        <w:t xml:space="preserve"> Joint and Severa</w:t>
      </w:r>
      <w:r>
        <w:rPr>
          <w:rFonts w:ascii="Arial" w:cs="Arial" w:eastAsia="Arial" w:hAnsi="Arial"/>
          <w:sz w:val="18"/>
          <w:szCs w:val="18"/>
          <w:u w:val="single" w:color="auto"/>
          <w:color w:val="161616"/>
        </w:rPr>
        <w:t>l</w:t>
      </w:r>
      <w:r>
        <w:rPr>
          <w:rFonts w:ascii="Arial" w:cs="Arial" w:eastAsia="Arial" w:hAnsi="Arial"/>
          <w:sz w:val="18"/>
          <w:szCs w:val="18"/>
          <w:u w:val="single" w:color="auto"/>
          <w:color w:val="3B3B3B"/>
        </w:rPr>
        <w:t xml:space="preserve"> Liabi</w:t>
      </w:r>
      <w:r>
        <w:rPr>
          <w:rFonts w:ascii="Arial" w:cs="Arial" w:eastAsia="Arial" w:hAnsi="Arial"/>
          <w:sz w:val="18"/>
          <w:szCs w:val="18"/>
          <w:u w:val="single" w:color="auto"/>
          <w:color w:val="161616"/>
        </w:rPr>
        <w:t>li</w:t>
      </w:r>
      <w:r>
        <w:rPr>
          <w:rFonts w:ascii="Arial" w:cs="Arial" w:eastAsia="Arial" w:hAnsi="Arial"/>
          <w:sz w:val="18"/>
          <w:szCs w:val="18"/>
          <w:u w:val="single" w:color="auto"/>
          <w:color w:val="494949"/>
        </w:rPr>
        <w:t>t</w:t>
      </w:r>
      <w:r>
        <w:rPr>
          <w:rFonts w:ascii="Arial" w:cs="Arial" w:eastAsia="Arial" w:hAnsi="Arial"/>
          <w:sz w:val="18"/>
          <w:szCs w:val="18"/>
          <w:u w:val="single" w:color="auto"/>
          <w:color w:val="282828"/>
        </w:rPr>
        <w:t>y</w:t>
      </w:r>
    </w:p>
    <w:p>
      <w:pPr>
        <w:spacing w:after="0" w:line="202" w:lineRule="exact"/>
        <w:rPr>
          <w:sz w:val="20"/>
          <w:szCs w:val="20"/>
          <w:color w:val="auto"/>
        </w:rPr>
      </w:pPr>
    </w:p>
    <w:p>
      <w:pPr>
        <w:ind w:right="240" w:firstLine="877"/>
        <w:spacing w:after="0" w:line="250" w:lineRule="auto"/>
        <w:rPr>
          <w:sz w:val="20"/>
          <w:szCs w:val="20"/>
          <w:color w:val="auto"/>
        </w:rPr>
      </w:pPr>
      <w:r>
        <w:rPr>
          <w:rFonts w:ascii="Arial" w:cs="Arial" w:eastAsia="Arial" w:hAnsi="Arial"/>
          <w:sz w:val="20"/>
          <w:szCs w:val="20"/>
          <w:color w:val="282828"/>
        </w:rPr>
        <w:t>The words “Landlord” and “Tenant”, as used herein, shall include the plural as well as the singular. Words used in the masculine gender include the feminine and neuter. If there be more than one Landlord or Tenant, then the obligations hereunder imposed upon Landlord and Tenant shall be joint and several.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37</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5" w:name="page166"/>
    <w:bookmarkEnd w:id="165"/>
    <w:p>
      <w:pPr>
        <w:ind w:left="880"/>
        <w:spacing w:after="0"/>
        <w:tabs>
          <w:tab w:leader="none" w:pos="1960" w:val="left"/>
        </w:tabs>
        <w:rPr>
          <w:sz w:val="20"/>
          <w:szCs w:val="20"/>
          <w:color w:val="auto"/>
        </w:rPr>
      </w:pPr>
      <w:r>
        <w:rPr>
          <w:rFonts w:ascii="Arial" w:cs="Arial" w:eastAsia="Arial" w:hAnsi="Arial"/>
          <w:sz w:val="20"/>
          <w:szCs w:val="20"/>
          <w:color w:val="282828"/>
        </w:rPr>
        <w:t>20.27</w:t>
      </w:r>
      <w:r>
        <w:rPr>
          <w:sz w:val="20"/>
          <w:szCs w:val="20"/>
          <w:color w:val="auto"/>
        </w:rPr>
        <w:tab/>
      </w:r>
      <w:r>
        <w:rPr>
          <w:rFonts w:ascii="Arial" w:cs="Arial" w:eastAsia="Arial" w:hAnsi="Arial"/>
          <w:sz w:val="18"/>
          <w:szCs w:val="18"/>
          <w:u w:val="single" w:color="auto"/>
          <w:color w:val="262626"/>
        </w:rPr>
        <w:t>Waiver</w:t>
      </w:r>
    </w:p>
    <w:p>
      <w:pPr>
        <w:spacing w:after="0" w:line="189" w:lineRule="exact"/>
        <w:rPr>
          <w:sz w:val="20"/>
          <w:szCs w:val="20"/>
          <w:color w:val="auto"/>
        </w:rPr>
      </w:pPr>
    </w:p>
    <w:p>
      <w:pPr>
        <w:ind w:right="40" w:firstLine="877"/>
        <w:spacing w:after="0" w:line="278" w:lineRule="auto"/>
        <w:rPr>
          <w:sz w:val="20"/>
          <w:szCs w:val="20"/>
          <w:color w:val="auto"/>
        </w:rPr>
      </w:pPr>
      <w:r>
        <w:rPr>
          <w:rFonts w:ascii="Arial" w:cs="Arial" w:eastAsia="Arial" w:hAnsi="Arial"/>
          <w:sz w:val="18"/>
          <w:szCs w:val="18"/>
          <w:color w:val="282828"/>
        </w:rPr>
        <w:t>The failure of Landlord or Tenant to exercise its rights in connection with any breach or violation of any term, covenant</w:t>
      </w:r>
      <w:r>
        <w:rPr>
          <w:rFonts w:ascii="Arial" w:cs="Arial" w:eastAsia="Arial" w:hAnsi="Arial"/>
          <w:sz w:val="18"/>
          <w:szCs w:val="18"/>
          <w:color w:val="414141"/>
        </w:rPr>
        <w:t>,</w:t>
      </w:r>
      <w:r>
        <w:rPr>
          <w:rFonts w:ascii="Arial" w:cs="Arial" w:eastAsia="Arial" w:hAnsi="Arial"/>
          <w:sz w:val="18"/>
          <w:szCs w:val="18"/>
          <w:color w:val="282828"/>
        </w:rPr>
        <w:t xml:space="preserve"> or condition herein contained, shall not be deemed to be a waiver of such term, covenant or condition or any subsequent breach of the same or any other term, covenant or condition herein contained. The subsequent acceptances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w:t>
      </w:r>
    </w:p>
    <w:p>
      <w:pPr>
        <w:spacing w:after="0" w:line="15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20.28</w:t>
      </w:r>
      <w:r>
        <w:rPr>
          <w:sz w:val="20"/>
          <w:szCs w:val="20"/>
          <w:color w:val="auto"/>
        </w:rPr>
        <w:tab/>
      </w:r>
      <w:r>
        <w:rPr>
          <w:rFonts w:ascii="Arial" w:cs="Arial" w:eastAsia="Arial" w:hAnsi="Arial"/>
          <w:sz w:val="19"/>
          <w:szCs w:val="19"/>
          <w:u w:val="single" w:color="auto"/>
          <w:color w:val="282828"/>
        </w:rPr>
        <w:t>N</w:t>
      </w:r>
      <w:r>
        <w:rPr>
          <w:rFonts w:ascii="Arial" w:cs="Arial" w:eastAsia="Arial" w:hAnsi="Arial"/>
          <w:sz w:val="19"/>
          <w:szCs w:val="19"/>
          <w:u w:val="single" w:color="auto"/>
          <w:color w:val="414141"/>
        </w:rPr>
        <w:t>o</w:t>
      </w:r>
      <w:r>
        <w:rPr>
          <w:rFonts w:ascii="Arial" w:cs="Arial" w:eastAsia="Arial" w:hAnsi="Arial"/>
          <w:sz w:val="19"/>
          <w:szCs w:val="19"/>
          <w:u w:val="single" w:color="auto"/>
          <w:color w:val="282828"/>
        </w:rPr>
        <w:t xml:space="preserve"> </w:t>
      </w:r>
      <w:r>
        <w:rPr>
          <w:rFonts w:ascii="Arial" w:cs="Arial" w:eastAsia="Arial" w:hAnsi="Arial"/>
          <w:sz w:val="19"/>
          <w:szCs w:val="19"/>
          <w:u w:val="single" w:color="auto"/>
          <w:color w:val="262626"/>
        </w:rPr>
        <w:t>Merger</w:t>
      </w:r>
    </w:p>
    <w:p>
      <w:pPr>
        <w:spacing w:after="0" w:line="202" w:lineRule="exact"/>
        <w:rPr>
          <w:sz w:val="20"/>
          <w:szCs w:val="20"/>
          <w:color w:val="auto"/>
        </w:rPr>
      </w:pPr>
    </w:p>
    <w:p>
      <w:pPr>
        <w:ind w:right="160" w:firstLine="877"/>
        <w:spacing w:after="0" w:line="250" w:lineRule="auto"/>
        <w:rPr>
          <w:sz w:val="20"/>
          <w:szCs w:val="20"/>
          <w:color w:val="auto"/>
        </w:rPr>
      </w:pPr>
      <w:r>
        <w:rPr>
          <w:rFonts w:ascii="Arial" w:cs="Arial" w:eastAsia="Arial" w:hAnsi="Arial"/>
          <w:sz w:val="20"/>
          <w:szCs w:val="20"/>
          <w:color w:val="282828"/>
        </w:rPr>
        <w:t>The voluntary or other surrender of this Lease by Tenant, or a mutual cancellation thereof</w:t>
      </w:r>
      <w:r>
        <w:rPr>
          <w:rFonts w:ascii="Arial" w:cs="Arial" w:eastAsia="Arial" w:hAnsi="Arial"/>
          <w:sz w:val="20"/>
          <w:szCs w:val="20"/>
          <w:color w:val="414141"/>
        </w:rPr>
        <w:t>,</w:t>
      </w:r>
      <w:r>
        <w:rPr>
          <w:rFonts w:ascii="Arial" w:cs="Arial" w:eastAsia="Arial" w:hAnsi="Arial"/>
          <w:sz w:val="20"/>
          <w:szCs w:val="20"/>
          <w:color w:val="282828"/>
        </w:rPr>
        <w:t xml:space="preserve"> shall not work a merger, and shall</w:t>
      </w:r>
      <w:r>
        <w:rPr>
          <w:rFonts w:ascii="Arial" w:cs="Arial" w:eastAsia="Arial" w:hAnsi="Arial"/>
          <w:sz w:val="20"/>
          <w:szCs w:val="20"/>
          <w:color w:val="414141"/>
        </w:rPr>
        <w:t>,</w:t>
      </w:r>
      <w:r>
        <w:rPr>
          <w:rFonts w:ascii="Arial" w:cs="Arial" w:eastAsia="Arial" w:hAnsi="Arial"/>
          <w:sz w:val="20"/>
          <w:szCs w:val="20"/>
          <w:color w:val="282828"/>
        </w:rPr>
        <w:t xml:space="preserve"> at the option of Landlord, terminate any or all existing subleases or sub tenancies, or operate as an assignment to Landlord of any or all of such subleases or sub tenancies.</w:t>
      </w:r>
    </w:p>
    <w:p>
      <w:pPr>
        <w:spacing w:after="0" w:line="15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20.29</w:t>
      </w:r>
      <w:r>
        <w:rPr>
          <w:sz w:val="20"/>
          <w:szCs w:val="20"/>
          <w:color w:val="auto"/>
        </w:rPr>
        <w:tab/>
      </w:r>
      <w:r>
        <w:rPr>
          <w:rFonts w:ascii="Arial" w:cs="Arial" w:eastAsia="Arial" w:hAnsi="Arial"/>
          <w:sz w:val="16"/>
          <w:szCs w:val="16"/>
          <w:u w:val="single" w:color="auto"/>
          <w:color w:val="282828"/>
        </w:rPr>
        <w:t xml:space="preserve">No </w:t>
      </w:r>
      <w:r>
        <w:rPr>
          <w:rFonts w:ascii="Arial" w:cs="Arial" w:eastAsia="Arial" w:hAnsi="Arial"/>
          <w:sz w:val="16"/>
          <w:szCs w:val="16"/>
          <w:u w:val="single" w:color="auto"/>
          <w:color w:val="262626"/>
        </w:rPr>
        <w:t>Represe</w:t>
      </w:r>
      <w:r>
        <w:rPr>
          <w:rFonts w:ascii="Arial" w:cs="Arial" w:eastAsia="Arial" w:hAnsi="Arial"/>
          <w:sz w:val="16"/>
          <w:szCs w:val="16"/>
          <w:u w:val="single" w:color="auto"/>
          <w:color w:val="282828"/>
        </w:rPr>
        <w:t>nta</w:t>
      </w:r>
      <w:r>
        <w:rPr>
          <w:rFonts w:ascii="Arial" w:cs="Arial" w:eastAsia="Arial" w:hAnsi="Arial"/>
          <w:sz w:val="16"/>
          <w:szCs w:val="16"/>
          <w:u w:val="single" w:color="auto"/>
          <w:color w:val="414141"/>
        </w:rPr>
        <w:t>t</w:t>
      </w:r>
      <w:r>
        <w:rPr>
          <w:rFonts w:ascii="Arial" w:cs="Arial" w:eastAsia="Arial" w:hAnsi="Arial"/>
          <w:sz w:val="16"/>
          <w:szCs w:val="16"/>
          <w:u w:val="single" w:color="auto"/>
          <w:color w:val="282828"/>
        </w:rPr>
        <w:t>i</w:t>
      </w:r>
      <w:r>
        <w:rPr>
          <w:rFonts w:ascii="Arial" w:cs="Arial" w:eastAsia="Arial" w:hAnsi="Arial"/>
          <w:sz w:val="16"/>
          <w:szCs w:val="16"/>
          <w:u w:val="single" w:color="auto"/>
          <w:color w:val="414141"/>
        </w:rPr>
        <w:t>o</w:t>
      </w:r>
      <w:r>
        <w:rPr>
          <w:rFonts w:ascii="Arial" w:cs="Arial" w:eastAsia="Arial" w:hAnsi="Arial"/>
          <w:sz w:val="16"/>
          <w:szCs w:val="16"/>
          <w:u w:val="single" w:color="auto"/>
          <w:color w:val="282828"/>
        </w:rPr>
        <w:t>n</w:t>
      </w:r>
      <w:r>
        <w:rPr>
          <w:rFonts w:ascii="Arial" w:cs="Arial" w:eastAsia="Arial" w:hAnsi="Arial"/>
          <w:sz w:val="16"/>
          <w:szCs w:val="16"/>
          <w:u w:val="single" w:color="auto"/>
          <w:color w:val="414141"/>
        </w:rPr>
        <w:t>s o</w:t>
      </w:r>
      <w:r>
        <w:rPr>
          <w:rFonts w:ascii="Arial" w:cs="Arial" w:eastAsia="Arial" w:hAnsi="Arial"/>
          <w:sz w:val="16"/>
          <w:szCs w:val="16"/>
          <w:u w:val="single" w:color="auto"/>
          <w:color w:val="282828"/>
        </w:rPr>
        <w:t>r Warranties</w:t>
      </w:r>
    </w:p>
    <w:p>
      <w:pPr>
        <w:spacing w:after="0" w:line="202" w:lineRule="exact"/>
        <w:rPr>
          <w:sz w:val="20"/>
          <w:szCs w:val="20"/>
          <w:color w:val="auto"/>
        </w:rPr>
      </w:pPr>
    </w:p>
    <w:p>
      <w:pPr>
        <w:jc w:val="both"/>
        <w:ind w:right="240" w:firstLine="877"/>
        <w:spacing w:after="0" w:line="250" w:lineRule="auto"/>
        <w:rPr>
          <w:sz w:val="20"/>
          <w:szCs w:val="20"/>
          <w:color w:val="auto"/>
        </w:rPr>
      </w:pPr>
      <w:r>
        <w:rPr>
          <w:rFonts w:ascii="Arial" w:cs="Arial" w:eastAsia="Arial" w:hAnsi="Arial"/>
          <w:sz w:val="20"/>
          <w:szCs w:val="20"/>
          <w:color w:val="282828"/>
        </w:rPr>
        <w:t>Neither Landlord nor Landlord’s agents or attorneys have made any representations or warranties with respect to the Premises, the Building or this Lease, except as expressly set forth herein, and no easements or licenses are or shall be acquired by Tenant by implication or otherwise.</w:t>
      </w:r>
    </w:p>
    <w:p>
      <w:pPr>
        <w:spacing w:after="0" w:line="17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20.30</w:t>
      </w:r>
      <w:r>
        <w:rPr>
          <w:sz w:val="20"/>
          <w:szCs w:val="20"/>
          <w:color w:val="auto"/>
        </w:rPr>
        <w:tab/>
      </w:r>
      <w:r>
        <w:rPr>
          <w:rFonts w:ascii="Arial" w:cs="Arial" w:eastAsia="Arial" w:hAnsi="Arial"/>
          <w:sz w:val="16"/>
          <w:szCs w:val="16"/>
          <w:u w:val="single" w:color="auto"/>
          <w:color w:val="262626"/>
        </w:rPr>
        <w:t>Amendments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This Lease may not be altered, changed, or amended except by an instrument signed by both parties hereto.</w:t>
      </w:r>
    </w:p>
    <w:p>
      <w:pPr>
        <w:spacing w:after="0" w:line="20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282828"/>
        </w:rPr>
        <w:t>20.31</w:t>
      </w:r>
      <w:r>
        <w:rPr>
          <w:sz w:val="20"/>
          <w:szCs w:val="20"/>
          <w:color w:val="auto"/>
        </w:rPr>
        <w:tab/>
      </w:r>
      <w:r>
        <w:rPr>
          <w:rFonts w:ascii="Arial" w:cs="Arial" w:eastAsia="Arial" w:hAnsi="Arial"/>
          <w:sz w:val="18"/>
          <w:szCs w:val="18"/>
          <w:u w:val="single" w:color="auto"/>
          <w:color w:val="262626"/>
        </w:rPr>
        <w:t>Exhibits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282828"/>
        </w:rPr>
        <w:t>Each of the following Exhibits and Addenda are attached hereto and incorporated herein by this reference:</w:t>
      </w:r>
    </w:p>
    <w:p>
      <w:pPr>
        <w:spacing w:after="0" w:line="229" w:lineRule="exact"/>
        <w:rPr>
          <w:sz w:val="20"/>
          <w:szCs w:val="20"/>
          <w:color w:val="auto"/>
        </w:rPr>
      </w:pPr>
    </w:p>
    <w:p>
      <w:pPr>
        <w:ind w:left="2460"/>
        <w:spacing w:after="0"/>
        <w:rPr>
          <w:sz w:val="20"/>
          <w:szCs w:val="20"/>
          <w:color w:val="auto"/>
        </w:rPr>
      </w:pPr>
      <w:r>
        <w:rPr>
          <w:rFonts w:ascii="Arial" w:cs="Arial" w:eastAsia="Arial" w:hAnsi="Arial"/>
          <w:sz w:val="20"/>
          <w:szCs w:val="20"/>
          <w:color w:val="282828"/>
        </w:rPr>
        <w:t>Exhibit A - Legal Description of Real Property</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20"/>
          <w:szCs w:val="20"/>
          <w:color w:val="282828"/>
        </w:rPr>
        <w:t>Exhibit B - Rules and Regulations</w:t>
      </w:r>
    </w:p>
    <w:p>
      <w:pPr>
        <w:ind w:left="2460"/>
        <w:spacing w:after="0"/>
        <w:rPr>
          <w:sz w:val="20"/>
          <w:szCs w:val="20"/>
          <w:color w:val="auto"/>
        </w:rPr>
      </w:pPr>
      <w:r>
        <w:rPr>
          <w:rFonts w:ascii="Arial" w:cs="Arial" w:eastAsia="Arial" w:hAnsi="Arial"/>
          <w:sz w:val="20"/>
          <w:szCs w:val="20"/>
          <w:color w:val="282828"/>
        </w:rPr>
        <w:t>Exhibit C - Breakdown of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38</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6" w:name="page167"/>
    <w:bookmarkEnd w:id="166"/>
    <w:p>
      <w:pPr>
        <w:ind w:left="880"/>
        <w:spacing w:after="0"/>
        <w:rPr>
          <w:sz w:val="20"/>
          <w:szCs w:val="20"/>
          <w:color w:val="auto"/>
        </w:rPr>
      </w:pPr>
      <w:r>
        <w:rPr>
          <w:rFonts w:ascii="Arial" w:cs="Arial" w:eastAsia="Arial" w:hAnsi="Arial"/>
          <w:sz w:val="20"/>
          <w:szCs w:val="20"/>
          <w:color w:val="2B2B2B"/>
        </w:rPr>
        <w:t xml:space="preserve">IN WITNESS WHEREOF the </w:t>
      </w:r>
      <w:r>
        <w:rPr>
          <w:rFonts w:ascii="Arial" w:cs="Arial" w:eastAsia="Arial" w:hAnsi="Arial"/>
          <w:sz w:val="20"/>
          <w:szCs w:val="20"/>
          <w:color w:val="282828"/>
        </w:rPr>
        <w:t>parties</w:t>
      </w:r>
      <w:r>
        <w:rPr>
          <w:rFonts w:ascii="Arial" w:cs="Arial" w:eastAsia="Arial" w:hAnsi="Arial"/>
          <w:sz w:val="20"/>
          <w:szCs w:val="20"/>
          <w:color w:val="2B2B2B"/>
        </w:rPr>
        <w:t xml:space="preserve"> hereto have executed this Lease on the day and year first above written.</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20"/>
          <w:szCs w:val="20"/>
          <w:color w:val="2B2B2B"/>
        </w:rPr>
        <w:t>“LANDLORD”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Geary-Market Investment Company, Ltd.,</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a California corporation</w:t>
      </w:r>
    </w:p>
    <w:p>
      <w:pPr>
        <w:spacing w:after="0" w:line="21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0"/>
          <w:szCs w:val="20"/>
          <w:color w:val="auto"/>
        </w:rPr>
        <w:t>By:</w:t>
        <w:tab/>
        <w:t>David Cuneo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10160</wp:posOffset>
            </wp:positionV>
            <wp:extent cx="32499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720"/>
        <w:spacing w:after="0"/>
        <w:tabs>
          <w:tab w:leader="none" w:pos="62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5715</wp:posOffset>
            </wp:positionV>
            <wp:extent cx="32499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20"/>
          <w:szCs w:val="20"/>
          <w:color w:val="2B2B2B"/>
        </w:rPr>
        <w:t>“TENANT”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2B2B2B"/>
        </w:rPr>
        <w:t>Apellis Pharmaceuticals, Inc.,</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color w:val="2B2B2B"/>
        </w:rPr>
        <w:t>Delaware corporation</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Pascal Deschatelets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10160</wp:posOffset>
            </wp:positionV>
            <wp:extent cx="32499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720"/>
        <w:spacing w:after="0"/>
        <w:tabs>
          <w:tab w:leader="none" w:pos="62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5715</wp:posOffset>
            </wp:positionV>
            <wp:extent cx="32499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2450031v1</w:t>
            </w:r>
          </w:p>
        </w:tc>
        <w:tc>
          <w:tcPr>
            <w:tcW w:w="7940" w:type="dxa"/>
            <w:vAlign w:val="bottom"/>
          </w:tcPr>
          <w:p>
            <w:pPr>
              <w:jc w:val="right"/>
              <w:ind w:right="5561"/>
              <w:spacing w:after="0"/>
              <w:rPr>
                <w:sz w:val="20"/>
                <w:szCs w:val="20"/>
                <w:color w:val="auto"/>
              </w:rPr>
            </w:pPr>
            <w:r>
              <w:rPr>
                <w:rFonts w:ascii="Arial" w:cs="Arial" w:eastAsia="Arial" w:hAnsi="Arial"/>
                <w:sz w:val="20"/>
                <w:szCs w:val="20"/>
                <w:color w:val="auto"/>
              </w:rPr>
              <w:t>39</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20"/>
          <w:szCs w:val="20"/>
          <w:b w:val="1"/>
          <w:bCs w:val="1"/>
          <w:color w:val="262626"/>
        </w:rPr>
        <w:t>EXHIBIT A</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12121"/>
        </w:rPr>
        <w:t>LEGAL DESCRIPTION OF REAL PROPERTY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PARCEL A:</w:t>
      </w:r>
    </w:p>
    <w:p>
      <w:pPr>
        <w:spacing w:after="0" w:line="20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212121"/>
        </w:rPr>
        <w:t>Beginning at a point on the northwesterly line of Market Street, distant thereon 139 feet and 5/8 of an inch southwesterly from the point formed by the intersection of the northwesterly line of Market Street with the westerly line of Kearny Street; running thence southwesterly along said line of Market Street 50 feet; thence at a right angel (to the said northwesterly line of Market Street) northeasterly to a point formed by the intersection of a line drawn northwesterly and at a right angle to the northwesterly line of Market Street from a point distant thereon 189 feet and 5/8 of an inch southwesterly from the westerly line of Kearny Street, and a line drawn at right angles southerly to the southerly line of Geary Street at a point on the southerly line of Geary Street, distant thereon 184 feet and 5 inches westerly from the westerly line of Kearny Street; thence northerly from the point of intersection of said two lines to a point situate on the southerly line of Geary Street, distant thereon 184 feet and 5 inches westerly from the westerly line of Kearny Street, meeting said southerly line of Geary Street aforesaid at a right angle; thence easterly along the southerly line of Geary Street 40 feet; thence at a right angle (to said southerly line of Geary Street), southerly 65 feet and 6½ inches; thence southeasterly 54 feet, more or less, to the northwesterly line of Market Street and the point of beginning.</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212121"/>
        </w:rPr>
        <w:t>Being a portion of 50 Vara Block No. 98.</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12121"/>
        </w:rPr>
        <w:t>PARCEL B:</w:t>
      </w:r>
    </w:p>
    <w:p>
      <w:pPr>
        <w:spacing w:after="0" w:line="208"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212121"/>
        </w:rPr>
        <w:t>Beginning at a point on the northwesterly line of Market Street, distant thereon 189.052 feet southwesterly from the westerly line of Kearny Street; running thence southwesterly along said line of Market Street 193.396 feet to a point distant thereon 40 feet northeasterly from the northerly line of O’Farrell Street; thence deflecting 112°36’33” to the right from the southwesterly bearing of said line of Market Street and running northerly 99.229 feet to a point which is perpendicularly distant 50 feet easterly from the easterly line of Grant Avenue measured from a point distant thereon 120 feet northerly from the northerly line of O’Farrell Street; thence deflecting 67°29’02” to the right from the northerly bearing of the preceding course and running northeasterly 36.901 feet; thence deflecting 54°19’44” to the left and running northerly parallel with said line of Grant Avenue 40.880 feet; thence deflecting 54°07’23” to the right and running northeasterly 24.708 feet to a line drawn southerly at a right angle to the southerly line of Geary Street from a point distant thereon 100 feet easterly from the easterly line of Grant Avenue; thence deflecting 54°07’23” to the left and running northerly along the last said line so drawn 78.120 feet to the said southerly line of Geary Street; thereon 184.417 feet westerly from the westerly line of Kearny Street; thence southerly at a right angle to said line of Geary Street 95.531 feet to the line drawn northwesterly from the point of beginning at a right angle to said line of Market Street; thence deflecting 35°45’51” to the left from the southerly bearing of the preceding course and running southeasterly 53.063 feet to the point of beginning.</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212121"/>
        </w:rPr>
        <w:t>Being a portion of 50 Vara Block No. 98.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212121"/>
        </w:rPr>
        <w:t>Assessor’s parcel No: Lots 4 and 9, Block 31</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1</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20"/>
          <w:szCs w:val="20"/>
          <w:b w:val="1"/>
          <w:bCs w:val="1"/>
          <w:color w:val="262626"/>
        </w:rPr>
        <w:t>DEPICTION OF PREMISES</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2</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508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750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20"/>
          <w:szCs w:val="20"/>
          <w:b w:val="1"/>
          <w:bCs w:val="1"/>
          <w:color w:val="262626"/>
        </w:rPr>
        <w:t>EXHIBIT B</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62626"/>
        </w:rPr>
        <w:t>RULES AND REGULATIONS</w:t>
      </w:r>
    </w:p>
    <w:p>
      <w:pPr>
        <w:spacing w:after="0" w:line="195" w:lineRule="exact"/>
        <w:rPr>
          <w:sz w:val="20"/>
          <w:szCs w:val="20"/>
          <w:color w:val="auto"/>
        </w:rPr>
      </w:pPr>
    </w:p>
    <w:p>
      <w:pPr>
        <w:ind w:right="80" w:firstLine="885"/>
        <w:spacing w:after="0" w:line="256" w:lineRule="auto"/>
        <w:tabs>
          <w:tab w:leader="none" w:pos="1674" w:val="left"/>
        </w:tabs>
        <w:numPr>
          <w:ilvl w:val="0"/>
          <w:numId w:val="70"/>
        </w:numPr>
        <w:rPr>
          <w:rFonts w:ascii="Arial" w:cs="Arial" w:eastAsia="Arial" w:hAnsi="Arial"/>
          <w:sz w:val="19"/>
          <w:szCs w:val="19"/>
          <w:color w:val="1F1F1F"/>
        </w:rPr>
      </w:pPr>
      <w:r>
        <w:rPr>
          <w:rFonts w:ascii="Arial" w:cs="Arial" w:eastAsia="Arial" w:hAnsi="Arial"/>
          <w:sz w:val="19"/>
          <w:szCs w:val="19"/>
          <w:color w:val="1F1F1F"/>
        </w:rPr>
        <w:t xml:space="preserve">The sidewalks, halls, passages, exits, vestibules, entrances, public areas, elevators and stairways of the Building shall not be obstructed by any of the tenants or used by them for any purpose other than ingress to and egress from their respective Premises. The halls, passages, exits, </w:t>
      </w:r>
      <w:r>
        <w:rPr>
          <w:rFonts w:ascii="Arial" w:cs="Arial" w:eastAsia="Arial" w:hAnsi="Arial"/>
          <w:sz w:val="19"/>
          <w:szCs w:val="19"/>
          <w:color w:val="212121"/>
        </w:rPr>
        <w:t>entrances</w:t>
      </w:r>
      <w:r>
        <w:rPr>
          <w:rFonts w:ascii="Arial" w:cs="Arial" w:eastAsia="Arial" w:hAnsi="Arial"/>
          <w:sz w:val="19"/>
          <w:szCs w:val="19"/>
          <w:color w:val="1F1F1F"/>
        </w:rPr>
        <w:t>, elevators and stairways are not for the general public, and Landlord shall, in all cases, retain the right to control and prevent access thereto by all persons whose presence in the judgment of Landlord would be prejudicial to the safety, character, reputation and interests of the Building and its tenants, provided that nothing herein contained shall be construed to prevent such access to persons with whom any tenant normally deals in the ordinary course of its business, unless such persons are engaged in illegal activities. No tenant and no employee or invitee of any tenant shall go upon the roof of the Building. If the Premises are situated on the ground floor with direct access to the street, then Tenant shall, at Tenant’s expense, keep the sidewalks and curbs directly in front of the Premises clean and free from dirt, refuse and other obstructions.</w:t>
      </w:r>
    </w:p>
    <w:p>
      <w:pPr>
        <w:spacing w:after="0" w:line="171" w:lineRule="exact"/>
        <w:rPr>
          <w:rFonts w:ascii="Arial" w:cs="Arial" w:eastAsia="Arial" w:hAnsi="Arial"/>
          <w:sz w:val="19"/>
          <w:szCs w:val="19"/>
          <w:color w:val="1F1F1F"/>
        </w:rPr>
      </w:pPr>
    </w:p>
    <w:p>
      <w:pPr>
        <w:ind w:right="100" w:firstLine="885"/>
        <w:spacing w:after="0" w:line="255" w:lineRule="auto"/>
        <w:tabs>
          <w:tab w:leader="none" w:pos="1674" w:val="left"/>
        </w:tabs>
        <w:numPr>
          <w:ilvl w:val="0"/>
          <w:numId w:val="70"/>
        </w:numPr>
        <w:rPr>
          <w:rFonts w:ascii="Arial" w:cs="Arial" w:eastAsia="Arial" w:hAnsi="Arial"/>
          <w:sz w:val="19"/>
          <w:szCs w:val="19"/>
          <w:color w:val="1F1F1F"/>
        </w:rPr>
      </w:pPr>
      <w:r>
        <w:rPr>
          <w:rFonts w:ascii="Arial" w:cs="Arial" w:eastAsia="Arial" w:hAnsi="Arial"/>
          <w:sz w:val="19"/>
          <w:szCs w:val="19"/>
          <w:color w:val="1F1F1F"/>
        </w:rPr>
        <w:t>No sign, placard, picture, name, advertisement, inside or outside the Building, or notice visible from the exterior of any tenant’s Premises shall be inscribed, painted, affixed or otherwise displayed by any tenant on any part of the Building without the prior written consent of Landlord. Landlord shall have the right to remove, at tenant’s expense and without notice or liability, any sign installed or displayed in violation of this rule. All approved signs or lettering on doors, windows and walls shall be printed, painted, affixed or inscribed at the expense of Tenant by a person or entity selected by Landlord, using materials of Landlord’s choice and in a style and format approved by Landlord. Written material visible from outside the Building will not be permitted. Landlord shall have the right to remove any such written material, at Tenant’s expense and without notice or liability. Landlord shall place Tenant’s name on the directory in the lobby of the Building and on the individual floor directory, if available. Landlord reserves the right to restrict the amount of directory space utilized by Tenant. Tenant shall not have the right to have additional names placed on the directory without Landlord’s prior written consent. If such consent is given, the addition of such names shall be at Tenant’s expense. The directory of the Premises will be provided for the display of the name and location of Tenants and a reasonable number of the principal officers and employees of Tenants, and Landlord reserves the right to exclude any other names therefrom. Any additional name that Tenant shall desire to place upon the directory must first be approved by Landlord and, if so approved, a charge will be made for each such name.</w:t>
      </w:r>
    </w:p>
    <w:p>
      <w:pPr>
        <w:spacing w:after="0" w:line="169" w:lineRule="exact"/>
        <w:rPr>
          <w:rFonts w:ascii="Arial" w:cs="Arial" w:eastAsia="Arial" w:hAnsi="Arial"/>
          <w:sz w:val="19"/>
          <w:szCs w:val="19"/>
          <w:color w:val="1F1F1F"/>
        </w:rPr>
      </w:pPr>
    </w:p>
    <w:p>
      <w:pPr>
        <w:ind w:right="100" w:firstLine="885"/>
        <w:spacing w:after="0" w:line="259" w:lineRule="auto"/>
        <w:tabs>
          <w:tab w:leader="none" w:pos="1674" w:val="left"/>
        </w:tabs>
        <w:numPr>
          <w:ilvl w:val="0"/>
          <w:numId w:val="70"/>
        </w:numPr>
        <w:rPr>
          <w:rFonts w:ascii="Arial" w:cs="Arial" w:eastAsia="Arial" w:hAnsi="Arial"/>
          <w:sz w:val="19"/>
          <w:szCs w:val="19"/>
          <w:color w:val="1F1F1F"/>
        </w:rPr>
      </w:pPr>
      <w:r>
        <w:rPr>
          <w:rFonts w:ascii="Arial" w:cs="Arial" w:eastAsia="Arial" w:hAnsi="Arial"/>
          <w:sz w:val="19"/>
          <w:szCs w:val="19"/>
          <w:color w:val="1F1F1F"/>
        </w:rPr>
        <w:t>The Premises shall not be used for the storage of merchandise held for sale to the general public, for lodging or sleeping. No cooking shall be done or permitted by any tenant on the Premises, except the use by such tenant of Underwriter’s Laboratory approved microwave oven or equipment for brewing coffee, hot chocolate and other similar beverages which shall be permitted, provided that the power required by such equipment shall not exceed that amount which can be provided by a 30-amp circuit and that such use is in accordance with all applicable federal, state and city laws, codes, ordinances, rules and regulations. Repair and maintenance of garbage disposals, dishwashers, ice makers and other similar equipment shall be at Tenant’s expense.</w:t>
      </w:r>
    </w:p>
    <w:p>
      <w:pPr>
        <w:spacing w:after="0" w:line="151" w:lineRule="exact"/>
        <w:rPr>
          <w:rFonts w:ascii="Arial" w:cs="Arial" w:eastAsia="Arial" w:hAnsi="Arial"/>
          <w:sz w:val="19"/>
          <w:szCs w:val="19"/>
          <w:color w:val="1F1F1F"/>
        </w:rPr>
      </w:pPr>
    </w:p>
    <w:p>
      <w:pPr>
        <w:ind w:left="1680" w:hanging="795"/>
        <w:spacing w:after="0"/>
        <w:tabs>
          <w:tab w:leader="none" w:pos="1680" w:val="left"/>
        </w:tabs>
        <w:numPr>
          <w:ilvl w:val="0"/>
          <w:numId w:val="70"/>
        </w:numPr>
        <w:rPr>
          <w:rFonts w:ascii="Arial" w:cs="Arial" w:eastAsia="Arial" w:hAnsi="Arial"/>
          <w:sz w:val="19"/>
          <w:szCs w:val="19"/>
          <w:color w:val="262626"/>
        </w:rPr>
      </w:pPr>
      <w:r>
        <w:rPr>
          <w:rFonts w:ascii="Arial" w:cs="Arial" w:eastAsia="Arial" w:hAnsi="Arial"/>
          <w:sz w:val="19"/>
          <w:szCs w:val="19"/>
          <w:color w:val="262626"/>
        </w:rPr>
        <w:t xml:space="preserve">If Tenant requires janitorial services in addition to such services provided by Landlord, no </w:t>
      </w:r>
      <w:r>
        <w:rPr>
          <w:rFonts w:ascii="Arial" w:cs="Arial" w:eastAsia="Arial" w:hAnsi="Arial"/>
          <w:sz w:val="19"/>
          <w:szCs w:val="19"/>
          <w:color w:val="3F3F3F"/>
        </w:rPr>
        <w:t>Te</w:t>
      </w:r>
      <w:r>
        <w:rPr>
          <w:rFonts w:ascii="Arial" w:cs="Arial" w:eastAsia="Arial" w:hAnsi="Arial"/>
          <w:sz w:val="19"/>
          <w:szCs w:val="19"/>
          <w:color w:val="262626"/>
        </w:rPr>
        <w:t>n</w:t>
      </w:r>
      <w:r>
        <w:rPr>
          <w:rFonts w:ascii="Arial" w:cs="Arial" w:eastAsia="Arial" w:hAnsi="Arial"/>
          <w:sz w:val="19"/>
          <w:szCs w:val="19"/>
          <w:color w:val="3F3F3F"/>
        </w:rPr>
        <w:t>a</w:t>
      </w:r>
      <w:r>
        <w:rPr>
          <w:rFonts w:ascii="Arial" w:cs="Arial" w:eastAsia="Arial" w:hAnsi="Arial"/>
          <w:sz w:val="19"/>
          <w:szCs w:val="19"/>
          <w:color w:val="262626"/>
        </w:rPr>
        <w:t>n</w:t>
      </w:r>
      <w:r>
        <w:rPr>
          <w:rFonts w:ascii="Arial" w:cs="Arial" w:eastAsia="Arial" w:hAnsi="Arial"/>
          <w:sz w:val="19"/>
          <w:szCs w:val="19"/>
          <w:color w:val="3F3F3F"/>
        </w:rPr>
        <w:t>t</w:t>
      </w:r>
      <w:r>
        <w:rPr>
          <w:rFonts w:ascii="Arial" w:cs="Arial" w:eastAsia="Arial" w:hAnsi="Arial"/>
          <w:sz w:val="19"/>
          <w:szCs w:val="19"/>
          <w:color w:val="262626"/>
        </w:rPr>
        <w:t xml:space="preserve"> shall emplo</w:t>
      </w:r>
      <w:r>
        <w:rPr>
          <w:rFonts w:ascii="Arial" w:cs="Arial" w:eastAsia="Arial" w:hAnsi="Arial"/>
          <w:sz w:val="19"/>
          <w:szCs w:val="19"/>
          <w:color w:val="3F3F3F"/>
        </w:rPr>
        <w:t>y</w:t>
      </w:r>
      <w:r>
        <w:rPr>
          <w:rFonts w:ascii="Arial" w:cs="Arial" w:eastAsia="Arial" w:hAnsi="Arial"/>
          <w:sz w:val="19"/>
          <w:szCs w:val="19"/>
          <w:color w:val="262626"/>
        </w:rPr>
        <w:t xml:space="preserve"> any</w:t>
      </w:r>
    </w:p>
    <w:p>
      <w:pPr>
        <w:spacing w:after="0" w:line="27" w:lineRule="exact"/>
        <w:rPr>
          <w:sz w:val="20"/>
          <w:szCs w:val="20"/>
          <w:color w:val="auto"/>
        </w:rPr>
      </w:pPr>
    </w:p>
    <w:p>
      <w:pPr>
        <w:ind w:right="80"/>
        <w:spacing w:after="0"/>
        <w:rPr>
          <w:sz w:val="20"/>
          <w:szCs w:val="20"/>
          <w:color w:val="auto"/>
        </w:rPr>
      </w:pPr>
      <w:r>
        <w:rPr>
          <w:rFonts w:ascii="Arial" w:cs="Arial" w:eastAsia="Arial" w:hAnsi="Arial"/>
          <w:sz w:val="20"/>
          <w:szCs w:val="20"/>
          <w:color w:val="262626"/>
        </w:rPr>
        <w:t>p</w:t>
      </w:r>
      <w:r>
        <w:rPr>
          <w:rFonts w:ascii="Arial" w:cs="Arial" w:eastAsia="Arial" w:hAnsi="Arial"/>
          <w:sz w:val="20"/>
          <w:szCs w:val="20"/>
          <w:color w:val="3F3F3F"/>
        </w:rPr>
        <w:t>e</w:t>
      </w:r>
      <w:r>
        <w:rPr>
          <w:rFonts w:ascii="Arial" w:cs="Arial" w:eastAsia="Arial" w:hAnsi="Arial"/>
          <w:sz w:val="20"/>
          <w:szCs w:val="20"/>
          <w:color w:val="262626"/>
        </w:rPr>
        <w:t xml:space="preserve">rson </w:t>
      </w:r>
      <w:r>
        <w:rPr>
          <w:rFonts w:ascii="Arial" w:cs="Arial" w:eastAsia="Arial" w:hAnsi="Arial"/>
          <w:sz w:val="20"/>
          <w:szCs w:val="20"/>
          <w:color w:val="3F3F3F"/>
        </w:rPr>
        <w:t>o</w:t>
      </w:r>
      <w:r>
        <w:rPr>
          <w:rFonts w:ascii="Arial" w:cs="Arial" w:eastAsia="Arial" w:hAnsi="Arial"/>
          <w:sz w:val="20"/>
          <w:szCs w:val="20"/>
          <w:color w:val="262626"/>
        </w:rPr>
        <w:t xml:space="preserve"> r p</w:t>
      </w:r>
      <w:r>
        <w:rPr>
          <w:rFonts w:ascii="Arial" w:cs="Arial" w:eastAsia="Arial" w:hAnsi="Arial"/>
          <w:sz w:val="20"/>
          <w:szCs w:val="20"/>
          <w:color w:val="3F3F3F"/>
        </w:rPr>
        <w:t>e</w:t>
      </w:r>
      <w:r>
        <w:rPr>
          <w:rFonts w:ascii="Arial" w:cs="Arial" w:eastAsia="Arial" w:hAnsi="Arial"/>
          <w:sz w:val="20"/>
          <w:szCs w:val="20"/>
          <w:color w:val="262626"/>
        </w:rPr>
        <w:t>r</w:t>
      </w:r>
      <w:r>
        <w:rPr>
          <w:rFonts w:ascii="Arial" w:cs="Arial" w:eastAsia="Arial" w:hAnsi="Arial"/>
          <w:sz w:val="20"/>
          <w:szCs w:val="20"/>
          <w:color w:val="3F3F3F"/>
        </w:rPr>
        <w:t>so</w:t>
      </w:r>
      <w:r>
        <w:rPr>
          <w:rFonts w:ascii="Arial" w:cs="Arial" w:eastAsia="Arial" w:hAnsi="Arial"/>
          <w:sz w:val="20"/>
          <w:szCs w:val="20"/>
          <w:color w:val="262626"/>
        </w:rPr>
        <w:t>n</w:t>
      </w:r>
      <w:r>
        <w:rPr>
          <w:rFonts w:ascii="Arial" w:cs="Arial" w:eastAsia="Arial" w:hAnsi="Arial"/>
          <w:sz w:val="20"/>
          <w:szCs w:val="20"/>
          <w:color w:val="3F3F3F"/>
        </w:rPr>
        <w:t>s</w:t>
      </w:r>
      <w:r>
        <w:rPr>
          <w:rFonts w:ascii="Arial" w:cs="Arial" w:eastAsia="Arial" w:hAnsi="Arial"/>
          <w:sz w:val="20"/>
          <w:szCs w:val="20"/>
          <w:color w:val="262626"/>
        </w:rPr>
        <w:t xml:space="preserve"> other than the janitor o</w:t>
      </w:r>
      <w:r>
        <w:rPr>
          <w:rFonts w:ascii="Arial" w:cs="Arial" w:eastAsia="Arial" w:hAnsi="Arial"/>
          <w:sz w:val="20"/>
          <w:szCs w:val="20"/>
          <w:color w:val="3F3F3F"/>
        </w:rPr>
        <w:t>f L</w:t>
      </w:r>
      <w:r>
        <w:rPr>
          <w:rFonts w:ascii="Arial" w:cs="Arial" w:eastAsia="Arial" w:hAnsi="Arial"/>
          <w:sz w:val="20"/>
          <w:szCs w:val="20"/>
          <w:color w:val="262626"/>
        </w:rPr>
        <w:t xml:space="preserve">andlord for </w:t>
      </w:r>
      <w:r>
        <w:rPr>
          <w:rFonts w:ascii="Arial" w:cs="Arial" w:eastAsia="Arial" w:hAnsi="Arial"/>
          <w:sz w:val="20"/>
          <w:szCs w:val="20"/>
          <w:color w:val="3F3F3F"/>
        </w:rPr>
        <w:t>t</w:t>
      </w:r>
      <w:r>
        <w:rPr>
          <w:rFonts w:ascii="Arial" w:cs="Arial" w:eastAsia="Arial" w:hAnsi="Arial"/>
          <w:sz w:val="20"/>
          <w:szCs w:val="20"/>
          <w:color w:val="262626"/>
        </w:rPr>
        <w:t>h</w:t>
      </w:r>
      <w:r>
        <w:rPr>
          <w:rFonts w:ascii="Arial" w:cs="Arial" w:eastAsia="Arial" w:hAnsi="Arial"/>
          <w:sz w:val="20"/>
          <w:szCs w:val="20"/>
          <w:color w:val="3F3F3F"/>
        </w:rPr>
        <w:t>e</w:t>
      </w:r>
      <w:r>
        <w:rPr>
          <w:rFonts w:ascii="Arial" w:cs="Arial" w:eastAsia="Arial" w:hAnsi="Arial"/>
          <w:sz w:val="20"/>
          <w:szCs w:val="20"/>
          <w:color w:val="262626"/>
        </w:rPr>
        <w:t xml:space="preserve"> purpo</w:t>
      </w:r>
      <w:r>
        <w:rPr>
          <w:rFonts w:ascii="Arial" w:cs="Arial" w:eastAsia="Arial" w:hAnsi="Arial"/>
          <w:sz w:val="20"/>
          <w:szCs w:val="20"/>
          <w:color w:val="3F3F3F"/>
        </w:rPr>
        <w:t>s</w:t>
      </w:r>
      <w:r>
        <w:rPr>
          <w:rFonts w:ascii="Arial" w:cs="Arial" w:eastAsia="Arial" w:hAnsi="Arial"/>
          <w:sz w:val="20"/>
          <w:szCs w:val="20"/>
          <w:color w:val="262626"/>
        </w:rPr>
        <w:t>e of cl</w:t>
      </w:r>
      <w:r>
        <w:rPr>
          <w:rFonts w:ascii="Arial" w:cs="Arial" w:eastAsia="Arial" w:hAnsi="Arial"/>
          <w:sz w:val="20"/>
          <w:szCs w:val="20"/>
          <w:color w:val="3F3F3F"/>
        </w:rPr>
        <w:t>ea</w:t>
      </w:r>
      <w:r>
        <w:rPr>
          <w:rFonts w:ascii="Arial" w:cs="Arial" w:eastAsia="Arial" w:hAnsi="Arial"/>
          <w:sz w:val="20"/>
          <w:szCs w:val="20"/>
          <w:color w:val="262626"/>
        </w:rPr>
        <w:t>ning the Premi</w:t>
      </w:r>
      <w:r>
        <w:rPr>
          <w:rFonts w:ascii="Arial" w:cs="Arial" w:eastAsia="Arial" w:hAnsi="Arial"/>
          <w:sz w:val="20"/>
          <w:szCs w:val="20"/>
          <w:color w:val="3F3F3F"/>
        </w:rPr>
        <w:t>s</w:t>
      </w:r>
      <w:r>
        <w:rPr>
          <w:rFonts w:ascii="Arial" w:cs="Arial" w:eastAsia="Arial" w:hAnsi="Arial"/>
          <w:sz w:val="20"/>
          <w:szCs w:val="20"/>
          <w:color w:val="262626"/>
        </w:rPr>
        <w:t>e</w:t>
      </w:r>
      <w:r>
        <w:rPr>
          <w:rFonts w:ascii="Arial" w:cs="Arial" w:eastAsia="Arial" w:hAnsi="Arial"/>
          <w:sz w:val="20"/>
          <w:szCs w:val="20"/>
          <w:color w:val="3F3F3F"/>
        </w:rPr>
        <w:t>s,</w:t>
      </w:r>
      <w:r>
        <w:rPr>
          <w:rFonts w:ascii="Arial" w:cs="Arial" w:eastAsia="Arial" w:hAnsi="Arial"/>
          <w:sz w:val="20"/>
          <w:szCs w:val="20"/>
          <w:color w:val="262626"/>
        </w:rPr>
        <w:t xml:space="preserve"> unless otherwi</w:t>
      </w:r>
      <w:r>
        <w:rPr>
          <w:rFonts w:ascii="Arial" w:cs="Arial" w:eastAsia="Arial" w:hAnsi="Arial"/>
          <w:sz w:val="20"/>
          <w:szCs w:val="20"/>
          <w:color w:val="3F3F3F"/>
        </w:rPr>
        <w:t>se</w:t>
      </w:r>
      <w:r>
        <w:rPr>
          <w:rFonts w:ascii="Arial" w:cs="Arial" w:eastAsia="Arial" w:hAnsi="Arial"/>
          <w:sz w:val="20"/>
          <w:szCs w:val="20"/>
          <w:color w:val="262626"/>
        </w:rPr>
        <w:t xml:space="preserve"> a</w:t>
      </w:r>
      <w:r>
        <w:rPr>
          <w:rFonts w:ascii="Arial" w:cs="Arial" w:eastAsia="Arial" w:hAnsi="Arial"/>
          <w:sz w:val="20"/>
          <w:szCs w:val="20"/>
          <w:color w:val="3F3F3F"/>
        </w:rPr>
        <w:t>g</w:t>
      </w:r>
      <w:r>
        <w:rPr>
          <w:rFonts w:ascii="Arial" w:cs="Arial" w:eastAsia="Arial" w:hAnsi="Arial"/>
          <w:sz w:val="20"/>
          <w:szCs w:val="20"/>
          <w:color w:val="262626"/>
        </w:rPr>
        <w:t>re</w:t>
      </w:r>
      <w:r>
        <w:rPr>
          <w:rFonts w:ascii="Arial" w:cs="Arial" w:eastAsia="Arial" w:hAnsi="Arial"/>
          <w:sz w:val="20"/>
          <w:szCs w:val="20"/>
          <w:color w:val="3F3F3F"/>
        </w:rPr>
        <w:t>e</w:t>
      </w:r>
      <w:r>
        <w:rPr>
          <w:rFonts w:ascii="Arial" w:cs="Arial" w:eastAsia="Arial" w:hAnsi="Arial"/>
          <w:sz w:val="20"/>
          <w:szCs w:val="20"/>
          <w:color w:val="262626"/>
        </w:rPr>
        <w:t>d to by Landlord in wri</w:t>
      </w:r>
      <w:r>
        <w:rPr>
          <w:rFonts w:ascii="Arial" w:cs="Arial" w:eastAsia="Arial" w:hAnsi="Arial"/>
          <w:sz w:val="20"/>
          <w:szCs w:val="20"/>
          <w:color w:val="3F3F3F"/>
        </w:rPr>
        <w:t>t</w:t>
      </w:r>
      <w:r>
        <w:rPr>
          <w:rFonts w:ascii="Arial" w:cs="Arial" w:eastAsia="Arial" w:hAnsi="Arial"/>
          <w:sz w:val="20"/>
          <w:szCs w:val="20"/>
          <w:color w:val="262626"/>
        </w:rPr>
        <w:t>ing. Except wi</w:t>
      </w:r>
      <w:r>
        <w:rPr>
          <w:rFonts w:ascii="Arial" w:cs="Arial" w:eastAsia="Arial" w:hAnsi="Arial"/>
          <w:sz w:val="20"/>
          <w:szCs w:val="20"/>
          <w:color w:val="3F3F3F"/>
        </w:rPr>
        <w:t>t</w:t>
      </w:r>
      <w:r>
        <w:rPr>
          <w:rFonts w:ascii="Arial" w:cs="Arial" w:eastAsia="Arial" w:hAnsi="Arial"/>
          <w:sz w:val="20"/>
          <w:szCs w:val="20"/>
          <w:color w:val="262626"/>
        </w:rPr>
        <w:t>h th</w:t>
      </w:r>
      <w:r>
        <w:rPr>
          <w:rFonts w:ascii="Arial" w:cs="Arial" w:eastAsia="Arial" w:hAnsi="Arial"/>
          <w:sz w:val="20"/>
          <w:szCs w:val="20"/>
          <w:color w:val="3F3F3F"/>
        </w:rPr>
        <w:t>e w</w:t>
      </w:r>
      <w:r>
        <w:rPr>
          <w:rFonts w:ascii="Arial" w:cs="Arial" w:eastAsia="Arial" w:hAnsi="Arial"/>
          <w:sz w:val="20"/>
          <w:szCs w:val="20"/>
          <w:color w:val="262626"/>
        </w:rPr>
        <w:t>ritten c</w:t>
      </w:r>
      <w:r>
        <w:rPr>
          <w:rFonts w:ascii="Arial" w:cs="Arial" w:eastAsia="Arial" w:hAnsi="Arial"/>
          <w:sz w:val="20"/>
          <w:szCs w:val="20"/>
          <w:color w:val="3F3F3F"/>
        </w:rPr>
        <w:t>o</w:t>
      </w:r>
      <w:r>
        <w:rPr>
          <w:rFonts w:ascii="Arial" w:cs="Arial" w:eastAsia="Arial" w:hAnsi="Arial"/>
          <w:sz w:val="20"/>
          <w:szCs w:val="20"/>
          <w:color w:val="262626"/>
        </w:rPr>
        <w:t xml:space="preserve">n </w:t>
      </w:r>
      <w:r>
        <w:rPr>
          <w:rFonts w:ascii="Arial" w:cs="Arial" w:eastAsia="Arial" w:hAnsi="Arial"/>
          <w:sz w:val="20"/>
          <w:szCs w:val="20"/>
          <w:color w:val="3F3F3F"/>
        </w:rPr>
        <w:t>se</w:t>
      </w:r>
      <w:r>
        <w:rPr>
          <w:rFonts w:ascii="Arial" w:cs="Arial" w:eastAsia="Arial" w:hAnsi="Arial"/>
          <w:sz w:val="20"/>
          <w:szCs w:val="20"/>
          <w:color w:val="262626"/>
        </w:rPr>
        <w:t>nt of the Landlord</w:t>
      </w:r>
      <w:r>
        <w:rPr>
          <w:rFonts w:ascii="Arial" w:cs="Arial" w:eastAsia="Arial" w:hAnsi="Arial"/>
          <w:sz w:val="20"/>
          <w:szCs w:val="20"/>
          <w:color w:val="5E5E5E"/>
        </w:rPr>
        <w:t>,</w:t>
      </w:r>
      <w:r>
        <w:rPr>
          <w:rFonts w:ascii="Arial" w:cs="Arial" w:eastAsia="Arial" w:hAnsi="Arial"/>
          <w:sz w:val="20"/>
          <w:szCs w:val="20"/>
          <w:color w:val="262626"/>
        </w:rPr>
        <w:t xml:space="preserve"> no p</w:t>
      </w:r>
      <w:r>
        <w:rPr>
          <w:rFonts w:ascii="Arial" w:cs="Arial" w:eastAsia="Arial" w:hAnsi="Arial"/>
          <w:sz w:val="20"/>
          <w:szCs w:val="20"/>
          <w:color w:val="3F3F3F"/>
        </w:rPr>
        <w:t>e</w:t>
      </w:r>
      <w:r>
        <w:rPr>
          <w:rFonts w:ascii="Arial" w:cs="Arial" w:eastAsia="Arial" w:hAnsi="Arial"/>
          <w:sz w:val="20"/>
          <w:szCs w:val="20"/>
          <w:color w:val="262626"/>
        </w:rPr>
        <w:t xml:space="preserve">rson or persons other than </w:t>
      </w:r>
      <w:r>
        <w:rPr>
          <w:rFonts w:ascii="Arial" w:cs="Arial" w:eastAsia="Arial" w:hAnsi="Arial"/>
          <w:sz w:val="20"/>
          <w:szCs w:val="20"/>
          <w:color w:val="3F3F3F"/>
        </w:rPr>
        <w:t>t</w:t>
      </w:r>
      <w:r>
        <w:rPr>
          <w:rFonts w:ascii="Arial" w:cs="Arial" w:eastAsia="Arial" w:hAnsi="Arial"/>
          <w:sz w:val="20"/>
          <w:szCs w:val="20"/>
          <w:color w:val="262626"/>
        </w:rPr>
        <w:t xml:space="preserve">hose </w:t>
      </w:r>
      <w:r>
        <w:rPr>
          <w:rFonts w:ascii="Arial" w:cs="Arial" w:eastAsia="Arial" w:hAnsi="Arial"/>
          <w:sz w:val="20"/>
          <w:szCs w:val="20"/>
          <w:color w:val="3F3F3F"/>
        </w:rPr>
        <w:t>a</w:t>
      </w:r>
      <w:r>
        <w:rPr>
          <w:rFonts w:ascii="Arial" w:cs="Arial" w:eastAsia="Arial" w:hAnsi="Arial"/>
          <w:sz w:val="20"/>
          <w:szCs w:val="20"/>
          <w:color w:val="262626"/>
        </w:rPr>
        <w:t>pprov</w:t>
      </w:r>
      <w:r>
        <w:rPr>
          <w:rFonts w:ascii="Arial" w:cs="Arial" w:eastAsia="Arial" w:hAnsi="Arial"/>
          <w:sz w:val="20"/>
          <w:szCs w:val="20"/>
          <w:color w:val="3F3F3F"/>
        </w:rPr>
        <w:t>e</w:t>
      </w:r>
      <w:r>
        <w:rPr>
          <w:rFonts w:ascii="Arial" w:cs="Arial" w:eastAsia="Arial" w:hAnsi="Arial"/>
          <w:sz w:val="20"/>
          <w:szCs w:val="20"/>
          <w:color w:val="262626"/>
        </w:rPr>
        <w:t xml:space="preserve">d by </w:t>
      </w:r>
      <w:r>
        <w:rPr>
          <w:rFonts w:ascii="Arial" w:cs="Arial" w:eastAsia="Arial" w:hAnsi="Arial"/>
          <w:sz w:val="20"/>
          <w:szCs w:val="20"/>
          <w:color w:val="3F3F3F"/>
        </w:rPr>
        <w:t>L</w:t>
      </w:r>
      <w:r>
        <w:rPr>
          <w:rFonts w:ascii="Arial" w:cs="Arial" w:eastAsia="Arial" w:hAnsi="Arial"/>
          <w:sz w:val="20"/>
          <w:szCs w:val="20"/>
          <w:color w:val="262626"/>
        </w:rPr>
        <w:t>andlo</w:t>
      </w:r>
      <w:r>
        <w:rPr>
          <w:rFonts w:ascii="Arial" w:cs="Arial" w:eastAsia="Arial" w:hAnsi="Arial"/>
          <w:sz w:val="20"/>
          <w:szCs w:val="20"/>
          <w:color w:val="3F3F3F"/>
        </w:rPr>
        <w:t>r</w:t>
      </w:r>
      <w:r>
        <w:rPr>
          <w:rFonts w:ascii="Arial" w:cs="Arial" w:eastAsia="Arial" w:hAnsi="Arial"/>
          <w:sz w:val="20"/>
          <w:szCs w:val="20"/>
          <w:color w:val="262626"/>
        </w:rPr>
        <w:t xml:space="preserve">d </w:t>
      </w:r>
      <w:r>
        <w:rPr>
          <w:rFonts w:ascii="Arial" w:cs="Arial" w:eastAsia="Arial" w:hAnsi="Arial"/>
          <w:sz w:val="20"/>
          <w:szCs w:val="20"/>
          <w:color w:val="3F3F3F"/>
        </w:rPr>
        <w:t>s</w:t>
      </w:r>
      <w:r>
        <w:rPr>
          <w:rFonts w:ascii="Arial" w:cs="Arial" w:eastAsia="Arial" w:hAnsi="Arial"/>
          <w:sz w:val="20"/>
          <w:szCs w:val="20"/>
          <w:color w:val="262626"/>
        </w:rPr>
        <w:t>hall be p</w:t>
      </w:r>
      <w:r>
        <w:rPr>
          <w:rFonts w:ascii="Arial" w:cs="Arial" w:eastAsia="Arial" w:hAnsi="Arial"/>
          <w:sz w:val="20"/>
          <w:szCs w:val="20"/>
          <w:color w:val="3F3F3F"/>
        </w:rPr>
        <w:t>e</w:t>
      </w:r>
      <w:r>
        <w:rPr>
          <w:rFonts w:ascii="Arial" w:cs="Arial" w:eastAsia="Arial" w:hAnsi="Arial"/>
          <w:sz w:val="20"/>
          <w:szCs w:val="20"/>
          <w:color w:val="262626"/>
        </w:rPr>
        <w:t xml:space="preserve">rmi </w:t>
      </w:r>
      <w:r>
        <w:rPr>
          <w:rFonts w:ascii="Arial" w:cs="Arial" w:eastAsia="Arial" w:hAnsi="Arial"/>
          <w:sz w:val="20"/>
          <w:szCs w:val="20"/>
          <w:color w:val="3F3F3F"/>
        </w:rPr>
        <w:t>t</w:t>
      </w:r>
      <w:r>
        <w:rPr>
          <w:rFonts w:ascii="Arial" w:cs="Arial" w:eastAsia="Arial" w:hAnsi="Arial"/>
          <w:sz w:val="20"/>
          <w:szCs w:val="20"/>
          <w:color w:val="262626"/>
        </w:rPr>
        <w:t xml:space="preserve">ted to enter </w:t>
      </w:r>
      <w:r>
        <w:rPr>
          <w:rFonts w:ascii="Arial" w:cs="Arial" w:eastAsia="Arial" w:hAnsi="Arial"/>
          <w:sz w:val="20"/>
          <w:szCs w:val="20"/>
          <w:color w:val="3F3F3F"/>
        </w:rPr>
        <w:t>t</w:t>
      </w:r>
      <w:r>
        <w:rPr>
          <w:rFonts w:ascii="Arial" w:cs="Arial" w:eastAsia="Arial" w:hAnsi="Arial"/>
          <w:sz w:val="20"/>
          <w:szCs w:val="20"/>
          <w:color w:val="262626"/>
        </w:rPr>
        <w:t>h</w:t>
      </w:r>
      <w:r>
        <w:rPr>
          <w:rFonts w:ascii="Arial" w:cs="Arial" w:eastAsia="Arial" w:hAnsi="Arial"/>
          <w:sz w:val="20"/>
          <w:szCs w:val="20"/>
          <w:color w:val="3F3F3F"/>
        </w:rPr>
        <w:t>e</w:t>
      </w:r>
      <w:r>
        <w:rPr>
          <w:rFonts w:ascii="Arial" w:cs="Arial" w:eastAsia="Arial" w:hAnsi="Arial"/>
          <w:sz w:val="20"/>
          <w:szCs w:val="20"/>
          <w:color w:val="262626"/>
        </w:rPr>
        <w:t xml:space="preserve"> Buildin</w:t>
      </w:r>
      <w:r>
        <w:rPr>
          <w:rFonts w:ascii="Arial" w:cs="Arial" w:eastAsia="Arial" w:hAnsi="Arial"/>
          <w:sz w:val="20"/>
          <w:szCs w:val="20"/>
          <w:color w:val="3F3F3F"/>
        </w:rPr>
        <w:t>g</w:t>
      </w:r>
      <w:r>
        <w:rPr>
          <w:rFonts w:ascii="Arial" w:cs="Arial" w:eastAsia="Arial" w:hAnsi="Arial"/>
          <w:sz w:val="20"/>
          <w:szCs w:val="20"/>
          <w:color w:val="262626"/>
        </w:rPr>
        <w:t xml:space="preserve"> b</w:t>
      </w:r>
      <w:r>
        <w:rPr>
          <w:rFonts w:ascii="Arial" w:cs="Arial" w:eastAsia="Arial" w:hAnsi="Arial"/>
          <w:sz w:val="20"/>
          <w:szCs w:val="20"/>
          <w:color w:val="3F3F3F"/>
        </w:rPr>
        <w:t>y</w:t>
      </w:r>
      <w:r>
        <w:rPr>
          <w:rFonts w:ascii="Arial" w:cs="Arial" w:eastAsia="Arial" w:hAnsi="Arial"/>
          <w:sz w:val="20"/>
          <w:szCs w:val="20"/>
          <w:color w:val="262626"/>
        </w:rPr>
        <w:t xml:space="preserve"> reason of such </w:t>
      </w:r>
      <w:r>
        <w:rPr>
          <w:rFonts w:ascii="Arial" w:cs="Arial" w:eastAsia="Arial" w:hAnsi="Arial"/>
          <w:sz w:val="20"/>
          <w:szCs w:val="20"/>
          <w:color w:val="3F3F3F"/>
        </w:rPr>
        <w:t>Te</w:t>
      </w:r>
      <w:r>
        <w:rPr>
          <w:rFonts w:ascii="Arial" w:cs="Arial" w:eastAsia="Arial" w:hAnsi="Arial"/>
          <w:sz w:val="20"/>
          <w:szCs w:val="20"/>
          <w:color w:val="262626"/>
        </w:rPr>
        <w:t>nan</w:t>
      </w:r>
      <w:r>
        <w:rPr>
          <w:rFonts w:ascii="Arial" w:cs="Arial" w:eastAsia="Arial" w:hAnsi="Arial"/>
          <w:sz w:val="20"/>
          <w:szCs w:val="20"/>
          <w:color w:val="3F3F3F"/>
        </w:rPr>
        <w:t>t’s</w:t>
      </w:r>
      <w:r>
        <w:rPr>
          <w:rFonts w:ascii="Arial" w:cs="Arial" w:eastAsia="Arial" w:hAnsi="Arial"/>
          <w:sz w:val="20"/>
          <w:szCs w:val="20"/>
          <w:color w:val="262626"/>
        </w:rPr>
        <w:t xml:space="preserve"> carel</w:t>
      </w:r>
      <w:r>
        <w:rPr>
          <w:rFonts w:ascii="Arial" w:cs="Arial" w:eastAsia="Arial" w:hAnsi="Arial"/>
          <w:sz w:val="20"/>
          <w:szCs w:val="20"/>
          <w:color w:val="3F3F3F"/>
        </w:rPr>
        <w:t>ess</w:t>
      </w:r>
      <w:r>
        <w:rPr>
          <w:rFonts w:ascii="Arial" w:cs="Arial" w:eastAsia="Arial" w:hAnsi="Arial"/>
          <w:sz w:val="20"/>
          <w:szCs w:val="20"/>
          <w:color w:val="262626"/>
        </w:rPr>
        <w:t>n</w:t>
      </w:r>
      <w:r>
        <w:rPr>
          <w:rFonts w:ascii="Arial" w:cs="Arial" w:eastAsia="Arial" w:hAnsi="Arial"/>
          <w:sz w:val="20"/>
          <w:szCs w:val="20"/>
          <w:color w:val="3F3F3F"/>
        </w:rPr>
        <w:t>ess</w:t>
      </w:r>
      <w:r>
        <w:rPr>
          <w:rFonts w:ascii="Arial" w:cs="Arial" w:eastAsia="Arial" w:hAnsi="Arial"/>
          <w:sz w:val="20"/>
          <w:szCs w:val="20"/>
          <w:color w:val="262626"/>
        </w:rPr>
        <w:t xml:space="preserve"> or indifference in the </w:t>
      </w:r>
      <w:r>
        <w:rPr>
          <w:rFonts w:ascii="Arial" w:cs="Arial" w:eastAsia="Arial" w:hAnsi="Arial"/>
          <w:sz w:val="20"/>
          <w:szCs w:val="20"/>
          <w:color w:val="1F1F1F"/>
        </w:rPr>
        <w:t>preservation</w:t>
      </w:r>
      <w:r>
        <w:rPr>
          <w:rFonts w:ascii="Arial" w:cs="Arial" w:eastAsia="Arial" w:hAnsi="Arial"/>
          <w:sz w:val="20"/>
          <w:szCs w:val="20"/>
          <w:color w:val="262626"/>
        </w:rPr>
        <w:t xml:space="preserve"> of good order and cleanliness. Janitorial services will not be furnished on nights when Tenant’s premises are occupied after 10:00 p.m., unless Landlord and Tenant agree in writing that such service is to be provided at a later hour for specifically designated rooms. Landlord shall not be responsible to Tenant for any loss or damage to property on its Premises, however occurring.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3</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71" w:name="page172"/>
    <w:bookmarkEnd w:id="171"/>
    <w:p>
      <w:pPr>
        <w:ind w:right="140" w:firstLine="885"/>
        <w:spacing w:after="0" w:line="272" w:lineRule="auto"/>
        <w:tabs>
          <w:tab w:leader="none" w:pos="1674" w:val="left"/>
        </w:tabs>
        <w:numPr>
          <w:ilvl w:val="0"/>
          <w:numId w:val="71"/>
        </w:numPr>
        <w:rPr>
          <w:rFonts w:ascii="Arial" w:cs="Arial" w:eastAsia="Arial" w:hAnsi="Arial"/>
          <w:sz w:val="18"/>
          <w:szCs w:val="18"/>
          <w:color w:val="262626"/>
        </w:rPr>
      </w:pPr>
      <w:r>
        <w:rPr>
          <w:rFonts w:ascii="Arial" w:cs="Arial" w:eastAsia="Arial" w:hAnsi="Arial"/>
          <w:sz w:val="18"/>
          <w:szCs w:val="18"/>
          <w:color w:val="262626"/>
        </w:rPr>
        <w:t>Landlord will furnish each tenant with two keys to each door lock in its Premises free of charge. Landlord may make a reasonable charge for any additional keys. No Tenant shall have keys m</w:t>
      </w:r>
      <w:r>
        <w:rPr>
          <w:rFonts w:ascii="Arial" w:cs="Arial" w:eastAsia="Arial" w:hAnsi="Arial"/>
          <w:sz w:val="18"/>
          <w:szCs w:val="18"/>
          <w:color w:val="3F3F3F"/>
        </w:rPr>
        <w:t>a</w:t>
      </w:r>
      <w:r>
        <w:rPr>
          <w:rFonts w:ascii="Arial" w:cs="Arial" w:eastAsia="Arial" w:hAnsi="Arial"/>
          <w:sz w:val="18"/>
          <w:szCs w:val="18"/>
          <w:color w:val="262626"/>
        </w:rPr>
        <w:t>d</w:t>
      </w:r>
      <w:r>
        <w:rPr>
          <w:rFonts w:ascii="Arial" w:cs="Arial" w:eastAsia="Arial" w:hAnsi="Arial"/>
          <w:sz w:val="18"/>
          <w:szCs w:val="18"/>
          <w:color w:val="3F3F3F"/>
        </w:rPr>
        <w:t>e</w:t>
      </w:r>
      <w:r>
        <w:rPr>
          <w:rFonts w:ascii="Arial" w:cs="Arial" w:eastAsia="Arial" w:hAnsi="Arial"/>
          <w:sz w:val="18"/>
          <w:szCs w:val="18"/>
          <w:color w:val="262626"/>
        </w:rPr>
        <w:t xml:space="preserve"> e</w:t>
      </w:r>
      <w:r>
        <w:rPr>
          <w:rFonts w:ascii="Arial" w:cs="Arial" w:eastAsia="Arial" w:hAnsi="Arial"/>
          <w:sz w:val="18"/>
          <w:szCs w:val="18"/>
          <w:color w:val="3F3F3F"/>
        </w:rPr>
        <w:t>xce</w:t>
      </w:r>
      <w:r>
        <w:rPr>
          <w:rFonts w:ascii="Arial" w:cs="Arial" w:eastAsia="Arial" w:hAnsi="Arial"/>
          <w:sz w:val="18"/>
          <w:szCs w:val="18"/>
          <w:color w:val="262626"/>
        </w:rPr>
        <w:t>p</w:t>
      </w:r>
      <w:r>
        <w:rPr>
          <w:rFonts w:ascii="Arial" w:cs="Arial" w:eastAsia="Arial" w:hAnsi="Arial"/>
          <w:sz w:val="18"/>
          <w:szCs w:val="18"/>
          <w:color w:val="3F3F3F"/>
        </w:rPr>
        <w:t>t</w:t>
      </w:r>
      <w:r>
        <w:rPr>
          <w:rFonts w:ascii="Arial" w:cs="Arial" w:eastAsia="Arial" w:hAnsi="Arial"/>
          <w:sz w:val="18"/>
          <w:szCs w:val="18"/>
          <w:color w:val="262626"/>
        </w:rPr>
        <w:t xml:space="preserve"> by Landlord’</w:t>
      </w:r>
      <w:r>
        <w:rPr>
          <w:rFonts w:ascii="Arial" w:cs="Arial" w:eastAsia="Arial" w:hAnsi="Arial"/>
          <w:sz w:val="18"/>
          <w:szCs w:val="18"/>
          <w:color w:val="3F3F3F"/>
        </w:rPr>
        <w:t>s</w:t>
      </w:r>
      <w:r>
        <w:rPr>
          <w:rFonts w:ascii="Arial" w:cs="Arial" w:eastAsia="Arial" w:hAnsi="Arial"/>
          <w:sz w:val="18"/>
          <w:szCs w:val="18"/>
          <w:color w:val="262626"/>
        </w:rPr>
        <w:t xml:space="preserve"> de</w:t>
      </w:r>
      <w:r>
        <w:rPr>
          <w:rFonts w:ascii="Arial" w:cs="Arial" w:eastAsia="Arial" w:hAnsi="Arial"/>
          <w:sz w:val="18"/>
          <w:szCs w:val="18"/>
          <w:color w:val="3F3F3F"/>
        </w:rPr>
        <w:t>s</w:t>
      </w:r>
      <w:r>
        <w:rPr>
          <w:rFonts w:ascii="Arial" w:cs="Arial" w:eastAsia="Arial" w:hAnsi="Arial"/>
          <w:sz w:val="18"/>
          <w:szCs w:val="18"/>
          <w:color w:val="262626"/>
        </w:rPr>
        <w:t xml:space="preserve">ignated locksmith. No tenant shall alter any lock or install a new </w:t>
      </w:r>
      <w:r>
        <w:rPr>
          <w:rFonts w:ascii="Arial" w:cs="Arial" w:eastAsia="Arial" w:hAnsi="Arial"/>
          <w:sz w:val="18"/>
          <w:szCs w:val="18"/>
          <w:color w:val="3F3F3F"/>
        </w:rPr>
        <w:t>or</w:t>
      </w:r>
      <w:r>
        <w:rPr>
          <w:rFonts w:ascii="Arial" w:cs="Arial" w:eastAsia="Arial" w:hAnsi="Arial"/>
          <w:sz w:val="18"/>
          <w:szCs w:val="18"/>
          <w:color w:val="262626"/>
        </w:rPr>
        <w:t xml:space="preserve"> addi</w:t>
      </w:r>
      <w:r>
        <w:rPr>
          <w:rFonts w:ascii="Arial" w:cs="Arial" w:eastAsia="Arial" w:hAnsi="Arial"/>
          <w:sz w:val="18"/>
          <w:szCs w:val="18"/>
          <w:color w:val="3F3F3F"/>
        </w:rPr>
        <w:t>t</w:t>
      </w:r>
      <w:r>
        <w:rPr>
          <w:rFonts w:ascii="Arial" w:cs="Arial" w:eastAsia="Arial" w:hAnsi="Arial"/>
          <w:sz w:val="18"/>
          <w:szCs w:val="18"/>
          <w:color w:val="262626"/>
        </w:rPr>
        <w:t>ion</w:t>
      </w:r>
      <w:r>
        <w:rPr>
          <w:rFonts w:ascii="Arial" w:cs="Arial" w:eastAsia="Arial" w:hAnsi="Arial"/>
          <w:sz w:val="18"/>
          <w:szCs w:val="18"/>
          <w:color w:val="3F3F3F"/>
        </w:rPr>
        <w:t>a</w:t>
      </w:r>
      <w:r>
        <w:rPr>
          <w:rFonts w:ascii="Arial" w:cs="Arial" w:eastAsia="Arial" w:hAnsi="Arial"/>
          <w:sz w:val="18"/>
          <w:szCs w:val="18"/>
          <w:color w:val="262626"/>
        </w:rPr>
        <w:t xml:space="preserve">l lock or bolts </w:t>
      </w:r>
      <w:r>
        <w:rPr>
          <w:rFonts w:ascii="Arial" w:cs="Arial" w:eastAsia="Arial" w:hAnsi="Arial"/>
          <w:sz w:val="18"/>
          <w:szCs w:val="18"/>
          <w:color w:val="3F3F3F"/>
        </w:rPr>
        <w:t>o</w:t>
      </w:r>
      <w:r>
        <w:rPr>
          <w:rFonts w:ascii="Arial" w:cs="Arial" w:eastAsia="Arial" w:hAnsi="Arial"/>
          <w:sz w:val="18"/>
          <w:szCs w:val="18"/>
          <w:color w:val="262626"/>
        </w:rPr>
        <w:t xml:space="preserve">n </w:t>
      </w:r>
      <w:r>
        <w:rPr>
          <w:rFonts w:ascii="Arial" w:cs="Arial" w:eastAsia="Arial" w:hAnsi="Arial"/>
          <w:sz w:val="18"/>
          <w:szCs w:val="18"/>
          <w:color w:val="3F3F3F"/>
        </w:rPr>
        <w:t>a</w:t>
      </w:r>
      <w:r>
        <w:rPr>
          <w:rFonts w:ascii="Arial" w:cs="Arial" w:eastAsia="Arial" w:hAnsi="Arial"/>
          <w:sz w:val="18"/>
          <w:szCs w:val="18"/>
          <w:color w:val="262626"/>
        </w:rPr>
        <w:t xml:space="preserve">ny door of its Premises without the prior written consent of Landlord. Tenant shall in each case furnish Landlord with a key for any such lock. Each tenant, upon </w:t>
      </w:r>
      <w:r>
        <w:rPr>
          <w:rFonts w:ascii="Arial" w:cs="Arial" w:eastAsia="Arial" w:hAnsi="Arial"/>
          <w:sz w:val="18"/>
          <w:szCs w:val="18"/>
          <w:color w:val="3F3F3F"/>
        </w:rPr>
        <w:t>t</w:t>
      </w:r>
      <w:r>
        <w:rPr>
          <w:rFonts w:ascii="Arial" w:cs="Arial" w:eastAsia="Arial" w:hAnsi="Arial"/>
          <w:sz w:val="18"/>
          <w:szCs w:val="18"/>
          <w:color w:val="262626"/>
        </w:rPr>
        <w:t>h</w:t>
      </w:r>
      <w:r>
        <w:rPr>
          <w:rFonts w:ascii="Arial" w:cs="Arial" w:eastAsia="Arial" w:hAnsi="Arial"/>
          <w:sz w:val="18"/>
          <w:szCs w:val="18"/>
          <w:color w:val="3F3F3F"/>
        </w:rPr>
        <w:t>e te</w:t>
      </w:r>
      <w:r>
        <w:rPr>
          <w:rFonts w:ascii="Arial" w:cs="Arial" w:eastAsia="Arial" w:hAnsi="Arial"/>
          <w:sz w:val="18"/>
          <w:szCs w:val="18"/>
          <w:color w:val="262626"/>
        </w:rPr>
        <w:t>rmin</w:t>
      </w:r>
      <w:r>
        <w:rPr>
          <w:rFonts w:ascii="Arial" w:cs="Arial" w:eastAsia="Arial" w:hAnsi="Arial"/>
          <w:sz w:val="18"/>
          <w:szCs w:val="18"/>
          <w:color w:val="3F3F3F"/>
        </w:rPr>
        <w:t>at</w:t>
      </w:r>
      <w:r>
        <w:rPr>
          <w:rFonts w:ascii="Arial" w:cs="Arial" w:eastAsia="Arial" w:hAnsi="Arial"/>
          <w:sz w:val="18"/>
          <w:szCs w:val="18"/>
          <w:color w:val="262626"/>
        </w:rPr>
        <w:t>i</w:t>
      </w:r>
      <w:r>
        <w:rPr>
          <w:rFonts w:ascii="Arial" w:cs="Arial" w:eastAsia="Arial" w:hAnsi="Arial"/>
          <w:sz w:val="18"/>
          <w:szCs w:val="18"/>
          <w:color w:val="3F3F3F"/>
        </w:rPr>
        <w:t>o</w:t>
      </w:r>
      <w:r>
        <w:rPr>
          <w:rFonts w:ascii="Arial" w:cs="Arial" w:eastAsia="Arial" w:hAnsi="Arial"/>
          <w:sz w:val="18"/>
          <w:szCs w:val="18"/>
          <w:color w:val="262626"/>
        </w:rPr>
        <w:t xml:space="preserve">n </w:t>
      </w:r>
      <w:r>
        <w:rPr>
          <w:rFonts w:ascii="Arial" w:cs="Arial" w:eastAsia="Arial" w:hAnsi="Arial"/>
          <w:sz w:val="18"/>
          <w:szCs w:val="18"/>
          <w:color w:val="1F1F1F"/>
        </w:rPr>
        <w:t>of</w:t>
      </w:r>
      <w:r>
        <w:rPr>
          <w:rFonts w:ascii="Arial" w:cs="Arial" w:eastAsia="Arial" w:hAnsi="Arial"/>
          <w:sz w:val="18"/>
          <w:szCs w:val="18"/>
          <w:color w:val="262626"/>
        </w:rPr>
        <w:t xml:space="preserve"> i</w:t>
      </w:r>
      <w:r>
        <w:rPr>
          <w:rFonts w:ascii="Arial" w:cs="Arial" w:eastAsia="Arial" w:hAnsi="Arial"/>
          <w:sz w:val="18"/>
          <w:szCs w:val="18"/>
          <w:color w:val="3F3F3F"/>
        </w:rPr>
        <w:t>ts</w:t>
      </w:r>
      <w:r>
        <w:rPr>
          <w:rFonts w:ascii="Arial" w:cs="Arial" w:eastAsia="Arial" w:hAnsi="Arial"/>
          <w:sz w:val="18"/>
          <w:szCs w:val="18"/>
          <w:color w:val="262626"/>
        </w:rPr>
        <w:t xml:space="preserve"> t</w:t>
      </w:r>
      <w:r>
        <w:rPr>
          <w:rFonts w:ascii="Arial" w:cs="Arial" w:eastAsia="Arial" w:hAnsi="Arial"/>
          <w:sz w:val="18"/>
          <w:szCs w:val="18"/>
          <w:color w:val="3F3F3F"/>
        </w:rPr>
        <w:t>e</w:t>
      </w:r>
      <w:r>
        <w:rPr>
          <w:rFonts w:ascii="Arial" w:cs="Arial" w:eastAsia="Arial" w:hAnsi="Arial"/>
          <w:sz w:val="18"/>
          <w:szCs w:val="18"/>
          <w:color w:val="262626"/>
        </w:rPr>
        <w:t>nancy, shall deliver to Landlord all keys to doors in the Building which sh</w:t>
      </w:r>
      <w:r>
        <w:rPr>
          <w:rFonts w:ascii="Arial" w:cs="Arial" w:eastAsia="Arial" w:hAnsi="Arial"/>
          <w:sz w:val="18"/>
          <w:szCs w:val="18"/>
          <w:color w:val="3F3F3F"/>
        </w:rPr>
        <w:t>a</w:t>
      </w:r>
      <w:r>
        <w:rPr>
          <w:rFonts w:ascii="Arial" w:cs="Arial" w:eastAsia="Arial" w:hAnsi="Arial"/>
          <w:sz w:val="18"/>
          <w:szCs w:val="18"/>
          <w:color w:val="161616"/>
        </w:rPr>
        <w:t>ll</w:t>
      </w:r>
      <w:r>
        <w:rPr>
          <w:rFonts w:ascii="Arial" w:cs="Arial" w:eastAsia="Arial" w:hAnsi="Arial"/>
          <w:sz w:val="18"/>
          <w:szCs w:val="18"/>
          <w:color w:val="262626"/>
        </w:rPr>
        <w:t xml:space="preserve"> h</w:t>
      </w:r>
      <w:r>
        <w:rPr>
          <w:rFonts w:ascii="Arial" w:cs="Arial" w:eastAsia="Arial" w:hAnsi="Arial"/>
          <w:sz w:val="18"/>
          <w:szCs w:val="18"/>
          <w:color w:val="3F3F3F"/>
        </w:rPr>
        <w:t>ave</w:t>
      </w:r>
      <w:r>
        <w:rPr>
          <w:rFonts w:ascii="Arial" w:cs="Arial" w:eastAsia="Arial" w:hAnsi="Arial"/>
          <w:sz w:val="18"/>
          <w:szCs w:val="18"/>
          <w:color w:val="262626"/>
        </w:rPr>
        <w:t xml:space="preserve"> be</w:t>
      </w:r>
      <w:r>
        <w:rPr>
          <w:rFonts w:ascii="Arial" w:cs="Arial" w:eastAsia="Arial" w:hAnsi="Arial"/>
          <w:sz w:val="18"/>
          <w:szCs w:val="18"/>
          <w:color w:val="3F3F3F"/>
        </w:rPr>
        <w:t>e</w:t>
      </w:r>
      <w:r>
        <w:rPr>
          <w:rFonts w:ascii="Arial" w:cs="Arial" w:eastAsia="Arial" w:hAnsi="Arial"/>
          <w:sz w:val="18"/>
          <w:szCs w:val="18"/>
          <w:color w:val="262626"/>
        </w:rPr>
        <w:t>n furnish</w:t>
      </w:r>
      <w:r>
        <w:rPr>
          <w:rFonts w:ascii="Arial" w:cs="Arial" w:eastAsia="Arial" w:hAnsi="Arial"/>
          <w:sz w:val="18"/>
          <w:szCs w:val="18"/>
          <w:color w:val="3F3F3F"/>
        </w:rPr>
        <w:t>e</w:t>
      </w:r>
      <w:r>
        <w:rPr>
          <w:rFonts w:ascii="Arial" w:cs="Arial" w:eastAsia="Arial" w:hAnsi="Arial"/>
          <w:sz w:val="18"/>
          <w:szCs w:val="18"/>
          <w:color w:val="262626"/>
        </w:rPr>
        <w:t>d to such tenant. Tenant shall not be reimbursed for excess keys returned at termination of Lease term. In the event of the loss of any key furnished to Tenant by Landlord, Tenant shall pay to Landlord the cost of re</w:t>
      </w:r>
      <w:r>
        <w:rPr>
          <w:rFonts w:ascii="Arial" w:cs="Arial" w:eastAsia="Arial" w:hAnsi="Arial"/>
          <w:sz w:val="18"/>
          <w:szCs w:val="18"/>
          <w:color w:val="3F3F3F"/>
        </w:rPr>
        <w:t>p</w:t>
      </w:r>
      <w:r>
        <w:rPr>
          <w:rFonts w:ascii="Arial" w:cs="Arial" w:eastAsia="Arial" w:hAnsi="Arial"/>
          <w:sz w:val="18"/>
          <w:szCs w:val="18"/>
          <w:color w:val="262626"/>
        </w:rPr>
        <w:t>l</w:t>
      </w:r>
      <w:r>
        <w:rPr>
          <w:rFonts w:ascii="Arial" w:cs="Arial" w:eastAsia="Arial" w:hAnsi="Arial"/>
          <w:sz w:val="18"/>
          <w:szCs w:val="18"/>
          <w:color w:val="3F3F3F"/>
        </w:rPr>
        <w:t>ac</w:t>
      </w:r>
      <w:r>
        <w:rPr>
          <w:rFonts w:ascii="Arial" w:cs="Arial" w:eastAsia="Arial" w:hAnsi="Arial"/>
          <w:sz w:val="18"/>
          <w:szCs w:val="18"/>
          <w:color w:val="262626"/>
        </w:rPr>
        <w:t>in</w:t>
      </w:r>
      <w:r>
        <w:rPr>
          <w:rFonts w:ascii="Arial" w:cs="Arial" w:eastAsia="Arial" w:hAnsi="Arial"/>
          <w:sz w:val="18"/>
          <w:szCs w:val="18"/>
          <w:color w:val="3F3F3F"/>
        </w:rPr>
        <w:t>g</w:t>
      </w:r>
      <w:r>
        <w:rPr>
          <w:rFonts w:ascii="Arial" w:cs="Arial" w:eastAsia="Arial" w:hAnsi="Arial"/>
          <w:sz w:val="18"/>
          <w:szCs w:val="18"/>
          <w:color w:val="262626"/>
        </w:rPr>
        <w:t xml:space="preserve"> the </w:t>
      </w:r>
      <w:r>
        <w:rPr>
          <w:rFonts w:ascii="Arial" w:cs="Arial" w:eastAsia="Arial" w:hAnsi="Arial"/>
          <w:sz w:val="18"/>
          <w:szCs w:val="18"/>
          <w:color w:val="3F3F3F"/>
        </w:rPr>
        <w:t>sa</w:t>
      </w:r>
      <w:r>
        <w:rPr>
          <w:rFonts w:ascii="Arial" w:cs="Arial" w:eastAsia="Arial" w:hAnsi="Arial"/>
          <w:sz w:val="18"/>
          <w:szCs w:val="18"/>
          <w:color w:val="262626"/>
        </w:rPr>
        <w:t xml:space="preserve">me of changing the </w:t>
      </w:r>
      <w:r>
        <w:rPr>
          <w:rFonts w:ascii="Arial" w:cs="Arial" w:eastAsia="Arial" w:hAnsi="Arial"/>
          <w:sz w:val="18"/>
          <w:szCs w:val="18"/>
          <w:color w:val="161616"/>
        </w:rPr>
        <w:t>l</w:t>
      </w:r>
      <w:r>
        <w:rPr>
          <w:rFonts w:ascii="Arial" w:cs="Arial" w:eastAsia="Arial" w:hAnsi="Arial"/>
          <w:sz w:val="18"/>
          <w:szCs w:val="18"/>
          <w:color w:val="3F3F3F"/>
        </w:rPr>
        <w:t>o</w:t>
      </w:r>
      <w:r>
        <w:rPr>
          <w:rFonts w:ascii="Arial" w:cs="Arial" w:eastAsia="Arial" w:hAnsi="Arial"/>
          <w:sz w:val="18"/>
          <w:szCs w:val="18"/>
          <w:color w:val="262626"/>
        </w:rPr>
        <w:t>ck or locks op</w:t>
      </w:r>
      <w:r>
        <w:rPr>
          <w:rFonts w:ascii="Arial" w:cs="Arial" w:eastAsia="Arial" w:hAnsi="Arial"/>
          <w:sz w:val="18"/>
          <w:szCs w:val="18"/>
          <w:color w:val="3F3F3F"/>
        </w:rPr>
        <w:t>e</w:t>
      </w:r>
      <w:r>
        <w:rPr>
          <w:rFonts w:ascii="Arial" w:cs="Arial" w:eastAsia="Arial" w:hAnsi="Arial"/>
          <w:sz w:val="18"/>
          <w:szCs w:val="18"/>
          <w:color w:val="262626"/>
        </w:rPr>
        <w:t>n</w:t>
      </w:r>
      <w:r>
        <w:rPr>
          <w:rFonts w:ascii="Arial" w:cs="Arial" w:eastAsia="Arial" w:hAnsi="Arial"/>
          <w:sz w:val="18"/>
          <w:szCs w:val="18"/>
          <w:color w:val="3F3F3F"/>
        </w:rPr>
        <w:t>e</w:t>
      </w:r>
      <w:r>
        <w:rPr>
          <w:rFonts w:ascii="Arial" w:cs="Arial" w:eastAsia="Arial" w:hAnsi="Arial"/>
          <w:sz w:val="18"/>
          <w:szCs w:val="18"/>
          <w:color w:val="262626"/>
        </w:rPr>
        <w:t>d b</w:t>
      </w:r>
      <w:r>
        <w:rPr>
          <w:rFonts w:ascii="Arial" w:cs="Arial" w:eastAsia="Arial" w:hAnsi="Arial"/>
          <w:sz w:val="18"/>
          <w:szCs w:val="18"/>
          <w:color w:val="3F3F3F"/>
        </w:rPr>
        <w:t>y</w:t>
      </w:r>
      <w:r>
        <w:rPr>
          <w:rFonts w:ascii="Arial" w:cs="Arial" w:eastAsia="Arial" w:hAnsi="Arial"/>
          <w:sz w:val="18"/>
          <w:szCs w:val="18"/>
          <w:color w:val="262626"/>
        </w:rPr>
        <w:t xml:space="preserve"> such </w:t>
      </w:r>
      <w:r>
        <w:rPr>
          <w:rFonts w:ascii="Arial" w:cs="Arial" w:eastAsia="Arial" w:hAnsi="Arial"/>
          <w:sz w:val="18"/>
          <w:szCs w:val="18"/>
          <w:color w:val="161616"/>
        </w:rPr>
        <w:t>l</w:t>
      </w:r>
      <w:r>
        <w:rPr>
          <w:rFonts w:ascii="Arial" w:cs="Arial" w:eastAsia="Arial" w:hAnsi="Arial"/>
          <w:sz w:val="18"/>
          <w:szCs w:val="18"/>
          <w:color w:val="3F3F3F"/>
        </w:rPr>
        <w:t>ost</w:t>
      </w:r>
      <w:r>
        <w:rPr>
          <w:rFonts w:ascii="Arial" w:cs="Arial" w:eastAsia="Arial" w:hAnsi="Arial"/>
          <w:sz w:val="18"/>
          <w:szCs w:val="18"/>
          <w:color w:val="262626"/>
        </w:rPr>
        <w:t xml:space="preserve"> key if </w:t>
      </w:r>
      <w:r>
        <w:rPr>
          <w:rFonts w:ascii="Arial" w:cs="Arial" w:eastAsia="Arial" w:hAnsi="Arial"/>
          <w:sz w:val="18"/>
          <w:szCs w:val="18"/>
          <w:color w:val="3F3F3F"/>
        </w:rPr>
        <w:t>L</w:t>
      </w:r>
      <w:r>
        <w:rPr>
          <w:rFonts w:ascii="Arial" w:cs="Arial" w:eastAsia="Arial" w:hAnsi="Arial"/>
          <w:sz w:val="18"/>
          <w:szCs w:val="18"/>
          <w:color w:val="262626"/>
        </w:rPr>
        <w:t xml:space="preserve">andlord shall deem </w:t>
      </w:r>
      <w:r>
        <w:rPr>
          <w:rFonts w:ascii="Arial" w:cs="Arial" w:eastAsia="Arial" w:hAnsi="Arial"/>
          <w:sz w:val="18"/>
          <w:szCs w:val="18"/>
          <w:color w:val="3F3F3F"/>
        </w:rPr>
        <w:t>it</w:t>
      </w:r>
      <w:r>
        <w:rPr>
          <w:rFonts w:ascii="Arial" w:cs="Arial" w:eastAsia="Arial" w:hAnsi="Arial"/>
          <w:sz w:val="18"/>
          <w:szCs w:val="18"/>
          <w:color w:val="262626"/>
        </w:rPr>
        <w:t xml:space="preserve"> nec</w:t>
      </w:r>
      <w:r>
        <w:rPr>
          <w:rFonts w:ascii="Arial" w:cs="Arial" w:eastAsia="Arial" w:hAnsi="Arial"/>
          <w:sz w:val="18"/>
          <w:szCs w:val="18"/>
          <w:color w:val="3F3F3F"/>
        </w:rPr>
        <w:t>ess</w:t>
      </w:r>
      <w:r>
        <w:rPr>
          <w:rFonts w:ascii="Arial" w:cs="Arial" w:eastAsia="Arial" w:hAnsi="Arial"/>
          <w:sz w:val="18"/>
          <w:szCs w:val="18"/>
          <w:color w:val="262626"/>
        </w:rPr>
        <w:t>ary to m</w:t>
      </w:r>
      <w:r>
        <w:rPr>
          <w:rFonts w:ascii="Arial" w:cs="Arial" w:eastAsia="Arial" w:hAnsi="Arial"/>
          <w:sz w:val="18"/>
          <w:szCs w:val="18"/>
          <w:color w:val="3F3F3F"/>
        </w:rPr>
        <w:t>a</w:t>
      </w:r>
      <w:r>
        <w:rPr>
          <w:rFonts w:ascii="Arial" w:cs="Arial" w:eastAsia="Arial" w:hAnsi="Arial"/>
          <w:sz w:val="18"/>
          <w:szCs w:val="18"/>
          <w:color w:val="262626"/>
        </w:rPr>
        <w:t>ke such a cha</w:t>
      </w:r>
      <w:r>
        <w:rPr>
          <w:rFonts w:ascii="Arial" w:cs="Arial" w:eastAsia="Arial" w:hAnsi="Arial"/>
          <w:sz w:val="18"/>
          <w:szCs w:val="18"/>
          <w:color w:val="3F3F3F"/>
        </w:rPr>
        <w:t>nge</w:t>
      </w:r>
      <w:r>
        <w:rPr>
          <w:rFonts w:ascii="Arial" w:cs="Arial" w:eastAsia="Arial" w:hAnsi="Arial"/>
          <w:sz w:val="18"/>
          <w:szCs w:val="18"/>
          <w:color w:val="262626"/>
        </w:rPr>
        <w:t xml:space="preserve">. All locks </w:t>
      </w:r>
      <w:r>
        <w:rPr>
          <w:rFonts w:ascii="Arial" w:cs="Arial" w:eastAsia="Arial" w:hAnsi="Arial"/>
          <w:sz w:val="18"/>
          <w:szCs w:val="18"/>
          <w:color w:val="3F3F3F"/>
        </w:rPr>
        <w:t>a</w:t>
      </w:r>
      <w:r>
        <w:rPr>
          <w:rFonts w:ascii="Arial" w:cs="Arial" w:eastAsia="Arial" w:hAnsi="Arial"/>
          <w:sz w:val="18"/>
          <w:szCs w:val="18"/>
          <w:color w:val="262626"/>
        </w:rPr>
        <w:t>nd b</w:t>
      </w:r>
      <w:r>
        <w:rPr>
          <w:rFonts w:ascii="Arial" w:cs="Arial" w:eastAsia="Arial" w:hAnsi="Arial"/>
          <w:sz w:val="18"/>
          <w:szCs w:val="18"/>
          <w:color w:val="3F3F3F"/>
        </w:rPr>
        <w:t>o</w:t>
      </w:r>
      <w:r>
        <w:rPr>
          <w:rFonts w:ascii="Arial" w:cs="Arial" w:eastAsia="Arial" w:hAnsi="Arial"/>
          <w:sz w:val="18"/>
          <w:szCs w:val="18"/>
          <w:color w:val="262626"/>
        </w:rPr>
        <w:t>lt</w:t>
      </w:r>
      <w:r>
        <w:rPr>
          <w:rFonts w:ascii="Arial" w:cs="Arial" w:eastAsia="Arial" w:hAnsi="Arial"/>
          <w:sz w:val="18"/>
          <w:szCs w:val="18"/>
          <w:color w:val="3F3F3F"/>
        </w:rPr>
        <w:t>s</w:t>
      </w:r>
      <w:r>
        <w:rPr>
          <w:rFonts w:ascii="Arial" w:cs="Arial" w:eastAsia="Arial" w:hAnsi="Arial"/>
          <w:sz w:val="18"/>
          <w:szCs w:val="18"/>
          <w:color w:val="262626"/>
        </w:rPr>
        <w:t xml:space="preserve"> installed in the Premises excluding Tenant’s vaults and safes or specialty </w:t>
      </w:r>
      <w:r>
        <w:rPr>
          <w:rFonts w:ascii="Arial" w:cs="Arial" w:eastAsia="Arial" w:hAnsi="Arial"/>
          <w:sz w:val="18"/>
          <w:szCs w:val="18"/>
          <w:color w:val="3F3F3F"/>
        </w:rPr>
        <w:t>se</w:t>
      </w:r>
      <w:r>
        <w:rPr>
          <w:rFonts w:ascii="Arial" w:cs="Arial" w:eastAsia="Arial" w:hAnsi="Arial"/>
          <w:sz w:val="18"/>
          <w:szCs w:val="18"/>
          <w:color w:val="262626"/>
        </w:rPr>
        <w:t>curity areas (</w:t>
      </w:r>
      <w:r>
        <w:rPr>
          <w:rFonts w:ascii="Arial" w:cs="Arial" w:eastAsia="Arial" w:hAnsi="Arial"/>
          <w:sz w:val="18"/>
          <w:szCs w:val="18"/>
          <w:color w:val="3F3F3F"/>
        </w:rPr>
        <w:t>w</w:t>
      </w:r>
      <w:r>
        <w:rPr>
          <w:rFonts w:ascii="Arial" w:cs="Arial" w:eastAsia="Arial" w:hAnsi="Arial"/>
          <w:sz w:val="18"/>
          <w:szCs w:val="18"/>
          <w:color w:val="262626"/>
        </w:rPr>
        <w:t>hi</w:t>
      </w:r>
      <w:r>
        <w:rPr>
          <w:rFonts w:ascii="Arial" w:cs="Arial" w:eastAsia="Arial" w:hAnsi="Arial"/>
          <w:sz w:val="18"/>
          <w:szCs w:val="18"/>
          <w:color w:val="3F3F3F"/>
        </w:rPr>
        <w:t>c</w:t>
      </w:r>
      <w:r>
        <w:rPr>
          <w:rFonts w:ascii="Arial" w:cs="Arial" w:eastAsia="Arial" w:hAnsi="Arial"/>
          <w:sz w:val="18"/>
          <w:szCs w:val="18"/>
          <w:color w:val="262626"/>
        </w:rPr>
        <w:t xml:space="preserve">h </w:t>
      </w:r>
      <w:r>
        <w:rPr>
          <w:rFonts w:ascii="Arial" w:cs="Arial" w:eastAsia="Arial" w:hAnsi="Arial"/>
          <w:sz w:val="18"/>
          <w:szCs w:val="18"/>
          <w:color w:val="3F3F3F"/>
        </w:rPr>
        <w:t>s</w:t>
      </w:r>
      <w:r>
        <w:rPr>
          <w:rFonts w:ascii="Arial" w:cs="Arial" w:eastAsia="Arial" w:hAnsi="Arial"/>
          <w:sz w:val="18"/>
          <w:szCs w:val="18"/>
          <w:color w:val="262626"/>
        </w:rPr>
        <w:t>hall be desi</w:t>
      </w:r>
      <w:r>
        <w:rPr>
          <w:rFonts w:ascii="Arial" w:cs="Arial" w:eastAsia="Arial" w:hAnsi="Arial"/>
          <w:sz w:val="18"/>
          <w:szCs w:val="18"/>
          <w:color w:val="3F3F3F"/>
        </w:rPr>
        <w:t>g</w:t>
      </w:r>
      <w:r>
        <w:rPr>
          <w:rFonts w:ascii="Arial" w:cs="Arial" w:eastAsia="Arial" w:hAnsi="Arial"/>
          <w:sz w:val="18"/>
          <w:szCs w:val="18"/>
          <w:color w:val="262626"/>
        </w:rPr>
        <w:t>na</w:t>
      </w:r>
      <w:r>
        <w:rPr>
          <w:rFonts w:ascii="Arial" w:cs="Arial" w:eastAsia="Arial" w:hAnsi="Arial"/>
          <w:sz w:val="18"/>
          <w:szCs w:val="18"/>
          <w:color w:val="3F3F3F"/>
        </w:rPr>
        <w:t>te</w:t>
      </w:r>
      <w:r>
        <w:rPr>
          <w:rFonts w:ascii="Arial" w:cs="Arial" w:eastAsia="Arial" w:hAnsi="Arial"/>
          <w:sz w:val="18"/>
          <w:szCs w:val="18"/>
          <w:color w:val="262626"/>
        </w:rPr>
        <w:t>d by Tenant in a written notice to Landlord) shall be k</w:t>
      </w:r>
      <w:r>
        <w:rPr>
          <w:rFonts w:ascii="Arial" w:cs="Arial" w:eastAsia="Arial" w:hAnsi="Arial"/>
          <w:sz w:val="18"/>
          <w:szCs w:val="18"/>
          <w:color w:val="3F3F3F"/>
        </w:rPr>
        <w:t>e</w:t>
      </w:r>
      <w:r>
        <w:rPr>
          <w:rFonts w:ascii="Arial" w:cs="Arial" w:eastAsia="Arial" w:hAnsi="Arial"/>
          <w:sz w:val="18"/>
          <w:szCs w:val="18"/>
          <w:color w:val="262626"/>
        </w:rPr>
        <w:t>y</w:t>
      </w:r>
      <w:r>
        <w:rPr>
          <w:rFonts w:ascii="Arial" w:cs="Arial" w:eastAsia="Arial" w:hAnsi="Arial"/>
          <w:sz w:val="18"/>
          <w:szCs w:val="18"/>
          <w:color w:val="3F3F3F"/>
        </w:rPr>
        <w:t>e</w:t>
      </w:r>
      <w:r>
        <w:rPr>
          <w:rFonts w:ascii="Arial" w:cs="Arial" w:eastAsia="Arial" w:hAnsi="Arial"/>
          <w:sz w:val="18"/>
          <w:szCs w:val="18"/>
          <w:color w:val="262626"/>
        </w:rPr>
        <w:t>d to the Building master key s</w:t>
      </w:r>
      <w:r>
        <w:rPr>
          <w:rFonts w:ascii="Arial" w:cs="Arial" w:eastAsia="Arial" w:hAnsi="Arial"/>
          <w:sz w:val="18"/>
          <w:szCs w:val="18"/>
          <w:color w:val="3F3F3F"/>
        </w:rPr>
        <w:t>ys</w:t>
      </w:r>
      <w:r>
        <w:rPr>
          <w:rFonts w:ascii="Arial" w:cs="Arial" w:eastAsia="Arial" w:hAnsi="Arial"/>
          <w:sz w:val="18"/>
          <w:szCs w:val="18"/>
          <w:color w:val="262626"/>
        </w:rPr>
        <w:t>t</w:t>
      </w:r>
      <w:r>
        <w:rPr>
          <w:rFonts w:ascii="Arial" w:cs="Arial" w:eastAsia="Arial" w:hAnsi="Arial"/>
          <w:sz w:val="18"/>
          <w:szCs w:val="18"/>
          <w:color w:val="3F3F3F"/>
        </w:rPr>
        <w:t>e</w:t>
      </w:r>
      <w:r>
        <w:rPr>
          <w:rFonts w:ascii="Arial" w:cs="Arial" w:eastAsia="Arial" w:hAnsi="Arial"/>
          <w:sz w:val="18"/>
          <w:szCs w:val="18"/>
          <w:color w:val="262626"/>
        </w:rPr>
        <w:t>m</w:t>
      </w:r>
      <w:r>
        <w:rPr>
          <w:rFonts w:ascii="Arial" w:cs="Arial" w:eastAsia="Arial" w:hAnsi="Arial"/>
          <w:sz w:val="18"/>
          <w:szCs w:val="18"/>
          <w:color w:val="3F3F3F"/>
        </w:rPr>
        <w:t>.</w:t>
      </w:r>
    </w:p>
    <w:p>
      <w:pPr>
        <w:spacing w:after="0" w:line="144" w:lineRule="exact"/>
        <w:rPr>
          <w:rFonts w:ascii="Arial" w:cs="Arial" w:eastAsia="Arial" w:hAnsi="Arial"/>
          <w:sz w:val="18"/>
          <w:szCs w:val="18"/>
          <w:color w:val="262626"/>
        </w:rPr>
      </w:pPr>
    </w:p>
    <w:p>
      <w:pPr>
        <w:ind w:right="40" w:firstLine="885"/>
        <w:spacing w:after="0" w:line="268" w:lineRule="auto"/>
        <w:tabs>
          <w:tab w:leader="none" w:pos="1674" w:val="left"/>
        </w:tabs>
        <w:numPr>
          <w:ilvl w:val="0"/>
          <w:numId w:val="71"/>
        </w:numPr>
        <w:rPr>
          <w:rFonts w:ascii="Arial" w:cs="Arial" w:eastAsia="Arial" w:hAnsi="Arial"/>
          <w:sz w:val="18"/>
          <w:szCs w:val="18"/>
          <w:color w:val="262626"/>
        </w:rPr>
      </w:pPr>
      <w:r>
        <w:rPr>
          <w:rFonts w:ascii="Arial" w:cs="Arial" w:eastAsia="Arial" w:hAnsi="Arial"/>
          <w:sz w:val="18"/>
          <w:szCs w:val="18"/>
          <w:color w:val="262626"/>
        </w:rPr>
        <w:t xml:space="preserve">The carrying in or out of freight, furniture or bulky material of any description must take place during such hours as Landlord may from time to time reasonably determine, which shall not include peak hours of elevator usage. Landlord shall designate appropriate entrances and a “freight” elevator for deliveries or other transportation of goods to or from the Premises and Tenant shall not use any other entrances or elevators for such purposes. The installation and moving </w:t>
      </w:r>
      <w:r>
        <w:rPr>
          <w:rFonts w:ascii="Arial" w:cs="Arial" w:eastAsia="Arial" w:hAnsi="Arial"/>
          <w:sz w:val="18"/>
          <w:szCs w:val="18"/>
          <w:color w:val="1F1F1F"/>
        </w:rPr>
        <w:t>of</w:t>
      </w:r>
      <w:r>
        <w:rPr>
          <w:rFonts w:ascii="Arial" w:cs="Arial" w:eastAsia="Arial" w:hAnsi="Arial"/>
          <w:sz w:val="18"/>
          <w:szCs w:val="18"/>
          <w:color w:val="262626"/>
        </w:rPr>
        <w:t xml:space="preserve"> such freight, furniture or bulky material shall be made upon fortyeight (48) business hours previous notice to the Building Manager and the persons employed by Tenant for such work must be reasonably acceptable to Landlord. Certificates of Insurance from Tenant’s movers, with terms acceptable to Landlord, must be provided to the Building Office in advance of the move. Tenant may</w:t>
      </w:r>
      <w:r>
        <w:rPr>
          <w:rFonts w:ascii="Arial" w:cs="Arial" w:eastAsia="Arial" w:hAnsi="Arial"/>
          <w:sz w:val="18"/>
          <w:szCs w:val="18"/>
          <w:color w:val="3F3F3F"/>
        </w:rPr>
        <w:t>,</w:t>
      </w:r>
      <w:r>
        <w:rPr>
          <w:rFonts w:ascii="Arial" w:cs="Arial" w:eastAsia="Arial" w:hAnsi="Arial"/>
          <w:sz w:val="18"/>
          <w:szCs w:val="18"/>
          <w:color w:val="262626"/>
        </w:rPr>
        <w:t xml:space="preserve"> subject to the provisions of the immediately preceding sentence, move freight, furniture</w:t>
      </w:r>
      <w:r>
        <w:rPr>
          <w:rFonts w:ascii="Arial" w:cs="Arial" w:eastAsia="Arial" w:hAnsi="Arial"/>
          <w:sz w:val="18"/>
          <w:szCs w:val="18"/>
          <w:color w:val="3F3F3F"/>
        </w:rPr>
        <w:t>,</w:t>
      </w:r>
      <w:r>
        <w:rPr>
          <w:rFonts w:ascii="Arial" w:cs="Arial" w:eastAsia="Arial" w:hAnsi="Arial"/>
          <w:sz w:val="18"/>
          <w:szCs w:val="18"/>
          <w:color w:val="262626"/>
        </w:rPr>
        <w:t xml:space="preserve"> bulky matter and other material into or out of the Premises after Building hours; provided Tenant pays the additional costs</w:t>
      </w:r>
      <w:r>
        <w:rPr>
          <w:rFonts w:ascii="Arial" w:cs="Arial" w:eastAsia="Arial" w:hAnsi="Arial"/>
          <w:sz w:val="18"/>
          <w:szCs w:val="18"/>
          <w:color w:val="3F3F3F"/>
        </w:rPr>
        <w:t>,</w:t>
      </w:r>
      <w:r>
        <w:rPr>
          <w:rFonts w:ascii="Arial" w:cs="Arial" w:eastAsia="Arial" w:hAnsi="Arial"/>
          <w:sz w:val="18"/>
          <w:szCs w:val="18"/>
          <w:color w:val="262626"/>
        </w:rPr>
        <w:t xml:space="preserve"> if any, incurred by Landlord for elevator operators</w:t>
      </w:r>
      <w:r>
        <w:rPr>
          <w:rFonts w:ascii="Arial" w:cs="Arial" w:eastAsia="Arial" w:hAnsi="Arial"/>
          <w:sz w:val="18"/>
          <w:szCs w:val="18"/>
          <w:color w:val="3F3F3F"/>
        </w:rPr>
        <w:t>,</w:t>
      </w:r>
      <w:r>
        <w:rPr>
          <w:rFonts w:ascii="Arial" w:cs="Arial" w:eastAsia="Arial" w:hAnsi="Arial"/>
          <w:sz w:val="18"/>
          <w:szCs w:val="18"/>
          <w:color w:val="262626"/>
        </w:rPr>
        <w:t xml:space="preserve"> security guards</w:t>
      </w:r>
      <w:r>
        <w:rPr>
          <w:rFonts w:ascii="Arial" w:cs="Arial" w:eastAsia="Arial" w:hAnsi="Arial"/>
          <w:sz w:val="18"/>
          <w:szCs w:val="18"/>
          <w:color w:val="3F3F3F"/>
        </w:rPr>
        <w:t>,</w:t>
      </w:r>
      <w:r>
        <w:rPr>
          <w:rFonts w:ascii="Arial" w:cs="Arial" w:eastAsia="Arial" w:hAnsi="Arial"/>
          <w:sz w:val="18"/>
          <w:szCs w:val="18"/>
          <w:color w:val="262626"/>
        </w:rPr>
        <w:t xml:space="preserve"> maintenance supervision and other expenses arising by reason of such move by Tenant. If, at least two days prior to such move</w:t>
      </w:r>
      <w:r>
        <w:rPr>
          <w:rFonts w:ascii="Arial" w:cs="Arial" w:eastAsia="Arial" w:hAnsi="Arial"/>
          <w:sz w:val="18"/>
          <w:szCs w:val="18"/>
          <w:color w:val="3F3F3F"/>
        </w:rPr>
        <w:t>,</w:t>
      </w:r>
      <w:r>
        <w:rPr>
          <w:rFonts w:ascii="Arial" w:cs="Arial" w:eastAsia="Arial" w:hAnsi="Arial"/>
          <w:sz w:val="18"/>
          <w:szCs w:val="18"/>
          <w:color w:val="262626"/>
        </w:rPr>
        <w:t xml:space="preserve"> Landlord requests Tenant to deposit with Landlord</w:t>
      </w:r>
      <w:r>
        <w:rPr>
          <w:rFonts w:ascii="Arial" w:cs="Arial" w:eastAsia="Arial" w:hAnsi="Arial"/>
          <w:sz w:val="18"/>
          <w:szCs w:val="18"/>
          <w:color w:val="3F3F3F"/>
        </w:rPr>
        <w:t>,</w:t>
      </w:r>
      <w:r>
        <w:rPr>
          <w:rFonts w:ascii="Arial" w:cs="Arial" w:eastAsia="Arial" w:hAnsi="Arial"/>
          <w:sz w:val="18"/>
          <w:szCs w:val="18"/>
          <w:color w:val="262626"/>
        </w:rPr>
        <w:t xml:space="preserve"> as security for Tenant’s obligation to pay such additional costs, a sum which Landlord reasonably estimates to be the amount of such additional costs</w:t>
      </w:r>
      <w:r>
        <w:rPr>
          <w:rFonts w:ascii="Arial" w:cs="Arial" w:eastAsia="Arial" w:hAnsi="Arial"/>
          <w:sz w:val="18"/>
          <w:szCs w:val="18"/>
          <w:color w:val="3F3F3F"/>
        </w:rPr>
        <w:t>,</w:t>
      </w:r>
      <w:r>
        <w:rPr>
          <w:rFonts w:ascii="Arial" w:cs="Arial" w:eastAsia="Arial" w:hAnsi="Arial"/>
          <w:sz w:val="18"/>
          <w:szCs w:val="18"/>
          <w:color w:val="262626"/>
        </w:rPr>
        <w:t xml:space="preserve"> then Tenant shall deposit such sum with Landlord as security for such costs. The persons employed by Tenant to move equipment or other items in and out of the Building must be acceptable to Landlord. The floors, corners and walls of elevators and corridors used for the moving of equipment or other items in and out of the Building must be adequately covered, padded and protected, and Landlord may provide such padding and protection at Tenant’s expense</w:t>
      </w:r>
      <w:r>
        <w:rPr>
          <w:rFonts w:ascii="Arial" w:cs="Arial" w:eastAsia="Arial" w:hAnsi="Arial"/>
          <w:sz w:val="18"/>
          <w:szCs w:val="18"/>
          <w:color w:val="3F3F3F"/>
        </w:rPr>
        <w:t>,</w:t>
      </w:r>
      <w:r>
        <w:rPr>
          <w:rFonts w:ascii="Arial" w:cs="Arial" w:eastAsia="Arial" w:hAnsi="Arial"/>
          <w:sz w:val="18"/>
          <w:szCs w:val="18"/>
          <w:color w:val="262626"/>
        </w:rPr>
        <w:t xml:space="preserve"> if Landlord determines that such measures undertaken by Tenant or Tenant’s movers are </w:t>
      </w:r>
      <w:r>
        <w:rPr>
          <w:rFonts w:ascii="Arial" w:cs="Arial" w:eastAsia="Arial" w:hAnsi="Arial"/>
          <w:sz w:val="18"/>
          <w:szCs w:val="18"/>
          <w:color w:val="1F1F1F"/>
        </w:rPr>
        <w:t>inadequate. Landlord shall have the right to prescribe the weight,</w:t>
      </w:r>
      <w:r>
        <w:rPr>
          <w:rFonts w:ascii="Arial" w:cs="Arial" w:eastAsia="Arial" w:hAnsi="Arial"/>
          <w:sz w:val="18"/>
          <w:szCs w:val="18"/>
          <w:color w:val="262626"/>
        </w:rPr>
        <w:t xml:space="preserve"> </w:t>
      </w:r>
      <w:r>
        <w:rPr>
          <w:rFonts w:ascii="Arial" w:cs="Arial" w:eastAsia="Arial" w:hAnsi="Arial"/>
          <w:sz w:val="18"/>
          <w:szCs w:val="18"/>
          <w:color w:val="1F1F1F"/>
        </w:rPr>
        <w:t>size and position of all equipment, materials, furniture or other property brought into the Building and placed in the Premises. Heavy objects, as considered necessary by Landlord, shall stand on wood strips of such thickness as is necessary to properly distribute the weight. Landlord will not be responsible for loss of or damage to any such property from any cause, and all damage done to the Building by moving or maintaining such property shall be repaired at the expense of Tenant. Business machines and other equipment shall be placed and maintained by Tenant at Tenant’s expense in settings sufficient, in Landlord’s reasonable judgment, to absorb and prevent unreasonable vibration and prevent noise and annoyance.</w:t>
      </w:r>
    </w:p>
    <w:p>
      <w:pPr>
        <w:spacing w:after="0" w:line="170" w:lineRule="exact"/>
        <w:rPr>
          <w:rFonts w:ascii="Arial" w:cs="Arial" w:eastAsia="Arial" w:hAnsi="Arial"/>
          <w:sz w:val="18"/>
          <w:szCs w:val="18"/>
          <w:color w:val="262626"/>
        </w:rPr>
      </w:pPr>
    </w:p>
    <w:p>
      <w:pPr>
        <w:ind w:right="120" w:firstLine="885"/>
        <w:spacing w:after="0" w:line="258" w:lineRule="auto"/>
        <w:tabs>
          <w:tab w:leader="none" w:pos="1674" w:val="left"/>
        </w:tabs>
        <w:numPr>
          <w:ilvl w:val="0"/>
          <w:numId w:val="71"/>
        </w:numPr>
        <w:rPr>
          <w:rFonts w:ascii="Arial" w:cs="Arial" w:eastAsia="Arial" w:hAnsi="Arial"/>
          <w:sz w:val="19"/>
          <w:szCs w:val="19"/>
          <w:color w:val="1F1F1F"/>
        </w:rPr>
      </w:pPr>
      <w:r>
        <w:rPr>
          <w:rFonts w:ascii="Arial" w:cs="Arial" w:eastAsia="Arial" w:hAnsi="Arial"/>
          <w:sz w:val="19"/>
          <w:szCs w:val="19"/>
          <w:color w:val="1F1F1F"/>
        </w:rPr>
        <w:t>No tenant shall use or keep in the Premises or the Building any kerosene, gasoline or flammable or combustible fluid or any other chemical substance or material other than limited quantities thereof reasonably necessary for the operation or maintenance of office equipment; or, without Landlord’s prior written approval, use any method of heating or air conditioning, including, without limitation, portable floor heaters and fans, other than those supplied by Landlord. No tenant shall use or keep or permit to be used or kept any hazardous or toxic materials or any foul or noxious gas or substance in the Premises or permit or suffer the Premises to be occupied or used in a manner offensive or objectionable to Landlord or other occupants of the Building by reason of noise, odors, vibrations, or interfere in any way with other tenants or those having business therein.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4</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72" w:name="page173"/>
    <w:bookmarkEnd w:id="172"/>
    <w:p>
      <w:pPr>
        <w:ind w:right="20" w:firstLine="885"/>
        <w:spacing w:after="0" w:line="282" w:lineRule="auto"/>
        <w:tabs>
          <w:tab w:leader="none" w:pos="1674" w:val="left"/>
        </w:tabs>
        <w:numPr>
          <w:ilvl w:val="0"/>
          <w:numId w:val="72"/>
        </w:numPr>
        <w:rPr>
          <w:rFonts w:ascii="Arial" w:cs="Arial" w:eastAsia="Arial" w:hAnsi="Arial"/>
          <w:sz w:val="18"/>
          <w:szCs w:val="18"/>
          <w:color w:val="1F1F1F"/>
        </w:rPr>
      </w:pPr>
      <w:r>
        <w:rPr>
          <w:rFonts w:ascii="Arial" w:cs="Arial" w:eastAsia="Arial" w:hAnsi="Arial"/>
          <w:sz w:val="18"/>
          <w:szCs w:val="18"/>
          <w:color w:val="1F1F1F"/>
        </w:rPr>
        <w:t>Landlord reserves the right to select the name of the Building and to make such change or changes of name as it may deem appropriate from time to time and Tenant shall not refer to the Building by any name other than: (a) the name selected by Landlord (as same may be changed from time to time) or (b) the postal address approved by the United States Post Office. Tenant shall not use the name of the Building in any respect other than as an address of its operation in the Building without the prior written consent of Landlord.</w:t>
      </w:r>
    </w:p>
    <w:p>
      <w:pPr>
        <w:spacing w:after="0" w:line="134" w:lineRule="exact"/>
        <w:rPr>
          <w:rFonts w:ascii="Arial" w:cs="Arial" w:eastAsia="Arial" w:hAnsi="Arial"/>
          <w:sz w:val="18"/>
          <w:szCs w:val="18"/>
          <w:color w:val="1F1F1F"/>
        </w:rPr>
      </w:pPr>
    </w:p>
    <w:p>
      <w:pPr>
        <w:ind w:right="80" w:firstLine="885"/>
        <w:spacing w:after="0" w:line="243" w:lineRule="auto"/>
        <w:tabs>
          <w:tab w:leader="none" w:pos="1674" w:val="left"/>
        </w:tabs>
        <w:numPr>
          <w:ilvl w:val="0"/>
          <w:numId w:val="72"/>
        </w:numPr>
        <w:rPr>
          <w:rFonts w:ascii="Arial" w:cs="Arial" w:eastAsia="Arial" w:hAnsi="Arial"/>
          <w:sz w:val="20"/>
          <w:szCs w:val="20"/>
          <w:color w:val="1F1F1F"/>
        </w:rPr>
      </w:pPr>
      <w:r>
        <w:rPr>
          <w:rFonts w:ascii="Arial" w:cs="Arial" w:eastAsia="Arial" w:hAnsi="Arial"/>
          <w:sz w:val="20"/>
          <w:szCs w:val="20"/>
          <w:color w:val="1F1F1F"/>
        </w:rPr>
        <w:t>In the case of invasion, mob, riot, public excitement or other circumstances rendering such action advisable in Landlord’s opinion, Landlord reserves the right to prevent access to the building during the continuance of the same by such action as Landlord may deem appropriate including closing doors. Landlord also reserves the right to exclude or expel from the Building any person who, in Landlord’s judgment, is intoxicated or under the influence of liquor or drugs or who is in violation of any of the Rules and Regulations of the Building. Tenants serving alcohol to the public for specials functions, parties, or events must carry a “Liquor Liability Endorsement” with their Insurance policy and provide proof of Insurance coverage to Landlord.</w:t>
      </w:r>
    </w:p>
    <w:p>
      <w:pPr>
        <w:spacing w:after="0" w:line="182" w:lineRule="exact"/>
        <w:rPr>
          <w:rFonts w:ascii="Arial" w:cs="Arial" w:eastAsia="Arial" w:hAnsi="Arial"/>
          <w:sz w:val="20"/>
          <w:szCs w:val="20"/>
          <w:color w:val="1F1F1F"/>
        </w:rPr>
      </w:pPr>
    </w:p>
    <w:p>
      <w:pPr>
        <w:ind w:right="180" w:firstLine="885"/>
        <w:spacing w:after="0" w:line="271" w:lineRule="auto"/>
        <w:tabs>
          <w:tab w:leader="none" w:pos="1773" w:val="left"/>
        </w:tabs>
        <w:numPr>
          <w:ilvl w:val="0"/>
          <w:numId w:val="72"/>
        </w:numPr>
        <w:rPr>
          <w:rFonts w:ascii="Arial" w:cs="Arial" w:eastAsia="Arial" w:hAnsi="Arial"/>
          <w:sz w:val="18"/>
          <w:szCs w:val="18"/>
          <w:color w:val="1F1F1F"/>
        </w:rPr>
      </w:pPr>
      <w:r>
        <w:rPr>
          <w:rFonts w:ascii="Arial" w:cs="Arial" w:eastAsia="Arial" w:hAnsi="Arial"/>
          <w:sz w:val="18"/>
          <w:szCs w:val="18"/>
          <w:color w:val="1F1F1F"/>
        </w:rPr>
        <w:t xml:space="preserve">No curtains, draperies, blinds, shutters, shades, screens or other coverings, hangings or decorations shall be attached to, hung or placed in, or used in connection with any window of the Building without the prior written consent of Landlord. No files, cabinets, boxes, containers or similar items shall be placed in, against or adjacent to any window of the Building so as to be visible from the outside of the Building. Tenant shall cooperate fully with Landlord in obtaining maximum effectiveness of the cooling system of the Building by closing draperies and other window coverings when the sun’s rays fall upon windows of the Premises. Tenant shall not obstruct, alter or in any way impair the efficient operation of Landlord’s heating, ventilating, air conditioning, electrical, fire, safety or lighting systems, nor shall Tenant tamper </w:t>
      </w:r>
      <w:r>
        <w:rPr>
          <w:rFonts w:ascii="Arial" w:cs="Arial" w:eastAsia="Arial" w:hAnsi="Arial"/>
          <w:sz w:val="18"/>
          <w:szCs w:val="18"/>
          <w:color w:val="262626"/>
        </w:rPr>
        <w:t>with or change the setting of any thermostat or temperature control valves in the Building other than room thermostats installed for</w:t>
      </w:r>
      <w:r>
        <w:rPr>
          <w:rFonts w:ascii="Arial" w:cs="Arial" w:eastAsia="Arial" w:hAnsi="Arial"/>
          <w:sz w:val="18"/>
          <w:szCs w:val="18"/>
          <w:color w:val="1F1F1F"/>
        </w:rPr>
        <w:t xml:space="preserve"> </w:t>
      </w:r>
      <w:r>
        <w:rPr>
          <w:rFonts w:ascii="Arial" w:cs="Arial" w:eastAsia="Arial" w:hAnsi="Arial"/>
          <w:sz w:val="18"/>
          <w:szCs w:val="18"/>
          <w:color w:val="262626"/>
        </w:rPr>
        <w:t>Tenant’s use. Landlord reserves the right to install solar film on the windows of the Building to aid the efficiency of the HVAC system and to reduce energy costs. Tenant shall not remove solar film from any window. Tenant shall also cooperate with Landlord to comply with any governmental energy-saving rules, laws or regulations. No bottles, parcels or other articles may be placed in the halls or any other part of the Building, nor shall any article be thrown out of the doors or windows of the Premises.</w:t>
      </w:r>
    </w:p>
    <w:p>
      <w:pPr>
        <w:spacing w:after="0" w:line="157" w:lineRule="exact"/>
        <w:rPr>
          <w:rFonts w:ascii="Arial" w:cs="Arial" w:eastAsia="Arial" w:hAnsi="Arial"/>
          <w:sz w:val="18"/>
          <w:szCs w:val="18"/>
          <w:color w:val="1F1F1F"/>
        </w:rPr>
      </w:pPr>
    </w:p>
    <w:p>
      <w:pPr>
        <w:ind w:right="160" w:firstLine="885"/>
        <w:spacing w:after="0" w:line="246" w:lineRule="auto"/>
        <w:tabs>
          <w:tab w:leader="none" w:pos="1766" w:val="left"/>
        </w:tabs>
        <w:numPr>
          <w:ilvl w:val="0"/>
          <w:numId w:val="72"/>
        </w:numPr>
        <w:rPr>
          <w:rFonts w:ascii="Arial" w:cs="Arial" w:eastAsia="Arial" w:hAnsi="Arial"/>
          <w:sz w:val="20"/>
          <w:szCs w:val="20"/>
          <w:color w:val="262626"/>
        </w:rPr>
      </w:pPr>
      <w:r>
        <w:rPr>
          <w:rFonts w:ascii="Arial" w:cs="Arial" w:eastAsia="Arial" w:hAnsi="Arial"/>
          <w:sz w:val="20"/>
          <w:szCs w:val="20"/>
          <w:color w:val="262626"/>
        </w:rPr>
        <w:t xml:space="preserve">No tenant shall obtain for use in the Premises ice, drinking water, food, beverage, towel, barbering, shoe polishing, or vending machines, or other similar services except at such reasonable hours and under such reasonable regulations as may be fixed by Landlord. If the </w:t>
      </w:r>
      <w:r>
        <w:rPr>
          <w:rFonts w:ascii="Arial" w:cs="Arial" w:eastAsia="Arial" w:hAnsi="Arial"/>
          <w:sz w:val="20"/>
          <w:szCs w:val="20"/>
          <w:color w:val="1F1F1F"/>
        </w:rPr>
        <w:t>Premises or any part of the Building become infested with vermin as a result of Tenant’s use, Tenant shall reimburse Landlord</w:t>
      </w:r>
      <w:r>
        <w:rPr>
          <w:rFonts w:ascii="Arial" w:cs="Arial" w:eastAsia="Arial" w:hAnsi="Arial"/>
          <w:sz w:val="20"/>
          <w:szCs w:val="20"/>
          <w:color w:val="262626"/>
        </w:rPr>
        <w:t xml:space="preserve"> </w:t>
      </w:r>
      <w:r>
        <w:rPr>
          <w:rFonts w:ascii="Arial" w:cs="Arial" w:eastAsia="Arial" w:hAnsi="Arial"/>
          <w:sz w:val="20"/>
          <w:szCs w:val="20"/>
          <w:color w:val="1F1F1F"/>
        </w:rPr>
        <w:t>for the expense of extermination.</w:t>
      </w:r>
    </w:p>
    <w:p>
      <w:pPr>
        <w:spacing w:after="0" w:line="164" w:lineRule="exact"/>
        <w:rPr>
          <w:rFonts w:ascii="Arial" w:cs="Arial" w:eastAsia="Arial" w:hAnsi="Arial"/>
          <w:sz w:val="20"/>
          <w:szCs w:val="20"/>
          <w:color w:val="262626"/>
        </w:rPr>
      </w:pPr>
    </w:p>
    <w:p>
      <w:pPr>
        <w:ind w:right="180" w:firstLine="885"/>
        <w:spacing w:after="0" w:line="282" w:lineRule="auto"/>
        <w:tabs>
          <w:tab w:leader="none" w:pos="1773" w:val="left"/>
        </w:tabs>
        <w:numPr>
          <w:ilvl w:val="0"/>
          <w:numId w:val="72"/>
        </w:numPr>
        <w:rPr>
          <w:rFonts w:ascii="Arial" w:cs="Arial" w:eastAsia="Arial" w:hAnsi="Arial"/>
          <w:sz w:val="18"/>
          <w:szCs w:val="18"/>
          <w:color w:val="1F1F1F"/>
        </w:rPr>
      </w:pPr>
      <w:r>
        <w:rPr>
          <w:rFonts w:ascii="Arial" w:cs="Arial" w:eastAsia="Arial" w:hAnsi="Arial"/>
          <w:sz w:val="18"/>
          <w:szCs w:val="18"/>
          <w:color w:val="1F1F1F"/>
        </w:rPr>
        <w:t>Each tenant shall see the doors of its Premises are closed and locked, that all water faucets, water apparatus, equipment, lights and other utilities are shut off before such tenant or its employees leave the Premises, so as to prevent waste or damage; and for any default or carelessness in this regard. Tenant shall keep Suite entry doors (fire doors) closed at all times unless an electronic hold open devise connected to the main Fire Safety System is installed (at Tenant’s cost). In no event shall Tenant prop open their entry fire door.</w:t>
      </w:r>
    </w:p>
    <w:p>
      <w:pPr>
        <w:spacing w:after="0" w:line="148" w:lineRule="exact"/>
        <w:rPr>
          <w:rFonts w:ascii="Arial" w:cs="Arial" w:eastAsia="Arial" w:hAnsi="Arial"/>
          <w:sz w:val="18"/>
          <w:szCs w:val="18"/>
          <w:color w:val="1F1F1F"/>
        </w:rPr>
      </w:pPr>
    </w:p>
    <w:p>
      <w:pPr>
        <w:ind w:right="120" w:firstLine="885"/>
        <w:spacing w:after="0" w:line="342" w:lineRule="auto"/>
        <w:tabs>
          <w:tab w:leader="none" w:pos="1773" w:val="left"/>
        </w:tabs>
        <w:numPr>
          <w:ilvl w:val="0"/>
          <w:numId w:val="72"/>
        </w:numPr>
        <w:rPr>
          <w:rFonts w:ascii="Arial" w:cs="Arial" w:eastAsia="Arial" w:hAnsi="Arial"/>
          <w:sz w:val="16"/>
          <w:szCs w:val="16"/>
          <w:color w:val="1F1F1F"/>
        </w:rPr>
      </w:pPr>
      <w:r>
        <w:rPr>
          <w:rFonts w:ascii="Arial" w:cs="Arial" w:eastAsia="Arial" w:hAnsi="Arial"/>
          <w:sz w:val="16"/>
          <w:szCs w:val="16"/>
          <w:color w:val="1F1F1F"/>
        </w:rPr>
        <w:t>The lavatory rooms, toilets, urinals, wash bowls and other apparatus shall not be used for any purpose other than that for which they were constructed; no foreign substance of any kind whatsoever shall be thrown therein and the expense of any breakage, stoppage or damage resulting from the violation of this rule shall be borne by Tenant, who, or whose employees or invitees, shall have caused it.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5</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173" w:name="page174"/>
    <w:bookmarkEnd w:id="173"/>
    <w:p>
      <w:pPr>
        <w:ind w:right="40" w:firstLine="885"/>
        <w:spacing w:after="0" w:line="269" w:lineRule="auto"/>
        <w:tabs>
          <w:tab w:leader="none" w:pos="1773" w:val="left"/>
        </w:tabs>
        <w:numPr>
          <w:ilvl w:val="0"/>
          <w:numId w:val="73"/>
        </w:numPr>
        <w:rPr>
          <w:rFonts w:ascii="Arial" w:cs="Arial" w:eastAsia="Arial" w:hAnsi="Arial"/>
          <w:sz w:val="19"/>
          <w:szCs w:val="19"/>
          <w:color w:val="1F1F1F"/>
        </w:rPr>
      </w:pPr>
      <w:r>
        <w:rPr>
          <w:rFonts w:ascii="Arial" w:cs="Arial" w:eastAsia="Arial" w:hAnsi="Arial"/>
          <w:sz w:val="19"/>
          <w:szCs w:val="19"/>
          <w:color w:val="1F1F1F"/>
        </w:rPr>
        <w:t>No tenant shall install any radio or television antenna, loud speaker or other device on the roof or the exterior walls of the Building without the prior written consent of Landlord. No awnings, air conditioning units or other projections shall be attached to the outside walls or window sills of the Building or otherwise project from the Building, without the prior written consent of Landlord.</w:t>
      </w:r>
    </w:p>
    <w:p>
      <w:pPr>
        <w:spacing w:after="0" w:line="143" w:lineRule="exact"/>
        <w:rPr>
          <w:rFonts w:ascii="Arial" w:cs="Arial" w:eastAsia="Arial" w:hAnsi="Arial"/>
          <w:sz w:val="19"/>
          <w:szCs w:val="19"/>
          <w:color w:val="1F1F1F"/>
        </w:rPr>
      </w:pPr>
    </w:p>
    <w:p>
      <w:pPr>
        <w:ind w:right="260" w:firstLine="885"/>
        <w:spacing w:after="0" w:line="250" w:lineRule="auto"/>
        <w:tabs>
          <w:tab w:leader="none" w:pos="1773" w:val="left"/>
        </w:tabs>
        <w:numPr>
          <w:ilvl w:val="0"/>
          <w:numId w:val="73"/>
        </w:numPr>
        <w:rPr>
          <w:rFonts w:ascii="Arial" w:cs="Arial" w:eastAsia="Arial" w:hAnsi="Arial"/>
          <w:sz w:val="20"/>
          <w:szCs w:val="20"/>
          <w:color w:val="1F1F1F"/>
        </w:rPr>
      </w:pPr>
      <w:r>
        <w:rPr>
          <w:rFonts w:ascii="Arial" w:cs="Arial" w:eastAsia="Arial" w:hAnsi="Arial"/>
          <w:sz w:val="20"/>
          <w:szCs w:val="20"/>
          <w:color w:val="1F1F1F"/>
        </w:rPr>
        <w:t>Tenant shall immediately, upon request from Landlord (which request need not be in writing), reduce its lighting in the Premises for temporary periods designated by Landlord, when required in Landlord’s judgment to prevent overloads of the mechanical or electrical systems of the Premises.</w:t>
      </w:r>
    </w:p>
    <w:p>
      <w:pPr>
        <w:spacing w:after="0" w:line="172" w:lineRule="exact"/>
        <w:rPr>
          <w:rFonts w:ascii="Arial" w:cs="Arial" w:eastAsia="Arial" w:hAnsi="Arial"/>
          <w:sz w:val="20"/>
          <w:szCs w:val="20"/>
          <w:color w:val="1F1F1F"/>
        </w:rPr>
      </w:pPr>
    </w:p>
    <w:p>
      <w:pPr>
        <w:ind w:right="120" w:firstLine="885"/>
        <w:spacing w:after="0" w:line="342" w:lineRule="auto"/>
        <w:tabs>
          <w:tab w:leader="none" w:pos="1773" w:val="left"/>
        </w:tabs>
        <w:numPr>
          <w:ilvl w:val="0"/>
          <w:numId w:val="73"/>
        </w:numPr>
        <w:rPr>
          <w:rFonts w:ascii="Arial" w:cs="Arial" w:eastAsia="Arial" w:hAnsi="Arial"/>
          <w:sz w:val="16"/>
          <w:szCs w:val="16"/>
          <w:color w:val="1F1F1F"/>
        </w:rPr>
      </w:pPr>
      <w:r>
        <w:rPr>
          <w:rFonts w:ascii="Arial" w:cs="Arial" w:eastAsia="Arial" w:hAnsi="Arial"/>
          <w:sz w:val="16"/>
          <w:szCs w:val="16"/>
          <w:color w:val="1F1F1F"/>
        </w:rPr>
        <w:t>There shall not be used in any space or public halls of the Building, either by any tenant or any others, any hand trucks except those equipped with rubber tires and side guards or such other material-handling equipment as Landlord may approve. No other vehicle of any kind except wheelchairs or other similar devices shall be brought by any tenant into the Building or kept in or about its Premises.</w:t>
      </w:r>
    </w:p>
    <w:p>
      <w:pPr>
        <w:spacing w:after="0" w:line="104" w:lineRule="exact"/>
        <w:rPr>
          <w:rFonts w:ascii="Arial" w:cs="Arial" w:eastAsia="Arial" w:hAnsi="Arial"/>
          <w:sz w:val="16"/>
          <w:szCs w:val="16"/>
          <w:color w:val="1F1F1F"/>
        </w:rPr>
      </w:pPr>
    </w:p>
    <w:p>
      <w:pPr>
        <w:ind w:right="20" w:firstLine="885"/>
        <w:spacing w:after="0" w:line="244" w:lineRule="auto"/>
        <w:tabs>
          <w:tab w:leader="none" w:pos="1773" w:val="left"/>
        </w:tabs>
        <w:numPr>
          <w:ilvl w:val="0"/>
          <w:numId w:val="73"/>
        </w:numPr>
        <w:rPr>
          <w:rFonts w:ascii="Arial" w:cs="Arial" w:eastAsia="Arial" w:hAnsi="Arial"/>
          <w:sz w:val="20"/>
          <w:szCs w:val="20"/>
          <w:color w:val="1F1F1F"/>
        </w:rPr>
      </w:pPr>
      <w:r>
        <w:rPr>
          <w:rFonts w:ascii="Arial" w:cs="Arial" w:eastAsia="Arial" w:hAnsi="Arial"/>
          <w:sz w:val="20"/>
          <w:szCs w:val="20"/>
          <w:color w:val="1F1F1F"/>
        </w:rPr>
        <w:t>Each tenant shall store all its trash, garbage and recyclable materials within the Premises. No material shall be placed in corridors, hallways or elevator lobbies or in the trash boxes or receptacles of such material is of such nature that it may not be disposed of in the ordinary and customary manner of removing and disposing of trash and garbage in the city where the Building is located without being in violation of any law or ordinance governing such disposal. All garbage and refuse removal shall be made only through entry ways and elevators provided for such purposes and at such times as Landlord shall designate.</w:t>
      </w:r>
    </w:p>
    <w:p>
      <w:pPr>
        <w:spacing w:after="0" w:line="167" w:lineRule="exact"/>
        <w:rPr>
          <w:rFonts w:ascii="Arial" w:cs="Arial" w:eastAsia="Arial" w:hAnsi="Arial"/>
          <w:sz w:val="20"/>
          <w:szCs w:val="20"/>
          <w:color w:val="1F1F1F"/>
        </w:rPr>
      </w:pPr>
    </w:p>
    <w:p>
      <w:pPr>
        <w:ind w:right="40" w:firstLine="885"/>
        <w:spacing w:after="0" w:line="260" w:lineRule="auto"/>
        <w:tabs>
          <w:tab w:leader="none" w:pos="1773" w:val="left"/>
        </w:tabs>
        <w:numPr>
          <w:ilvl w:val="0"/>
          <w:numId w:val="73"/>
        </w:numPr>
        <w:rPr>
          <w:rFonts w:ascii="Arial" w:cs="Arial" w:eastAsia="Arial" w:hAnsi="Arial"/>
          <w:sz w:val="20"/>
          <w:szCs w:val="20"/>
          <w:color w:val="1F1F1F"/>
        </w:rPr>
      </w:pPr>
      <w:r>
        <w:rPr>
          <w:rFonts w:ascii="Arial" w:cs="Arial" w:eastAsia="Arial" w:hAnsi="Arial"/>
          <w:sz w:val="20"/>
          <w:szCs w:val="20"/>
          <w:color w:val="1F1F1F"/>
        </w:rPr>
        <w:t>Canvassing, peddling, soliciting and distribution of handbills or other written materials in the Building are prohibited and each tenant shall cooperate to prevent the same.</w:t>
      </w:r>
    </w:p>
    <w:p>
      <w:pPr>
        <w:spacing w:after="0" w:line="163" w:lineRule="exact"/>
        <w:rPr>
          <w:rFonts w:ascii="Arial" w:cs="Arial" w:eastAsia="Arial" w:hAnsi="Arial"/>
          <w:sz w:val="20"/>
          <w:szCs w:val="20"/>
          <w:color w:val="1F1F1F"/>
        </w:rPr>
      </w:pPr>
    </w:p>
    <w:p>
      <w:pPr>
        <w:jc w:val="both"/>
        <w:ind w:right="40" w:firstLine="885"/>
        <w:spacing w:after="0" w:line="263" w:lineRule="auto"/>
        <w:tabs>
          <w:tab w:leader="none" w:pos="1773" w:val="left"/>
        </w:tabs>
        <w:numPr>
          <w:ilvl w:val="0"/>
          <w:numId w:val="73"/>
        </w:numPr>
        <w:rPr>
          <w:rFonts w:ascii="Arial" w:cs="Arial" w:eastAsia="Arial" w:hAnsi="Arial"/>
          <w:sz w:val="19"/>
          <w:szCs w:val="19"/>
          <w:color w:val="1F1F1F"/>
        </w:rPr>
      </w:pPr>
      <w:r>
        <w:rPr>
          <w:rFonts w:ascii="Arial" w:cs="Arial" w:eastAsia="Arial" w:hAnsi="Arial"/>
          <w:sz w:val="19"/>
          <w:szCs w:val="19"/>
          <w:color w:val="1F1F1F"/>
        </w:rPr>
        <w:t>Tenant and its authorized representatives and invitees shall not make or permit any noise in the Building that is annoying, unpleasant or distasteful, interfering in any way with other tenants or those having business with them, or bring into or keep within the Building or common areas, any animal (except for service animals), bird, bicycle or other vehicle except wheelchairs or other similar devices or such vehicles as are permitted to park in parking areas, in accordance with these Rules and Regulations.</w:t>
      </w:r>
    </w:p>
    <w:p>
      <w:pPr>
        <w:spacing w:after="0" w:line="163" w:lineRule="exact"/>
        <w:rPr>
          <w:rFonts w:ascii="Arial" w:cs="Arial" w:eastAsia="Arial" w:hAnsi="Arial"/>
          <w:sz w:val="19"/>
          <w:szCs w:val="19"/>
          <w:color w:val="1F1F1F"/>
        </w:rPr>
      </w:pPr>
    </w:p>
    <w:p>
      <w:pPr>
        <w:ind w:right="280" w:firstLine="885"/>
        <w:spacing w:after="0" w:line="250" w:lineRule="auto"/>
        <w:tabs>
          <w:tab w:leader="none" w:pos="1773" w:val="left"/>
        </w:tabs>
        <w:numPr>
          <w:ilvl w:val="0"/>
          <w:numId w:val="73"/>
        </w:numPr>
        <w:rPr>
          <w:rFonts w:ascii="Arial" w:cs="Arial" w:eastAsia="Arial" w:hAnsi="Arial"/>
          <w:sz w:val="20"/>
          <w:szCs w:val="20"/>
          <w:color w:val="1F1F1F"/>
        </w:rPr>
      </w:pPr>
      <w:r>
        <w:rPr>
          <w:rFonts w:ascii="Arial" w:cs="Arial" w:eastAsia="Arial" w:hAnsi="Arial"/>
          <w:sz w:val="20"/>
          <w:szCs w:val="20"/>
          <w:color w:val="1F1F1F"/>
        </w:rPr>
        <w:t>Tenant shall not make, drive nails, screw or drill into the partitions, woodwork or plaster or in any way deface the Premises or any part thereof, except to install normal wall hangings. Tenant shall repair any damage resulting from non-compliance with this rule.</w:t>
      </w:r>
    </w:p>
    <w:p>
      <w:pPr>
        <w:spacing w:after="0" w:line="159" w:lineRule="exact"/>
        <w:rPr>
          <w:rFonts w:ascii="Arial" w:cs="Arial" w:eastAsia="Arial" w:hAnsi="Arial"/>
          <w:sz w:val="20"/>
          <w:szCs w:val="20"/>
          <w:color w:val="1F1F1F"/>
        </w:rPr>
      </w:pPr>
    </w:p>
    <w:p>
      <w:pPr>
        <w:ind w:right="140" w:firstLine="885"/>
        <w:spacing w:after="0" w:line="276" w:lineRule="auto"/>
        <w:tabs>
          <w:tab w:leader="none" w:pos="1773" w:val="left"/>
        </w:tabs>
        <w:numPr>
          <w:ilvl w:val="0"/>
          <w:numId w:val="73"/>
        </w:numPr>
        <w:rPr>
          <w:rFonts w:ascii="Arial" w:cs="Arial" w:eastAsia="Arial" w:hAnsi="Arial"/>
          <w:sz w:val="18"/>
          <w:szCs w:val="18"/>
          <w:color w:val="1F1F1F"/>
        </w:rPr>
      </w:pPr>
      <w:r>
        <w:rPr>
          <w:rFonts w:ascii="Arial" w:cs="Arial" w:eastAsia="Arial" w:hAnsi="Arial"/>
          <w:sz w:val="18"/>
          <w:szCs w:val="18"/>
          <w:color w:val="1F1F1F"/>
        </w:rPr>
        <w:t>Landlord shall direct licensed electricians as to where and how telephone and electrical wires are to be introduced. If Landlord’s consent is given for such installation, Tenant and/or its electrician shall be solely responsible, at Tenant’s sole expense, for the patching, fireproofing or other building integrity installation as shall be deemed necessary by Landlord. No cutting or boring for wires shall be allowed without Landlord’s consent. The location of telephones, call boxes and office equipment affixed to the Premises shall be subject to Landlord’s approval. No equipment may be installed in the Building Main Telephone Closet or Floor Telephone Closets. Tenant shall not lay linoleum tile, carpet or other floor covering to the floor of the Premises, except as approved by Landlord.</w:t>
      </w:r>
    </w:p>
    <w:p>
      <w:pPr>
        <w:spacing w:after="0" w:line="151" w:lineRule="exact"/>
        <w:rPr>
          <w:rFonts w:ascii="Arial" w:cs="Arial" w:eastAsia="Arial" w:hAnsi="Arial"/>
          <w:sz w:val="18"/>
          <w:szCs w:val="18"/>
          <w:color w:val="1F1F1F"/>
        </w:rPr>
      </w:pPr>
    </w:p>
    <w:p>
      <w:pPr>
        <w:ind w:right="500" w:firstLine="885"/>
        <w:spacing w:after="0" w:line="260" w:lineRule="auto"/>
        <w:tabs>
          <w:tab w:leader="none" w:pos="1773" w:val="left"/>
        </w:tabs>
        <w:numPr>
          <w:ilvl w:val="0"/>
          <w:numId w:val="73"/>
        </w:numPr>
        <w:rPr>
          <w:rFonts w:ascii="Arial" w:cs="Arial" w:eastAsia="Arial" w:hAnsi="Arial"/>
          <w:sz w:val="20"/>
          <w:szCs w:val="20"/>
          <w:color w:val="1F1F1F"/>
        </w:rPr>
      </w:pPr>
      <w:r>
        <w:rPr>
          <w:rFonts w:ascii="Arial" w:cs="Arial" w:eastAsia="Arial" w:hAnsi="Arial"/>
          <w:sz w:val="20"/>
          <w:szCs w:val="20"/>
          <w:color w:val="1F1F1F"/>
        </w:rPr>
        <w:t>The requirements of Tenant will be attended to only upon appropriate application by an authorized individual to the office of the Building manager by telephone or in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6</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74" w:name="page175"/>
    <w:bookmarkEnd w:id="174"/>
    <w:p>
      <w:pPr>
        <w:ind w:right="360" w:firstLine="885"/>
        <w:spacing w:after="0" w:line="260" w:lineRule="auto"/>
        <w:tabs>
          <w:tab w:leader="none" w:pos="1773" w:val="left"/>
        </w:tabs>
        <w:numPr>
          <w:ilvl w:val="0"/>
          <w:numId w:val="74"/>
        </w:numPr>
        <w:rPr>
          <w:rFonts w:ascii="Arial" w:cs="Arial" w:eastAsia="Arial" w:hAnsi="Arial"/>
          <w:sz w:val="20"/>
          <w:szCs w:val="20"/>
          <w:color w:val="1F1F1F"/>
        </w:rPr>
      </w:pPr>
      <w:r>
        <w:rPr>
          <w:rFonts w:ascii="Arial" w:cs="Arial" w:eastAsia="Arial" w:hAnsi="Arial"/>
          <w:sz w:val="20"/>
          <w:szCs w:val="20"/>
          <w:color w:val="1F1F1F"/>
        </w:rPr>
        <w:t>Employees of Landlord shall not perform any work or do anything outside of their regular duties unless under special instructions from Landlord.</w:t>
      </w:r>
    </w:p>
    <w:p>
      <w:pPr>
        <w:spacing w:after="0" w:line="149" w:lineRule="exact"/>
        <w:rPr>
          <w:rFonts w:ascii="Arial" w:cs="Arial" w:eastAsia="Arial" w:hAnsi="Arial"/>
          <w:sz w:val="20"/>
          <w:szCs w:val="20"/>
          <w:color w:val="1F1F1F"/>
        </w:rPr>
      </w:pPr>
    </w:p>
    <w:p>
      <w:pPr>
        <w:ind w:right="160" w:firstLine="885"/>
        <w:spacing w:after="0" w:line="250" w:lineRule="auto"/>
        <w:tabs>
          <w:tab w:leader="none" w:pos="1773" w:val="left"/>
        </w:tabs>
        <w:numPr>
          <w:ilvl w:val="0"/>
          <w:numId w:val="74"/>
        </w:numPr>
        <w:rPr>
          <w:rFonts w:ascii="Arial" w:cs="Arial" w:eastAsia="Arial" w:hAnsi="Arial"/>
          <w:sz w:val="20"/>
          <w:szCs w:val="20"/>
          <w:color w:val="1F1F1F"/>
        </w:rPr>
      </w:pPr>
      <w:r>
        <w:rPr>
          <w:rFonts w:ascii="Arial" w:cs="Arial" w:eastAsia="Arial" w:hAnsi="Arial"/>
          <w:sz w:val="20"/>
          <w:szCs w:val="20"/>
          <w:color w:val="1F1F1F"/>
        </w:rPr>
        <w:t>Tenant shall comply with all safety, maximum occupancy and fire protection and evacuation procedures and regulations established by Landlord or any governmental agency and, upon Landlord’s request, shall post appropriate signs and placards regarding such safety, maximum occupancy and fire protection and evacuation procedures and regulations.</w:t>
      </w:r>
    </w:p>
    <w:p>
      <w:pPr>
        <w:spacing w:after="0" w:line="172" w:lineRule="exact"/>
        <w:rPr>
          <w:rFonts w:ascii="Arial" w:cs="Arial" w:eastAsia="Arial" w:hAnsi="Arial"/>
          <w:sz w:val="20"/>
          <w:szCs w:val="20"/>
          <w:color w:val="1F1F1F"/>
        </w:rPr>
      </w:pPr>
    </w:p>
    <w:p>
      <w:pPr>
        <w:ind w:right="300" w:firstLine="885"/>
        <w:spacing w:after="0" w:line="287" w:lineRule="auto"/>
        <w:tabs>
          <w:tab w:leader="none" w:pos="1773" w:val="left"/>
        </w:tabs>
        <w:numPr>
          <w:ilvl w:val="0"/>
          <w:numId w:val="74"/>
        </w:numPr>
        <w:rPr>
          <w:rFonts w:ascii="Arial" w:cs="Arial" w:eastAsia="Arial" w:hAnsi="Arial"/>
          <w:sz w:val="19"/>
          <w:szCs w:val="19"/>
          <w:color w:val="1F1F1F"/>
        </w:rPr>
      </w:pPr>
      <w:r>
        <w:rPr>
          <w:rFonts w:ascii="Arial" w:cs="Arial" w:eastAsia="Arial" w:hAnsi="Arial"/>
          <w:sz w:val="19"/>
          <w:szCs w:val="19"/>
          <w:color w:val="1F1F1F"/>
        </w:rPr>
        <w:t>Tenant assumes any and all responsibility for protecting its Premises from theft, robbery and pilferage, which includes keeping doors and other means of entry to the Premises closed and locked when the Premises are unattended.</w:t>
      </w:r>
    </w:p>
    <w:p>
      <w:pPr>
        <w:spacing w:after="0" w:line="139" w:lineRule="exact"/>
        <w:rPr>
          <w:rFonts w:ascii="Arial" w:cs="Arial" w:eastAsia="Arial" w:hAnsi="Arial"/>
          <w:sz w:val="19"/>
          <w:szCs w:val="19"/>
          <w:color w:val="1F1F1F"/>
        </w:rPr>
      </w:pPr>
    </w:p>
    <w:p>
      <w:pPr>
        <w:ind w:right="20" w:firstLine="885"/>
        <w:spacing w:after="0" w:line="269" w:lineRule="auto"/>
        <w:tabs>
          <w:tab w:leader="none" w:pos="1773" w:val="left"/>
        </w:tabs>
        <w:numPr>
          <w:ilvl w:val="0"/>
          <w:numId w:val="74"/>
        </w:numPr>
        <w:rPr>
          <w:rFonts w:ascii="Arial" w:cs="Arial" w:eastAsia="Arial" w:hAnsi="Arial"/>
          <w:sz w:val="19"/>
          <w:szCs w:val="19"/>
          <w:color w:val="1F1F1F"/>
        </w:rPr>
      </w:pPr>
      <w:r>
        <w:rPr>
          <w:rFonts w:ascii="Arial" w:cs="Arial" w:eastAsia="Arial" w:hAnsi="Arial"/>
          <w:sz w:val="19"/>
          <w:szCs w:val="19"/>
          <w:color w:val="1F1F1F"/>
        </w:rPr>
        <w:t>Landlord may waive any one or more of these Rules and Regulations for the benefit of any particular tenants, but no such waiver by Landlord shall be construed as a waiver of such Rules and Regulations in favor of any other tenants, nor prevent Landlord from thereafter enforcing any such rules and regulations against any or all of the tenants of the Building.</w:t>
      </w:r>
    </w:p>
    <w:p>
      <w:pPr>
        <w:spacing w:after="0" w:line="143" w:lineRule="exact"/>
        <w:rPr>
          <w:rFonts w:ascii="Arial" w:cs="Arial" w:eastAsia="Arial" w:hAnsi="Arial"/>
          <w:sz w:val="19"/>
          <w:szCs w:val="19"/>
          <w:color w:val="1F1F1F"/>
        </w:rPr>
      </w:pPr>
    </w:p>
    <w:p>
      <w:pPr>
        <w:ind w:right="60" w:firstLine="885"/>
        <w:spacing w:after="0" w:line="260" w:lineRule="auto"/>
        <w:tabs>
          <w:tab w:leader="none" w:pos="1773" w:val="left"/>
        </w:tabs>
        <w:numPr>
          <w:ilvl w:val="0"/>
          <w:numId w:val="74"/>
        </w:numPr>
        <w:rPr>
          <w:rFonts w:ascii="Arial" w:cs="Arial" w:eastAsia="Arial" w:hAnsi="Arial"/>
          <w:sz w:val="20"/>
          <w:szCs w:val="20"/>
          <w:color w:val="212121"/>
        </w:rPr>
      </w:pPr>
      <w:r>
        <w:rPr>
          <w:rFonts w:ascii="Arial" w:cs="Arial" w:eastAsia="Arial" w:hAnsi="Arial"/>
          <w:sz w:val="20"/>
          <w:szCs w:val="20"/>
          <w:color w:val="212121"/>
        </w:rPr>
        <w:t xml:space="preserve">These Rules and Regulations are in addition to, and shall not be construed to in any way modify or </w:t>
      </w:r>
      <w:r>
        <w:rPr>
          <w:rFonts w:ascii="Arial" w:cs="Arial" w:eastAsia="Arial" w:hAnsi="Arial"/>
          <w:sz w:val="20"/>
          <w:szCs w:val="20"/>
          <w:color w:val="1F1F1F"/>
        </w:rPr>
        <w:t>amend, in whole or in</w:t>
      </w:r>
      <w:r>
        <w:rPr>
          <w:rFonts w:ascii="Arial" w:cs="Arial" w:eastAsia="Arial" w:hAnsi="Arial"/>
          <w:sz w:val="20"/>
          <w:szCs w:val="20"/>
          <w:color w:val="212121"/>
        </w:rPr>
        <w:t xml:space="preserve"> </w:t>
      </w:r>
      <w:r>
        <w:rPr>
          <w:rFonts w:ascii="Arial" w:cs="Arial" w:eastAsia="Arial" w:hAnsi="Arial"/>
          <w:sz w:val="20"/>
          <w:szCs w:val="20"/>
          <w:color w:val="1F1F1F"/>
        </w:rPr>
        <w:t>part, the terms, covenants, agreements and conditions of any lease of premises in the Building.</w:t>
      </w:r>
    </w:p>
    <w:p>
      <w:pPr>
        <w:spacing w:after="0" w:line="163" w:lineRule="exact"/>
        <w:rPr>
          <w:rFonts w:ascii="Arial" w:cs="Arial" w:eastAsia="Arial" w:hAnsi="Arial"/>
          <w:sz w:val="20"/>
          <w:szCs w:val="20"/>
          <w:color w:val="212121"/>
        </w:rPr>
      </w:pPr>
    </w:p>
    <w:p>
      <w:pPr>
        <w:ind w:right="260" w:firstLine="885"/>
        <w:spacing w:after="0" w:line="260" w:lineRule="auto"/>
        <w:tabs>
          <w:tab w:leader="none" w:pos="1773" w:val="left"/>
        </w:tabs>
        <w:numPr>
          <w:ilvl w:val="0"/>
          <w:numId w:val="74"/>
        </w:numPr>
        <w:rPr>
          <w:rFonts w:ascii="Arial" w:cs="Arial" w:eastAsia="Arial" w:hAnsi="Arial"/>
          <w:sz w:val="20"/>
          <w:szCs w:val="20"/>
          <w:color w:val="1F1F1F"/>
        </w:rPr>
      </w:pPr>
      <w:r>
        <w:rPr>
          <w:rFonts w:ascii="Arial" w:cs="Arial" w:eastAsia="Arial" w:hAnsi="Arial"/>
          <w:sz w:val="20"/>
          <w:szCs w:val="20"/>
          <w:color w:val="1F1F1F"/>
        </w:rPr>
        <w:t>Landlord reserves the right to make such other reasonable Rules and Regulations as, in its judgment, may from time to time be needed for the safety, care and cleanliness of the Building, and for the preservation of the order therein.</w:t>
      </w:r>
    </w:p>
    <w:p>
      <w:pPr>
        <w:spacing w:after="0" w:line="163" w:lineRule="exact"/>
        <w:rPr>
          <w:rFonts w:ascii="Arial" w:cs="Arial" w:eastAsia="Arial" w:hAnsi="Arial"/>
          <w:sz w:val="20"/>
          <w:szCs w:val="20"/>
          <w:color w:val="1F1F1F"/>
        </w:rPr>
      </w:pPr>
    </w:p>
    <w:p>
      <w:pPr>
        <w:ind w:right="260" w:firstLine="885"/>
        <w:spacing w:after="0" w:line="250" w:lineRule="auto"/>
        <w:tabs>
          <w:tab w:leader="none" w:pos="1773" w:val="left"/>
        </w:tabs>
        <w:numPr>
          <w:ilvl w:val="0"/>
          <w:numId w:val="74"/>
        </w:numPr>
        <w:rPr>
          <w:rFonts w:ascii="Arial" w:cs="Arial" w:eastAsia="Arial" w:hAnsi="Arial"/>
          <w:sz w:val="20"/>
          <w:szCs w:val="20"/>
          <w:color w:val="1F1F1F"/>
        </w:rPr>
      </w:pPr>
      <w:r>
        <w:rPr>
          <w:rFonts w:ascii="Arial" w:cs="Arial" w:eastAsia="Arial" w:hAnsi="Arial"/>
          <w:sz w:val="20"/>
          <w:szCs w:val="20"/>
          <w:color w:val="1F1F1F"/>
        </w:rPr>
        <w:t xml:space="preserve">Landlord shall not be responsible to Tenant or to any other person for the non-observance or violation of the Rules and Regulations by any other tenant or other person. Tenant shall be deemed to have </w:t>
      </w:r>
      <w:r>
        <w:rPr>
          <w:rFonts w:ascii="Arial" w:cs="Arial" w:eastAsia="Arial" w:hAnsi="Arial"/>
          <w:sz w:val="20"/>
          <w:szCs w:val="20"/>
          <w:color w:val="212121"/>
        </w:rPr>
        <w:t>read these rules and have agreed to abide by them as a</w:t>
      </w:r>
      <w:r>
        <w:rPr>
          <w:rFonts w:ascii="Arial" w:cs="Arial" w:eastAsia="Arial" w:hAnsi="Arial"/>
          <w:sz w:val="20"/>
          <w:szCs w:val="20"/>
          <w:color w:val="1F1F1F"/>
        </w:rPr>
        <w:t xml:space="preserve"> </w:t>
      </w:r>
      <w:r>
        <w:rPr>
          <w:rFonts w:ascii="Arial" w:cs="Arial" w:eastAsia="Arial" w:hAnsi="Arial"/>
          <w:sz w:val="20"/>
          <w:szCs w:val="20"/>
          <w:color w:val="212121"/>
        </w:rPr>
        <w:t>condition to its occupancy of the space leased.</w:t>
      </w:r>
    </w:p>
    <w:p>
      <w:pPr>
        <w:spacing w:after="0" w:line="159" w:lineRule="exact"/>
        <w:rPr>
          <w:rFonts w:ascii="Arial" w:cs="Arial" w:eastAsia="Arial" w:hAnsi="Arial"/>
          <w:sz w:val="20"/>
          <w:szCs w:val="20"/>
          <w:color w:val="1F1F1F"/>
        </w:rPr>
      </w:pPr>
    </w:p>
    <w:p>
      <w:pPr>
        <w:ind w:right="560" w:firstLine="885"/>
        <w:spacing w:after="0" w:line="260" w:lineRule="auto"/>
        <w:tabs>
          <w:tab w:leader="none" w:pos="1773" w:val="left"/>
        </w:tabs>
        <w:numPr>
          <w:ilvl w:val="0"/>
          <w:numId w:val="74"/>
        </w:numPr>
        <w:rPr>
          <w:rFonts w:ascii="Arial" w:cs="Arial" w:eastAsia="Arial" w:hAnsi="Arial"/>
          <w:sz w:val="20"/>
          <w:szCs w:val="20"/>
          <w:color w:val="212121"/>
        </w:rPr>
      </w:pPr>
      <w:r>
        <w:rPr>
          <w:rFonts w:ascii="Arial" w:cs="Arial" w:eastAsia="Arial" w:hAnsi="Arial"/>
          <w:sz w:val="20"/>
          <w:szCs w:val="20"/>
          <w:color w:val="212121"/>
        </w:rPr>
        <w:t xml:space="preserve">The </w:t>
      </w:r>
      <w:r>
        <w:rPr>
          <w:rFonts w:ascii="Arial" w:cs="Arial" w:eastAsia="Arial" w:hAnsi="Arial"/>
          <w:sz w:val="20"/>
          <w:szCs w:val="20"/>
          <w:i w:val="1"/>
          <w:iCs w:val="1"/>
          <w:color w:val="212121"/>
        </w:rPr>
        <w:t>“Ordinary Business Hours”</w:t>
      </w:r>
      <w:r>
        <w:rPr>
          <w:rFonts w:ascii="Arial" w:cs="Arial" w:eastAsia="Arial" w:hAnsi="Arial"/>
          <w:sz w:val="20"/>
          <w:szCs w:val="20"/>
          <w:color w:val="212121"/>
        </w:rPr>
        <w:t xml:space="preserve"> of the Building </w:t>
      </w:r>
      <w:r>
        <w:rPr>
          <w:rFonts w:ascii="Arial" w:cs="Arial" w:eastAsia="Arial" w:hAnsi="Arial"/>
          <w:sz w:val="20"/>
          <w:szCs w:val="20"/>
          <w:color w:val="1F1F1F"/>
        </w:rPr>
        <w:t>shall</w:t>
      </w:r>
      <w:r>
        <w:rPr>
          <w:rFonts w:ascii="Arial" w:cs="Arial" w:eastAsia="Arial" w:hAnsi="Arial"/>
          <w:sz w:val="20"/>
          <w:szCs w:val="20"/>
          <w:color w:val="212121"/>
        </w:rPr>
        <w:t xml:space="preserve"> be 8:00 a.m. to 5:00 p.m. Monday through Friday (Saturday, Sunday and holidays excluded).</w:t>
      </w:r>
    </w:p>
    <w:p>
      <w:pPr>
        <w:spacing w:after="0" w:line="163" w:lineRule="exact"/>
        <w:rPr>
          <w:rFonts w:ascii="Arial" w:cs="Arial" w:eastAsia="Arial" w:hAnsi="Arial"/>
          <w:sz w:val="20"/>
          <w:szCs w:val="20"/>
          <w:color w:val="212121"/>
        </w:rPr>
      </w:pPr>
    </w:p>
    <w:p>
      <w:pPr>
        <w:ind w:right="460" w:firstLine="885"/>
        <w:spacing w:after="0" w:line="260" w:lineRule="auto"/>
        <w:tabs>
          <w:tab w:leader="none" w:pos="1773" w:val="left"/>
        </w:tabs>
        <w:numPr>
          <w:ilvl w:val="0"/>
          <w:numId w:val="74"/>
        </w:numPr>
        <w:rPr>
          <w:rFonts w:ascii="Arial" w:cs="Arial" w:eastAsia="Arial" w:hAnsi="Arial"/>
          <w:sz w:val="20"/>
          <w:szCs w:val="20"/>
          <w:color w:val="212121"/>
        </w:rPr>
      </w:pPr>
      <w:r>
        <w:rPr>
          <w:rFonts w:ascii="Arial" w:cs="Arial" w:eastAsia="Arial" w:hAnsi="Arial"/>
          <w:sz w:val="20"/>
          <w:szCs w:val="20"/>
          <w:color w:val="212121"/>
        </w:rPr>
        <w:t xml:space="preserve">Use of aquariums, water beds or other water containing vessels in excess of one gallon, aside from UL </w:t>
      </w:r>
      <w:r>
        <w:rPr>
          <w:rFonts w:ascii="Arial" w:cs="Arial" w:eastAsia="Arial" w:hAnsi="Arial"/>
          <w:sz w:val="20"/>
          <w:szCs w:val="20"/>
          <w:color w:val="1F1F1F"/>
        </w:rPr>
        <w:t>listed</w:t>
      </w:r>
      <w:r>
        <w:rPr>
          <w:rFonts w:ascii="Arial" w:cs="Arial" w:eastAsia="Arial" w:hAnsi="Arial"/>
          <w:sz w:val="20"/>
          <w:szCs w:val="20"/>
          <w:color w:val="212121"/>
        </w:rPr>
        <w:t xml:space="preserve"> bottled water dispensers, is prohibited without the prior written consent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4"/>
                <w:szCs w:val="14"/>
                <w:color w:val="auto"/>
              </w:rPr>
              <w:t>09338.008 2450031v3</w:t>
            </w:r>
          </w:p>
        </w:tc>
        <w:tc>
          <w:tcPr>
            <w:tcW w:w="7940" w:type="dxa"/>
            <w:vAlign w:val="bottom"/>
          </w:tcPr>
          <w:p>
            <w:pPr>
              <w:jc w:val="right"/>
              <w:ind w:right="5661"/>
              <w:spacing w:after="0"/>
              <w:rPr>
                <w:sz w:val="20"/>
                <w:szCs w:val="20"/>
                <w:color w:val="auto"/>
              </w:rPr>
            </w:pPr>
            <w:r>
              <w:rPr>
                <w:rFonts w:ascii="Arial" w:cs="Arial" w:eastAsia="Arial" w:hAnsi="Arial"/>
                <w:sz w:val="20"/>
                <w:szCs w:val="20"/>
                <w:color w:val="auto"/>
              </w:rPr>
              <w:t>7</w:t>
            </w:r>
          </w:p>
        </w:tc>
      </w:tr>
      <w:tr>
        <w:trPr>
          <w:trHeight w:val="182"/>
        </w:trPr>
        <w:tc>
          <w:tcPr>
            <w:tcW w:w="3500" w:type="dxa"/>
            <w:vAlign w:val="bottom"/>
          </w:tcPr>
          <w:p>
            <w:pPr>
              <w:spacing w:after="0"/>
              <w:rPr>
                <w:sz w:val="20"/>
                <w:szCs w:val="20"/>
                <w:color w:val="auto"/>
              </w:rPr>
            </w:pPr>
            <w:r>
              <w:rPr>
                <w:rFonts w:ascii="Arial" w:cs="Arial" w:eastAsia="Arial" w:hAnsi="Arial"/>
                <w:sz w:val="14"/>
                <w:szCs w:val="14"/>
                <w:color w:val="auto"/>
              </w:rPr>
              <w:t>ActiveUS 172034323v.3</w:t>
            </w:r>
          </w:p>
        </w:tc>
        <w:tc>
          <w:tcPr>
            <w:tcW w:w="7940" w:type="dxa"/>
            <w:vAlign w:val="bottom"/>
          </w:tcPr>
          <w:p>
            <w:pPr>
              <w:spacing w:after="0"/>
              <w:rPr>
                <w:sz w:val="15"/>
                <w:szCs w:val="15"/>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7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175" w:name="page176"/>
    <w:bookmarkEnd w:id="175"/>
    <w:p>
      <w:pPr>
        <w:jc w:val="center"/>
        <w:ind w:right="-179"/>
        <w:spacing w:after="0"/>
        <w:rPr>
          <w:sz w:val="20"/>
          <w:szCs w:val="20"/>
          <w:color w:val="auto"/>
        </w:rPr>
      </w:pPr>
      <w:r>
        <w:rPr>
          <w:rFonts w:ascii="Arial" w:cs="Arial" w:eastAsia="Arial" w:hAnsi="Arial"/>
          <w:sz w:val="20"/>
          <w:szCs w:val="20"/>
          <w:b w:val="1"/>
          <w:bCs w:val="1"/>
          <w:color w:val="262626"/>
        </w:rPr>
        <w:t xml:space="preserve">EXHIBIT </w:t>
      </w:r>
      <w:r>
        <w:rPr>
          <w:rFonts w:ascii="Arial" w:cs="Arial" w:eastAsia="Arial" w:hAnsi="Arial"/>
          <w:sz w:val="20"/>
          <w:szCs w:val="20"/>
          <w:b w:val="1"/>
          <w:bCs w:val="1"/>
          <w:color w:val="232323"/>
        </w:rPr>
        <w:t>C</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232323"/>
        </w:rPr>
        <w:t>Breakdown of Building Operating Expenses</w:t>
      </w:r>
    </w:p>
    <w:p>
      <w:pPr>
        <w:spacing w:after="0" w:line="189" w:lineRule="exact"/>
        <w:rPr>
          <w:sz w:val="20"/>
          <w:szCs w:val="20"/>
          <w:color w:val="auto"/>
        </w:rPr>
      </w:pPr>
    </w:p>
    <w:p>
      <w:pPr>
        <w:jc w:val="center"/>
        <w:ind w:left="420"/>
        <w:spacing w:after="0" w:line="253" w:lineRule="auto"/>
        <w:rPr>
          <w:sz w:val="20"/>
          <w:szCs w:val="20"/>
          <w:color w:val="auto"/>
        </w:rPr>
      </w:pPr>
      <w:r>
        <w:rPr>
          <w:rFonts w:ascii="Arial" w:cs="Arial" w:eastAsia="Arial" w:hAnsi="Arial"/>
          <w:sz w:val="20"/>
          <w:szCs w:val="20"/>
          <w:b w:val="1"/>
          <w:bCs w:val="1"/>
          <w:color w:val="232323"/>
        </w:rPr>
        <w:t>These expenses relate of the entire building, the building common areas, and Tenant repairs and maintenance for building standard services provided. Specific services above building standard shall be billed directly to Tenants as an additional charge on a monthly basis.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Taxes and Operating expenses relating to the entire building: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232323"/>
        </w:rPr>
        <w:t>Cleaning e</w:t>
      </w:r>
      <w:r>
        <w:rPr>
          <w:rFonts w:ascii="Arial" w:cs="Arial" w:eastAsia="Arial" w:hAnsi="Arial"/>
          <w:sz w:val="20"/>
          <w:szCs w:val="20"/>
          <w:color w:val="414141"/>
        </w:rPr>
        <w:t>x</w:t>
      </w:r>
      <w:r>
        <w:rPr>
          <w:rFonts w:ascii="Arial" w:cs="Arial" w:eastAsia="Arial" w:hAnsi="Arial"/>
          <w:sz w:val="20"/>
          <w:szCs w:val="20"/>
          <w:color w:val="232323"/>
        </w:rPr>
        <w:t>terior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232323"/>
        </w:rPr>
        <w:t>Exterior painting - graffiti removal</w:t>
      </w:r>
    </w:p>
    <w:p>
      <w:pPr>
        <w:spacing w:after="0"/>
        <w:rPr>
          <w:sz w:val="20"/>
          <w:szCs w:val="20"/>
          <w:color w:val="auto"/>
        </w:rPr>
      </w:pPr>
      <w:r>
        <w:rPr>
          <w:rFonts w:ascii="Arial" w:cs="Arial" w:eastAsia="Arial" w:hAnsi="Arial"/>
          <w:sz w:val="20"/>
          <w:szCs w:val="20"/>
          <w:color w:val="232323"/>
        </w:rPr>
        <w:t>R&amp;M Payroll</w:t>
      </w:r>
    </w:p>
    <w:p>
      <w:pPr>
        <w:spacing w:after="0"/>
        <w:rPr>
          <w:sz w:val="20"/>
          <w:szCs w:val="20"/>
          <w:color w:val="auto"/>
        </w:rPr>
      </w:pPr>
      <w:r>
        <w:rPr>
          <w:rFonts w:ascii="Arial" w:cs="Arial" w:eastAsia="Arial" w:hAnsi="Arial"/>
          <w:sz w:val="20"/>
          <w:szCs w:val="20"/>
          <w:color w:val="232323"/>
        </w:rPr>
        <w:t>R&amp;M Fire Safety Security</w:t>
      </w:r>
    </w:p>
    <w:p>
      <w:pPr>
        <w:spacing w:after="0"/>
        <w:rPr>
          <w:sz w:val="20"/>
          <w:szCs w:val="20"/>
          <w:color w:val="auto"/>
        </w:rPr>
      </w:pPr>
      <w:r>
        <w:rPr>
          <w:rFonts w:ascii="Arial" w:cs="Arial" w:eastAsia="Arial" w:hAnsi="Arial"/>
          <w:sz w:val="20"/>
          <w:szCs w:val="20"/>
          <w:color w:val="232323"/>
        </w:rPr>
        <w:t>Admin - Professional fees</w:t>
      </w:r>
    </w:p>
    <w:p>
      <w:pPr>
        <w:spacing w:after="0"/>
        <w:rPr>
          <w:sz w:val="20"/>
          <w:szCs w:val="20"/>
          <w:color w:val="auto"/>
        </w:rPr>
      </w:pPr>
      <w:r>
        <w:rPr>
          <w:rFonts w:ascii="Arial" w:cs="Arial" w:eastAsia="Arial" w:hAnsi="Arial"/>
          <w:sz w:val="20"/>
          <w:szCs w:val="20"/>
          <w:color w:val="232323"/>
        </w:rPr>
        <w:t>Admin - Supplies and Materials</w:t>
      </w:r>
    </w:p>
    <w:p>
      <w:pPr>
        <w:spacing w:after="0"/>
        <w:rPr>
          <w:sz w:val="20"/>
          <w:szCs w:val="20"/>
          <w:color w:val="auto"/>
        </w:rPr>
      </w:pPr>
      <w:r>
        <w:rPr>
          <w:rFonts w:ascii="Arial" w:cs="Arial" w:eastAsia="Arial" w:hAnsi="Arial"/>
          <w:sz w:val="20"/>
          <w:szCs w:val="20"/>
          <w:color w:val="232323"/>
        </w:rPr>
        <w:t>Admin - Association Dues</w:t>
      </w:r>
    </w:p>
    <w:p>
      <w:pPr>
        <w:spacing w:after="0"/>
        <w:rPr>
          <w:sz w:val="20"/>
          <w:szCs w:val="20"/>
          <w:color w:val="auto"/>
        </w:rPr>
      </w:pPr>
      <w:r>
        <w:rPr>
          <w:rFonts w:ascii="Arial" w:cs="Arial" w:eastAsia="Arial" w:hAnsi="Arial"/>
          <w:sz w:val="20"/>
          <w:szCs w:val="20"/>
          <w:color w:val="232323"/>
        </w:rPr>
        <w:t>Admin - Miscellaneous</w:t>
      </w:r>
    </w:p>
    <w:p>
      <w:pPr>
        <w:spacing w:after="0"/>
        <w:rPr>
          <w:sz w:val="20"/>
          <w:szCs w:val="20"/>
          <w:color w:val="auto"/>
        </w:rPr>
      </w:pPr>
      <w:r>
        <w:rPr>
          <w:rFonts w:ascii="Arial" w:cs="Arial" w:eastAsia="Arial" w:hAnsi="Arial"/>
          <w:sz w:val="20"/>
          <w:szCs w:val="20"/>
          <w:color w:val="232323"/>
        </w:rPr>
        <w:t>Admin – Payroll</w:t>
      </w:r>
    </w:p>
    <w:p>
      <w:pPr>
        <w:spacing w:after="0"/>
        <w:rPr>
          <w:sz w:val="20"/>
          <w:szCs w:val="20"/>
          <w:color w:val="auto"/>
        </w:rPr>
      </w:pPr>
      <w:r>
        <w:rPr>
          <w:rFonts w:ascii="Arial" w:cs="Arial" w:eastAsia="Arial" w:hAnsi="Arial"/>
          <w:sz w:val="20"/>
          <w:szCs w:val="20"/>
          <w:color w:val="232323"/>
        </w:rPr>
        <w:t>Admin - Telephone</w:t>
      </w:r>
    </w:p>
    <w:p>
      <w:pPr>
        <w:spacing w:after="0"/>
        <w:rPr>
          <w:sz w:val="20"/>
          <w:szCs w:val="20"/>
          <w:color w:val="auto"/>
        </w:rPr>
      </w:pPr>
      <w:r>
        <w:rPr>
          <w:rFonts w:ascii="Arial" w:cs="Arial" w:eastAsia="Arial" w:hAnsi="Arial"/>
          <w:sz w:val="20"/>
          <w:szCs w:val="20"/>
          <w:color w:val="232323"/>
        </w:rPr>
        <w:t>Admin - Management Fees</w:t>
      </w:r>
    </w:p>
    <w:p>
      <w:pPr>
        <w:spacing w:after="0"/>
        <w:rPr>
          <w:sz w:val="20"/>
          <w:szCs w:val="20"/>
          <w:color w:val="auto"/>
        </w:rPr>
      </w:pPr>
      <w:r>
        <w:rPr>
          <w:rFonts w:ascii="Arial" w:cs="Arial" w:eastAsia="Arial" w:hAnsi="Arial"/>
          <w:sz w:val="20"/>
          <w:szCs w:val="20"/>
          <w:color w:val="232323"/>
        </w:rPr>
        <w:t>Utilities - Water</w:t>
      </w:r>
    </w:p>
    <w:p>
      <w:pPr>
        <w:spacing w:after="0"/>
        <w:rPr>
          <w:sz w:val="20"/>
          <w:szCs w:val="20"/>
          <w:color w:val="auto"/>
        </w:rPr>
      </w:pPr>
      <w:r>
        <w:rPr>
          <w:rFonts w:ascii="Arial" w:cs="Arial" w:eastAsia="Arial" w:hAnsi="Arial"/>
          <w:sz w:val="20"/>
          <w:szCs w:val="20"/>
          <w:color w:val="232323"/>
        </w:rPr>
        <w:t>Insurance</w:t>
      </w:r>
    </w:p>
    <w:p>
      <w:pPr>
        <w:spacing w:after="0"/>
        <w:rPr>
          <w:sz w:val="20"/>
          <w:szCs w:val="20"/>
          <w:color w:val="auto"/>
        </w:rPr>
      </w:pPr>
      <w:r>
        <w:rPr>
          <w:rFonts w:ascii="Arial" w:cs="Arial" w:eastAsia="Arial" w:hAnsi="Arial"/>
          <w:sz w:val="20"/>
          <w:szCs w:val="20"/>
          <w:color w:val="232323"/>
        </w:rPr>
        <w:t>Property Taxes</w:t>
      </w:r>
    </w:p>
    <w:p>
      <w:pPr>
        <w:spacing w:after="0"/>
        <w:rPr>
          <w:sz w:val="20"/>
          <w:szCs w:val="20"/>
          <w:color w:val="auto"/>
        </w:rPr>
      </w:pPr>
      <w:r>
        <w:rPr>
          <w:rFonts w:ascii="Arial" w:cs="Arial" w:eastAsia="Arial" w:hAnsi="Arial"/>
          <w:sz w:val="20"/>
          <w:szCs w:val="20"/>
          <w:color w:val="232323"/>
        </w:rPr>
        <w:t>Building Office Rent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Operating expenses relating to Office Tenants only: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232323"/>
        </w:rPr>
        <w:t>Cleaning/Janitorial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232323"/>
        </w:rPr>
        <w:t>R&amp;M Elevator</w:t>
      </w:r>
    </w:p>
    <w:p>
      <w:pPr>
        <w:spacing w:after="0"/>
        <w:rPr>
          <w:sz w:val="20"/>
          <w:szCs w:val="20"/>
          <w:color w:val="auto"/>
        </w:rPr>
      </w:pPr>
      <w:r>
        <w:rPr>
          <w:rFonts w:ascii="Arial" w:cs="Arial" w:eastAsia="Arial" w:hAnsi="Arial"/>
          <w:sz w:val="20"/>
          <w:szCs w:val="20"/>
          <w:color w:val="232323"/>
        </w:rPr>
        <w:t>R&amp;M HVAC</w:t>
      </w:r>
    </w:p>
    <w:p>
      <w:pPr>
        <w:spacing w:after="0"/>
        <w:rPr>
          <w:sz w:val="20"/>
          <w:szCs w:val="20"/>
          <w:color w:val="auto"/>
        </w:rPr>
      </w:pPr>
      <w:r>
        <w:rPr>
          <w:rFonts w:ascii="Arial" w:cs="Arial" w:eastAsia="Arial" w:hAnsi="Arial"/>
          <w:sz w:val="20"/>
          <w:szCs w:val="20"/>
          <w:color w:val="232323"/>
        </w:rPr>
        <w:t>R&amp;M Electrical</w:t>
      </w:r>
    </w:p>
    <w:p>
      <w:pPr>
        <w:spacing w:after="0"/>
        <w:rPr>
          <w:sz w:val="20"/>
          <w:szCs w:val="20"/>
          <w:color w:val="auto"/>
        </w:rPr>
      </w:pPr>
      <w:r>
        <w:rPr>
          <w:rFonts w:ascii="Arial" w:cs="Arial" w:eastAsia="Arial" w:hAnsi="Arial"/>
          <w:sz w:val="20"/>
          <w:szCs w:val="20"/>
          <w:color w:val="232323"/>
        </w:rPr>
        <w:t>R&amp;M Structural/Roof</w:t>
      </w:r>
    </w:p>
    <w:p>
      <w:pPr>
        <w:spacing w:after="0"/>
        <w:rPr>
          <w:sz w:val="20"/>
          <w:szCs w:val="20"/>
          <w:color w:val="auto"/>
        </w:rPr>
      </w:pPr>
      <w:r>
        <w:rPr>
          <w:rFonts w:ascii="Arial" w:cs="Arial" w:eastAsia="Arial" w:hAnsi="Arial"/>
          <w:sz w:val="20"/>
          <w:szCs w:val="20"/>
          <w:color w:val="232323"/>
        </w:rPr>
        <w:t>R&amp;M Plumbing</w:t>
      </w:r>
    </w:p>
    <w:p>
      <w:pPr>
        <w:spacing w:after="0"/>
        <w:rPr>
          <w:sz w:val="20"/>
          <w:szCs w:val="20"/>
          <w:color w:val="auto"/>
        </w:rPr>
      </w:pPr>
      <w:r>
        <w:rPr>
          <w:rFonts w:ascii="Arial" w:cs="Arial" w:eastAsia="Arial" w:hAnsi="Arial"/>
          <w:sz w:val="20"/>
          <w:szCs w:val="20"/>
          <w:color w:val="232323"/>
        </w:rPr>
        <w:t>R&amp;M Other Building Maintenance</w:t>
      </w:r>
    </w:p>
    <w:p>
      <w:pPr>
        <w:spacing w:after="0"/>
        <w:rPr>
          <w:sz w:val="20"/>
          <w:szCs w:val="20"/>
          <w:color w:val="auto"/>
        </w:rPr>
      </w:pPr>
      <w:r>
        <w:rPr>
          <w:rFonts w:ascii="Arial" w:cs="Arial" w:eastAsia="Arial" w:hAnsi="Arial"/>
          <w:sz w:val="20"/>
          <w:szCs w:val="20"/>
          <w:color w:val="232323"/>
        </w:rPr>
        <w:t>R&amp;M Waste Removal</w:t>
      </w:r>
    </w:p>
    <w:p>
      <w:pPr>
        <w:spacing w:after="0"/>
        <w:rPr>
          <w:sz w:val="20"/>
          <w:szCs w:val="20"/>
          <w:color w:val="auto"/>
        </w:rPr>
      </w:pPr>
      <w:r>
        <w:rPr>
          <w:rFonts w:ascii="Arial" w:cs="Arial" w:eastAsia="Arial" w:hAnsi="Arial"/>
          <w:sz w:val="20"/>
          <w:szCs w:val="20"/>
          <w:color w:val="232323"/>
        </w:rPr>
        <w:t>R&amp;M General Supplies</w:t>
      </w:r>
    </w:p>
    <w:p>
      <w:pPr>
        <w:spacing w:after="0"/>
        <w:rPr>
          <w:sz w:val="20"/>
          <w:szCs w:val="20"/>
          <w:color w:val="auto"/>
        </w:rPr>
      </w:pPr>
      <w:r>
        <w:rPr>
          <w:rFonts w:ascii="Arial" w:cs="Arial" w:eastAsia="Arial" w:hAnsi="Arial"/>
          <w:sz w:val="20"/>
          <w:szCs w:val="20"/>
          <w:color w:val="232323"/>
        </w:rPr>
        <w:t>Lobby Plants</w:t>
      </w:r>
    </w:p>
    <w:p>
      <w:pPr>
        <w:spacing w:after="0"/>
        <w:rPr>
          <w:sz w:val="20"/>
          <w:szCs w:val="20"/>
          <w:color w:val="auto"/>
        </w:rPr>
      </w:pPr>
      <w:r>
        <w:rPr>
          <w:rFonts w:ascii="Arial" w:cs="Arial" w:eastAsia="Arial" w:hAnsi="Arial"/>
          <w:sz w:val="20"/>
          <w:szCs w:val="20"/>
          <w:color w:val="232323"/>
        </w:rPr>
        <w:t>Utilities – Electrical</w:t>
      </w:r>
    </w:p>
    <w:p>
      <w:pPr>
        <w:spacing w:after="0"/>
        <w:rPr>
          <w:sz w:val="20"/>
          <w:szCs w:val="20"/>
          <w:color w:val="auto"/>
        </w:rPr>
      </w:pPr>
      <w:r>
        <w:rPr>
          <w:rFonts w:ascii="Arial" w:cs="Arial" w:eastAsia="Arial" w:hAnsi="Arial"/>
          <w:sz w:val="20"/>
          <w:szCs w:val="20"/>
          <w:color w:val="232323"/>
        </w:rPr>
        <w:t>Utilities - Gas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232323"/>
        </w:rPr>
        <w:t>Amortized Capital Improvements to Common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09338.008 2684830v10</w:t>
      </w: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16" w:right="39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20"/>
          <w:szCs w:val="20"/>
          <w:b w:val="1"/>
          <w:bCs w:val="1"/>
          <w:color w:val="262626"/>
        </w:rPr>
        <w:t xml:space="preserve">SCHEDULE </w:t>
      </w:r>
      <w:r>
        <w:rPr>
          <w:rFonts w:ascii="Arial" w:cs="Arial" w:eastAsia="Arial" w:hAnsi="Arial"/>
          <w:sz w:val="20"/>
          <w:szCs w:val="20"/>
          <w:b w:val="1"/>
          <w:bCs w:val="1"/>
          <w:color w:val="1F1F1F"/>
        </w:rPr>
        <w:t>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F1F1F"/>
        </w:rPr>
        <w:t xml:space="preserve">TENANT </w:t>
      </w:r>
      <w:r>
        <w:rPr>
          <w:rFonts w:ascii="Arial" w:cs="Arial" w:eastAsia="Arial" w:hAnsi="Arial"/>
          <w:sz w:val="20"/>
          <w:szCs w:val="20"/>
          <w:b w:val="1"/>
          <w:bCs w:val="1"/>
          <w:color w:val="262626"/>
        </w:rPr>
        <w:t>CONSTRUCTION</w:t>
      </w:r>
      <w:r>
        <w:rPr>
          <w:rFonts w:ascii="Arial" w:cs="Arial" w:eastAsia="Arial" w:hAnsi="Arial"/>
          <w:sz w:val="20"/>
          <w:szCs w:val="20"/>
          <w:b w:val="1"/>
          <w:bCs w:val="1"/>
          <w:color w:val="1F1F1F"/>
        </w:rPr>
        <w:t xml:space="preserve"> RULES AND REGULATIONS</w:t>
      </w:r>
    </w:p>
    <w:p>
      <w:pPr>
        <w:spacing w:after="0" w:line="195"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1F1F1F"/>
        </w:rPr>
        <w:t>The rules and regulations governing construction by Tenant in the Building at the time of the execution of the Lease to which this Schedule is attached are as follows (capitalized terms used without being defined in this Schedule shall have the meanings given them in the Lease):</w:t>
      </w:r>
    </w:p>
    <w:p>
      <w:pPr>
        <w:spacing w:after="0" w:line="117" w:lineRule="exact"/>
        <w:rPr>
          <w:sz w:val="20"/>
          <w:szCs w:val="20"/>
          <w:color w:val="auto"/>
        </w:rPr>
      </w:pPr>
    </w:p>
    <w:p>
      <w:pPr>
        <w:ind w:right="20" w:firstLine="885"/>
        <w:spacing w:after="0" w:line="258" w:lineRule="auto"/>
        <w:tabs>
          <w:tab w:leader="none" w:pos="1674" w:val="left"/>
        </w:tabs>
        <w:numPr>
          <w:ilvl w:val="0"/>
          <w:numId w:val="75"/>
        </w:numPr>
        <w:rPr>
          <w:rFonts w:ascii="Arial" w:cs="Arial" w:eastAsia="Arial" w:hAnsi="Arial"/>
          <w:sz w:val="19"/>
          <w:szCs w:val="19"/>
          <w:color w:val="1F1F1F"/>
        </w:rPr>
      </w:pPr>
      <w:r>
        <w:rPr>
          <w:rFonts w:ascii="Arial" w:cs="Arial" w:eastAsia="Arial" w:hAnsi="Arial"/>
          <w:sz w:val="19"/>
          <w:szCs w:val="19"/>
          <w:color w:val="1F1F1F"/>
        </w:rPr>
        <w:t>Prior to commencement of any construction, Tenant’s Contractor shall coordinate with Landlord’s representatives to ensure that all employees and subcontractors of Tenant’s Contractor have received instruction regarding Landlord’s requirements for safety, security and fire prevention. During construction, Tenant shall coordinate all construction activities with Landlord so as to minimize the disruption caused by such construction, and so as not to interfere with other construction in the Building or the rights of Landlord, other tenants or occupants. Tenant and Tenant’s Construction Agents shall take all safety measures necessary to protect Landlord, its employees and contractors, other tenants and users of the Building and the general public, and the property of each, from injury or damage resulting from the performance of the Tenant Improvement Work.</w:t>
      </w:r>
    </w:p>
    <w:p>
      <w:pPr>
        <w:spacing w:after="0" w:line="165" w:lineRule="exact"/>
        <w:rPr>
          <w:rFonts w:ascii="Arial" w:cs="Arial" w:eastAsia="Arial" w:hAnsi="Arial"/>
          <w:sz w:val="19"/>
          <w:szCs w:val="19"/>
          <w:color w:val="1F1F1F"/>
        </w:rPr>
      </w:pPr>
    </w:p>
    <w:p>
      <w:pPr>
        <w:ind w:right="140" w:firstLine="885"/>
        <w:spacing w:after="0" w:line="244" w:lineRule="auto"/>
        <w:tabs>
          <w:tab w:leader="none" w:pos="1674" w:val="left"/>
        </w:tabs>
        <w:numPr>
          <w:ilvl w:val="0"/>
          <w:numId w:val="75"/>
        </w:numPr>
        <w:rPr>
          <w:rFonts w:ascii="Arial" w:cs="Arial" w:eastAsia="Arial" w:hAnsi="Arial"/>
          <w:sz w:val="20"/>
          <w:szCs w:val="20"/>
          <w:color w:val="1F1F1F"/>
        </w:rPr>
      </w:pPr>
      <w:r>
        <w:rPr>
          <w:rFonts w:ascii="Arial" w:cs="Arial" w:eastAsia="Arial" w:hAnsi="Arial"/>
          <w:sz w:val="20"/>
          <w:szCs w:val="20"/>
          <w:color w:val="1F1F1F"/>
        </w:rPr>
        <w:t>Tenant acknowledges that certain construction activities (including, without limitation, painting, core drilling, use of “shot” type mechanical fasteners, major demolition, use of materials that may release noxious fumes or use of any equipment that produces objectionable noise levels) must be completed, on a daily basis, not later than 6:30 a.m. on weekdays, and may not resume until at least 6:30 p.m. on weekdays. Tenant shall make prior arrangements with Landlord’s representatives if any construction work is to be performed between 6:30 p.m. and 6:30 a.m. or on weekends.</w:t>
      </w:r>
    </w:p>
    <w:p>
      <w:pPr>
        <w:spacing w:after="0" w:line="167" w:lineRule="exact"/>
        <w:rPr>
          <w:rFonts w:ascii="Arial" w:cs="Arial" w:eastAsia="Arial" w:hAnsi="Arial"/>
          <w:sz w:val="20"/>
          <w:szCs w:val="20"/>
          <w:color w:val="1F1F1F"/>
        </w:rPr>
      </w:pPr>
    </w:p>
    <w:p>
      <w:pPr>
        <w:ind w:right="40" w:firstLine="885"/>
        <w:spacing w:after="0" w:line="259" w:lineRule="auto"/>
        <w:tabs>
          <w:tab w:leader="none" w:pos="1674" w:val="left"/>
        </w:tabs>
        <w:numPr>
          <w:ilvl w:val="0"/>
          <w:numId w:val="75"/>
        </w:numPr>
        <w:rPr>
          <w:rFonts w:ascii="Arial" w:cs="Arial" w:eastAsia="Arial" w:hAnsi="Arial"/>
          <w:sz w:val="19"/>
          <w:szCs w:val="19"/>
          <w:color w:val="1F1F1F"/>
        </w:rPr>
      </w:pPr>
      <w:r>
        <w:rPr>
          <w:rFonts w:ascii="Arial" w:cs="Arial" w:eastAsia="Arial" w:hAnsi="Arial"/>
          <w:sz w:val="19"/>
          <w:szCs w:val="19"/>
          <w:color w:val="1F1F1F"/>
        </w:rPr>
        <w:t>All construction work and all storage and staging of materials, tools and equipment shall be confined to the Premises, unless Landlord gives written permission to use areas outside the Premises. Common and public areas of the Building and the sidewalk and curbs in front of or adjacent to the Building shall not be used or obstructed by Tenant or by Tenant’s Construction Agents without written approval of Landlord. All storage of materials, tools and equipment within the Premises or the Building shall be at Tenant’s risk. Tenant shall immediately relocate, at Tenant’s expense, any materials found by Landlord to be stored in an unsafe manner. Landlord shall not be responsible for lost, stolen or damaged materials, tools or equipment stored or staged in the Building.</w:t>
      </w:r>
    </w:p>
    <w:p>
      <w:pPr>
        <w:spacing w:after="0" w:line="165" w:lineRule="exact"/>
        <w:rPr>
          <w:rFonts w:ascii="Arial" w:cs="Arial" w:eastAsia="Arial" w:hAnsi="Arial"/>
          <w:sz w:val="19"/>
          <w:szCs w:val="19"/>
          <w:color w:val="1F1F1F"/>
        </w:rPr>
      </w:pPr>
    </w:p>
    <w:p>
      <w:pPr>
        <w:jc w:val="both"/>
        <w:ind w:right="40" w:firstLine="885"/>
        <w:spacing w:after="0" w:line="246" w:lineRule="auto"/>
        <w:tabs>
          <w:tab w:leader="none" w:pos="1674" w:val="left"/>
        </w:tabs>
        <w:numPr>
          <w:ilvl w:val="0"/>
          <w:numId w:val="75"/>
        </w:numPr>
        <w:rPr>
          <w:rFonts w:ascii="Arial" w:cs="Arial" w:eastAsia="Arial" w:hAnsi="Arial"/>
          <w:sz w:val="20"/>
          <w:szCs w:val="20"/>
          <w:color w:val="1F1F1F"/>
        </w:rPr>
      </w:pPr>
      <w:r>
        <w:rPr>
          <w:rFonts w:ascii="Arial" w:cs="Arial" w:eastAsia="Arial" w:hAnsi="Arial"/>
          <w:sz w:val="20"/>
          <w:szCs w:val="20"/>
          <w:color w:val="1F1F1F"/>
        </w:rPr>
        <w:t>Workers will be permitted to use the restrooms within the Premises, once such restrooms have been completed and placed in service. Restrooms are not to be used for purposes related to Tenant’s construction, including, without limitation, for the cleaning of tools, or any other purposes other than the use for which they are intended. Tenant will be back charged if extraordinary cleanup of bathrooms is required.</w:t>
      </w:r>
    </w:p>
    <w:p>
      <w:pPr>
        <w:spacing w:after="0" w:line="178" w:lineRule="exact"/>
        <w:rPr>
          <w:rFonts w:ascii="Arial" w:cs="Arial" w:eastAsia="Arial" w:hAnsi="Arial"/>
          <w:sz w:val="20"/>
          <w:szCs w:val="20"/>
          <w:color w:val="1F1F1F"/>
        </w:rPr>
      </w:pPr>
    </w:p>
    <w:p>
      <w:pPr>
        <w:ind w:right="200" w:firstLine="885"/>
        <w:spacing w:after="0" w:line="246" w:lineRule="auto"/>
        <w:tabs>
          <w:tab w:leader="none" w:pos="1674" w:val="left"/>
        </w:tabs>
        <w:numPr>
          <w:ilvl w:val="0"/>
          <w:numId w:val="75"/>
        </w:numPr>
        <w:rPr>
          <w:rFonts w:ascii="Arial" w:cs="Arial" w:eastAsia="Arial" w:hAnsi="Arial"/>
          <w:sz w:val="20"/>
          <w:szCs w:val="20"/>
          <w:color w:val="1F1F1F"/>
        </w:rPr>
      </w:pPr>
      <w:r>
        <w:rPr>
          <w:rFonts w:ascii="Arial" w:cs="Arial" w:eastAsia="Arial" w:hAnsi="Arial"/>
          <w:sz w:val="20"/>
          <w:szCs w:val="20"/>
          <w:color w:val="1F1F1F"/>
        </w:rPr>
        <w:t>All deliveries shall be scheduled so that materials are stocked in Tenant’s Premises prior to normal business hours of the Building. No deliveries shall be made through the common or public areas of the Building, or to the sidewalk in front of or adjacent to the Building during business hours. No hand trucks shall be used in any portion of the Building, including common areas, except those equipped with rubber tires and side guards.</w:t>
      </w:r>
    </w:p>
    <w:p>
      <w:pPr>
        <w:spacing w:after="0" w:line="164" w:lineRule="exact"/>
        <w:rPr>
          <w:rFonts w:ascii="Arial" w:cs="Arial" w:eastAsia="Arial" w:hAnsi="Arial"/>
          <w:sz w:val="20"/>
          <w:szCs w:val="20"/>
          <w:color w:val="1F1F1F"/>
        </w:rPr>
      </w:pPr>
    </w:p>
    <w:p>
      <w:pPr>
        <w:ind w:firstLine="885"/>
        <w:spacing w:after="0" w:line="250" w:lineRule="auto"/>
        <w:tabs>
          <w:tab w:leader="none" w:pos="1674" w:val="left"/>
        </w:tabs>
        <w:numPr>
          <w:ilvl w:val="0"/>
          <w:numId w:val="75"/>
        </w:numPr>
        <w:rPr>
          <w:rFonts w:ascii="Arial" w:cs="Arial" w:eastAsia="Arial" w:hAnsi="Arial"/>
          <w:sz w:val="20"/>
          <w:szCs w:val="20"/>
          <w:color w:val="1F1F1F"/>
        </w:rPr>
      </w:pPr>
      <w:r>
        <w:rPr>
          <w:rFonts w:ascii="Arial" w:cs="Arial" w:eastAsia="Arial" w:hAnsi="Arial"/>
          <w:sz w:val="20"/>
          <w:szCs w:val="20"/>
          <w:color w:val="1F1F1F"/>
        </w:rPr>
        <w:t>Landlord will not provide off-street parking for Tenant’s Construction Agents’ vehicles. Loading zones are for loading and unloading purposes only, and no parking in loading zones is permitted. Vehicles parked illegally will be subject to towing at the expense of Tenant or the vehicle owner.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09338.008 2684830v10</w:t>
      </w: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177" w:name="page178"/>
    <w:bookmarkEnd w:id="177"/>
    <w:p>
      <w:pPr>
        <w:ind w:right="140" w:firstLine="885"/>
        <w:spacing w:after="0" w:line="260" w:lineRule="auto"/>
        <w:tabs>
          <w:tab w:leader="none" w:pos="1674" w:val="left"/>
        </w:tabs>
        <w:numPr>
          <w:ilvl w:val="0"/>
          <w:numId w:val="76"/>
        </w:numPr>
        <w:rPr>
          <w:rFonts w:ascii="Arial" w:cs="Arial" w:eastAsia="Arial" w:hAnsi="Arial"/>
          <w:sz w:val="20"/>
          <w:szCs w:val="20"/>
          <w:color w:val="1F1F1F"/>
        </w:rPr>
      </w:pPr>
      <w:r>
        <w:rPr>
          <w:rFonts w:ascii="Arial" w:cs="Arial" w:eastAsia="Arial" w:hAnsi="Arial"/>
          <w:sz w:val="20"/>
          <w:szCs w:val="20"/>
          <w:color w:val="1F1F1F"/>
        </w:rPr>
        <w:t>Tenant and Tenant’s Contractor shall be responsible for ensuring that all doors, gates and windows are closed and locked at all times when not in immediate use.</w:t>
      </w:r>
    </w:p>
    <w:p>
      <w:pPr>
        <w:spacing w:after="0" w:line="149" w:lineRule="exact"/>
        <w:rPr>
          <w:rFonts w:ascii="Arial" w:cs="Arial" w:eastAsia="Arial" w:hAnsi="Arial"/>
          <w:sz w:val="20"/>
          <w:szCs w:val="20"/>
          <w:color w:val="1F1F1F"/>
        </w:rPr>
      </w:pPr>
    </w:p>
    <w:p>
      <w:pPr>
        <w:jc w:val="both"/>
        <w:ind w:right="80" w:firstLine="885"/>
        <w:spacing w:after="0" w:line="250" w:lineRule="auto"/>
        <w:tabs>
          <w:tab w:leader="none" w:pos="1674" w:val="left"/>
        </w:tabs>
        <w:numPr>
          <w:ilvl w:val="0"/>
          <w:numId w:val="76"/>
        </w:numPr>
        <w:rPr>
          <w:rFonts w:ascii="Arial" w:cs="Arial" w:eastAsia="Arial" w:hAnsi="Arial"/>
          <w:sz w:val="20"/>
          <w:szCs w:val="20"/>
          <w:color w:val="1F1F1F"/>
        </w:rPr>
      </w:pPr>
      <w:r>
        <w:rPr>
          <w:rFonts w:ascii="Arial" w:cs="Arial" w:eastAsia="Arial" w:hAnsi="Arial"/>
          <w:sz w:val="20"/>
          <w:szCs w:val="20"/>
          <w:color w:val="1F1F1F"/>
        </w:rPr>
        <w:t>Tenant’s Construction Agents are not permitted to transport tools or materials in wheelbarrows or wheeled vehicles in the interior common or public areas of the Building at any time, or in the exterior common or public areas of the Building during normal business hours.</w:t>
      </w:r>
    </w:p>
    <w:p>
      <w:pPr>
        <w:spacing w:after="0" w:line="172" w:lineRule="exact"/>
        <w:rPr>
          <w:rFonts w:ascii="Arial" w:cs="Arial" w:eastAsia="Arial" w:hAnsi="Arial"/>
          <w:sz w:val="20"/>
          <w:szCs w:val="20"/>
          <w:color w:val="1F1F1F"/>
        </w:rPr>
      </w:pPr>
    </w:p>
    <w:p>
      <w:pPr>
        <w:ind w:right="40" w:firstLine="885"/>
        <w:spacing w:after="0" w:line="282" w:lineRule="auto"/>
        <w:tabs>
          <w:tab w:leader="none" w:pos="1674" w:val="left"/>
        </w:tabs>
        <w:numPr>
          <w:ilvl w:val="0"/>
          <w:numId w:val="76"/>
        </w:numPr>
        <w:rPr>
          <w:rFonts w:ascii="Arial" w:cs="Arial" w:eastAsia="Arial" w:hAnsi="Arial"/>
          <w:sz w:val="18"/>
          <w:szCs w:val="18"/>
          <w:color w:val="1F1F1F"/>
        </w:rPr>
      </w:pPr>
      <w:r>
        <w:rPr>
          <w:rFonts w:ascii="Arial" w:cs="Arial" w:eastAsia="Arial" w:hAnsi="Arial"/>
          <w:sz w:val="18"/>
          <w:szCs w:val="18"/>
          <w:color w:val="1F1F1F"/>
        </w:rPr>
        <w:t>All construction shall be performed so as to prevent dust from filtering through to other parts of the Building. All painting shall be shielded and other parts of the Building shall be protected from all fumes and spray. All temporary partitions and dust-proof barriers shall be furnished and installed by Tenant and shall remain intact at all times. Should any panel be removed, torn or otherwise displaced or damaged, it will be reattached or repaired and Tenant will be back charged at a reasonable labor and material charge.</w:t>
      </w:r>
    </w:p>
    <w:p>
      <w:pPr>
        <w:spacing w:after="0" w:line="148" w:lineRule="exact"/>
        <w:rPr>
          <w:rFonts w:ascii="Arial" w:cs="Arial" w:eastAsia="Arial" w:hAnsi="Arial"/>
          <w:sz w:val="18"/>
          <w:szCs w:val="18"/>
          <w:color w:val="1F1F1F"/>
        </w:rPr>
      </w:pPr>
    </w:p>
    <w:p>
      <w:pPr>
        <w:ind w:right="80" w:firstLine="885"/>
        <w:spacing w:after="0" w:line="244" w:lineRule="auto"/>
        <w:tabs>
          <w:tab w:leader="none" w:pos="1773" w:val="left"/>
        </w:tabs>
        <w:numPr>
          <w:ilvl w:val="0"/>
          <w:numId w:val="76"/>
        </w:numPr>
        <w:rPr>
          <w:rFonts w:ascii="Arial" w:cs="Arial" w:eastAsia="Arial" w:hAnsi="Arial"/>
          <w:sz w:val="20"/>
          <w:szCs w:val="20"/>
          <w:color w:val="1F1F1F"/>
        </w:rPr>
      </w:pPr>
      <w:r>
        <w:rPr>
          <w:rFonts w:ascii="Arial" w:cs="Arial" w:eastAsia="Arial" w:hAnsi="Arial"/>
          <w:sz w:val="20"/>
          <w:szCs w:val="20"/>
          <w:color w:val="1F1F1F"/>
        </w:rPr>
        <w:t>Hazardous and/or inflammable materials brought onto the Premises or into the Building in connection with Tenant’s construction shall be used and stored in containers which conform to all applicable laws and regulations, and shall be used in a manner which prevents their accidental release. Toxic substances, including empty containers and hazardous wastes, shall not be discarded in the Premises or the Building, but shall be removed immediately and disposed of in a proper, lawful manner. Tenant’s Contractor shall comply with all federal and state O.S.H.A. Safety Regulations.</w:t>
      </w:r>
    </w:p>
    <w:p>
      <w:pPr>
        <w:spacing w:after="0" w:line="167" w:lineRule="exact"/>
        <w:rPr>
          <w:rFonts w:ascii="Arial" w:cs="Arial" w:eastAsia="Arial" w:hAnsi="Arial"/>
          <w:sz w:val="20"/>
          <w:szCs w:val="20"/>
          <w:color w:val="1F1F1F"/>
        </w:rPr>
      </w:pPr>
    </w:p>
    <w:p>
      <w:pPr>
        <w:ind w:firstLine="885"/>
        <w:spacing w:after="0" w:line="257" w:lineRule="auto"/>
        <w:tabs>
          <w:tab w:leader="none" w:pos="1766" w:val="left"/>
        </w:tabs>
        <w:numPr>
          <w:ilvl w:val="0"/>
          <w:numId w:val="76"/>
        </w:numPr>
        <w:rPr>
          <w:rFonts w:ascii="Arial" w:cs="Arial" w:eastAsia="Arial" w:hAnsi="Arial"/>
          <w:sz w:val="19"/>
          <w:szCs w:val="19"/>
          <w:color w:val="1F1F1F"/>
        </w:rPr>
      </w:pPr>
      <w:r>
        <w:rPr>
          <w:rFonts w:ascii="Arial" w:cs="Arial" w:eastAsia="Arial" w:hAnsi="Arial"/>
          <w:sz w:val="19"/>
          <w:szCs w:val="19"/>
          <w:color w:val="1F1F1F"/>
        </w:rPr>
        <w:t>Tenant and Tenant’s Contractor shall maintain the Premises and related Building facilities, surfaces and glass in a clean, orderly condition during the progress of construction, and shall clean up debris and remove trash daily, to the satisfaction of Landlord. Tenant shall make arrangements to remove dirt and debris from work after the end of each workday. No trash or storage containers will be allowed in the common or public areas of the Building. Tenant or Tenant’s Contractor shall arrange for trash removal service by a debris or scavenger service approved by Landlord and the location of any debris box shall be approved by Landlord. Tenant and Tenant’s Construction Agents shall not use the Building’s trash compactor. Any dirt, debris, construction materials or equipment remaining in the common or public areas of the Building, or in service corridors or adjoining unoccupied spaces, after commencement of normal business hours, may be removed by Landlord at Tenant’s expense.</w:t>
      </w:r>
    </w:p>
    <w:p>
      <w:pPr>
        <w:spacing w:after="0" w:line="167" w:lineRule="exact"/>
        <w:rPr>
          <w:rFonts w:ascii="Arial" w:cs="Arial" w:eastAsia="Arial" w:hAnsi="Arial"/>
          <w:sz w:val="19"/>
          <w:szCs w:val="19"/>
          <w:color w:val="1F1F1F"/>
        </w:rPr>
      </w:pPr>
    </w:p>
    <w:p>
      <w:pPr>
        <w:jc w:val="both"/>
        <w:ind w:right="340" w:firstLine="885"/>
        <w:spacing w:after="0" w:line="250" w:lineRule="auto"/>
        <w:tabs>
          <w:tab w:leader="none" w:pos="1773" w:val="left"/>
        </w:tabs>
        <w:numPr>
          <w:ilvl w:val="0"/>
          <w:numId w:val="76"/>
        </w:numPr>
        <w:rPr>
          <w:rFonts w:ascii="Arial" w:cs="Arial" w:eastAsia="Arial" w:hAnsi="Arial"/>
          <w:sz w:val="20"/>
          <w:szCs w:val="20"/>
          <w:color w:val="1F1F1F"/>
        </w:rPr>
      </w:pPr>
      <w:r>
        <w:rPr>
          <w:rFonts w:ascii="Arial" w:cs="Arial" w:eastAsia="Arial" w:hAnsi="Arial"/>
          <w:sz w:val="20"/>
          <w:szCs w:val="20"/>
          <w:color w:val="1F1F1F"/>
        </w:rPr>
        <w:t>All temporary electrical connections must be approved in advance by Landlord’s representatives prior to installation. Tenant and Tenant’s Construction Agents shall use their respective best efforts to use the minimal amount of water necessary for work and cleanup of the Premises.</w:t>
      </w:r>
    </w:p>
    <w:p>
      <w:pPr>
        <w:spacing w:after="0" w:line="172" w:lineRule="exact"/>
        <w:rPr>
          <w:rFonts w:ascii="Arial" w:cs="Arial" w:eastAsia="Arial" w:hAnsi="Arial"/>
          <w:sz w:val="20"/>
          <w:szCs w:val="20"/>
          <w:color w:val="1F1F1F"/>
        </w:rPr>
      </w:pPr>
    </w:p>
    <w:p>
      <w:pPr>
        <w:ind w:firstLine="885"/>
        <w:spacing w:after="0" w:line="260" w:lineRule="auto"/>
        <w:tabs>
          <w:tab w:leader="none" w:pos="1773" w:val="left"/>
        </w:tabs>
        <w:numPr>
          <w:ilvl w:val="0"/>
          <w:numId w:val="76"/>
        </w:numPr>
        <w:rPr>
          <w:rFonts w:ascii="Arial" w:cs="Arial" w:eastAsia="Arial" w:hAnsi="Arial"/>
          <w:sz w:val="20"/>
          <w:szCs w:val="20"/>
          <w:color w:val="1F1F1F"/>
        </w:rPr>
      </w:pPr>
      <w:r>
        <w:rPr>
          <w:rFonts w:ascii="Arial" w:cs="Arial" w:eastAsia="Arial" w:hAnsi="Arial"/>
          <w:sz w:val="20"/>
          <w:szCs w:val="20"/>
          <w:color w:val="1F1F1F"/>
        </w:rPr>
        <w:t>Construction workers are not permitted to eat in the common or public areas of the Building. Smoking is prohibited in all areas of the Building at all times.</w:t>
      </w:r>
    </w:p>
    <w:p>
      <w:pPr>
        <w:spacing w:after="0" w:line="149" w:lineRule="exact"/>
        <w:rPr>
          <w:rFonts w:ascii="Arial" w:cs="Arial" w:eastAsia="Arial" w:hAnsi="Arial"/>
          <w:sz w:val="20"/>
          <w:szCs w:val="20"/>
          <w:color w:val="1F1F1F"/>
        </w:rPr>
      </w:pPr>
    </w:p>
    <w:p>
      <w:pPr>
        <w:jc w:val="both"/>
        <w:ind w:right="60" w:firstLine="885"/>
        <w:spacing w:after="0" w:line="291" w:lineRule="auto"/>
        <w:tabs>
          <w:tab w:leader="none" w:pos="1773" w:val="left"/>
        </w:tabs>
        <w:numPr>
          <w:ilvl w:val="0"/>
          <w:numId w:val="76"/>
        </w:numPr>
        <w:rPr>
          <w:rFonts w:ascii="Arial" w:cs="Arial" w:eastAsia="Arial" w:hAnsi="Arial"/>
          <w:sz w:val="18"/>
          <w:szCs w:val="18"/>
          <w:color w:val="1F1F1F"/>
        </w:rPr>
      </w:pPr>
      <w:r>
        <w:rPr>
          <w:rFonts w:ascii="Arial" w:cs="Arial" w:eastAsia="Arial" w:hAnsi="Arial"/>
          <w:sz w:val="18"/>
          <w:szCs w:val="18"/>
          <w:color w:val="1F1F1F"/>
        </w:rPr>
        <w:t>Tenant shall not attach or cause to be attached to any wall or structural member of the Building any equipment that may, by virtue of its size or weight, cause structural damage. Tenant shall not exceed the load as set forth in the plans and specifications for the floor of the Building and shall not do anything that might in any way alter or affect the structural strength of the Building.</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09338.008 2684830v10</w:t>
      </w: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6" w:right="279" w:bottom="1440" w:gutter="0" w:footer="0" w:header="0"/>
        </w:sectPr>
      </w:pPr>
    </w:p>
    <w:bookmarkStart w:id="178" w:name="page179"/>
    <w:bookmarkEnd w:id="178"/>
    <w:p>
      <w:pPr>
        <w:jc w:val="both"/>
        <w:ind w:right="180" w:firstLine="885"/>
        <w:spacing w:after="0" w:line="246" w:lineRule="auto"/>
        <w:tabs>
          <w:tab w:leader="none" w:pos="1773" w:val="left"/>
        </w:tabs>
        <w:numPr>
          <w:ilvl w:val="0"/>
          <w:numId w:val="77"/>
        </w:numPr>
        <w:rPr>
          <w:rFonts w:ascii="Arial" w:cs="Arial" w:eastAsia="Arial" w:hAnsi="Arial"/>
          <w:sz w:val="20"/>
          <w:szCs w:val="20"/>
          <w:color w:val="1F1F1F"/>
        </w:rPr>
      </w:pPr>
      <w:r>
        <w:rPr>
          <w:rFonts w:ascii="Arial" w:cs="Arial" w:eastAsia="Arial" w:hAnsi="Arial"/>
          <w:sz w:val="20"/>
          <w:szCs w:val="20"/>
          <w:color w:val="1F1F1F"/>
        </w:rPr>
        <w:t>If appropriate, as determined by Landlord or as required by any applicable Laws, a smoke and/or heat detector shall be installed in Tenant’s space, at Tenant’s expense, during the time any construction work is being performed in the Premises. The smoke and/or heat detector shall be connected by Landlord’s specified contractor, at Tenant’s expense, to the central system, if such control system is available.</w:t>
      </w:r>
    </w:p>
    <w:p>
      <w:pPr>
        <w:spacing w:after="0" w:line="164" w:lineRule="exact"/>
        <w:rPr>
          <w:rFonts w:ascii="Arial" w:cs="Arial" w:eastAsia="Arial" w:hAnsi="Arial"/>
          <w:sz w:val="20"/>
          <w:szCs w:val="20"/>
          <w:color w:val="1F1F1F"/>
        </w:rPr>
      </w:pPr>
    </w:p>
    <w:p>
      <w:pPr>
        <w:ind w:firstLine="885"/>
        <w:spacing w:after="0" w:line="246" w:lineRule="auto"/>
        <w:tabs>
          <w:tab w:leader="none" w:pos="1773" w:val="left"/>
        </w:tabs>
        <w:numPr>
          <w:ilvl w:val="0"/>
          <w:numId w:val="77"/>
        </w:numPr>
        <w:rPr>
          <w:rFonts w:ascii="Arial" w:cs="Arial" w:eastAsia="Arial" w:hAnsi="Arial"/>
          <w:sz w:val="20"/>
          <w:szCs w:val="20"/>
          <w:color w:val="1F1F1F"/>
        </w:rPr>
      </w:pPr>
      <w:r>
        <w:rPr>
          <w:rFonts w:ascii="Arial" w:cs="Arial" w:eastAsia="Arial" w:hAnsi="Arial"/>
          <w:sz w:val="20"/>
          <w:szCs w:val="20"/>
          <w:color w:val="1F1F1F"/>
        </w:rPr>
        <w:t>Except to the extent provided in the Lease or the Work Letter to the contrary, expenses incurred by Landlord in respect of the work performed by or on behalf of Tenant shall be paid by Tenant immediately upon receipt of an invoice from Landlord and shall be delinquent if not paid within thirty (30) days. Late charges, interest and collection expenses on delinquent payments shall be charged to Tenant in the manner set forth in the Lease for delinquent payment of 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09338.008 2684830v10</w:t>
      </w: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5" w:right="25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700" w:type="dxa"/>
            <w:vAlign w:val="bottom"/>
            <w:gridSpan w:val="3"/>
          </w:tcPr>
          <w:p>
            <w:pPr>
              <w:jc w:val="right"/>
              <w:ind w:right="4601"/>
              <w:spacing w:after="0"/>
              <w:rPr>
                <w:sz w:val="20"/>
                <w:szCs w:val="20"/>
                <w:color w:val="auto"/>
              </w:rPr>
            </w:pPr>
            <w:r>
              <w:rPr>
                <w:rFonts w:ascii="Arial" w:cs="Arial" w:eastAsia="Arial" w:hAnsi="Arial"/>
                <w:sz w:val="20"/>
                <w:szCs w:val="20"/>
                <w:color w:val="333333"/>
                <w:w w:val="93"/>
              </w:rPr>
              <w:t>TABLE OF CONTENTS</w:t>
            </w:r>
          </w:p>
        </w:tc>
      </w:tr>
      <w:tr>
        <w:trPr>
          <w:trHeight w:val="642"/>
        </w:trPr>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0" w:type="dxa"/>
            <w:vAlign w:val="bottom"/>
            <w:tcBorders>
              <w:top w:val="single" w:sz="8" w:color="333333"/>
            </w:tcBorders>
          </w:tcPr>
          <w:p>
            <w:pPr>
              <w:spacing w:after="0"/>
              <w:rPr>
                <w:sz w:val="24"/>
                <w:szCs w:val="24"/>
                <w:color w:val="auto"/>
              </w:rPr>
            </w:pPr>
          </w:p>
        </w:tc>
        <w:tc>
          <w:tcPr>
            <w:tcW w:w="4700" w:type="dxa"/>
            <w:vAlign w:val="bottom"/>
            <w:gridSpan w:val="2"/>
          </w:tcPr>
          <w:p>
            <w:pPr>
              <w:jc w:val="right"/>
              <w:spacing w:after="0"/>
              <w:rPr>
                <w:sz w:val="20"/>
                <w:szCs w:val="20"/>
                <w:color w:val="auto"/>
              </w:rPr>
            </w:pPr>
            <w:r>
              <w:rPr>
                <w:rFonts w:ascii="Arial" w:cs="Arial" w:eastAsia="Arial" w:hAnsi="Arial"/>
                <w:sz w:val="20"/>
                <w:szCs w:val="20"/>
                <w:color w:val="1F1F1F"/>
              </w:rPr>
              <w:t>Page</w:t>
            </w:r>
          </w:p>
        </w:tc>
      </w:tr>
      <w:tr>
        <w:trPr>
          <w:trHeight w:val="457"/>
        </w:trPr>
        <w:tc>
          <w:tcPr>
            <w:tcW w:w="4720" w:type="dxa"/>
            <w:vAlign w:val="bottom"/>
            <w:gridSpan w:val="2"/>
          </w:tcPr>
          <w:p>
            <w:pPr>
              <w:spacing w:after="0"/>
              <w:rPr>
                <w:sz w:val="20"/>
                <w:szCs w:val="20"/>
                <w:color w:val="auto"/>
              </w:rPr>
            </w:pPr>
            <w:r>
              <w:rPr>
                <w:rFonts w:ascii="Arial" w:cs="Arial" w:eastAsia="Arial" w:hAnsi="Arial"/>
                <w:sz w:val="20"/>
                <w:szCs w:val="20"/>
                <w:color w:val="1F1F1F"/>
              </w:rPr>
              <w:t>BASIC LEASE INFORMATION</w:t>
            </w:r>
          </w:p>
        </w:tc>
        <w:tc>
          <w:tcPr>
            <w:tcW w:w="6320" w:type="dxa"/>
            <w:vAlign w:val="bottom"/>
            <w:gridSpan w:val="2"/>
          </w:tcPr>
          <w:p>
            <w:pPr>
              <w:spacing w:after="0"/>
              <w:rPr>
                <w:sz w:val="24"/>
                <w:szCs w:val="24"/>
                <w:color w:val="auto"/>
              </w:rPr>
            </w:pPr>
          </w:p>
        </w:tc>
        <w:tc>
          <w:tcPr>
            <w:tcW w:w="380" w:type="dxa"/>
            <w:vAlign w:val="bottom"/>
            <w:tcBorders>
              <w:top w:val="single" w:sz="8" w:color="1F1F1F"/>
            </w:tcBorders>
          </w:tcPr>
          <w:p>
            <w:pPr>
              <w:jc w:val="right"/>
              <w:spacing w:after="0"/>
              <w:rPr>
                <w:sz w:val="20"/>
                <w:szCs w:val="20"/>
                <w:color w:val="auto"/>
              </w:rPr>
            </w:pPr>
            <w:r>
              <w:rPr>
                <w:rFonts w:ascii="Arial" w:cs="Arial" w:eastAsia="Arial" w:hAnsi="Arial"/>
                <w:sz w:val="20"/>
                <w:szCs w:val="20"/>
                <w:color w:val="auto"/>
              </w:rPr>
              <w:t>1</w:t>
            </w:r>
          </w:p>
        </w:tc>
      </w:tr>
      <w:tr>
        <w:trPr>
          <w:trHeight w:val="432"/>
        </w:trPr>
        <w:tc>
          <w:tcPr>
            <w:tcW w:w="4720" w:type="dxa"/>
            <w:vAlign w:val="bottom"/>
            <w:gridSpan w:val="2"/>
          </w:tcPr>
          <w:p>
            <w:pPr>
              <w:spacing w:after="0"/>
              <w:rPr>
                <w:sz w:val="20"/>
                <w:szCs w:val="20"/>
                <w:color w:val="auto"/>
              </w:rPr>
            </w:pPr>
            <w:r>
              <w:rPr>
                <w:rFonts w:ascii="Arial" w:cs="Arial" w:eastAsia="Arial" w:hAnsi="Arial"/>
                <w:sz w:val="20"/>
                <w:szCs w:val="20"/>
                <w:color w:val="1F1F1F"/>
              </w:rPr>
              <w:t>ARTICLE 1 PREMISES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1.1</w:t>
            </w:r>
          </w:p>
        </w:tc>
        <w:tc>
          <w:tcPr>
            <w:tcW w:w="3700" w:type="dxa"/>
            <w:vAlign w:val="bottom"/>
          </w:tcPr>
          <w:p>
            <w:pPr>
              <w:ind w:left="320"/>
              <w:spacing w:after="0"/>
              <w:rPr>
                <w:sz w:val="20"/>
                <w:szCs w:val="20"/>
                <w:color w:val="auto"/>
              </w:rPr>
            </w:pPr>
            <w:r>
              <w:rPr>
                <w:rFonts w:ascii="Arial" w:cs="Arial" w:eastAsia="Arial" w:hAnsi="Arial"/>
                <w:sz w:val="20"/>
                <w:szCs w:val="20"/>
                <w:color w:val="1F1F1F"/>
              </w:rPr>
              <w:t>Premises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1.2</w:t>
            </w:r>
          </w:p>
        </w:tc>
        <w:tc>
          <w:tcPr>
            <w:tcW w:w="3700" w:type="dxa"/>
            <w:vAlign w:val="bottom"/>
          </w:tcPr>
          <w:p>
            <w:pPr>
              <w:ind w:left="320"/>
              <w:spacing w:after="0"/>
              <w:rPr>
                <w:sz w:val="20"/>
                <w:szCs w:val="20"/>
                <w:color w:val="auto"/>
              </w:rPr>
            </w:pPr>
            <w:r>
              <w:rPr>
                <w:rFonts w:ascii="Arial" w:cs="Arial" w:eastAsia="Arial" w:hAnsi="Arial"/>
                <w:sz w:val="20"/>
                <w:szCs w:val="20"/>
                <w:color w:val="1F1F1F"/>
              </w:rPr>
              <w:t>Rentable Square Footage</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1.3</w:t>
            </w:r>
          </w:p>
        </w:tc>
        <w:tc>
          <w:tcPr>
            <w:tcW w:w="3700" w:type="dxa"/>
            <w:vAlign w:val="bottom"/>
          </w:tcPr>
          <w:p>
            <w:pPr>
              <w:ind w:left="320"/>
              <w:spacing w:after="0"/>
              <w:rPr>
                <w:sz w:val="20"/>
                <w:szCs w:val="20"/>
                <w:color w:val="auto"/>
              </w:rPr>
            </w:pPr>
            <w:r>
              <w:rPr>
                <w:rFonts w:ascii="Arial" w:cs="Arial" w:eastAsia="Arial" w:hAnsi="Arial"/>
                <w:sz w:val="20"/>
                <w:szCs w:val="20"/>
                <w:color w:val="1F1F1F"/>
              </w:rPr>
              <w:t>Common Areas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4720" w:type="dxa"/>
            <w:vAlign w:val="bottom"/>
            <w:gridSpan w:val="2"/>
          </w:tcPr>
          <w:p>
            <w:pPr>
              <w:spacing w:after="0"/>
              <w:rPr>
                <w:sz w:val="20"/>
                <w:szCs w:val="20"/>
                <w:color w:val="auto"/>
              </w:rPr>
            </w:pPr>
            <w:r>
              <w:rPr>
                <w:rFonts w:ascii="Arial" w:cs="Arial" w:eastAsia="Arial" w:hAnsi="Arial"/>
                <w:sz w:val="20"/>
                <w:szCs w:val="20"/>
                <w:color w:val="333333"/>
              </w:rPr>
              <w:t>ARTICLE 2 TERM</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333333"/>
              </w:rPr>
              <w:t>2.1</w:t>
            </w:r>
          </w:p>
        </w:tc>
        <w:tc>
          <w:tcPr>
            <w:tcW w:w="3700" w:type="dxa"/>
            <w:vAlign w:val="bottom"/>
          </w:tcPr>
          <w:p>
            <w:pPr>
              <w:ind w:left="320"/>
              <w:spacing w:after="0"/>
              <w:rPr>
                <w:sz w:val="20"/>
                <w:szCs w:val="20"/>
                <w:color w:val="auto"/>
              </w:rPr>
            </w:pPr>
            <w:r>
              <w:rPr>
                <w:rFonts w:ascii="Arial" w:cs="Arial" w:eastAsia="Arial" w:hAnsi="Arial"/>
                <w:sz w:val="20"/>
                <w:szCs w:val="20"/>
                <w:color w:val="333333"/>
              </w:rPr>
              <w:t xml:space="preserve">Term </w:t>
            </w:r>
            <w:r>
              <w:rPr>
                <w:rFonts w:ascii="Arial" w:cs="Arial" w:eastAsia="Arial" w:hAnsi="Arial"/>
                <w:sz w:val="20"/>
                <w:szCs w:val="20"/>
                <w:color w:val="1F1F1F"/>
              </w:rPr>
              <w:t>Commencement Date</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2.2</w:t>
            </w:r>
          </w:p>
        </w:tc>
        <w:tc>
          <w:tcPr>
            <w:tcW w:w="3700" w:type="dxa"/>
            <w:vAlign w:val="bottom"/>
          </w:tcPr>
          <w:p>
            <w:pPr>
              <w:ind w:left="320"/>
              <w:spacing w:after="0"/>
              <w:rPr>
                <w:sz w:val="20"/>
                <w:szCs w:val="20"/>
                <w:color w:val="auto"/>
              </w:rPr>
            </w:pPr>
            <w:r>
              <w:rPr>
                <w:rFonts w:ascii="Arial" w:cs="Arial" w:eastAsia="Arial" w:hAnsi="Arial"/>
                <w:sz w:val="20"/>
                <w:szCs w:val="20"/>
                <w:color w:val="1F1F1F"/>
              </w:rPr>
              <w:t>Delivery and Acceptance of Premises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2.3</w:t>
            </w:r>
          </w:p>
        </w:tc>
        <w:tc>
          <w:tcPr>
            <w:tcW w:w="3700" w:type="dxa"/>
            <w:vAlign w:val="bottom"/>
          </w:tcPr>
          <w:p>
            <w:pPr>
              <w:ind w:left="320"/>
              <w:spacing w:after="0"/>
              <w:rPr>
                <w:sz w:val="20"/>
                <w:szCs w:val="20"/>
                <w:color w:val="auto"/>
              </w:rPr>
            </w:pPr>
            <w:r>
              <w:rPr>
                <w:rFonts w:ascii="Arial" w:cs="Arial" w:eastAsia="Arial" w:hAnsi="Arial"/>
                <w:sz w:val="20"/>
                <w:szCs w:val="20"/>
                <w:color w:val="1F1F1F"/>
              </w:rPr>
              <w:t>Option Term</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4</w:t>
            </w:r>
          </w:p>
        </w:tc>
      </w:tr>
      <w:tr>
        <w:trPr>
          <w:trHeight w:val="432"/>
        </w:trPr>
        <w:tc>
          <w:tcPr>
            <w:tcW w:w="4720" w:type="dxa"/>
            <w:vAlign w:val="bottom"/>
            <w:gridSpan w:val="2"/>
          </w:tcPr>
          <w:p>
            <w:pPr>
              <w:spacing w:after="0"/>
              <w:rPr>
                <w:sz w:val="20"/>
                <w:szCs w:val="20"/>
                <w:color w:val="auto"/>
              </w:rPr>
            </w:pPr>
            <w:r>
              <w:rPr>
                <w:rFonts w:ascii="Arial" w:cs="Arial" w:eastAsia="Arial" w:hAnsi="Arial"/>
                <w:sz w:val="20"/>
                <w:szCs w:val="20"/>
                <w:color w:val="333333"/>
              </w:rPr>
              <w:t>ARTICLE 3 RENT</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5</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3.1</w:t>
            </w:r>
          </w:p>
        </w:tc>
        <w:tc>
          <w:tcPr>
            <w:tcW w:w="3700" w:type="dxa"/>
            <w:vAlign w:val="bottom"/>
          </w:tcPr>
          <w:p>
            <w:pPr>
              <w:ind w:left="320"/>
              <w:spacing w:after="0"/>
              <w:rPr>
                <w:sz w:val="20"/>
                <w:szCs w:val="20"/>
                <w:color w:val="auto"/>
              </w:rPr>
            </w:pPr>
            <w:r>
              <w:rPr>
                <w:rFonts w:ascii="Arial" w:cs="Arial" w:eastAsia="Arial" w:hAnsi="Arial"/>
                <w:sz w:val="20"/>
                <w:szCs w:val="20"/>
                <w:color w:val="1F1F1F"/>
              </w:rPr>
              <w:t>Basic Monthly Rent</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5</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333333"/>
              </w:rPr>
              <w:t>3.2</w:t>
            </w:r>
          </w:p>
        </w:tc>
        <w:tc>
          <w:tcPr>
            <w:tcW w:w="3700" w:type="dxa"/>
            <w:vAlign w:val="bottom"/>
          </w:tcPr>
          <w:p>
            <w:pPr>
              <w:ind w:left="320"/>
              <w:spacing w:after="0"/>
              <w:rPr>
                <w:sz w:val="20"/>
                <w:szCs w:val="20"/>
                <w:color w:val="auto"/>
              </w:rPr>
            </w:pPr>
            <w:r>
              <w:rPr>
                <w:rFonts w:ascii="Arial" w:cs="Arial" w:eastAsia="Arial" w:hAnsi="Arial"/>
                <w:sz w:val="20"/>
                <w:szCs w:val="20"/>
                <w:color w:val="1F1F1F"/>
              </w:rPr>
              <w:t xml:space="preserve">Interest </w:t>
            </w:r>
            <w:r>
              <w:rPr>
                <w:rFonts w:ascii="Arial" w:cs="Arial" w:eastAsia="Arial" w:hAnsi="Arial"/>
                <w:sz w:val="20"/>
                <w:szCs w:val="20"/>
                <w:color w:val="333333"/>
              </w:rPr>
              <w:t>on</w:t>
            </w:r>
            <w:r>
              <w:rPr>
                <w:rFonts w:ascii="Arial" w:cs="Arial" w:eastAsia="Arial" w:hAnsi="Arial"/>
                <w:sz w:val="20"/>
                <w:szCs w:val="20"/>
                <w:color w:val="1F1F1F"/>
              </w:rPr>
              <w:t xml:space="preserve"> Past Due Amounts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5</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3.3</w:t>
            </w:r>
          </w:p>
        </w:tc>
        <w:tc>
          <w:tcPr>
            <w:tcW w:w="3700" w:type="dxa"/>
            <w:vAlign w:val="bottom"/>
          </w:tcPr>
          <w:p>
            <w:pPr>
              <w:ind w:left="320"/>
              <w:spacing w:after="0"/>
              <w:rPr>
                <w:sz w:val="20"/>
                <w:szCs w:val="20"/>
                <w:color w:val="auto"/>
              </w:rPr>
            </w:pPr>
            <w:r>
              <w:rPr>
                <w:rFonts w:ascii="Arial" w:cs="Arial" w:eastAsia="Arial" w:hAnsi="Arial"/>
                <w:sz w:val="20"/>
                <w:szCs w:val="20"/>
                <w:color w:val="1F1F1F"/>
              </w:rPr>
              <w:t xml:space="preserve">Late </w:t>
            </w:r>
            <w:r>
              <w:rPr>
                <w:rFonts w:ascii="Arial" w:cs="Arial" w:eastAsia="Arial" w:hAnsi="Arial"/>
                <w:sz w:val="20"/>
                <w:szCs w:val="20"/>
                <w:color w:val="333333"/>
              </w:rPr>
              <w:t>Fee</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5</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3.4</w:t>
            </w:r>
          </w:p>
        </w:tc>
        <w:tc>
          <w:tcPr>
            <w:tcW w:w="3700" w:type="dxa"/>
            <w:vAlign w:val="bottom"/>
          </w:tcPr>
          <w:p>
            <w:pPr>
              <w:ind w:left="320"/>
              <w:spacing w:after="0"/>
              <w:rPr>
                <w:sz w:val="20"/>
                <w:szCs w:val="20"/>
                <w:color w:val="auto"/>
              </w:rPr>
            </w:pPr>
            <w:r>
              <w:rPr>
                <w:rFonts w:ascii="Arial" w:cs="Arial" w:eastAsia="Arial" w:hAnsi="Arial"/>
                <w:sz w:val="20"/>
                <w:szCs w:val="20"/>
                <w:color w:val="1F1F1F"/>
              </w:rPr>
              <w:t>Rent</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6</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3.5</w:t>
            </w:r>
          </w:p>
        </w:tc>
        <w:tc>
          <w:tcPr>
            <w:tcW w:w="3700" w:type="dxa"/>
            <w:vAlign w:val="bottom"/>
          </w:tcPr>
          <w:p>
            <w:pPr>
              <w:ind w:left="320"/>
              <w:spacing w:after="0"/>
              <w:rPr>
                <w:sz w:val="20"/>
                <w:szCs w:val="20"/>
                <w:color w:val="auto"/>
              </w:rPr>
            </w:pPr>
            <w:r>
              <w:rPr>
                <w:rFonts w:ascii="Arial" w:cs="Arial" w:eastAsia="Arial" w:hAnsi="Arial"/>
                <w:sz w:val="20"/>
                <w:szCs w:val="20"/>
                <w:color w:val="1F1F1F"/>
              </w:rPr>
              <w:t>Prepaid Rent</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6</w:t>
            </w:r>
          </w:p>
        </w:tc>
      </w:tr>
      <w:tr>
        <w:trPr>
          <w:trHeight w:val="432"/>
        </w:trPr>
        <w:tc>
          <w:tcPr>
            <w:tcW w:w="4720" w:type="dxa"/>
            <w:vAlign w:val="bottom"/>
            <w:gridSpan w:val="2"/>
          </w:tcPr>
          <w:p>
            <w:pPr>
              <w:spacing w:after="0"/>
              <w:rPr>
                <w:sz w:val="20"/>
                <w:szCs w:val="20"/>
                <w:color w:val="auto"/>
              </w:rPr>
            </w:pPr>
            <w:r>
              <w:rPr>
                <w:rFonts w:ascii="Arial" w:cs="Arial" w:eastAsia="Arial" w:hAnsi="Arial"/>
                <w:sz w:val="20"/>
                <w:szCs w:val="20"/>
                <w:color w:val="1F1F1F"/>
              </w:rPr>
              <w:t>ARTICLE 4 ADDITIONAL RENT</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6</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4.1</w:t>
            </w:r>
          </w:p>
        </w:tc>
        <w:tc>
          <w:tcPr>
            <w:tcW w:w="3700" w:type="dxa"/>
            <w:vAlign w:val="bottom"/>
          </w:tcPr>
          <w:p>
            <w:pPr>
              <w:ind w:left="320"/>
              <w:spacing w:after="0"/>
              <w:rPr>
                <w:sz w:val="20"/>
                <w:szCs w:val="20"/>
                <w:color w:val="auto"/>
              </w:rPr>
            </w:pPr>
            <w:r>
              <w:rPr>
                <w:rFonts w:ascii="Arial" w:cs="Arial" w:eastAsia="Arial" w:hAnsi="Arial"/>
                <w:sz w:val="20"/>
                <w:szCs w:val="20"/>
                <w:color w:val="1F1F1F"/>
              </w:rPr>
              <w:t>Increased Direct Expenses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6</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4.2</w:t>
            </w:r>
          </w:p>
        </w:tc>
        <w:tc>
          <w:tcPr>
            <w:tcW w:w="3700" w:type="dxa"/>
            <w:vAlign w:val="bottom"/>
          </w:tcPr>
          <w:p>
            <w:pPr>
              <w:ind w:left="320"/>
              <w:spacing w:after="0"/>
              <w:rPr>
                <w:sz w:val="20"/>
                <w:szCs w:val="20"/>
                <w:color w:val="auto"/>
              </w:rPr>
            </w:pPr>
            <w:r>
              <w:rPr>
                <w:rFonts w:ascii="Arial" w:cs="Arial" w:eastAsia="Arial" w:hAnsi="Arial"/>
                <w:sz w:val="20"/>
                <w:szCs w:val="20"/>
                <w:color w:val="1F1F1F"/>
              </w:rPr>
              <w:t>Definition of Direct Expenses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7</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4.3</w:t>
            </w:r>
          </w:p>
        </w:tc>
        <w:tc>
          <w:tcPr>
            <w:tcW w:w="3700" w:type="dxa"/>
            <w:vAlign w:val="bottom"/>
          </w:tcPr>
          <w:p>
            <w:pPr>
              <w:ind w:left="320"/>
              <w:spacing w:after="0"/>
              <w:rPr>
                <w:sz w:val="20"/>
                <w:szCs w:val="20"/>
                <w:color w:val="auto"/>
              </w:rPr>
            </w:pPr>
            <w:r>
              <w:rPr>
                <w:rFonts w:ascii="Arial" w:cs="Arial" w:eastAsia="Arial" w:hAnsi="Arial"/>
                <w:sz w:val="20"/>
                <w:szCs w:val="20"/>
                <w:color w:val="1F1F1F"/>
              </w:rPr>
              <w:t>Statements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8</w:t>
            </w:r>
          </w:p>
        </w:tc>
      </w:tr>
      <w:tr>
        <w:trPr>
          <w:trHeight w:val="432"/>
        </w:trPr>
        <w:tc>
          <w:tcPr>
            <w:tcW w:w="4720" w:type="dxa"/>
            <w:vAlign w:val="bottom"/>
            <w:gridSpan w:val="2"/>
          </w:tcPr>
          <w:p>
            <w:pPr>
              <w:spacing w:after="0"/>
              <w:rPr>
                <w:sz w:val="20"/>
                <w:szCs w:val="20"/>
                <w:color w:val="auto"/>
              </w:rPr>
            </w:pPr>
            <w:r>
              <w:rPr>
                <w:rFonts w:ascii="Arial" w:cs="Arial" w:eastAsia="Arial" w:hAnsi="Arial"/>
                <w:sz w:val="20"/>
                <w:szCs w:val="20"/>
                <w:color w:val="1F1F1F"/>
              </w:rPr>
              <w:t>ARTICLE 5 TAX ADJUSTMENT</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9</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5.1</w:t>
            </w:r>
          </w:p>
        </w:tc>
        <w:tc>
          <w:tcPr>
            <w:tcW w:w="3700" w:type="dxa"/>
            <w:vAlign w:val="bottom"/>
          </w:tcPr>
          <w:p>
            <w:pPr>
              <w:ind w:left="320"/>
              <w:spacing w:after="0"/>
              <w:rPr>
                <w:sz w:val="20"/>
                <w:szCs w:val="20"/>
                <w:color w:val="auto"/>
              </w:rPr>
            </w:pPr>
            <w:r>
              <w:rPr>
                <w:rFonts w:ascii="Arial" w:cs="Arial" w:eastAsia="Arial" w:hAnsi="Arial"/>
                <w:sz w:val="20"/>
                <w:szCs w:val="20"/>
                <w:color w:val="1F1F1F"/>
              </w:rPr>
              <w:t>Increased Taxes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9</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F1F1F"/>
              </w:rPr>
              <w:t>5.2</w:t>
            </w:r>
          </w:p>
        </w:tc>
        <w:tc>
          <w:tcPr>
            <w:tcW w:w="3700" w:type="dxa"/>
            <w:vAlign w:val="bottom"/>
          </w:tcPr>
          <w:p>
            <w:pPr>
              <w:ind w:left="320"/>
              <w:spacing w:after="0"/>
              <w:rPr>
                <w:sz w:val="20"/>
                <w:szCs w:val="20"/>
                <w:color w:val="auto"/>
              </w:rPr>
            </w:pPr>
            <w:r>
              <w:rPr>
                <w:rFonts w:ascii="Arial" w:cs="Arial" w:eastAsia="Arial" w:hAnsi="Arial"/>
                <w:sz w:val="20"/>
                <w:szCs w:val="20"/>
                <w:color w:val="1F1F1F"/>
              </w:rPr>
              <w:t>Definition of Taxes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10</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61616"/>
              </w:rPr>
              <w:t>5.3</w:t>
            </w:r>
          </w:p>
        </w:tc>
        <w:tc>
          <w:tcPr>
            <w:tcW w:w="3700" w:type="dxa"/>
            <w:vAlign w:val="bottom"/>
          </w:tcPr>
          <w:p>
            <w:pPr>
              <w:ind w:left="320"/>
              <w:spacing w:after="0"/>
              <w:rPr>
                <w:sz w:val="20"/>
                <w:szCs w:val="20"/>
                <w:color w:val="auto"/>
              </w:rPr>
            </w:pPr>
            <w:r>
              <w:rPr>
                <w:rFonts w:ascii="Arial" w:cs="Arial" w:eastAsia="Arial" w:hAnsi="Arial"/>
                <w:sz w:val="20"/>
                <w:szCs w:val="20"/>
                <w:color w:val="161616"/>
              </w:rPr>
              <w:t>Additional Taxes</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10</w:t>
            </w:r>
          </w:p>
        </w:tc>
      </w:tr>
      <w:tr>
        <w:trPr>
          <w:trHeight w:val="432"/>
        </w:trPr>
        <w:tc>
          <w:tcPr>
            <w:tcW w:w="4720" w:type="dxa"/>
            <w:vAlign w:val="bottom"/>
            <w:gridSpan w:val="2"/>
          </w:tcPr>
          <w:p>
            <w:pPr>
              <w:spacing w:after="0"/>
              <w:rPr>
                <w:sz w:val="20"/>
                <w:szCs w:val="20"/>
                <w:color w:val="auto"/>
              </w:rPr>
            </w:pPr>
            <w:r>
              <w:rPr>
                <w:rFonts w:ascii="Arial" w:cs="Arial" w:eastAsia="Arial" w:hAnsi="Arial"/>
                <w:sz w:val="20"/>
                <w:szCs w:val="20"/>
                <w:color w:val="161616"/>
              </w:rPr>
              <w:t>ARTICLE 6 USE</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11</w:t>
            </w:r>
          </w:p>
        </w:tc>
      </w:tr>
      <w:tr>
        <w:trPr>
          <w:trHeight w:val="432"/>
        </w:trPr>
        <w:tc>
          <w:tcPr>
            <w:tcW w:w="1020" w:type="dxa"/>
            <w:vAlign w:val="bottom"/>
          </w:tcPr>
          <w:p>
            <w:pPr>
              <w:jc w:val="right"/>
              <w:ind w:right="221"/>
              <w:spacing w:after="0"/>
              <w:rPr>
                <w:sz w:val="20"/>
                <w:szCs w:val="20"/>
                <w:color w:val="auto"/>
              </w:rPr>
            </w:pPr>
            <w:r>
              <w:rPr>
                <w:rFonts w:ascii="Arial" w:cs="Arial" w:eastAsia="Arial" w:hAnsi="Arial"/>
                <w:sz w:val="20"/>
                <w:szCs w:val="20"/>
                <w:color w:val="161616"/>
              </w:rPr>
              <w:t>6.1</w:t>
            </w:r>
          </w:p>
        </w:tc>
        <w:tc>
          <w:tcPr>
            <w:tcW w:w="3700" w:type="dxa"/>
            <w:vAlign w:val="bottom"/>
          </w:tcPr>
          <w:p>
            <w:pPr>
              <w:ind w:left="320"/>
              <w:spacing w:after="0"/>
              <w:rPr>
                <w:sz w:val="20"/>
                <w:szCs w:val="20"/>
                <w:color w:val="auto"/>
              </w:rPr>
            </w:pPr>
            <w:r>
              <w:rPr>
                <w:rFonts w:ascii="Arial" w:cs="Arial" w:eastAsia="Arial" w:hAnsi="Arial"/>
                <w:sz w:val="20"/>
                <w:szCs w:val="20"/>
                <w:color w:val="161616"/>
              </w:rPr>
              <w:t>General</w:t>
            </w:r>
          </w:p>
        </w:tc>
        <w:tc>
          <w:tcPr>
            <w:tcW w:w="6700" w:type="dxa"/>
            <w:vAlign w:val="bottom"/>
            <w:gridSpan w:val="3"/>
          </w:tcPr>
          <w:p>
            <w:pPr>
              <w:jc w:val="right"/>
              <w:spacing w:after="0"/>
              <w:rPr>
                <w:sz w:val="20"/>
                <w:szCs w:val="20"/>
                <w:color w:val="auto"/>
              </w:rPr>
            </w:pPr>
            <w:r>
              <w:rPr>
                <w:rFonts w:ascii="Arial" w:cs="Arial" w:eastAsia="Arial" w:hAnsi="Arial"/>
                <w:sz w:val="20"/>
                <w:szCs w:val="20"/>
                <w:color w:val="auto"/>
              </w:rPr>
              <w:t>11</w:t>
            </w:r>
          </w:p>
        </w:tc>
      </w:tr>
    </w:tbl>
    <w:p>
      <w:pPr>
        <w:spacing w:after="0" w:line="200" w:lineRule="exact"/>
        <w:rPr>
          <w:sz w:val="20"/>
          <w:szCs w:val="20"/>
          <w:color w:val="auto"/>
        </w:rPr>
      </w:pP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9"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50"/>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6.2</w:t>
            </w:r>
          </w:p>
        </w:tc>
        <w:tc>
          <w:tcPr>
            <w:tcW w:w="3740" w:type="dxa"/>
            <w:vAlign w:val="bottom"/>
          </w:tcPr>
          <w:p>
            <w:pPr>
              <w:ind w:left="20"/>
              <w:spacing w:after="0"/>
              <w:rPr>
                <w:sz w:val="20"/>
                <w:szCs w:val="20"/>
                <w:color w:val="auto"/>
              </w:rPr>
            </w:pPr>
            <w:r>
              <w:rPr>
                <w:rFonts w:ascii="Arial" w:cs="Arial" w:eastAsia="Arial" w:hAnsi="Arial"/>
                <w:sz w:val="20"/>
                <w:szCs w:val="20"/>
                <w:color w:val="161616"/>
              </w:rPr>
              <w:t>No Nuisance or Waste</w:t>
            </w:r>
          </w:p>
        </w:tc>
        <w:tc>
          <w:tcPr>
            <w:tcW w:w="63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6.3</w:t>
            </w:r>
          </w:p>
        </w:tc>
        <w:tc>
          <w:tcPr>
            <w:tcW w:w="3740" w:type="dxa"/>
            <w:vAlign w:val="bottom"/>
          </w:tcPr>
          <w:p>
            <w:pPr>
              <w:ind w:left="20"/>
              <w:spacing w:after="0"/>
              <w:rPr>
                <w:sz w:val="20"/>
                <w:szCs w:val="20"/>
                <w:color w:val="auto"/>
              </w:rPr>
            </w:pPr>
            <w:r>
              <w:rPr>
                <w:rFonts w:ascii="Arial" w:cs="Arial" w:eastAsia="Arial" w:hAnsi="Arial"/>
                <w:sz w:val="20"/>
                <w:szCs w:val="20"/>
                <w:color w:val="161616"/>
              </w:rPr>
              <w:t>Compliance With Laws</w:t>
            </w:r>
          </w:p>
        </w:tc>
        <w:tc>
          <w:tcPr>
            <w:tcW w:w="63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6.4</w:t>
            </w:r>
          </w:p>
        </w:tc>
        <w:tc>
          <w:tcPr>
            <w:tcW w:w="3740" w:type="dxa"/>
            <w:vAlign w:val="bottom"/>
          </w:tcPr>
          <w:p>
            <w:pPr>
              <w:ind w:left="20"/>
              <w:spacing w:after="0"/>
              <w:rPr>
                <w:sz w:val="20"/>
                <w:szCs w:val="20"/>
                <w:color w:val="auto"/>
              </w:rPr>
            </w:pPr>
            <w:r>
              <w:rPr>
                <w:rFonts w:ascii="Arial" w:cs="Arial" w:eastAsia="Arial" w:hAnsi="Arial"/>
                <w:sz w:val="20"/>
                <w:szCs w:val="20"/>
                <w:color w:val="161616"/>
              </w:rPr>
              <w:t>Alterations to Common Areas</w:t>
            </w:r>
          </w:p>
        </w:tc>
        <w:tc>
          <w:tcPr>
            <w:tcW w:w="63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6.5</w:t>
            </w:r>
          </w:p>
        </w:tc>
        <w:tc>
          <w:tcPr>
            <w:tcW w:w="3740" w:type="dxa"/>
            <w:vAlign w:val="bottom"/>
          </w:tcPr>
          <w:p>
            <w:pPr>
              <w:ind w:left="20"/>
              <w:spacing w:after="0"/>
              <w:rPr>
                <w:sz w:val="20"/>
                <w:szCs w:val="20"/>
                <w:color w:val="auto"/>
              </w:rPr>
            </w:pPr>
            <w:r>
              <w:rPr>
                <w:rFonts w:ascii="Arial" w:cs="Arial" w:eastAsia="Arial" w:hAnsi="Arial"/>
                <w:sz w:val="20"/>
                <w:szCs w:val="20"/>
                <w:color w:val="161616"/>
              </w:rPr>
              <w:t>Toxic Substances</w:t>
            </w:r>
          </w:p>
        </w:tc>
        <w:tc>
          <w:tcPr>
            <w:tcW w:w="63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6.6</w:t>
            </w:r>
          </w:p>
        </w:tc>
        <w:tc>
          <w:tcPr>
            <w:tcW w:w="3740" w:type="dxa"/>
            <w:vAlign w:val="bottom"/>
          </w:tcPr>
          <w:p>
            <w:pPr>
              <w:ind w:left="20"/>
              <w:spacing w:after="0"/>
              <w:rPr>
                <w:sz w:val="20"/>
                <w:szCs w:val="20"/>
                <w:color w:val="auto"/>
              </w:rPr>
            </w:pPr>
            <w:r>
              <w:rPr>
                <w:rFonts w:ascii="Arial" w:cs="Arial" w:eastAsia="Arial" w:hAnsi="Arial"/>
                <w:sz w:val="20"/>
                <w:szCs w:val="20"/>
                <w:color w:val="161616"/>
              </w:rPr>
              <w:t>Load and Equipment, Notice of Defects</w:t>
            </w:r>
          </w:p>
        </w:tc>
        <w:tc>
          <w:tcPr>
            <w:tcW w:w="63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6.7</w:t>
            </w:r>
          </w:p>
        </w:tc>
        <w:tc>
          <w:tcPr>
            <w:tcW w:w="3740" w:type="dxa"/>
            <w:vAlign w:val="bottom"/>
          </w:tcPr>
          <w:p>
            <w:pPr>
              <w:ind w:left="20"/>
              <w:spacing w:after="0"/>
              <w:rPr>
                <w:sz w:val="20"/>
                <w:szCs w:val="20"/>
                <w:color w:val="auto"/>
              </w:rPr>
            </w:pPr>
            <w:r>
              <w:rPr>
                <w:rFonts w:ascii="Arial" w:cs="Arial" w:eastAsia="Arial" w:hAnsi="Arial"/>
                <w:sz w:val="20"/>
                <w:szCs w:val="20"/>
                <w:color w:val="161616"/>
              </w:rPr>
              <w:t>Signage</w:t>
            </w:r>
          </w:p>
        </w:tc>
        <w:tc>
          <w:tcPr>
            <w:tcW w:w="63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32"/>
        </w:trPr>
        <w:tc>
          <w:tcPr>
            <w:tcW w:w="5060" w:type="dxa"/>
            <w:vAlign w:val="bottom"/>
            <w:gridSpan w:val="2"/>
          </w:tcPr>
          <w:p>
            <w:pPr>
              <w:spacing w:after="0"/>
              <w:rPr>
                <w:sz w:val="20"/>
                <w:szCs w:val="20"/>
                <w:color w:val="auto"/>
              </w:rPr>
            </w:pPr>
            <w:r>
              <w:rPr>
                <w:rFonts w:ascii="Arial" w:cs="Arial" w:eastAsia="Arial" w:hAnsi="Arial"/>
                <w:sz w:val="20"/>
                <w:szCs w:val="20"/>
                <w:color w:val="161616"/>
              </w:rPr>
              <w:t>ARTICLE 7 SERVICES AND UTILITIES</w:t>
            </w:r>
          </w:p>
        </w:tc>
        <w:tc>
          <w:tcPr>
            <w:tcW w:w="63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7.1</w:t>
            </w:r>
          </w:p>
        </w:tc>
        <w:tc>
          <w:tcPr>
            <w:tcW w:w="3740" w:type="dxa"/>
            <w:vAlign w:val="bottom"/>
          </w:tcPr>
          <w:p>
            <w:pPr>
              <w:ind w:left="20"/>
              <w:spacing w:after="0"/>
              <w:rPr>
                <w:sz w:val="20"/>
                <w:szCs w:val="20"/>
                <w:color w:val="auto"/>
              </w:rPr>
            </w:pPr>
            <w:r>
              <w:rPr>
                <w:rFonts w:ascii="Arial" w:cs="Arial" w:eastAsia="Arial" w:hAnsi="Arial"/>
                <w:sz w:val="20"/>
                <w:szCs w:val="20"/>
                <w:color w:val="161616"/>
              </w:rPr>
              <w:t>General</w:t>
            </w:r>
          </w:p>
        </w:tc>
        <w:tc>
          <w:tcPr>
            <w:tcW w:w="63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7.2</w:t>
            </w:r>
          </w:p>
        </w:tc>
        <w:tc>
          <w:tcPr>
            <w:tcW w:w="3740" w:type="dxa"/>
            <w:vAlign w:val="bottom"/>
          </w:tcPr>
          <w:p>
            <w:pPr>
              <w:ind w:left="20"/>
              <w:spacing w:after="0"/>
              <w:rPr>
                <w:sz w:val="20"/>
                <w:szCs w:val="20"/>
                <w:color w:val="auto"/>
              </w:rPr>
            </w:pPr>
            <w:r>
              <w:rPr>
                <w:rFonts w:ascii="Arial" w:cs="Arial" w:eastAsia="Arial" w:hAnsi="Arial"/>
                <w:sz w:val="20"/>
                <w:szCs w:val="20"/>
                <w:color w:val="161616"/>
              </w:rPr>
              <w:t>Supplementary Services</w:t>
            </w:r>
          </w:p>
        </w:tc>
        <w:tc>
          <w:tcPr>
            <w:tcW w:w="63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7.3</w:t>
            </w:r>
          </w:p>
        </w:tc>
        <w:tc>
          <w:tcPr>
            <w:tcW w:w="3740" w:type="dxa"/>
            <w:vAlign w:val="bottom"/>
          </w:tcPr>
          <w:p>
            <w:pPr>
              <w:ind w:left="20"/>
              <w:spacing w:after="0"/>
              <w:rPr>
                <w:sz w:val="20"/>
                <w:szCs w:val="20"/>
                <w:color w:val="auto"/>
              </w:rPr>
            </w:pPr>
            <w:r>
              <w:rPr>
                <w:rFonts w:ascii="Arial" w:cs="Arial" w:eastAsia="Arial" w:hAnsi="Arial"/>
                <w:sz w:val="20"/>
                <w:szCs w:val="20"/>
                <w:color w:val="161616"/>
              </w:rPr>
              <w:t>Interruption of Access, Use or Services</w:t>
            </w:r>
          </w:p>
        </w:tc>
        <w:tc>
          <w:tcPr>
            <w:tcW w:w="63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32"/>
        </w:trPr>
        <w:tc>
          <w:tcPr>
            <w:tcW w:w="5060" w:type="dxa"/>
            <w:vAlign w:val="bottom"/>
            <w:gridSpan w:val="2"/>
          </w:tcPr>
          <w:p>
            <w:pPr>
              <w:spacing w:after="0"/>
              <w:rPr>
                <w:sz w:val="20"/>
                <w:szCs w:val="20"/>
                <w:color w:val="auto"/>
              </w:rPr>
            </w:pPr>
            <w:r>
              <w:rPr>
                <w:rFonts w:ascii="Arial" w:cs="Arial" w:eastAsia="Arial" w:hAnsi="Arial"/>
                <w:sz w:val="20"/>
                <w:szCs w:val="20"/>
                <w:color w:val="161616"/>
              </w:rPr>
              <w:t>ARTICLE 8 SUITABILITY OF PREMISES</w:t>
            </w:r>
          </w:p>
        </w:tc>
        <w:tc>
          <w:tcPr>
            <w:tcW w:w="63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32"/>
        </w:trPr>
        <w:tc>
          <w:tcPr>
            <w:tcW w:w="5060" w:type="dxa"/>
            <w:vAlign w:val="bottom"/>
            <w:gridSpan w:val="2"/>
          </w:tcPr>
          <w:p>
            <w:pPr>
              <w:spacing w:after="0"/>
              <w:rPr>
                <w:sz w:val="20"/>
                <w:szCs w:val="20"/>
                <w:color w:val="auto"/>
              </w:rPr>
            </w:pPr>
            <w:r>
              <w:rPr>
                <w:rFonts w:ascii="Arial" w:cs="Arial" w:eastAsia="Arial" w:hAnsi="Arial"/>
                <w:sz w:val="20"/>
                <w:szCs w:val="20"/>
                <w:color w:val="161616"/>
              </w:rPr>
              <w:t>ARTICLE 9 ALTERATIONS</w:t>
            </w:r>
          </w:p>
        </w:tc>
        <w:tc>
          <w:tcPr>
            <w:tcW w:w="63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9.1</w:t>
            </w:r>
          </w:p>
        </w:tc>
        <w:tc>
          <w:tcPr>
            <w:tcW w:w="3740" w:type="dxa"/>
            <w:vAlign w:val="bottom"/>
          </w:tcPr>
          <w:p>
            <w:pPr>
              <w:ind w:left="20"/>
              <w:spacing w:after="0"/>
              <w:rPr>
                <w:sz w:val="20"/>
                <w:szCs w:val="20"/>
                <w:color w:val="auto"/>
              </w:rPr>
            </w:pPr>
            <w:r>
              <w:rPr>
                <w:rFonts w:ascii="Arial" w:cs="Arial" w:eastAsia="Arial" w:hAnsi="Arial"/>
                <w:sz w:val="20"/>
                <w:szCs w:val="20"/>
                <w:color w:val="161616"/>
              </w:rPr>
              <w:t>General</w:t>
            </w:r>
          </w:p>
        </w:tc>
        <w:tc>
          <w:tcPr>
            <w:tcW w:w="63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9.2</w:t>
            </w:r>
          </w:p>
        </w:tc>
        <w:tc>
          <w:tcPr>
            <w:tcW w:w="3740" w:type="dxa"/>
            <w:vAlign w:val="bottom"/>
          </w:tcPr>
          <w:p>
            <w:pPr>
              <w:ind w:left="20"/>
              <w:spacing w:after="0"/>
              <w:rPr>
                <w:sz w:val="20"/>
                <w:szCs w:val="20"/>
                <w:color w:val="auto"/>
              </w:rPr>
            </w:pPr>
            <w:r>
              <w:rPr>
                <w:rFonts w:ascii="Arial" w:cs="Arial" w:eastAsia="Arial" w:hAnsi="Arial"/>
                <w:sz w:val="20"/>
                <w:szCs w:val="20"/>
                <w:color w:val="161616"/>
              </w:rPr>
              <w:t>Notice</w:t>
            </w:r>
          </w:p>
        </w:tc>
        <w:tc>
          <w:tcPr>
            <w:tcW w:w="63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9.3</w:t>
            </w:r>
          </w:p>
        </w:tc>
        <w:tc>
          <w:tcPr>
            <w:tcW w:w="3740" w:type="dxa"/>
            <w:vAlign w:val="bottom"/>
          </w:tcPr>
          <w:p>
            <w:pPr>
              <w:ind w:left="20"/>
              <w:spacing w:after="0"/>
              <w:rPr>
                <w:sz w:val="20"/>
                <w:szCs w:val="20"/>
                <w:color w:val="auto"/>
              </w:rPr>
            </w:pPr>
            <w:r>
              <w:rPr>
                <w:rFonts w:ascii="Arial" w:cs="Arial" w:eastAsia="Arial" w:hAnsi="Arial"/>
                <w:sz w:val="20"/>
                <w:szCs w:val="20"/>
                <w:color w:val="161616"/>
              </w:rPr>
              <w:t>Labor Relations</w:t>
            </w:r>
          </w:p>
        </w:tc>
        <w:tc>
          <w:tcPr>
            <w:tcW w:w="63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9.4</w:t>
            </w:r>
          </w:p>
        </w:tc>
        <w:tc>
          <w:tcPr>
            <w:tcW w:w="3740" w:type="dxa"/>
            <w:vAlign w:val="bottom"/>
          </w:tcPr>
          <w:p>
            <w:pPr>
              <w:ind w:left="20"/>
              <w:spacing w:after="0"/>
              <w:rPr>
                <w:sz w:val="20"/>
                <w:szCs w:val="20"/>
                <w:color w:val="auto"/>
              </w:rPr>
            </w:pPr>
            <w:r>
              <w:rPr>
                <w:rFonts w:ascii="Arial" w:cs="Arial" w:eastAsia="Arial" w:hAnsi="Arial"/>
                <w:sz w:val="20"/>
                <w:szCs w:val="20"/>
                <w:color w:val="161616"/>
              </w:rPr>
              <w:t>Indemnity</w:t>
            </w:r>
          </w:p>
        </w:tc>
        <w:tc>
          <w:tcPr>
            <w:tcW w:w="63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9.5</w:t>
            </w:r>
          </w:p>
        </w:tc>
        <w:tc>
          <w:tcPr>
            <w:tcW w:w="3740" w:type="dxa"/>
            <w:vAlign w:val="bottom"/>
          </w:tcPr>
          <w:p>
            <w:pPr>
              <w:ind w:left="20"/>
              <w:spacing w:after="0"/>
              <w:rPr>
                <w:sz w:val="20"/>
                <w:szCs w:val="20"/>
                <w:color w:val="auto"/>
              </w:rPr>
            </w:pPr>
            <w:r>
              <w:rPr>
                <w:rFonts w:ascii="Arial" w:cs="Arial" w:eastAsia="Arial" w:hAnsi="Arial"/>
                <w:sz w:val="20"/>
                <w:szCs w:val="20"/>
                <w:color w:val="161616"/>
              </w:rPr>
              <w:t>Future Construction Work</w:t>
            </w:r>
          </w:p>
        </w:tc>
        <w:tc>
          <w:tcPr>
            <w:tcW w:w="63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32"/>
        </w:trPr>
        <w:tc>
          <w:tcPr>
            <w:tcW w:w="5060" w:type="dxa"/>
            <w:vAlign w:val="bottom"/>
            <w:gridSpan w:val="2"/>
          </w:tcPr>
          <w:p>
            <w:pPr>
              <w:spacing w:after="0"/>
              <w:rPr>
                <w:sz w:val="20"/>
                <w:szCs w:val="20"/>
                <w:color w:val="auto"/>
              </w:rPr>
            </w:pPr>
            <w:r>
              <w:rPr>
                <w:rFonts w:ascii="Arial" w:cs="Arial" w:eastAsia="Arial" w:hAnsi="Arial"/>
                <w:sz w:val="20"/>
                <w:szCs w:val="20"/>
                <w:color w:val="161616"/>
              </w:rPr>
              <w:t>ARTICLE 10 REPAIRS</w:t>
            </w:r>
          </w:p>
        </w:tc>
        <w:tc>
          <w:tcPr>
            <w:tcW w:w="63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32"/>
        </w:trPr>
        <w:tc>
          <w:tcPr>
            <w:tcW w:w="5060" w:type="dxa"/>
            <w:vAlign w:val="bottom"/>
            <w:gridSpan w:val="2"/>
          </w:tcPr>
          <w:p>
            <w:pPr>
              <w:spacing w:after="0"/>
              <w:rPr>
                <w:sz w:val="20"/>
                <w:szCs w:val="20"/>
                <w:color w:val="auto"/>
              </w:rPr>
            </w:pPr>
            <w:r>
              <w:rPr>
                <w:rFonts w:ascii="Arial" w:cs="Arial" w:eastAsia="Arial" w:hAnsi="Arial"/>
                <w:sz w:val="20"/>
                <w:szCs w:val="20"/>
                <w:color w:val="161616"/>
              </w:rPr>
              <w:t>ARTICLE 11 ASSIGNMENT AND SUBLETTING</w:t>
            </w:r>
          </w:p>
        </w:tc>
        <w:tc>
          <w:tcPr>
            <w:tcW w:w="63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11.1</w:t>
            </w:r>
          </w:p>
        </w:tc>
        <w:tc>
          <w:tcPr>
            <w:tcW w:w="3740" w:type="dxa"/>
            <w:vAlign w:val="bottom"/>
          </w:tcPr>
          <w:p>
            <w:pPr>
              <w:ind w:left="20"/>
              <w:spacing w:after="0"/>
              <w:rPr>
                <w:sz w:val="20"/>
                <w:szCs w:val="20"/>
                <w:color w:val="auto"/>
              </w:rPr>
            </w:pPr>
            <w:r>
              <w:rPr>
                <w:rFonts w:ascii="Arial" w:cs="Arial" w:eastAsia="Arial" w:hAnsi="Arial"/>
                <w:sz w:val="20"/>
                <w:szCs w:val="20"/>
                <w:color w:val="161616"/>
              </w:rPr>
              <w:t>Restrictions on Transfers</w:t>
            </w:r>
          </w:p>
        </w:tc>
        <w:tc>
          <w:tcPr>
            <w:tcW w:w="63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11.2</w:t>
            </w:r>
          </w:p>
        </w:tc>
        <w:tc>
          <w:tcPr>
            <w:tcW w:w="3740" w:type="dxa"/>
            <w:vAlign w:val="bottom"/>
          </w:tcPr>
          <w:p>
            <w:pPr>
              <w:ind w:left="20"/>
              <w:spacing w:after="0"/>
              <w:rPr>
                <w:sz w:val="20"/>
                <w:szCs w:val="20"/>
                <w:color w:val="auto"/>
              </w:rPr>
            </w:pPr>
            <w:r>
              <w:rPr>
                <w:rFonts w:ascii="Arial" w:cs="Arial" w:eastAsia="Arial" w:hAnsi="Arial"/>
                <w:sz w:val="20"/>
                <w:szCs w:val="20"/>
                <w:color w:val="161616"/>
              </w:rPr>
              <w:t>Notice of Proposed Transfer</w:t>
            </w:r>
          </w:p>
        </w:tc>
        <w:tc>
          <w:tcPr>
            <w:tcW w:w="63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11.3</w:t>
            </w:r>
          </w:p>
        </w:tc>
        <w:tc>
          <w:tcPr>
            <w:tcW w:w="3740" w:type="dxa"/>
            <w:vAlign w:val="bottom"/>
          </w:tcPr>
          <w:p>
            <w:pPr>
              <w:ind w:left="20"/>
              <w:spacing w:after="0"/>
              <w:rPr>
                <w:sz w:val="20"/>
                <w:szCs w:val="20"/>
                <w:color w:val="auto"/>
              </w:rPr>
            </w:pPr>
            <w:r>
              <w:rPr>
                <w:rFonts w:ascii="Arial" w:cs="Arial" w:eastAsia="Arial" w:hAnsi="Arial"/>
                <w:sz w:val="20"/>
                <w:szCs w:val="20"/>
                <w:color w:val="161616"/>
              </w:rPr>
              <w:t>Reasonable conditions</w:t>
            </w:r>
          </w:p>
        </w:tc>
        <w:tc>
          <w:tcPr>
            <w:tcW w:w="63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11.4</w:t>
            </w:r>
          </w:p>
        </w:tc>
        <w:tc>
          <w:tcPr>
            <w:tcW w:w="3740" w:type="dxa"/>
            <w:vAlign w:val="bottom"/>
          </w:tcPr>
          <w:p>
            <w:pPr>
              <w:ind w:left="20"/>
              <w:spacing w:after="0"/>
              <w:rPr>
                <w:sz w:val="20"/>
                <w:szCs w:val="20"/>
                <w:color w:val="auto"/>
              </w:rPr>
            </w:pPr>
            <w:r>
              <w:rPr>
                <w:rFonts w:ascii="Arial" w:cs="Arial" w:eastAsia="Arial" w:hAnsi="Arial"/>
                <w:sz w:val="20"/>
                <w:szCs w:val="20"/>
                <w:color w:val="1C1C1C"/>
              </w:rPr>
              <w:t>Transfer Premium</w:t>
            </w:r>
          </w:p>
        </w:tc>
        <w:tc>
          <w:tcPr>
            <w:tcW w:w="63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11.5</w:t>
            </w:r>
          </w:p>
        </w:tc>
        <w:tc>
          <w:tcPr>
            <w:tcW w:w="3740" w:type="dxa"/>
            <w:vAlign w:val="bottom"/>
          </w:tcPr>
          <w:p>
            <w:pPr>
              <w:ind w:left="20"/>
              <w:spacing w:after="0"/>
              <w:rPr>
                <w:sz w:val="20"/>
                <w:szCs w:val="20"/>
                <w:color w:val="auto"/>
              </w:rPr>
            </w:pPr>
            <w:r>
              <w:rPr>
                <w:rFonts w:ascii="Arial" w:cs="Arial" w:eastAsia="Arial" w:hAnsi="Arial"/>
                <w:sz w:val="20"/>
                <w:szCs w:val="20"/>
                <w:color w:val="1C1C1C"/>
              </w:rPr>
              <w:t>Recapture</w:t>
            </w:r>
          </w:p>
        </w:tc>
        <w:tc>
          <w:tcPr>
            <w:tcW w:w="63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11.6</w:t>
            </w:r>
          </w:p>
        </w:tc>
        <w:tc>
          <w:tcPr>
            <w:tcW w:w="3740" w:type="dxa"/>
            <w:vAlign w:val="bottom"/>
          </w:tcPr>
          <w:p>
            <w:pPr>
              <w:ind w:left="20"/>
              <w:spacing w:after="0"/>
              <w:rPr>
                <w:sz w:val="20"/>
                <w:szCs w:val="20"/>
                <w:color w:val="auto"/>
              </w:rPr>
            </w:pPr>
            <w:r>
              <w:rPr>
                <w:rFonts w:ascii="Arial" w:cs="Arial" w:eastAsia="Arial" w:hAnsi="Arial"/>
                <w:sz w:val="20"/>
                <w:szCs w:val="20"/>
                <w:color w:val="1C1C1C"/>
              </w:rPr>
              <w:t>Terms of Consent</w:t>
            </w:r>
          </w:p>
        </w:tc>
        <w:tc>
          <w:tcPr>
            <w:tcW w:w="63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11.7</w:t>
            </w:r>
          </w:p>
        </w:tc>
        <w:tc>
          <w:tcPr>
            <w:tcW w:w="3740" w:type="dxa"/>
            <w:vAlign w:val="bottom"/>
          </w:tcPr>
          <w:p>
            <w:pPr>
              <w:ind w:left="20"/>
              <w:spacing w:after="0"/>
              <w:rPr>
                <w:sz w:val="20"/>
                <w:szCs w:val="20"/>
                <w:color w:val="auto"/>
              </w:rPr>
            </w:pPr>
            <w:r>
              <w:rPr>
                <w:rFonts w:ascii="Arial" w:cs="Arial" w:eastAsia="Arial" w:hAnsi="Arial"/>
                <w:sz w:val="20"/>
                <w:szCs w:val="20"/>
                <w:color w:val="1C1C1C"/>
              </w:rPr>
              <w:t>Subsequent Consents</w:t>
            </w:r>
          </w:p>
        </w:tc>
        <w:tc>
          <w:tcPr>
            <w:tcW w:w="63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32"/>
        </w:trPr>
        <w:tc>
          <w:tcPr>
            <w:tcW w:w="1320" w:type="dxa"/>
            <w:vAlign w:val="bottom"/>
          </w:tcPr>
          <w:p>
            <w:pPr>
              <w:jc w:val="right"/>
              <w:ind w:right="522"/>
              <w:spacing w:after="0"/>
              <w:rPr>
                <w:sz w:val="20"/>
                <w:szCs w:val="20"/>
                <w:color w:val="auto"/>
              </w:rPr>
            </w:pPr>
            <w:r>
              <w:rPr>
                <w:rFonts w:ascii="Arial" w:cs="Arial" w:eastAsia="Arial" w:hAnsi="Arial"/>
                <w:sz w:val="20"/>
                <w:szCs w:val="20"/>
                <w:color w:val="161616"/>
              </w:rPr>
              <w:t>11.8</w:t>
            </w:r>
          </w:p>
        </w:tc>
        <w:tc>
          <w:tcPr>
            <w:tcW w:w="3740" w:type="dxa"/>
            <w:vAlign w:val="bottom"/>
          </w:tcPr>
          <w:p>
            <w:pPr>
              <w:ind w:left="20"/>
              <w:spacing w:after="0"/>
              <w:rPr>
                <w:sz w:val="20"/>
                <w:szCs w:val="20"/>
                <w:color w:val="auto"/>
              </w:rPr>
            </w:pPr>
            <w:r>
              <w:rPr>
                <w:rFonts w:ascii="Arial" w:cs="Arial" w:eastAsia="Arial" w:hAnsi="Arial"/>
                <w:sz w:val="20"/>
                <w:szCs w:val="20"/>
                <w:color w:val="1C1C1C"/>
              </w:rPr>
              <w:t>Certain Transfers</w:t>
            </w:r>
          </w:p>
        </w:tc>
        <w:tc>
          <w:tcPr>
            <w:tcW w:w="63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665"/>
        </w:trPr>
        <w:tc>
          <w:tcPr>
            <w:tcW w:w="1320" w:type="dxa"/>
            <w:vAlign w:val="bottom"/>
          </w:tcPr>
          <w:p>
            <w:pPr>
              <w:spacing w:after="0"/>
              <w:rPr>
                <w:sz w:val="20"/>
                <w:szCs w:val="20"/>
                <w:color w:val="auto"/>
              </w:rPr>
            </w:pPr>
            <w:r>
              <w:rPr>
                <w:rFonts w:ascii="Arial" w:cs="Arial" w:eastAsia="Arial" w:hAnsi="Arial"/>
                <w:sz w:val="14"/>
                <w:szCs w:val="14"/>
                <w:color w:val="auto"/>
                <w:w w:val="93"/>
              </w:rPr>
              <w:t>09338.008 2450031v3</w:t>
            </w:r>
          </w:p>
        </w:tc>
        <w:tc>
          <w:tcPr>
            <w:tcW w:w="3740" w:type="dxa"/>
            <w:vAlign w:val="bottom"/>
          </w:tcPr>
          <w:p>
            <w:pPr>
              <w:spacing w:after="0"/>
              <w:rPr>
                <w:sz w:val="24"/>
                <w:szCs w:val="24"/>
                <w:color w:val="auto"/>
              </w:rPr>
            </w:pPr>
          </w:p>
        </w:tc>
        <w:tc>
          <w:tcPr>
            <w:tcW w:w="6360" w:type="dxa"/>
            <w:vAlign w:val="bottom"/>
          </w:tcPr>
          <w:p>
            <w:pPr>
              <w:jc w:val="right"/>
              <w:ind w:right="5641"/>
              <w:spacing w:after="0"/>
              <w:rPr>
                <w:sz w:val="20"/>
                <w:szCs w:val="20"/>
                <w:color w:val="auto"/>
              </w:rPr>
            </w:pPr>
            <w:r>
              <w:rPr>
                <w:rFonts w:ascii="Arial" w:cs="Arial" w:eastAsia="Arial" w:hAnsi="Arial"/>
                <w:sz w:val="20"/>
                <w:szCs w:val="20"/>
                <w:color w:val="auto"/>
              </w:rPr>
              <w:t>ii</w:t>
            </w:r>
          </w:p>
        </w:tc>
      </w:tr>
    </w:tbl>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50"/>
        </w:trPr>
        <w:tc>
          <w:tcPr>
            <w:tcW w:w="1320" w:type="dxa"/>
            <w:vAlign w:val="bottom"/>
          </w:tcPr>
          <w:p>
            <w:pPr>
              <w:ind w:left="360"/>
              <w:spacing w:after="0"/>
              <w:rPr>
                <w:sz w:val="20"/>
                <w:szCs w:val="20"/>
                <w:color w:val="auto"/>
              </w:rPr>
            </w:pPr>
            <w:r>
              <w:rPr>
                <w:rFonts w:ascii="Arial" w:cs="Arial" w:eastAsia="Arial" w:hAnsi="Arial"/>
                <w:sz w:val="20"/>
                <w:szCs w:val="20"/>
                <w:color w:val="161616"/>
              </w:rPr>
              <w:t>11.9</w:t>
            </w:r>
          </w:p>
        </w:tc>
        <w:tc>
          <w:tcPr>
            <w:tcW w:w="3940" w:type="dxa"/>
            <w:vAlign w:val="bottom"/>
          </w:tcPr>
          <w:p>
            <w:pPr>
              <w:ind w:left="20"/>
              <w:spacing w:after="0"/>
              <w:rPr>
                <w:sz w:val="20"/>
                <w:szCs w:val="20"/>
                <w:color w:val="auto"/>
              </w:rPr>
            </w:pPr>
            <w:r>
              <w:rPr>
                <w:rFonts w:ascii="Arial" w:cs="Arial" w:eastAsia="Arial" w:hAnsi="Arial"/>
                <w:sz w:val="20"/>
                <w:szCs w:val="20"/>
                <w:color w:val="1C1C1C"/>
              </w:rPr>
              <w:t>Tenant Remedies</w:t>
            </w:r>
          </w:p>
        </w:tc>
        <w:tc>
          <w:tcPr>
            <w:tcW w:w="61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11.10</w:t>
            </w:r>
          </w:p>
        </w:tc>
        <w:tc>
          <w:tcPr>
            <w:tcW w:w="3940" w:type="dxa"/>
            <w:vAlign w:val="bottom"/>
          </w:tcPr>
          <w:p>
            <w:pPr>
              <w:ind w:left="20"/>
              <w:spacing w:after="0"/>
              <w:rPr>
                <w:sz w:val="20"/>
                <w:szCs w:val="20"/>
                <w:color w:val="auto"/>
              </w:rPr>
            </w:pPr>
            <w:r>
              <w:rPr>
                <w:rFonts w:ascii="Arial" w:cs="Arial" w:eastAsia="Arial" w:hAnsi="Arial"/>
                <w:sz w:val="20"/>
                <w:szCs w:val="20"/>
                <w:color w:val="1C1C1C"/>
              </w:rPr>
              <w:t>Bankruptcy</w:t>
            </w:r>
          </w:p>
        </w:tc>
        <w:tc>
          <w:tcPr>
            <w:tcW w:w="61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11.11</w:t>
            </w:r>
          </w:p>
        </w:tc>
        <w:tc>
          <w:tcPr>
            <w:tcW w:w="3940" w:type="dxa"/>
            <w:vAlign w:val="bottom"/>
          </w:tcPr>
          <w:p>
            <w:pPr>
              <w:ind w:left="20"/>
              <w:spacing w:after="0"/>
              <w:rPr>
                <w:sz w:val="20"/>
                <w:szCs w:val="20"/>
                <w:color w:val="auto"/>
              </w:rPr>
            </w:pPr>
            <w:r>
              <w:rPr>
                <w:rFonts w:ascii="Arial" w:cs="Arial" w:eastAsia="Arial" w:hAnsi="Arial"/>
                <w:sz w:val="20"/>
                <w:szCs w:val="20"/>
                <w:color w:val="1C1C1C"/>
              </w:rPr>
              <w:t>Permitted Transfers</w:t>
            </w:r>
          </w:p>
        </w:tc>
        <w:tc>
          <w:tcPr>
            <w:tcW w:w="6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C1C1C"/>
              </w:rPr>
              <w:t>ARTICLE 12 NON-LIABILITY AND INDEMNIFICATION</w:t>
            </w:r>
          </w:p>
        </w:tc>
        <w:tc>
          <w:tcPr>
            <w:tcW w:w="61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12.1</w:t>
            </w:r>
          </w:p>
        </w:tc>
        <w:tc>
          <w:tcPr>
            <w:tcW w:w="3940" w:type="dxa"/>
            <w:vAlign w:val="bottom"/>
          </w:tcPr>
          <w:p>
            <w:pPr>
              <w:ind w:left="20"/>
              <w:spacing w:after="0"/>
              <w:rPr>
                <w:sz w:val="20"/>
                <w:szCs w:val="20"/>
                <w:color w:val="auto"/>
              </w:rPr>
            </w:pPr>
            <w:r>
              <w:rPr>
                <w:rFonts w:ascii="Arial" w:cs="Arial" w:eastAsia="Arial" w:hAnsi="Arial"/>
                <w:sz w:val="20"/>
                <w:szCs w:val="20"/>
                <w:color w:val="1C1C1C"/>
              </w:rPr>
              <w:t>Waiver of Liability</w:t>
            </w:r>
          </w:p>
        </w:tc>
        <w:tc>
          <w:tcPr>
            <w:tcW w:w="61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12.2</w:t>
            </w:r>
          </w:p>
        </w:tc>
        <w:tc>
          <w:tcPr>
            <w:tcW w:w="3940" w:type="dxa"/>
            <w:vAlign w:val="bottom"/>
          </w:tcPr>
          <w:p>
            <w:pPr>
              <w:ind w:left="20"/>
              <w:spacing w:after="0"/>
              <w:rPr>
                <w:sz w:val="20"/>
                <w:szCs w:val="20"/>
                <w:color w:val="auto"/>
              </w:rPr>
            </w:pPr>
            <w:r>
              <w:rPr>
                <w:rFonts w:ascii="Arial" w:cs="Arial" w:eastAsia="Arial" w:hAnsi="Arial"/>
                <w:sz w:val="20"/>
                <w:szCs w:val="20"/>
                <w:color w:val="1C1C1C"/>
              </w:rPr>
              <w:t>Indemnity</w:t>
            </w:r>
          </w:p>
        </w:tc>
        <w:tc>
          <w:tcPr>
            <w:tcW w:w="61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12.3</w:t>
            </w:r>
          </w:p>
        </w:tc>
        <w:tc>
          <w:tcPr>
            <w:tcW w:w="3940" w:type="dxa"/>
            <w:vAlign w:val="bottom"/>
          </w:tcPr>
          <w:p>
            <w:pPr>
              <w:ind w:left="20"/>
              <w:spacing w:after="0"/>
              <w:rPr>
                <w:sz w:val="20"/>
                <w:szCs w:val="20"/>
                <w:color w:val="auto"/>
              </w:rPr>
            </w:pPr>
            <w:r>
              <w:rPr>
                <w:rFonts w:ascii="Arial" w:cs="Arial" w:eastAsia="Arial" w:hAnsi="Arial"/>
                <w:sz w:val="20"/>
                <w:szCs w:val="20"/>
                <w:color w:val="1C1C1C"/>
              </w:rPr>
              <w:t>Limitation of Liability</w:t>
            </w:r>
          </w:p>
        </w:tc>
        <w:tc>
          <w:tcPr>
            <w:tcW w:w="6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C1C1C"/>
              </w:rPr>
              <w:t>ARTICLE 13 INSURANCE</w:t>
            </w:r>
          </w:p>
        </w:tc>
        <w:tc>
          <w:tcPr>
            <w:tcW w:w="6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13.1</w:t>
            </w:r>
          </w:p>
        </w:tc>
        <w:tc>
          <w:tcPr>
            <w:tcW w:w="3940" w:type="dxa"/>
            <w:vAlign w:val="bottom"/>
          </w:tcPr>
          <w:p>
            <w:pPr>
              <w:ind w:left="20"/>
              <w:spacing w:after="0"/>
              <w:rPr>
                <w:sz w:val="20"/>
                <w:szCs w:val="20"/>
                <w:color w:val="auto"/>
              </w:rPr>
            </w:pPr>
            <w:r>
              <w:rPr>
                <w:rFonts w:ascii="Arial" w:cs="Arial" w:eastAsia="Arial" w:hAnsi="Arial"/>
                <w:sz w:val="20"/>
                <w:szCs w:val="20"/>
                <w:color w:val="1C1C1C"/>
              </w:rPr>
              <w:t>Insurance to be Carried by Tenant</w:t>
            </w:r>
          </w:p>
        </w:tc>
        <w:tc>
          <w:tcPr>
            <w:tcW w:w="6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13.2</w:t>
            </w:r>
          </w:p>
        </w:tc>
        <w:tc>
          <w:tcPr>
            <w:tcW w:w="3940" w:type="dxa"/>
            <w:vAlign w:val="bottom"/>
          </w:tcPr>
          <w:p>
            <w:pPr>
              <w:ind w:left="20"/>
              <w:spacing w:after="0"/>
              <w:rPr>
                <w:sz w:val="20"/>
                <w:szCs w:val="20"/>
                <w:color w:val="auto"/>
              </w:rPr>
            </w:pPr>
            <w:r>
              <w:rPr>
                <w:rFonts w:ascii="Arial" w:cs="Arial" w:eastAsia="Arial" w:hAnsi="Arial"/>
                <w:sz w:val="20"/>
                <w:szCs w:val="20"/>
                <w:color w:val="1C1C1C"/>
              </w:rPr>
              <w:t>Policy Forms and Delivery</w:t>
            </w:r>
          </w:p>
        </w:tc>
        <w:tc>
          <w:tcPr>
            <w:tcW w:w="6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13.3</w:t>
            </w:r>
          </w:p>
        </w:tc>
        <w:tc>
          <w:tcPr>
            <w:tcW w:w="3940" w:type="dxa"/>
            <w:vAlign w:val="bottom"/>
          </w:tcPr>
          <w:p>
            <w:pPr>
              <w:ind w:left="20"/>
              <w:spacing w:after="0"/>
              <w:rPr>
                <w:sz w:val="20"/>
                <w:szCs w:val="20"/>
                <w:color w:val="auto"/>
              </w:rPr>
            </w:pPr>
            <w:r>
              <w:rPr>
                <w:rFonts w:ascii="Arial" w:cs="Arial" w:eastAsia="Arial" w:hAnsi="Arial"/>
                <w:sz w:val="20"/>
                <w:szCs w:val="20"/>
                <w:color w:val="1C1C1C"/>
              </w:rPr>
              <w:t>Use of Proceeds</w:t>
            </w:r>
          </w:p>
        </w:tc>
        <w:tc>
          <w:tcPr>
            <w:tcW w:w="6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13.4</w:t>
            </w:r>
          </w:p>
        </w:tc>
        <w:tc>
          <w:tcPr>
            <w:tcW w:w="3940" w:type="dxa"/>
            <w:vAlign w:val="bottom"/>
          </w:tcPr>
          <w:p>
            <w:pPr>
              <w:ind w:left="20"/>
              <w:spacing w:after="0"/>
              <w:rPr>
                <w:sz w:val="20"/>
                <w:szCs w:val="20"/>
                <w:color w:val="auto"/>
              </w:rPr>
            </w:pPr>
            <w:r>
              <w:rPr>
                <w:rFonts w:ascii="Arial" w:cs="Arial" w:eastAsia="Arial" w:hAnsi="Arial"/>
                <w:sz w:val="20"/>
                <w:szCs w:val="20"/>
                <w:color w:val="1C1C1C"/>
              </w:rPr>
              <w:t>Landlord’s Insurance</w:t>
            </w:r>
          </w:p>
        </w:tc>
        <w:tc>
          <w:tcPr>
            <w:tcW w:w="6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13.5</w:t>
            </w:r>
          </w:p>
        </w:tc>
        <w:tc>
          <w:tcPr>
            <w:tcW w:w="3940" w:type="dxa"/>
            <w:vAlign w:val="bottom"/>
          </w:tcPr>
          <w:p>
            <w:pPr>
              <w:ind w:left="20"/>
              <w:spacing w:after="0"/>
              <w:rPr>
                <w:sz w:val="20"/>
                <w:szCs w:val="20"/>
                <w:color w:val="auto"/>
              </w:rPr>
            </w:pPr>
            <w:r>
              <w:rPr>
                <w:rFonts w:ascii="Arial" w:cs="Arial" w:eastAsia="Arial" w:hAnsi="Arial"/>
                <w:sz w:val="20"/>
                <w:szCs w:val="20"/>
                <w:color w:val="1C1C1C"/>
              </w:rPr>
              <w:t>Waiver of Subrogation</w:t>
            </w:r>
          </w:p>
        </w:tc>
        <w:tc>
          <w:tcPr>
            <w:tcW w:w="6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C1C1C"/>
              </w:rPr>
              <w:t>ARTICLE 14 TRANSFER OF LANDLORD’S INTEREST</w:t>
            </w:r>
          </w:p>
        </w:tc>
        <w:tc>
          <w:tcPr>
            <w:tcW w:w="6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C1C1C"/>
              </w:rPr>
              <w:t>ARTICLE 15 DAMAGE OR DESTRUCTION</w:t>
            </w:r>
          </w:p>
        </w:tc>
        <w:tc>
          <w:tcPr>
            <w:tcW w:w="6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15.1</w:t>
            </w:r>
          </w:p>
        </w:tc>
        <w:tc>
          <w:tcPr>
            <w:tcW w:w="3940" w:type="dxa"/>
            <w:vAlign w:val="bottom"/>
          </w:tcPr>
          <w:p>
            <w:pPr>
              <w:ind w:left="20"/>
              <w:spacing w:after="0"/>
              <w:rPr>
                <w:sz w:val="20"/>
                <w:szCs w:val="20"/>
                <w:color w:val="auto"/>
              </w:rPr>
            </w:pPr>
            <w:r>
              <w:rPr>
                <w:rFonts w:ascii="Arial" w:cs="Arial" w:eastAsia="Arial" w:hAnsi="Arial"/>
                <w:sz w:val="20"/>
                <w:szCs w:val="20"/>
                <w:color w:val="1C1C1C"/>
              </w:rPr>
              <w:t>Repair or Termination</w:t>
            </w:r>
          </w:p>
        </w:tc>
        <w:tc>
          <w:tcPr>
            <w:tcW w:w="6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15.2</w:t>
            </w:r>
          </w:p>
        </w:tc>
        <w:tc>
          <w:tcPr>
            <w:tcW w:w="3940" w:type="dxa"/>
            <w:vAlign w:val="bottom"/>
          </w:tcPr>
          <w:p>
            <w:pPr>
              <w:ind w:left="20"/>
              <w:spacing w:after="0"/>
              <w:rPr>
                <w:sz w:val="20"/>
                <w:szCs w:val="20"/>
                <w:color w:val="auto"/>
              </w:rPr>
            </w:pPr>
            <w:r>
              <w:rPr>
                <w:rFonts w:ascii="Arial" w:cs="Arial" w:eastAsia="Arial" w:hAnsi="Arial"/>
                <w:sz w:val="20"/>
                <w:szCs w:val="20"/>
                <w:color w:val="1C1C1C"/>
              </w:rPr>
              <w:t>Loss of Enjoyment</w:t>
            </w:r>
          </w:p>
        </w:tc>
        <w:tc>
          <w:tcPr>
            <w:tcW w:w="61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15.3</w:t>
            </w:r>
          </w:p>
        </w:tc>
        <w:tc>
          <w:tcPr>
            <w:tcW w:w="3940" w:type="dxa"/>
            <w:vAlign w:val="bottom"/>
          </w:tcPr>
          <w:p>
            <w:pPr>
              <w:ind w:left="20"/>
              <w:spacing w:after="0"/>
              <w:rPr>
                <w:sz w:val="20"/>
                <w:szCs w:val="20"/>
                <w:color w:val="auto"/>
              </w:rPr>
            </w:pPr>
            <w:r>
              <w:rPr>
                <w:rFonts w:ascii="Arial" w:cs="Arial" w:eastAsia="Arial" w:hAnsi="Arial"/>
                <w:sz w:val="20"/>
                <w:szCs w:val="20"/>
                <w:color w:val="1C1C1C"/>
              </w:rPr>
              <w:t>Automatic Termination</w:t>
            </w:r>
          </w:p>
        </w:tc>
        <w:tc>
          <w:tcPr>
            <w:tcW w:w="61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C1C1C"/>
              </w:rPr>
              <w:t>ARTICLE 16 DEFAULTS AND REMEDIES</w:t>
            </w:r>
          </w:p>
        </w:tc>
        <w:tc>
          <w:tcPr>
            <w:tcW w:w="61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16.1</w:t>
            </w:r>
          </w:p>
        </w:tc>
        <w:tc>
          <w:tcPr>
            <w:tcW w:w="3940" w:type="dxa"/>
            <w:vAlign w:val="bottom"/>
          </w:tcPr>
          <w:p>
            <w:pPr>
              <w:ind w:left="20"/>
              <w:spacing w:after="0"/>
              <w:rPr>
                <w:sz w:val="20"/>
                <w:szCs w:val="20"/>
                <w:color w:val="auto"/>
              </w:rPr>
            </w:pPr>
            <w:r>
              <w:rPr>
                <w:rFonts w:ascii="Arial" w:cs="Arial" w:eastAsia="Arial" w:hAnsi="Arial"/>
                <w:sz w:val="20"/>
                <w:szCs w:val="20"/>
                <w:color w:val="1C1C1C"/>
              </w:rPr>
              <w:t>Events of Default</w:t>
            </w:r>
          </w:p>
        </w:tc>
        <w:tc>
          <w:tcPr>
            <w:tcW w:w="61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16.2</w:t>
            </w:r>
          </w:p>
        </w:tc>
        <w:tc>
          <w:tcPr>
            <w:tcW w:w="3940" w:type="dxa"/>
            <w:vAlign w:val="bottom"/>
          </w:tcPr>
          <w:p>
            <w:pPr>
              <w:ind w:left="20"/>
              <w:spacing w:after="0"/>
              <w:rPr>
                <w:sz w:val="20"/>
                <w:szCs w:val="20"/>
                <w:color w:val="auto"/>
              </w:rPr>
            </w:pPr>
            <w:r>
              <w:rPr>
                <w:rFonts w:ascii="Arial" w:cs="Arial" w:eastAsia="Arial" w:hAnsi="Arial"/>
                <w:sz w:val="20"/>
                <w:szCs w:val="20"/>
                <w:color w:val="363636"/>
              </w:rPr>
              <w:t xml:space="preserve">Landlord’s </w:t>
            </w:r>
            <w:r>
              <w:rPr>
                <w:rFonts w:ascii="Arial" w:cs="Arial" w:eastAsia="Arial" w:hAnsi="Arial"/>
                <w:sz w:val="20"/>
                <w:szCs w:val="20"/>
                <w:color w:val="1F1F1F"/>
              </w:rPr>
              <w:t>Remedies</w:t>
            </w:r>
          </w:p>
        </w:tc>
        <w:tc>
          <w:tcPr>
            <w:tcW w:w="6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16.3</w:t>
            </w:r>
          </w:p>
        </w:tc>
        <w:tc>
          <w:tcPr>
            <w:tcW w:w="3940" w:type="dxa"/>
            <w:vAlign w:val="bottom"/>
          </w:tcPr>
          <w:p>
            <w:pPr>
              <w:ind w:left="20"/>
              <w:spacing w:after="0"/>
              <w:rPr>
                <w:sz w:val="20"/>
                <w:szCs w:val="20"/>
                <w:color w:val="auto"/>
              </w:rPr>
            </w:pPr>
            <w:r>
              <w:rPr>
                <w:rFonts w:ascii="Arial" w:cs="Arial" w:eastAsia="Arial" w:hAnsi="Arial"/>
                <w:sz w:val="20"/>
                <w:szCs w:val="20"/>
                <w:color w:val="363636"/>
              </w:rPr>
              <w:t xml:space="preserve">Landlord’s </w:t>
            </w:r>
            <w:r>
              <w:rPr>
                <w:rFonts w:ascii="Arial" w:cs="Arial" w:eastAsia="Arial" w:hAnsi="Arial"/>
                <w:sz w:val="20"/>
                <w:szCs w:val="20"/>
                <w:color w:val="1F1F1F"/>
              </w:rPr>
              <w:t>Default</w:t>
            </w:r>
          </w:p>
        </w:tc>
        <w:tc>
          <w:tcPr>
            <w:tcW w:w="61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F1F1F"/>
              </w:rPr>
              <w:t xml:space="preserve">ARTICLE 17 </w:t>
            </w:r>
            <w:r>
              <w:rPr>
                <w:rFonts w:ascii="Arial" w:cs="Arial" w:eastAsia="Arial" w:hAnsi="Arial"/>
                <w:sz w:val="20"/>
                <w:szCs w:val="20"/>
                <w:color w:val="363636"/>
              </w:rPr>
              <w:t>EMINENT</w:t>
            </w:r>
            <w:r>
              <w:rPr>
                <w:rFonts w:ascii="Arial" w:cs="Arial" w:eastAsia="Arial" w:hAnsi="Arial"/>
                <w:sz w:val="20"/>
                <w:szCs w:val="20"/>
                <w:color w:val="1F1F1F"/>
              </w:rPr>
              <w:t xml:space="preserve"> DOMAIN</w:t>
            </w:r>
          </w:p>
        </w:tc>
        <w:tc>
          <w:tcPr>
            <w:tcW w:w="6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17.1</w:t>
            </w:r>
          </w:p>
        </w:tc>
        <w:tc>
          <w:tcPr>
            <w:tcW w:w="3940" w:type="dxa"/>
            <w:vAlign w:val="bottom"/>
          </w:tcPr>
          <w:p>
            <w:pPr>
              <w:ind w:left="20"/>
              <w:spacing w:after="0"/>
              <w:rPr>
                <w:sz w:val="20"/>
                <w:szCs w:val="20"/>
                <w:color w:val="auto"/>
              </w:rPr>
            </w:pPr>
            <w:r>
              <w:rPr>
                <w:rFonts w:ascii="Arial" w:cs="Arial" w:eastAsia="Arial" w:hAnsi="Arial"/>
                <w:sz w:val="20"/>
                <w:szCs w:val="20"/>
                <w:color w:val="1F1F1F"/>
              </w:rPr>
              <w:t>Taking of Premises</w:t>
            </w:r>
          </w:p>
        </w:tc>
        <w:tc>
          <w:tcPr>
            <w:tcW w:w="6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17.2</w:t>
            </w:r>
          </w:p>
        </w:tc>
        <w:tc>
          <w:tcPr>
            <w:tcW w:w="3940" w:type="dxa"/>
            <w:vAlign w:val="bottom"/>
          </w:tcPr>
          <w:p>
            <w:pPr>
              <w:ind w:left="20"/>
              <w:spacing w:after="0"/>
              <w:rPr>
                <w:sz w:val="20"/>
                <w:szCs w:val="20"/>
                <w:color w:val="auto"/>
              </w:rPr>
            </w:pPr>
            <w:r>
              <w:rPr>
                <w:rFonts w:ascii="Arial" w:cs="Arial" w:eastAsia="Arial" w:hAnsi="Arial"/>
                <w:sz w:val="20"/>
                <w:szCs w:val="20"/>
                <w:color w:val="1F1F1F"/>
              </w:rPr>
              <w:t>Condemnation Award</w:t>
            </w:r>
          </w:p>
        </w:tc>
        <w:tc>
          <w:tcPr>
            <w:tcW w:w="6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17.3</w:t>
            </w:r>
          </w:p>
        </w:tc>
        <w:tc>
          <w:tcPr>
            <w:tcW w:w="3940" w:type="dxa"/>
            <w:vAlign w:val="bottom"/>
          </w:tcPr>
          <w:p>
            <w:pPr>
              <w:ind w:left="20"/>
              <w:spacing w:after="0"/>
              <w:rPr>
                <w:sz w:val="20"/>
                <w:szCs w:val="20"/>
                <w:color w:val="auto"/>
              </w:rPr>
            </w:pPr>
            <w:r>
              <w:rPr>
                <w:rFonts w:ascii="Arial" w:cs="Arial" w:eastAsia="Arial" w:hAnsi="Arial"/>
                <w:sz w:val="20"/>
                <w:szCs w:val="20"/>
                <w:color w:val="1F1F1F"/>
              </w:rPr>
              <w:t>Temporary Taking</w:t>
            </w:r>
          </w:p>
        </w:tc>
        <w:tc>
          <w:tcPr>
            <w:tcW w:w="6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32"/>
        </w:trPr>
        <w:tc>
          <w:tcPr>
            <w:tcW w:w="5260" w:type="dxa"/>
            <w:vAlign w:val="bottom"/>
            <w:gridSpan w:val="2"/>
          </w:tcPr>
          <w:p>
            <w:pPr>
              <w:spacing w:after="0"/>
              <w:rPr>
                <w:sz w:val="20"/>
                <w:szCs w:val="20"/>
                <w:color w:val="auto"/>
              </w:rPr>
            </w:pPr>
            <w:r>
              <w:rPr>
                <w:rFonts w:ascii="Arial" w:cs="Arial" w:eastAsia="Arial" w:hAnsi="Arial"/>
                <w:sz w:val="20"/>
                <w:szCs w:val="20"/>
                <w:color w:val="1F1F1F"/>
              </w:rPr>
              <w:t>ARTICLE 18 SUBORDINATION</w:t>
            </w:r>
          </w:p>
        </w:tc>
        <w:tc>
          <w:tcPr>
            <w:tcW w:w="6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653"/>
        </w:trPr>
        <w:tc>
          <w:tcPr>
            <w:tcW w:w="1320" w:type="dxa"/>
            <w:vAlign w:val="bottom"/>
          </w:tcPr>
          <w:p>
            <w:pPr>
              <w:spacing w:after="0"/>
              <w:rPr>
                <w:sz w:val="20"/>
                <w:szCs w:val="20"/>
                <w:color w:val="auto"/>
              </w:rPr>
            </w:pPr>
            <w:r>
              <w:rPr>
                <w:rFonts w:ascii="Arial" w:cs="Arial" w:eastAsia="Arial" w:hAnsi="Arial"/>
                <w:sz w:val="14"/>
                <w:szCs w:val="14"/>
                <w:color w:val="auto"/>
                <w:w w:val="93"/>
              </w:rPr>
              <w:t>09338.008 2450031v3</w:t>
            </w:r>
          </w:p>
        </w:tc>
        <w:tc>
          <w:tcPr>
            <w:tcW w:w="3940" w:type="dxa"/>
            <w:vAlign w:val="bottom"/>
          </w:tcPr>
          <w:p>
            <w:pPr>
              <w:spacing w:after="0"/>
              <w:rPr>
                <w:sz w:val="24"/>
                <w:szCs w:val="24"/>
                <w:color w:val="auto"/>
              </w:rPr>
            </w:pPr>
          </w:p>
        </w:tc>
        <w:tc>
          <w:tcPr>
            <w:tcW w:w="6180" w:type="dxa"/>
            <w:vAlign w:val="bottom"/>
          </w:tcPr>
          <w:p>
            <w:pPr>
              <w:jc w:val="right"/>
              <w:ind w:right="5601"/>
              <w:spacing w:after="0"/>
              <w:rPr>
                <w:sz w:val="20"/>
                <w:szCs w:val="20"/>
                <w:color w:val="auto"/>
              </w:rPr>
            </w:pPr>
            <w:r>
              <w:rPr>
                <w:rFonts w:ascii="Arial" w:cs="Arial" w:eastAsia="Arial" w:hAnsi="Arial"/>
                <w:sz w:val="20"/>
                <w:szCs w:val="20"/>
                <w:color w:val="auto"/>
              </w:rPr>
              <w:t>iii</w:t>
            </w:r>
          </w:p>
        </w:tc>
      </w:tr>
      <w:tr>
        <w:trPr>
          <w:trHeight w:val="182"/>
        </w:trPr>
        <w:tc>
          <w:tcPr>
            <w:tcW w:w="5260" w:type="dxa"/>
            <w:vAlign w:val="bottom"/>
            <w:gridSpan w:val="2"/>
          </w:tcPr>
          <w:p>
            <w:pPr>
              <w:spacing w:after="0"/>
              <w:rPr>
                <w:sz w:val="20"/>
                <w:szCs w:val="20"/>
                <w:color w:val="auto"/>
              </w:rPr>
            </w:pPr>
            <w:r>
              <w:rPr>
                <w:rFonts w:ascii="Arial" w:cs="Arial" w:eastAsia="Arial" w:hAnsi="Arial"/>
                <w:sz w:val="14"/>
                <w:szCs w:val="14"/>
                <w:color w:val="auto"/>
              </w:rPr>
              <w:t>ActiveUS 172034323v.3</w:t>
            </w:r>
          </w:p>
        </w:tc>
        <w:tc>
          <w:tcPr>
            <w:tcW w:w="6180" w:type="dxa"/>
            <w:vAlign w:val="bottom"/>
          </w:tcPr>
          <w:p>
            <w:pPr>
              <w:spacing w:after="0"/>
              <w:rPr>
                <w:sz w:val="15"/>
                <w:szCs w:val="15"/>
                <w:color w:val="auto"/>
              </w:rPr>
            </w:pPr>
          </w:p>
        </w:tc>
      </w:tr>
      <w:tr>
        <w:trPr>
          <w:trHeight w:val="100"/>
        </w:trPr>
        <w:tc>
          <w:tcPr>
            <w:tcW w:w="132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5" w:right="2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50"/>
        </w:trPr>
        <w:tc>
          <w:tcPr>
            <w:tcW w:w="8620" w:type="dxa"/>
            <w:vAlign w:val="bottom"/>
            <w:gridSpan w:val="2"/>
          </w:tcPr>
          <w:p>
            <w:pPr>
              <w:spacing w:after="0"/>
              <w:rPr>
                <w:sz w:val="20"/>
                <w:szCs w:val="20"/>
                <w:color w:val="auto"/>
              </w:rPr>
            </w:pPr>
            <w:r>
              <w:rPr>
                <w:rFonts w:ascii="Arial" w:cs="Arial" w:eastAsia="Arial" w:hAnsi="Arial"/>
                <w:sz w:val="20"/>
                <w:szCs w:val="20"/>
                <w:color w:val="1F1F1F"/>
              </w:rPr>
              <w:t>ARTICLE 19 SURRENDER OF PREMISES; REMOVAL OF PROPERTY</w:t>
            </w:r>
          </w:p>
        </w:tc>
        <w:tc>
          <w:tcPr>
            <w:tcW w:w="2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19.1</w:t>
            </w:r>
          </w:p>
        </w:tc>
        <w:tc>
          <w:tcPr>
            <w:tcW w:w="7300" w:type="dxa"/>
            <w:vAlign w:val="bottom"/>
          </w:tcPr>
          <w:p>
            <w:pPr>
              <w:ind w:left="20"/>
              <w:spacing w:after="0"/>
              <w:rPr>
                <w:sz w:val="20"/>
                <w:szCs w:val="20"/>
                <w:color w:val="auto"/>
              </w:rPr>
            </w:pPr>
            <w:r>
              <w:rPr>
                <w:rFonts w:ascii="Arial" w:cs="Arial" w:eastAsia="Arial" w:hAnsi="Arial"/>
                <w:sz w:val="20"/>
                <w:szCs w:val="20"/>
                <w:color w:val="1F1F1F"/>
              </w:rPr>
              <w:t>Tenant’s Removal of Property</w:t>
            </w:r>
          </w:p>
        </w:tc>
        <w:tc>
          <w:tcPr>
            <w:tcW w:w="2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19.2</w:t>
            </w:r>
          </w:p>
        </w:tc>
        <w:tc>
          <w:tcPr>
            <w:tcW w:w="7300" w:type="dxa"/>
            <w:vAlign w:val="bottom"/>
          </w:tcPr>
          <w:p>
            <w:pPr>
              <w:ind w:left="20"/>
              <w:spacing w:after="0"/>
              <w:rPr>
                <w:sz w:val="20"/>
                <w:szCs w:val="20"/>
                <w:color w:val="auto"/>
              </w:rPr>
            </w:pPr>
            <w:r>
              <w:rPr>
                <w:rFonts w:ascii="Arial" w:cs="Arial" w:eastAsia="Arial" w:hAnsi="Arial"/>
                <w:sz w:val="20"/>
                <w:szCs w:val="20"/>
                <w:color w:val="1F1F1F"/>
              </w:rPr>
              <w:t>Abandoned Property</w:t>
            </w:r>
          </w:p>
        </w:tc>
        <w:tc>
          <w:tcPr>
            <w:tcW w:w="2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32"/>
        </w:trPr>
        <w:tc>
          <w:tcPr>
            <w:tcW w:w="8620" w:type="dxa"/>
            <w:vAlign w:val="bottom"/>
            <w:gridSpan w:val="2"/>
          </w:tcPr>
          <w:p>
            <w:pPr>
              <w:spacing w:after="0"/>
              <w:rPr>
                <w:sz w:val="20"/>
                <w:szCs w:val="20"/>
                <w:color w:val="auto"/>
              </w:rPr>
            </w:pPr>
            <w:r>
              <w:rPr>
                <w:rFonts w:ascii="Arial" w:cs="Arial" w:eastAsia="Arial" w:hAnsi="Arial"/>
                <w:sz w:val="20"/>
                <w:szCs w:val="20"/>
                <w:color w:val="1F1F1F"/>
              </w:rPr>
              <w:t>ARTICLE 20 MISCELLANEOUS</w:t>
            </w:r>
          </w:p>
        </w:tc>
        <w:tc>
          <w:tcPr>
            <w:tcW w:w="2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20.1</w:t>
            </w:r>
          </w:p>
        </w:tc>
        <w:tc>
          <w:tcPr>
            <w:tcW w:w="7300" w:type="dxa"/>
            <w:vAlign w:val="bottom"/>
          </w:tcPr>
          <w:p>
            <w:pPr>
              <w:ind w:left="20"/>
              <w:spacing w:after="0"/>
              <w:rPr>
                <w:sz w:val="20"/>
                <w:szCs w:val="20"/>
                <w:color w:val="auto"/>
              </w:rPr>
            </w:pPr>
            <w:r>
              <w:rPr>
                <w:rFonts w:ascii="Arial" w:cs="Arial" w:eastAsia="Arial" w:hAnsi="Arial"/>
                <w:sz w:val="20"/>
                <w:szCs w:val="20"/>
                <w:color w:val="1F1F1F"/>
              </w:rPr>
              <w:t>Landlord’s Inspection and Maintenance</w:t>
            </w:r>
          </w:p>
        </w:tc>
        <w:tc>
          <w:tcPr>
            <w:tcW w:w="2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20.2</w:t>
            </w:r>
          </w:p>
        </w:tc>
        <w:tc>
          <w:tcPr>
            <w:tcW w:w="7300" w:type="dxa"/>
            <w:vAlign w:val="bottom"/>
          </w:tcPr>
          <w:p>
            <w:pPr>
              <w:ind w:left="20"/>
              <w:spacing w:after="0"/>
              <w:rPr>
                <w:sz w:val="20"/>
                <w:szCs w:val="20"/>
                <w:color w:val="auto"/>
              </w:rPr>
            </w:pPr>
            <w:r>
              <w:rPr>
                <w:rFonts w:ascii="Arial" w:cs="Arial" w:eastAsia="Arial" w:hAnsi="Arial"/>
                <w:sz w:val="20"/>
                <w:szCs w:val="20"/>
                <w:color w:val="1F1F1F"/>
              </w:rPr>
              <w:t>Exhibition of Premises</w:t>
            </w:r>
          </w:p>
        </w:tc>
        <w:tc>
          <w:tcPr>
            <w:tcW w:w="2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20.3</w:t>
            </w:r>
          </w:p>
        </w:tc>
        <w:tc>
          <w:tcPr>
            <w:tcW w:w="7300" w:type="dxa"/>
            <w:vAlign w:val="bottom"/>
          </w:tcPr>
          <w:p>
            <w:pPr>
              <w:ind w:left="20"/>
              <w:spacing w:after="0"/>
              <w:rPr>
                <w:sz w:val="20"/>
                <w:szCs w:val="20"/>
                <w:color w:val="auto"/>
              </w:rPr>
            </w:pPr>
            <w:r>
              <w:rPr>
                <w:rFonts w:ascii="Arial" w:cs="Arial" w:eastAsia="Arial" w:hAnsi="Arial"/>
                <w:sz w:val="20"/>
                <w:szCs w:val="20"/>
                <w:color w:val="1F1F1F"/>
              </w:rPr>
              <w:t>Rights Reserved by Landlord</w:t>
            </w:r>
          </w:p>
        </w:tc>
        <w:tc>
          <w:tcPr>
            <w:tcW w:w="2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20.4</w:t>
            </w:r>
          </w:p>
        </w:tc>
        <w:tc>
          <w:tcPr>
            <w:tcW w:w="7300" w:type="dxa"/>
            <w:vAlign w:val="bottom"/>
          </w:tcPr>
          <w:p>
            <w:pPr>
              <w:ind w:left="20"/>
              <w:spacing w:after="0"/>
              <w:rPr>
                <w:sz w:val="20"/>
                <w:szCs w:val="20"/>
                <w:color w:val="auto"/>
              </w:rPr>
            </w:pPr>
            <w:r>
              <w:rPr>
                <w:rFonts w:ascii="Arial" w:cs="Arial" w:eastAsia="Arial" w:hAnsi="Arial"/>
                <w:sz w:val="20"/>
                <w:szCs w:val="20"/>
                <w:color w:val="1F1F1F"/>
              </w:rPr>
              <w:t>Quiet Enjoyment</w:t>
            </w:r>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20.5</w:t>
            </w:r>
          </w:p>
        </w:tc>
        <w:tc>
          <w:tcPr>
            <w:tcW w:w="7300" w:type="dxa"/>
            <w:vAlign w:val="bottom"/>
          </w:tcPr>
          <w:p>
            <w:pPr>
              <w:ind w:left="20"/>
              <w:spacing w:after="0"/>
              <w:rPr>
                <w:sz w:val="20"/>
                <w:szCs w:val="20"/>
                <w:color w:val="auto"/>
              </w:rPr>
            </w:pPr>
            <w:r>
              <w:rPr>
                <w:rFonts w:ascii="Arial" w:cs="Arial" w:eastAsia="Arial" w:hAnsi="Arial"/>
                <w:sz w:val="20"/>
                <w:szCs w:val="20"/>
                <w:color w:val="1F1F1F"/>
              </w:rPr>
              <w:t>Force Majeure</w:t>
            </w:r>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20.6</w:t>
            </w:r>
          </w:p>
        </w:tc>
        <w:tc>
          <w:tcPr>
            <w:tcW w:w="7300" w:type="dxa"/>
            <w:vAlign w:val="bottom"/>
          </w:tcPr>
          <w:p>
            <w:pPr>
              <w:ind w:left="20"/>
              <w:spacing w:after="0"/>
              <w:rPr>
                <w:sz w:val="20"/>
                <w:szCs w:val="20"/>
                <w:color w:val="auto"/>
              </w:rPr>
            </w:pPr>
            <w:r>
              <w:rPr>
                <w:rFonts w:ascii="Arial" w:cs="Arial" w:eastAsia="Arial" w:hAnsi="Arial"/>
                <w:sz w:val="20"/>
                <w:szCs w:val="20"/>
                <w:color w:val="1F1F1F"/>
              </w:rPr>
              <w:t>Counterparts</w:t>
            </w:r>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20.7</w:t>
            </w:r>
          </w:p>
        </w:tc>
        <w:tc>
          <w:tcPr>
            <w:tcW w:w="7300" w:type="dxa"/>
            <w:vAlign w:val="bottom"/>
          </w:tcPr>
          <w:p>
            <w:pPr>
              <w:ind w:left="20"/>
              <w:spacing w:after="0"/>
              <w:rPr>
                <w:sz w:val="20"/>
                <w:szCs w:val="20"/>
                <w:color w:val="auto"/>
              </w:rPr>
            </w:pPr>
            <w:r>
              <w:rPr>
                <w:rFonts w:ascii="Arial" w:cs="Arial" w:eastAsia="Arial" w:hAnsi="Arial"/>
                <w:sz w:val="20"/>
                <w:szCs w:val="20"/>
                <w:color w:val="1F1F1F"/>
              </w:rPr>
              <w:t>Execution of Lease</w:t>
            </w:r>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20.8</w:t>
            </w:r>
          </w:p>
        </w:tc>
        <w:tc>
          <w:tcPr>
            <w:tcW w:w="7300" w:type="dxa"/>
            <w:vAlign w:val="bottom"/>
          </w:tcPr>
          <w:p>
            <w:pPr>
              <w:ind w:left="20"/>
              <w:spacing w:after="0"/>
              <w:rPr>
                <w:sz w:val="20"/>
                <w:szCs w:val="20"/>
                <w:color w:val="auto"/>
              </w:rPr>
            </w:pPr>
            <w:r>
              <w:rPr>
                <w:rFonts w:ascii="Arial" w:cs="Arial" w:eastAsia="Arial" w:hAnsi="Arial"/>
                <w:sz w:val="20"/>
                <w:szCs w:val="20"/>
                <w:color w:val="1F1F1F"/>
              </w:rPr>
              <w:t>Further Assurances</w:t>
            </w:r>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2"/>
        </w:trPr>
        <w:tc>
          <w:tcPr>
            <w:tcW w:w="1320" w:type="dxa"/>
            <w:vAlign w:val="bottom"/>
          </w:tcPr>
          <w:p>
            <w:pPr>
              <w:ind w:left="340"/>
              <w:spacing w:after="0"/>
              <w:rPr>
                <w:sz w:val="20"/>
                <w:szCs w:val="20"/>
                <w:color w:val="auto"/>
              </w:rPr>
            </w:pPr>
            <w:r>
              <w:rPr>
                <w:rFonts w:ascii="Arial" w:cs="Arial" w:eastAsia="Arial" w:hAnsi="Arial"/>
                <w:sz w:val="20"/>
                <w:szCs w:val="20"/>
                <w:color w:val="161616"/>
              </w:rPr>
              <w:t>20.9</w:t>
            </w:r>
          </w:p>
        </w:tc>
        <w:tc>
          <w:tcPr>
            <w:tcW w:w="7300" w:type="dxa"/>
            <w:vAlign w:val="bottom"/>
          </w:tcPr>
          <w:p>
            <w:pPr>
              <w:ind w:left="20"/>
              <w:spacing w:after="0"/>
              <w:rPr>
                <w:sz w:val="20"/>
                <w:szCs w:val="20"/>
                <w:color w:val="auto"/>
              </w:rPr>
            </w:pPr>
            <w:r>
              <w:rPr>
                <w:rFonts w:ascii="Arial" w:cs="Arial" w:eastAsia="Arial" w:hAnsi="Arial"/>
                <w:sz w:val="20"/>
                <w:szCs w:val="20"/>
                <w:color w:val="1F1F1F"/>
              </w:rPr>
              <w:t>Lender Protection</w:t>
            </w:r>
          </w:p>
        </w:tc>
        <w:tc>
          <w:tcPr>
            <w:tcW w:w="2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20.10</w:t>
            </w:r>
          </w:p>
        </w:tc>
        <w:tc>
          <w:tcPr>
            <w:tcW w:w="7300" w:type="dxa"/>
            <w:vAlign w:val="bottom"/>
          </w:tcPr>
          <w:p>
            <w:pPr>
              <w:ind w:left="20"/>
              <w:spacing w:after="0"/>
              <w:rPr>
                <w:sz w:val="20"/>
                <w:szCs w:val="20"/>
                <w:color w:val="auto"/>
              </w:rPr>
            </w:pPr>
            <w:r>
              <w:rPr>
                <w:rFonts w:ascii="Arial" w:cs="Arial" w:eastAsia="Arial" w:hAnsi="Arial"/>
                <w:sz w:val="20"/>
                <w:szCs w:val="20"/>
                <w:color w:val="1F1F1F"/>
              </w:rPr>
              <w:t>Expenses of Litigation</w:t>
            </w:r>
          </w:p>
        </w:tc>
        <w:tc>
          <w:tcPr>
            <w:tcW w:w="28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20.11</w:t>
            </w:r>
          </w:p>
        </w:tc>
        <w:tc>
          <w:tcPr>
            <w:tcW w:w="7300" w:type="dxa"/>
            <w:vAlign w:val="bottom"/>
          </w:tcPr>
          <w:p>
            <w:pPr>
              <w:ind w:left="20"/>
              <w:spacing w:after="0"/>
              <w:rPr>
                <w:sz w:val="20"/>
                <w:szCs w:val="20"/>
                <w:color w:val="auto"/>
              </w:rPr>
            </w:pPr>
            <w:r>
              <w:rPr>
                <w:rFonts w:ascii="Arial" w:cs="Arial" w:eastAsia="Arial" w:hAnsi="Arial"/>
                <w:sz w:val="20"/>
                <w:szCs w:val="20"/>
                <w:color w:val="1F1F1F"/>
              </w:rPr>
              <w:t>Tenant’s Certificates</w:t>
            </w:r>
          </w:p>
        </w:tc>
        <w:tc>
          <w:tcPr>
            <w:tcW w:w="28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20.12</w:t>
            </w:r>
          </w:p>
        </w:tc>
        <w:tc>
          <w:tcPr>
            <w:tcW w:w="7300" w:type="dxa"/>
            <w:vAlign w:val="bottom"/>
          </w:tcPr>
          <w:p>
            <w:pPr>
              <w:ind w:left="20"/>
              <w:spacing w:after="0"/>
              <w:rPr>
                <w:sz w:val="20"/>
                <w:szCs w:val="20"/>
                <w:color w:val="auto"/>
              </w:rPr>
            </w:pPr>
            <w:r>
              <w:rPr>
                <w:rFonts w:ascii="Arial" w:cs="Arial" w:eastAsia="Arial" w:hAnsi="Arial"/>
                <w:sz w:val="20"/>
                <w:szCs w:val="20"/>
                <w:color w:val="1F1F1F"/>
              </w:rPr>
              <w:t>Holding Over</w:t>
            </w:r>
          </w:p>
        </w:tc>
        <w:tc>
          <w:tcPr>
            <w:tcW w:w="28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20.13</w:t>
            </w:r>
          </w:p>
        </w:tc>
        <w:tc>
          <w:tcPr>
            <w:tcW w:w="7300" w:type="dxa"/>
            <w:vAlign w:val="bottom"/>
          </w:tcPr>
          <w:p>
            <w:pPr>
              <w:ind w:left="20"/>
              <w:spacing w:after="0"/>
              <w:rPr>
                <w:sz w:val="20"/>
                <w:szCs w:val="20"/>
                <w:color w:val="auto"/>
              </w:rPr>
            </w:pPr>
            <w:r>
              <w:rPr>
                <w:rFonts w:ascii="Arial" w:cs="Arial" w:eastAsia="Arial" w:hAnsi="Arial"/>
                <w:sz w:val="20"/>
                <w:szCs w:val="20"/>
                <w:color w:val="1F1F1F"/>
              </w:rPr>
              <w:t>Notices</w:t>
            </w:r>
          </w:p>
        </w:tc>
        <w:tc>
          <w:tcPr>
            <w:tcW w:w="2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20.14</w:t>
            </w:r>
          </w:p>
        </w:tc>
        <w:tc>
          <w:tcPr>
            <w:tcW w:w="7300" w:type="dxa"/>
            <w:vAlign w:val="bottom"/>
          </w:tcPr>
          <w:p>
            <w:pPr>
              <w:ind w:left="20"/>
              <w:spacing w:after="0"/>
              <w:rPr>
                <w:sz w:val="20"/>
                <w:szCs w:val="20"/>
                <w:color w:val="auto"/>
              </w:rPr>
            </w:pPr>
            <w:r>
              <w:rPr>
                <w:rFonts w:ascii="Arial" w:cs="Arial" w:eastAsia="Arial" w:hAnsi="Arial"/>
                <w:sz w:val="20"/>
                <w:szCs w:val="20"/>
                <w:color w:val="1F1F1F"/>
              </w:rPr>
              <w:t>Rules and Regulations</w:t>
            </w:r>
          </w:p>
        </w:tc>
        <w:tc>
          <w:tcPr>
            <w:tcW w:w="2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20.15</w:t>
            </w:r>
          </w:p>
        </w:tc>
        <w:tc>
          <w:tcPr>
            <w:tcW w:w="7300" w:type="dxa"/>
            <w:vAlign w:val="bottom"/>
          </w:tcPr>
          <w:p>
            <w:pPr>
              <w:ind w:left="20"/>
              <w:spacing w:after="0"/>
              <w:rPr>
                <w:sz w:val="20"/>
                <w:szCs w:val="20"/>
                <w:color w:val="auto"/>
              </w:rPr>
            </w:pPr>
            <w:r>
              <w:rPr>
                <w:rFonts w:ascii="Arial" w:cs="Arial" w:eastAsia="Arial" w:hAnsi="Arial"/>
                <w:sz w:val="20"/>
                <w:szCs w:val="20"/>
                <w:color w:val="1C1C1C"/>
              </w:rPr>
              <w:t xml:space="preserve">Waiver of Jury Trial; Venue </w:t>
            </w:r>
            <w:r>
              <w:rPr>
                <w:rFonts w:ascii="Arial" w:cs="Arial" w:eastAsia="Arial" w:hAnsi="Arial"/>
                <w:sz w:val="20"/>
                <w:szCs w:val="20"/>
                <w:color w:val="2F2F2F"/>
              </w:rPr>
              <w:t>and</w:t>
            </w:r>
            <w:r>
              <w:rPr>
                <w:rFonts w:ascii="Arial" w:cs="Arial" w:eastAsia="Arial" w:hAnsi="Arial"/>
                <w:sz w:val="20"/>
                <w:szCs w:val="20"/>
                <w:color w:val="1C1C1C"/>
              </w:rPr>
              <w:t xml:space="preserve"> Jurisdiction</w:t>
            </w:r>
          </w:p>
        </w:tc>
        <w:tc>
          <w:tcPr>
            <w:tcW w:w="2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20.16</w:t>
            </w:r>
          </w:p>
        </w:tc>
        <w:tc>
          <w:tcPr>
            <w:tcW w:w="7300" w:type="dxa"/>
            <w:vAlign w:val="bottom"/>
          </w:tcPr>
          <w:p>
            <w:pPr>
              <w:ind w:left="20"/>
              <w:spacing w:after="0"/>
              <w:rPr>
                <w:sz w:val="20"/>
                <w:szCs w:val="20"/>
                <w:color w:val="auto"/>
              </w:rPr>
            </w:pPr>
            <w:r>
              <w:rPr>
                <w:rFonts w:ascii="Arial" w:cs="Arial" w:eastAsia="Arial" w:hAnsi="Arial"/>
                <w:sz w:val="20"/>
                <w:szCs w:val="20"/>
                <w:color w:val="1C1C1C"/>
              </w:rPr>
              <w:t xml:space="preserve">Governing </w:t>
            </w:r>
            <w:r>
              <w:rPr>
                <w:rFonts w:ascii="Arial" w:cs="Arial" w:eastAsia="Arial" w:hAnsi="Arial"/>
                <w:sz w:val="20"/>
                <w:szCs w:val="20"/>
                <w:color w:val="2F2F2F"/>
              </w:rPr>
              <w:t>Laws</w:t>
            </w:r>
          </w:p>
        </w:tc>
        <w:tc>
          <w:tcPr>
            <w:tcW w:w="2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20.17</w:t>
            </w:r>
          </w:p>
        </w:tc>
        <w:tc>
          <w:tcPr>
            <w:tcW w:w="7300" w:type="dxa"/>
            <w:vAlign w:val="bottom"/>
          </w:tcPr>
          <w:p>
            <w:pPr>
              <w:ind w:left="20"/>
              <w:spacing w:after="0"/>
              <w:rPr>
                <w:sz w:val="20"/>
                <w:szCs w:val="20"/>
                <w:color w:val="auto"/>
              </w:rPr>
            </w:pPr>
            <w:r>
              <w:rPr>
                <w:rFonts w:ascii="Arial" w:cs="Arial" w:eastAsia="Arial" w:hAnsi="Arial"/>
                <w:sz w:val="20"/>
                <w:szCs w:val="20"/>
                <w:color w:val="2F2F2F"/>
              </w:rPr>
              <w:t xml:space="preserve">Heading and </w:t>
            </w:r>
            <w:r>
              <w:rPr>
                <w:rFonts w:ascii="Arial" w:cs="Arial" w:eastAsia="Arial" w:hAnsi="Arial"/>
                <w:sz w:val="20"/>
                <w:szCs w:val="20"/>
                <w:color w:val="1C1C1C"/>
              </w:rPr>
              <w:t>Titles</w:t>
            </w:r>
          </w:p>
        </w:tc>
        <w:tc>
          <w:tcPr>
            <w:tcW w:w="2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20.18</w:t>
            </w:r>
          </w:p>
        </w:tc>
        <w:tc>
          <w:tcPr>
            <w:tcW w:w="7300" w:type="dxa"/>
            <w:vAlign w:val="bottom"/>
          </w:tcPr>
          <w:p>
            <w:pPr>
              <w:ind w:left="20"/>
              <w:spacing w:after="0"/>
              <w:rPr>
                <w:sz w:val="20"/>
                <w:szCs w:val="20"/>
                <w:color w:val="auto"/>
              </w:rPr>
            </w:pPr>
            <w:r>
              <w:rPr>
                <w:rFonts w:ascii="Arial" w:cs="Arial" w:eastAsia="Arial" w:hAnsi="Arial"/>
                <w:sz w:val="20"/>
                <w:szCs w:val="20"/>
                <w:color w:val="2F2F2F"/>
              </w:rPr>
              <w:t xml:space="preserve">Heirs </w:t>
            </w:r>
            <w:r>
              <w:rPr>
                <w:rFonts w:ascii="Arial" w:cs="Arial" w:eastAsia="Arial" w:hAnsi="Arial"/>
                <w:sz w:val="20"/>
                <w:szCs w:val="20"/>
                <w:color w:val="1C1C1C"/>
              </w:rPr>
              <w:t>and</w:t>
            </w:r>
            <w:r>
              <w:rPr>
                <w:rFonts w:ascii="Arial" w:cs="Arial" w:eastAsia="Arial" w:hAnsi="Arial"/>
                <w:sz w:val="20"/>
                <w:szCs w:val="20"/>
                <w:color w:val="2F2F2F"/>
              </w:rPr>
              <w:t xml:space="preserve"> Assigns</w:t>
            </w: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20.19</w:t>
            </w:r>
          </w:p>
        </w:tc>
        <w:tc>
          <w:tcPr>
            <w:tcW w:w="7300" w:type="dxa"/>
            <w:vAlign w:val="bottom"/>
          </w:tcPr>
          <w:p>
            <w:pPr>
              <w:ind w:left="20"/>
              <w:spacing w:after="0"/>
              <w:rPr>
                <w:sz w:val="20"/>
                <w:szCs w:val="20"/>
                <w:color w:val="auto"/>
              </w:rPr>
            </w:pPr>
            <w:r>
              <w:rPr>
                <w:rFonts w:ascii="Arial" w:cs="Arial" w:eastAsia="Arial" w:hAnsi="Arial"/>
                <w:sz w:val="20"/>
                <w:szCs w:val="20"/>
                <w:color w:val="1C1C1C"/>
              </w:rPr>
              <w:t>Time of Essence</w:t>
            </w: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20.20</w:t>
            </w:r>
          </w:p>
        </w:tc>
        <w:tc>
          <w:tcPr>
            <w:tcW w:w="7300" w:type="dxa"/>
            <w:vAlign w:val="bottom"/>
          </w:tcPr>
          <w:p>
            <w:pPr>
              <w:ind w:left="20"/>
              <w:spacing w:after="0"/>
              <w:rPr>
                <w:sz w:val="20"/>
                <w:szCs w:val="20"/>
                <w:color w:val="auto"/>
              </w:rPr>
            </w:pPr>
            <w:r>
              <w:rPr>
                <w:rFonts w:ascii="Arial" w:cs="Arial" w:eastAsia="Arial" w:hAnsi="Arial"/>
                <w:sz w:val="20"/>
                <w:szCs w:val="20"/>
                <w:color w:val="1C1C1C"/>
              </w:rPr>
              <w:t>Severability</w:t>
            </w: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20.21</w:t>
            </w:r>
          </w:p>
        </w:tc>
        <w:tc>
          <w:tcPr>
            <w:tcW w:w="7300" w:type="dxa"/>
            <w:vAlign w:val="bottom"/>
          </w:tcPr>
          <w:p>
            <w:pPr>
              <w:ind w:left="20"/>
              <w:spacing w:after="0"/>
              <w:rPr>
                <w:sz w:val="20"/>
                <w:szCs w:val="20"/>
                <w:color w:val="auto"/>
              </w:rPr>
            </w:pPr>
            <w:r>
              <w:rPr>
                <w:rFonts w:ascii="Arial" w:cs="Arial" w:eastAsia="Arial" w:hAnsi="Arial"/>
                <w:sz w:val="20"/>
                <w:szCs w:val="20"/>
                <w:color w:val="1C1C1C"/>
              </w:rPr>
              <w:t>Authority</w:t>
            </w: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20.22</w:t>
            </w:r>
          </w:p>
        </w:tc>
        <w:tc>
          <w:tcPr>
            <w:tcW w:w="7300" w:type="dxa"/>
            <w:vAlign w:val="bottom"/>
          </w:tcPr>
          <w:p>
            <w:pPr>
              <w:ind w:left="20"/>
              <w:spacing w:after="0"/>
              <w:rPr>
                <w:sz w:val="20"/>
                <w:szCs w:val="20"/>
                <w:color w:val="auto"/>
              </w:rPr>
            </w:pPr>
            <w:r>
              <w:rPr>
                <w:rFonts w:ascii="Arial" w:cs="Arial" w:eastAsia="Arial" w:hAnsi="Arial"/>
                <w:sz w:val="20"/>
                <w:szCs w:val="20"/>
                <w:color w:val="1C1C1C"/>
              </w:rPr>
              <w:t>Brokers</w:t>
            </w: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ind w:left="320"/>
              <w:spacing w:after="0"/>
              <w:rPr>
                <w:sz w:val="20"/>
                <w:szCs w:val="20"/>
                <w:color w:val="auto"/>
              </w:rPr>
            </w:pPr>
            <w:r>
              <w:rPr>
                <w:rFonts w:ascii="Arial" w:cs="Arial" w:eastAsia="Arial" w:hAnsi="Arial"/>
                <w:sz w:val="20"/>
                <w:szCs w:val="20"/>
                <w:color w:val="161616"/>
              </w:rPr>
              <w:t>20.23</w:t>
            </w:r>
          </w:p>
        </w:tc>
        <w:tc>
          <w:tcPr>
            <w:tcW w:w="7300" w:type="dxa"/>
            <w:vAlign w:val="bottom"/>
          </w:tcPr>
          <w:p>
            <w:pPr>
              <w:ind w:left="20"/>
              <w:spacing w:after="0"/>
              <w:rPr>
                <w:sz w:val="20"/>
                <w:szCs w:val="20"/>
                <w:color w:val="auto"/>
              </w:rPr>
            </w:pPr>
            <w:r>
              <w:rPr>
                <w:rFonts w:ascii="Arial" w:cs="Arial" w:eastAsia="Arial" w:hAnsi="Arial"/>
                <w:sz w:val="20"/>
                <w:szCs w:val="20"/>
                <w:color w:val="1C1C1C"/>
              </w:rPr>
              <w:t>No Light, Air or View Easement</w:t>
            </w: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665"/>
        </w:trPr>
        <w:tc>
          <w:tcPr>
            <w:tcW w:w="1320" w:type="dxa"/>
            <w:vAlign w:val="bottom"/>
          </w:tcPr>
          <w:p>
            <w:pPr>
              <w:spacing w:after="0"/>
              <w:rPr>
                <w:sz w:val="20"/>
                <w:szCs w:val="20"/>
                <w:color w:val="auto"/>
              </w:rPr>
            </w:pPr>
            <w:r>
              <w:rPr>
                <w:rFonts w:ascii="Arial" w:cs="Arial" w:eastAsia="Arial" w:hAnsi="Arial"/>
                <w:sz w:val="14"/>
                <w:szCs w:val="14"/>
                <w:color w:val="auto"/>
                <w:w w:val="93"/>
              </w:rPr>
              <w:t>09338.008 2450031v3</w:t>
            </w:r>
          </w:p>
        </w:tc>
        <w:tc>
          <w:tcPr>
            <w:tcW w:w="7300" w:type="dxa"/>
            <w:vAlign w:val="bottom"/>
          </w:tcPr>
          <w:p>
            <w:pPr>
              <w:ind w:left="4260"/>
              <w:spacing w:after="0"/>
              <w:rPr>
                <w:sz w:val="20"/>
                <w:szCs w:val="20"/>
                <w:color w:val="auto"/>
              </w:rPr>
            </w:pPr>
            <w:r>
              <w:rPr>
                <w:rFonts w:ascii="Arial" w:cs="Arial" w:eastAsia="Arial" w:hAnsi="Arial"/>
                <w:sz w:val="20"/>
                <w:szCs w:val="20"/>
                <w:color w:val="auto"/>
              </w:rPr>
              <w:t>iv</w:t>
            </w:r>
          </w:p>
        </w:tc>
        <w:tc>
          <w:tcPr>
            <w:tcW w:w="280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ActiveUS 172034323v.3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50"/>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20.24</w:t>
            </w:r>
          </w:p>
        </w:tc>
        <w:tc>
          <w:tcPr>
            <w:tcW w:w="4100" w:type="dxa"/>
            <w:vAlign w:val="bottom"/>
          </w:tcPr>
          <w:p>
            <w:pPr>
              <w:ind w:left="20"/>
              <w:spacing w:after="0"/>
              <w:rPr>
                <w:sz w:val="20"/>
                <w:szCs w:val="20"/>
                <w:color w:val="auto"/>
              </w:rPr>
            </w:pPr>
            <w:r>
              <w:rPr>
                <w:rFonts w:ascii="Arial" w:cs="Arial" w:eastAsia="Arial" w:hAnsi="Arial"/>
                <w:sz w:val="20"/>
                <w:szCs w:val="20"/>
                <w:color w:val="2F2F2F"/>
              </w:rPr>
              <w:t>Entire Agreement</w:t>
            </w:r>
          </w:p>
        </w:tc>
        <w:tc>
          <w:tcPr>
            <w:tcW w:w="60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20.25</w:t>
            </w:r>
          </w:p>
        </w:tc>
        <w:tc>
          <w:tcPr>
            <w:tcW w:w="4100" w:type="dxa"/>
            <w:vAlign w:val="bottom"/>
          </w:tcPr>
          <w:p>
            <w:pPr>
              <w:ind w:left="20"/>
              <w:spacing w:after="0"/>
              <w:rPr>
                <w:sz w:val="20"/>
                <w:szCs w:val="20"/>
                <w:color w:val="auto"/>
              </w:rPr>
            </w:pPr>
            <w:r>
              <w:rPr>
                <w:rFonts w:ascii="Arial" w:cs="Arial" w:eastAsia="Arial" w:hAnsi="Arial"/>
                <w:sz w:val="20"/>
                <w:szCs w:val="20"/>
                <w:color w:val="1C1C1C"/>
              </w:rPr>
              <w:t>Recording</w:t>
            </w:r>
          </w:p>
        </w:tc>
        <w:tc>
          <w:tcPr>
            <w:tcW w:w="60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20.26</w:t>
            </w:r>
          </w:p>
        </w:tc>
        <w:tc>
          <w:tcPr>
            <w:tcW w:w="4100" w:type="dxa"/>
            <w:vAlign w:val="bottom"/>
          </w:tcPr>
          <w:p>
            <w:pPr>
              <w:ind w:left="20"/>
              <w:spacing w:after="0"/>
              <w:rPr>
                <w:sz w:val="20"/>
                <w:szCs w:val="20"/>
                <w:color w:val="auto"/>
              </w:rPr>
            </w:pPr>
            <w:r>
              <w:rPr>
                <w:rFonts w:ascii="Arial" w:cs="Arial" w:eastAsia="Arial" w:hAnsi="Arial"/>
                <w:sz w:val="20"/>
                <w:szCs w:val="20"/>
                <w:color w:val="2F2F2F"/>
                <w:w w:val="94"/>
              </w:rPr>
              <w:t xml:space="preserve">Number </w:t>
            </w:r>
            <w:r>
              <w:rPr>
                <w:rFonts w:ascii="Arial" w:cs="Arial" w:eastAsia="Arial" w:hAnsi="Arial"/>
                <w:sz w:val="20"/>
                <w:szCs w:val="20"/>
                <w:color w:val="1C1C1C"/>
                <w:w w:val="94"/>
              </w:rPr>
              <w:t>and Genders; Joint and Several Liability</w:t>
            </w:r>
          </w:p>
        </w:tc>
        <w:tc>
          <w:tcPr>
            <w:tcW w:w="60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20.27</w:t>
            </w:r>
          </w:p>
        </w:tc>
        <w:tc>
          <w:tcPr>
            <w:tcW w:w="4100" w:type="dxa"/>
            <w:vAlign w:val="bottom"/>
          </w:tcPr>
          <w:p>
            <w:pPr>
              <w:ind w:left="20"/>
              <w:spacing w:after="0"/>
              <w:rPr>
                <w:sz w:val="20"/>
                <w:szCs w:val="20"/>
                <w:color w:val="auto"/>
              </w:rPr>
            </w:pPr>
            <w:r>
              <w:rPr>
                <w:rFonts w:ascii="Arial" w:cs="Arial" w:eastAsia="Arial" w:hAnsi="Arial"/>
                <w:sz w:val="20"/>
                <w:szCs w:val="20"/>
                <w:color w:val="1C1C1C"/>
              </w:rPr>
              <w:t>Waiver</w:t>
            </w:r>
          </w:p>
        </w:tc>
        <w:tc>
          <w:tcPr>
            <w:tcW w:w="60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20.28</w:t>
            </w:r>
          </w:p>
        </w:tc>
        <w:tc>
          <w:tcPr>
            <w:tcW w:w="4100" w:type="dxa"/>
            <w:vAlign w:val="bottom"/>
          </w:tcPr>
          <w:p>
            <w:pPr>
              <w:ind w:left="20"/>
              <w:spacing w:after="0"/>
              <w:rPr>
                <w:sz w:val="20"/>
                <w:szCs w:val="20"/>
                <w:color w:val="auto"/>
              </w:rPr>
            </w:pPr>
            <w:r>
              <w:rPr>
                <w:rFonts w:ascii="Arial" w:cs="Arial" w:eastAsia="Arial" w:hAnsi="Arial"/>
                <w:sz w:val="20"/>
                <w:szCs w:val="20"/>
                <w:color w:val="1C1C1C"/>
              </w:rPr>
              <w:t>No Merger</w:t>
            </w:r>
          </w:p>
        </w:tc>
        <w:tc>
          <w:tcPr>
            <w:tcW w:w="60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20.29</w:t>
            </w:r>
          </w:p>
        </w:tc>
        <w:tc>
          <w:tcPr>
            <w:tcW w:w="4100" w:type="dxa"/>
            <w:vAlign w:val="bottom"/>
          </w:tcPr>
          <w:p>
            <w:pPr>
              <w:ind w:left="20"/>
              <w:spacing w:after="0"/>
              <w:rPr>
                <w:sz w:val="20"/>
                <w:szCs w:val="20"/>
                <w:color w:val="auto"/>
              </w:rPr>
            </w:pPr>
            <w:r>
              <w:rPr>
                <w:rFonts w:ascii="Arial" w:cs="Arial" w:eastAsia="Arial" w:hAnsi="Arial"/>
                <w:sz w:val="20"/>
                <w:szCs w:val="20"/>
                <w:color w:val="1C1C1C"/>
              </w:rPr>
              <w:t>No Representations or Warranties</w:t>
            </w:r>
          </w:p>
        </w:tc>
        <w:tc>
          <w:tcPr>
            <w:tcW w:w="60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20.30</w:t>
            </w:r>
          </w:p>
        </w:tc>
        <w:tc>
          <w:tcPr>
            <w:tcW w:w="4100" w:type="dxa"/>
            <w:vAlign w:val="bottom"/>
          </w:tcPr>
          <w:p>
            <w:pPr>
              <w:ind w:left="20"/>
              <w:spacing w:after="0"/>
              <w:rPr>
                <w:sz w:val="20"/>
                <w:szCs w:val="20"/>
                <w:color w:val="auto"/>
              </w:rPr>
            </w:pPr>
            <w:r>
              <w:rPr>
                <w:rFonts w:ascii="Arial" w:cs="Arial" w:eastAsia="Arial" w:hAnsi="Arial"/>
                <w:sz w:val="20"/>
                <w:szCs w:val="20"/>
                <w:color w:val="1C1C1C"/>
              </w:rPr>
              <w:t>Amendments</w:t>
            </w:r>
          </w:p>
        </w:tc>
        <w:tc>
          <w:tcPr>
            <w:tcW w:w="60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32"/>
        </w:trPr>
        <w:tc>
          <w:tcPr>
            <w:tcW w:w="1320" w:type="dxa"/>
            <w:vAlign w:val="bottom"/>
          </w:tcPr>
          <w:p>
            <w:pPr>
              <w:jc w:val="right"/>
              <w:ind w:right="464"/>
              <w:spacing w:after="0"/>
              <w:rPr>
                <w:sz w:val="20"/>
                <w:szCs w:val="20"/>
                <w:color w:val="auto"/>
              </w:rPr>
            </w:pPr>
            <w:r>
              <w:rPr>
                <w:rFonts w:ascii="Arial" w:cs="Arial" w:eastAsia="Arial" w:hAnsi="Arial"/>
                <w:sz w:val="20"/>
                <w:szCs w:val="20"/>
                <w:color w:val="161616"/>
              </w:rPr>
              <w:t>20.31</w:t>
            </w:r>
          </w:p>
        </w:tc>
        <w:tc>
          <w:tcPr>
            <w:tcW w:w="4100" w:type="dxa"/>
            <w:vAlign w:val="bottom"/>
          </w:tcPr>
          <w:p>
            <w:pPr>
              <w:ind w:left="20"/>
              <w:spacing w:after="0"/>
              <w:rPr>
                <w:sz w:val="20"/>
                <w:szCs w:val="20"/>
                <w:color w:val="auto"/>
              </w:rPr>
            </w:pPr>
            <w:r>
              <w:rPr>
                <w:rFonts w:ascii="Arial" w:cs="Arial" w:eastAsia="Arial" w:hAnsi="Arial"/>
                <w:sz w:val="20"/>
                <w:szCs w:val="20"/>
                <w:color w:val="1C1C1C"/>
              </w:rPr>
              <w:t>Exhibits</w:t>
            </w:r>
          </w:p>
        </w:tc>
        <w:tc>
          <w:tcPr>
            <w:tcW w:w="60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894"/>
        </w:trPr>
        <w:tc>
          <w:tcPr>
            <w:tcW w:w="1320" w:type="dxa"/>
            <w:vAlign w:val="bottom"/>
          </w:tcPr>
          <w:p>
            <w:pPr>
              <w:jc w:val="right"/>
              <w:spacing w:after="0"/>
              <w:rPr>
                <w:sz w:val="20"/>
                <w:szCs w:val="20"/>
                <w:color w:val="auto"/>
              </w:rPr>
            </w:pPr>
            <w:r>
              <w:rPr>
                <w:rFonts w:ascii="Arial" w:cs="Arial" w:eastAsia="Arial" w:hAnsi="Arial"/>
                <w:sz w:val="14"/>
                <w:szCs w:val="14"/>
                <w:color w:val="auto"/>
                <w:w w:val="91"/>
              </w:rPr>
              <w:t>09338.008 2450031v3</w:t>
            </w:r>
          </w:p>
        </w:tc>
        <w:tc>
          <w:tcPr>
            <w:tcW w:w="4100" w:type="dxa"/>
            <w:vAlign w:val="bottom"/>
          </w:tcPr>
          <w:p>
            <w:pPr>
              <w:spacing w:after="0"/>
              <w:rPr>
                <w:sz w:val="24"/>
                <w:szCs w:val="24"/>
                <w:color w:val="auto"/>
              </w:rPr>
            </w:pPr>
          </w:p>
        </w:tc>
        <w:tc>
          <w:tcPr>
            <w:tcW w:w="6000" w:type="dxa"/>
            <w:vAlign w:val="bottom"/>
          </w:tcPr>
          <w:p>
            <w:pPr>
              <w:jc w:val="right"/>
              <w:ind w:right="5641"/>
              <w:spacing w:after="0"/>
              <w:rPr>
                <w:sz w:val="20"/>
                <w:szCs w:val="20"/>
                <w:color w:val="auto"/>
              </w:rPr>
            </w:pPr>
            <w:r>
              <w:rPr>
                <w:rFonts w:ascii="Arial" w:cs="Arial" w:eastAsia="Arial" w:hAnsi="Arial"/>
                <w:sz w:val="20"/>
                <w:szCs w:val="20"/>
                <w:color w:val="auto"/>
              </w:rPr>
              <w:t>v</w:t>
            </w:r>
          </w:p>
        </w:tc>
      </w:tr>
    </w:tbl>
    <w:p>
      <w:pPr>
        <w:spacing w:after="0"/>
        <w:rPr>
          <w:sz w:val="20"/>
          <w:szCs w:val="20"/>
          <w:color w:val="auto"/>
        </w:rPr>
      </w:pPr>
      <w:r>
        <w:rPr>
          <w:rFonts w:ascii="Arial" w:cs="Arial" w:eastAsia="Arial" w:hAnsi="Arial"/>
          <w:sz w:val="14"/>
          <w:szCs w:val="14"/>
          <w:color w:val="auto"/>
        </w:rPr>
        <w:t>ActiveUS 172034323v.3</w:t>
      </w:r>
    </w:p>
    <w:p>
      <w:pPr>
        <w:sectPr>
          <w:pgSz w:w="11900" w:h="16838" w:orient="portrait"/>
          <w:cols w:equalWidth="0" w:num="1">
            <w:col w:w="11420"/>
          </w:cols>
          <w:pgMar w:left="240" w:top="555" w:right="239" w:bottom="1440" w:gutter="0" w:footer="0" w:header="0"/>
        </w:sectPr>
      </w:pPr>
    </w:p>
    <w:bookmarkStart w:id="184" w:name="page185"/>
    <w:bookmarkEnd w:id="184"/>
    <w:p>
      <w:pPr>
        <w:ind w:left="10480"/>
        <w:spacing w:after="0"/>
        <w:rPr>
          <w:sz w:val="20"/>
          <w:szCs w:val="20"/>
          <w:color w:val="auto"/>
        </w:rPr>
      </w:pPr>
      <w:r>
        <w:rPr>
          <w:rFonts w:ascii="Arial" w:cs="Arial" w:eastAsia="Arial" w:hAnsi="Arial"/>
          <w:sz w:val="16"/>
          <w:szCs w:val="16"/>
          <w:b w:val="1"/>
          <w:bCs w:val="1"/>
          <w:color w:val="auto"/>
        </w:rPr>
        <w:t>Exhibit 10.3</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April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Dr. Lukas Scheibler</w:t>
      </w:r>
    </w:p>
    <w:p>
      <w:pPr>
        <w:spacing w:after="0" w:line="230" w:lineRule="auto"/>
        <w:rPr>
          <w:sz w:val="20"/>
          <w:szCs w:val="20"/>
          <w:color w:val="auto"/>
        </w:rPr>
      </w:pPr>
      <w:r>
        <w:rPr>
          <w:rFonts w:ascii="Arial" w:cs="Arial" w:eastAsia="Arial" w:hAnsi="Arial"/>
          <w:sz w:val="22"/>
          <w:szCs w:val="22"/>
          <w:color w:val="auto"/>
        </w:rPr>
        <w:t>469 Saddle Horn Ln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Telluride,CO, 81435</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VIA EMAIL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Lukas,</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are pleased to extend you an offer to join Apellis Pharmaceuticals, Inc. (the “Company”) as its Executive Vice President of Research and Translational Medicine on the terms and conditions set forth in this letter. Subject to satisfaction of the conditions described in this letter, you will begin employment on Friday, April 13, 2018 (or another mutually acceptable start date) (the “Start Date”). You agree to devote your full business time, attention and best efforts to the performance of your duties and to the furtherance of the Company’s interests, and shall not engage in any other employment, consulting or other business activity without the prior written consent of the Company. Any exceptions must be first approved in writing by the Chief Executive Officer after consultation with the Board of Directors.</w:t>
      </w:r>
    </w:p>
    <w:p>
      <w:pPr>
        <w:spacing w:after="0" w:line="21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You will be expected to spend approximately two-thirds of your time working from our offices in Waltham, Massachusetts, San Francisco, California, or Crestwood, Kentucky, or traveling as may be reasonably required to properly fulfill your employment duties and responsibilities. Otherwise you will be permitted to work from your home office in Telluride, Colorado.</w:t>
      </w:r>
    </w:p>
    <w:p>
      <w:pPr>
        <w:spacing w:after="0" w:line="21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Your job responsibilities will include defining the Company’s overall strategy for research and pipeline development; assisting in leadership and strategic direction for the Company’s clinical programs; planning, supervising and executing the Company’s translational medicine projects; serving as the Company’s scientific point of reference for internal and external communications; and such other responsibilities as may be delegated to you by the Chief Executive Officer, all as may be modified from time to time by the Chief Executive Officer. You will report to the Chief Executive Officer.</w:t>
      </w:r>
    </w:p>
    <w:p>
      <w:pPr>
        <w:spacing w:after="0" w:line="21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Your initial salary will be $29,166 per month, equivalent to an annualized base salary of $ 350,000, paid in accordance with our standard payroll practices and subject to all withholdings and deductions as required by law, for your full-time efforts, of at least 40 hours per week. Your base salary will be subject to adjustment as determined by the Board of Directors in its sole discretion. You will also be eligible for annual bonus compensation of up to 35% of your annualized base salary, based upon company, departmental and individual performance against the applicable performance goals established by the Board of Directors. For 2018, you will receive a pro-rated annual bonus based on the number of days you are employed during the year. You must remain continuously employed with the Company through the date of the bonus payment to receive such payment. All bonus payments, if any, are subject to the approval of the Board of Directors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5" w:name="page186"/>
    <w:bookmarkEnd w:id="185"/>
    <w:p>
      <w:pPr>
        <w:jc w:val="both"/>
        <w:spacing w:after="0" w:line="228" w:lineRule="auto"/>
        <w:rPr>
          <w:sz w:val="20"/>
          <w:szCs w:val="20"/>
          <w:color w:val="auto"/>
        </w:rPr>
      </w:pPr>
      <w:r>
        <w:rPr>
          <w:rFonts w:ascii="Arial" w:cs="Arial" w:eastAsia="Arial" w:hAnsi="Arial"/>
          <w:sz w:val="20"/>
          <w:szCs w:val="20"/>
          <w:color w:val="auto"/>
        </w:rPr>
        <w:t>You will be eligible for Apellis’ standard benefits package offered to every full-time employee, which currently includes health insurance, LTD/ADD/life insurance, and 401(k), provided that you are eligible under, and subject to all provisions of, the plan documents that govern those programs. You will be reimbursed for reasonable travel and other expenses incurred by you in performing your services to the Company in accordance with our reimbursement policy. You will be entitled to 20 days paid time off (PTO) for vacation, illness or personal business each full calendar year (i.e., accruing at the rate of 13.33 hours per month) in accordance with our PTO policy. You will also receive a technology allowance of $2,000 for the purchase of a work computer and a monthly telecommunications allowance of $100. Apellis reserves the right to amend, modify or terminate any of its benefit plans, policies or programs at any time and for any reason.</w:t>
      </w:r>
    </w:p>
    <w:p>
      <w:pPr>
        <w:spacing w:after="0" w:line="2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Subject to the approval of the Board of Directors, you will receive an option to purchase 145,000 shares of Common Stock at an exercise price equal to the fair market value as determined by the Board of Directors at the time of the grant, with such option to vest as to 25% of the underlying shares on the first anniversary of the Start Date and to vest as to the balance in equal monthly installments of 2.08% thereafter until the fourth anniversary of the Start Date. The vesting under your option will accelerate in accordance with the “double trigger” vesting provision generally applicable to the executives of the Company, where 50% of the unvested shares underlying the option shall vest if you are terminated without cause or resign for good reason within 12 months after a change of control event.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All forms of compensation paid to you as an employee shall be less all applicable withholdings.</w:t>
      </w:r>
    </w:p>
    <w:p>
      <w:pPr>
        <w:spacing w:after="0" w:line="21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On your first day of employment, you will be given additional information about our procedures, policies, benefit programs and more. We will require you, as conditions of employment, to verify your right to work in the United States and to enter into the standard noncompetition, nondisclosure and intellectual property assignment agreement on your first day of employment and to provide proof of your eligibility to work in the United States.</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By signing below, you represent that (i) your employment with the Company and this offer letter does not and will not violate or conflict with any obligations you may have to or any agreements you may have with any former employer and (ii) you have provided the Company with all written agreements that describe any continuing post-employment obligations to any former employer.</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Your employment will be at-will, and this letter does not represent any guarantee of employment for any period. If you wish to resign from your employment with the Company, we request not less than 15 calendar days’ written notice.</w:t>
      </w:r>
    </w:p>
    <w:p>
      <w:pPr>
        <w:spacing w:after="0" w:line="20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offer letter, along with the option agreement and the noncompetition, nondisclosure and development agreement, constitute the complete agreement between you and the Company, contain all the terms of your employment, and supersede any prior agreements, representations or understandings (whether written, oral or implied) between you and the Company. The terms of this offer letter and the resolution of any disputes as to the meaning, effect, performance or validity of this offer letter or arising out of, related to, or in any way connected with, this offer letter, your employment with the Company or any other relationship between you and the Company (the “Disputes”) will be governed by Massachusetts law, excluding laws relating to conflicts or choice of law. You and the Company submit to the exclusive personal jurisdiction of the federal and state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6" w:name="page187"/>
    <w:bookmarkEnd w:id="186"/>
    <w:p>
      <w:pPr>
        <w:jc w:val="both"/>
        <w:spacing w:after="0" w:line="236" w:lineRule="auto"/>
        <w:rPr>
          <w:sz w:val="20"/>
          <w:szCs w:val="20"/>
          <w:color w:val="auto"/>
        </w:rPr>
      </w:pPr>
      <w:r>
        <w:rPr>
          <w:rFonts w:ascii="Arial" w:cs="Arial" w:eastAsia="Arial" w:hAnsi="Arial"/>
          <w:sz w:val="20"/>
          <w:szCs w:val="20"/>
          <w:color w:val="auto"/>
        </w:rPr>
        <w:t>located in the Commonwealth of Massachusetts in connection with any Dispute or any claim related to any Dispute. This offer is contingent upon the successful completion of a background check and satisfactory reference check.</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are excited at the prospect of your joining our team. If this letter correctly sets forth the terms under which you will be employed by the Company, please sign the enclosed duplicate of this letter in the space provided below and return it to me. If you do not accept this offer by Monday, April 16, 2017, this offer will be deemed revoked. Please let me know if you have any questions.</w:t>
      </w:r>
    </w:p>
    <w:p>
      <w:pPr>
        <w:spacing w:after="0" w:line="209"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3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Cedric Francois, M.D., Ph.D</w:t>
      </w:r>
    </w:p>
    <w:p>
      <w:pPr>
        <w:ind w:left="4760"/>
        <w:spacing w:after="0" w:line="225" w:lineRule="auto"/>
        <w:rPr>
          <w:sz w:val="20"/>
          <w:szCs w:val="20"/>
          <w:color w:val="auto"/>
        </w:rPr>
      </w:pPr>
      <w:r>
        <w:rPr>
          <w:rFonts w:ascii="Arial" w:cs="Arial" w:eastAsia="Arial" w:hAnsi="Arial"/>
          <w:sz w:val="20"/>
          <w:szCs w:val="20"/>
          <w:color w:val="auto"/>
        </w:rPr>
        <w:t>Chief Executive Officer</w:t>
      </w:r>
    </w:p>
    <w:p>
      <w:pPr>
        <w:ind w:left="4760"/>
        <w:spacing w:after="0" w:line="226" w:lineRule="auto"/>
        <w:rPr>
          <w:sz w:val="20"/>
          <w:szCs w:val="20"/>
          <w:color w:val="auto"/>
        </w:rPr>
      </w:pPr>
      <w:r>
        <w:rPr>
          <w:rFonts w:ascii="Arial" w:cs="Arial" w:eastAsia="Arial" w:hAnsi="Arial"/>
          <w:sz w:val="20"/>
          <w:szCs w:val="20"/>
          <w:color w:val="auto"/>
        </w:rPr>
        <w:t>Apellis Pharmaceuticals Inc.</w:t>
      </w:r>
    </w:p>
    <w:p>
      <w:pPr>
        <w:ind w:left="4760"/>
        <w:spacing w:after="0"/>
        <w:rPr>
          <w:sz w:val="20"/>
          <w:szCs w:val="20"/>
          <w:color w:val="auto"/>
        </w:rPr>
      </w:pPr>
      <w:r>
        <w:rPr>
          <w:rFonts w:ascii="Arial" w:cs="Arial" w:eastAsia="Arial" w:hAnsi="Arial"/>
          <w:sz w:val="20"/>
          <w:szCs w:val="20"/>
          <w:color w:val="auto"/>
        </w:rPr>
        <w:t>(502) 295-4607 -- cedric@apellis.com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u w:val="single" w:color="auto"/>
          <w:color w:val="auto"/>
        </w:rPr>
        <w:t>/s/ Lukas Scheibler</w:t>
      </w:r>
    </w:p>
    <w:p>
      <w:pPr>
        <w:spacing w:after="0"/>
        <w:rPr>
          <w:sz w:val="20"/>
          <w:szCs w:val="20"/>
          <w:color w:val="auto"/>
        </w:rPr>
      </w:pPr>
      <w:r>
        <w:rPr>
          <w:rFonts w:ascii="Arial" w:cs="Arial" w:eastAsia="Arial" w:hAnsi="Arial"/>
          <w:sz w:val="20"/>
          <w:szCs w:val="20"/>
          <w:color w:val="auto"/>
        </w:rPr>
        <w:t>Name : Lukas Scheibler</w:t>
      </w:r>
    </w:p>
    <w:p>
      <w:pPr>
        <w:spacing w:after="0" w:line="200" w:lineRule="exact"/>
        <w:rPr>
          <w:sz w:val="20"/>
          <w:szCs w:val="20"/>
          <w:color w:val="auto"/>
        </w:rPr>
      </w:pPr>
    </w:p>
    <w:p>
      <w:pPr>
        <w:spacing w:after="0" w:line="24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Date :</w:t>
      </w:r>
      <w:r>
        <w:rPr>
          <w:sz w:val="20"/>
          <w:szCs w:val="20"/>
          <w:color w:val="auto"/>
        </w:rPr>
        <w:tab/>
      </w:r>
      <w:r>
        <w:rPr>
          <w:rFonts w:ascii="Arial" w:cs="Arial" w:eastAsia="Arial" w:hAnsi="Arial"/>
          <w:sz w:val="19"/>
          <w:szCs w:val="19"/>
          <w:u w:val="single" w:color="auto"/>
          <w:color w:val="auto"/>
        </w:rPr>
        <w:t>April 13, 2019</w:t>
      </w:r>
    </w:p>
    <w:p>
      <w:pPr>
        <w:sectPr>
          <w:pgSz w:w="11900" w:h="16838" w:orient="portrait"/>
          <w:cols w:equalWidth="0" w:num="1">
            <w:col w:w="11420"/>
          </w:cols>
          <w:pgMar w:left="240" w:top="352"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Apellis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7, 2019</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/s/ Cedric Francois</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Cedric Francois</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Apellis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60" w:hanging="519"/>
        <w:spacing w:after="0" w:line="264" w:lineRule="auto"/>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7, 2019</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/s/ Timothy Sullivan</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Sullivan</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connection with the Quarterly Report of Apellis Pharmaceuticals, Inc. (the “Company”) on Form 10-Q for the period ending March 31, 2019 as filed with the Securities and Exchange Commission on the date hereof (the “Report”), the undersigned, Cedric Francois, President and Chief Executive Officer of the Company, hereby certifies, pursuant to 18 U.S.C. Section 1350, that:</w:t>
      </w:r>
    </w:p>
    <w:p>
      <w:pPr>
        <w:spacing w:after="0" w:line="73" w:lineRule="exact"/>
        <w:rPr>
          <w:sz w:val="20"/>
          <w:szCs w:val="20"/>
          <w:color w:val="auto"/>
        </w:rPr>
      </w:pPr>
    </w:p>
    <w:p>
      <w:pPr>
        <w:ind w:left="1040" w:hanging="519"/>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7, 2019</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/s/ Cedric Francois</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Cedric Francois</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connection with the Quarterly Report of Apellis Pharmaceuticals, Inc. (the “Company”) on Form 10-Q for the period ending March 31, 2019 as filed with the Securities and Exchange Commission on the date hereof (the “Report”), the undersigned, Timothy Sullivan, Chief Financial Officer and Treasurer of the Company, hereby certifies, pursuant to 18 U.S.C. Section 1350, that:</w:t>
      </w:r>
    </w:p>
    <w:p>
      <w:pPr>
        <w:spacing w:after="0" w:line="73" w:lineRule="exact"/>
        <w:rPr>
          <w:sz w:val="20"/>
          <w:szCs w:val="20"/>
          <w:color w:val="auto"/>
        </w:rPr>
      </w:pPr>
    </w:p>
    <w:p>
      <w:pPr>
        <w:ind w:left="1040" w:hanging="519"/>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7, 2019</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/s/ Timothy Sullivan</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Sullivan</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2"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Roman"/>
      <w:start w:val="1"/>
    </w:lvl>
  </w:abstractNum>
  <w:abstractNum w:abstractNumId="3">
    <w:nsid w:val="1D4ED43B"/>
    <w:multiLevelType w:val="hybridMultilevel"/>
    <w:lvl w:ilvl="0">
      <w:lvlJc w:val="left"/>
      <w:lvlText w:val="\emdash "/>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lowerRoman"/>
      <w:start w:val="2"/>
    </w:lvl>
  </w:abstractNum>
  <w:abstractNum w:abstractNumId="32">
    <w:nsid w:val="235BA861"/>
    <w:multiLevelType w:val="hybridMultilevel"/>
    <w:lvl w:ilvl="0">
      <w:lvlJc w:val="left"/>
      <w:lvlText w:val="(%1)"/>
      <w:numFmt w:val="lowerLetter"/>
      <w:start w:val="2"/>
    </w:lvl>
  </w:abstractNum>
  <w:abstractNum w:abstractNumId="33">
    <w:nsid w:val="47398C89"/>
    <w:multiLevelType w:val="hybridMultilevel"/>
    <w:lvl w:ilvl="0">
      <w:lvlJc w:val="left"/>
      <w:lvlText w:val="(%1)"/>
      <w:numFmt w:val="lowerLetter"/>
      <w:start w:val="61"/>
    </w:lvl>
  </w:abstractNum>
  <w:abstractNum w:abstractNumId="34">
    <w:nsid w:val="354FE9F9"/>
    <w:multiLevelType w:val="hybridMultilevel"/>
    <w:lvl w:ilvl="0">
      <w:lvlJc w:val="left"/>
      <w:lvlText w:val="(%1)"/>
      <w:numFmt w:val="lowerLetter"/>
      <w:start w:val="2"/>
    </w:lvl>
  </w:abstractNum>
  <w:abstractNum w:abstractNumId="35">
    <w:nsid w:val="15B5AF5C"/>
    <w:multiLevelType w:val="hybridMultilevel"/>
    <w:lvl w:ilvl="0">
      <w:lvlJc w:val="left"/>
      <w:lvlText w:val="(%1)"/>
      <w:numFmt w:val="lowerLetter"/>
      <w:start w:val="2"/>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5"/>
    </w:lvl>
  </w:abstractNum>
  <w:abstractNum w:abstractNumId="38">
    <w:nsid w:val="10233C99"/>
    <w:multiLevelType w:val="hybridMultilevel"/>
    <w:lvl w:ilvl="0">
      <w:lvlJc w:val="left"/>
      <w:lvlText w:val="(%1)"/>
      <w:numFmt w:val="lowerRoman"/>
      <w:start w:val="2"/>
    </w:lvl>
  </w:abstractNum>
  <w:abstractNum w:abstractNumId="39">
    <w:nsid w:val="3F6AB60F"/>
    <w:multiLevelType w:val="hybridMultilevel"/>
    <w:lvl w:ilvl="0">
      <w:lvlJc w:val="left"/>
      <w:lvlText w:val="(%1)"/>
      <w:numFmt w:val="lowerRoman"/>
      <w:start w:val="3"/>
    </w:lvl>
  </w:abstractNum>
  <w:abstractNum w:abstractNumId="40">
    <w:nsid w:val="61574095"/>
    <w:multiLevelType w:val="hybridMultilevel"/>
    <w:lvl w:ilvl="0">
      <w:lvlJc w:val="left"/>
      <w:lvlText w:val="(%1)"/>
      <w:numFmt w:val="lowerRoman"/>
      <w:start w:val="2"/>
    </w:lvl>
  </w:abstractNum>
  <w:abstractNum w:abstractNumId="41">
    <w:nsid w:val="7E0C57B1"/>
    <w:multiLevelType w:val="hybridMultilevel"/>
    <w:lvl w:ilvl="0">
      <w:lvlJc w:val="left"/>
      <w:lvlText w:val="(%1)"/>
      <w:numFmt w:val="decimal"/>
      <w:start w:val="2"/>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decimal"/>
      <w:start w:val="6"/>
    </w:lvl>
  </w:abstractNum>
  <w:abstractNum w:abstractNumId="44">
    <w:nsid w:val="310C50B3"/>
    <w:multiLevelType w:val="hybridMultilevel"/>
    <w:lvl w:ilvl="0">
      <w:lvlJc w:val="left"/>
      <w:lvlText w:val="%1."/>
      <w:numFmt w:val="decimal"/>
      <w:start w:val="9"/>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8"/>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2"/>
    </w:lvl>
    <w:lvl w:ilvl="1">
      <w:lvlJc w:val="left"/>
      <w:lvlText w:val="(%2)"/>
      <w:numFmt w:val="lowerLetter"/>
      <w:start w:val="9"/>
    </w:lvl>
  </w:abstractNum>
  <w:abstractNum w:abstractNumId="49">
    <w:nsid w:val="4AD084E9"/>
    <w:multiLevelType w:val="hybridMultilevel"/>
    <w:lvl w:ilvl="0">
      <w:lvlJc w:val="left"/>
      <w:lvlText w:val="(%1)"/>
      <w:numFmt w:val="decimal"/>
      <w:start w:val="10"/>
    </w:lvl>
    <w:lvl w:ilvl="1">
      <w:lvlJc w:val="left"/>
      <w:lvlText w:val="(%2)"/>
      <w:numFmt w:val="lowerRoman"/>
      <w:start w:val="2"/>
    </w:lvl>
  </w:abstractNum>
  <w:abstractNum w:abstractNumId="50">
    <w:nsid w:val="1F48EAA1"/>
    <w:multiLevelType w:val="hybridMultilevel"/>
    <w:lvl w:ilvl="0">
      <w:lvlJc w:val="left"/>
      <w:lvlText w:val="%1"/>
      <w:numFmt w:val="decimal"/>
      <w:start w:val="1"/>
    </w:lvl>
    <w:lvl w:ilvl="1">
      <w:lvlJc w:val="left"/>
      <w:lvlText w:val="(%2)"/>
      <w:numFmt w:val="lowerLetter"/>
      <w:start w:val="1"/>
    </w:lvl>
  </w:abstractNum>
  <w:abstractNum w:abstractNumId="51">
    <w:nsid w:val="1381823A"/>
    <w:multiLevelType w:val="hybridMultilevel"/>
    <w:lvl w:ilvl="0">
      <w:lvlJc w:val="left"/>
      <w:lvlText w:val="(%1)"/>
      <w:numFmt w:val="decimal"/>
      <w:start w:val="48"/>
    </w:lvl>
    <w:lvl w:ilvl="1">
      <w:lvlJc w:val="left"/>
      <w:lvlText w:val="%2"/>
      <w:numFmt w:val="lowerLetter"/>
      <w:start w:val="1"/>
    </w:lvl>
  </w:abstractNum>
  <w:abstractNum w:abstractNumId="52">
    <w:nsid w:val="5DB70AE5"/>
    <w:multiLevelType w:val="hybridMultilevel"/>
    <w:lvl w:ilvl="0">
      <w:lvlJc w:val="left"/>
      <w:lvlText w:val="(%1)"/>
      <w:numFmt w:val="lowerLetter"/>
      <w:start w:val="2"/>
    </w:lvl>
  </w:abstractNum>
  <w:abstractNum w:abstractNumId="53">
    <w:nsid w:val="100F8FCA"/>
    <w:multiLevelType w:val="hybridMultilevel"/>
    <w:lvl w:ilvl="0">
      <w:lvlJc w:val="left"/>
      <w:lvlText w:val="(%1)"/>
      <w:numFmt w:val="decimal"/>
      <w:start w:val="30"/>
    </w:lvl>
  </w:abstractNum>
  <w:abstractNum w:abstractNumId="54">
    <w:nsid w:val="6590700B"/>
    <w:multiLevelType w:val="hybridMultilevel"/>
    <w:lvl w:ilvl="0">
      <w:lvlJc w:val="left"/>
      <w:lvlText w:val="%1"/>
      <w:numFmt w:val="lowerRoman"/>
      <w:start w:val="1"/>
    </w:lvl>
    <w:lvl w:ilvl="1">
      <w:lvlJc w:val="left"/>
      <w:lvlText w:val="(%2)"/>
      <w:numFmt w:val="lowerLetter"/>
      <w:start w:val="1"/>
    </w:lvl>
  </w:abstractNum>
  <w:abstractNum w:abstractNumId="55">
    <w:nsid w:val="15014ACB"/>
    <w:multiLevelType w:val="hybridMultilevel"/>
    <w:lvl w:ilvl="0">
      <w:lvlJc w:val="left"/>
      <w:lvlText w:val="(%1)"/>
      <w:numFmt w:val="lowerRoman"/>
      <w:start w:val="6"/>
    </w:lvl>
    <w:lvl w:ilvl="1">
      <w:lvlJc w:val="left"/>
      <w:lvlText w:val="(%2)"/>
      <w:numFmt w:val="lowerLetter"/>
      <w:start w:val="4"/>
    </w:lvl>
  </w:abstractNum>
  <w:abstractNum w:abstractNumId="56">
    <w:nsid w:val="5F5E7FD0"/>
    <w:multiLevelType w:val="hybridMultilevel"/>
    <w:lvl w:ilvl="0">
      <w:lvlJc w:val="left"/>
      <w:lvlText w:val="(%1)"/>
      <w:numFmt w:val="lowerLetter"/>
      <w:start w:val="7"/>
    </w:lvl>
  </w:abstractNum>
  <w:abstractNum w:abstractNumId="57">
    <w:nsid w:val="98A3148"/>
    <w:multiLevelType w:val="hybridMultilevel"/>
    <w:lvl w:ilvl="0">
      <w:lvlJc w:val="left"/>
      <w:lvlText w:val="(%1)"/>
      <w:numFmt w:val="decimal"/>
      <w:start w:val="30"/>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4"/>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3"/>
    </w:lvl>
  </w:abstractNum>
  <w:abstractNum w:abstractNumId="64">
    <w:nsid w:val="5DC79EA8"/>
    <w:multiLevelType w:val="hybridMultilevel"/>
    <w:lvl w:ilvl="0">
      <w:lvlJc w:val="left"/>
      <w:lvlText w:val="(%1)"/>
      <w:numFmt w:val="lowerLetter"/>
      <w:start w:val="1"/>
    </w:lvl>
    <w:lvl w:ilvl="1">
      <w:lvlJc w:val="left"/>
      <w:lvlText w:val="(%2)"/>
      <w:numFmt w:val="lowerRoman"/>
      <w:start w:val="1"/>
    </w:lvl>
  </w:abstractNum>
  <w:abstractNum w:abstractNumId="65">
    <w:nsid w:val="540A471C"/>
    <w:multiLevelType w:val="hybridMultilevel"/>
    <w:lvl w:ilvl="0">
      <w:lvlJc w:val="left"/>
      <w:lvlText w:val="(%1)"/>
      <w:numFmt w:val="lowerLetter"/>
      <w:start w:val="2"/>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lowerRoman"/>
      <w:start w:val="4"/>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5"/>
    </w:lvl>
  </w:abstractNum>
  <w:abstractNum w:abstractNumId="71">
    <w:nsid w:val="42963E5A"/>
    <w:multiLevelType w:val="hybridMultilevel"/>
    <w:lvl w:ilvl="0">
      <w:lvlJc w:val="left"/>
      <w:lvlText w:val="%1."/>
      <w:numFmt w:val="decimal"/>
      <w:start w:val="8"/>
    </w:lvl>
  </w:abstractNum>
  <w:abstractNum w:abstractNumId="72">
    <w:nsid w:val="A0382C5"/>
    <w:multiLevelType w:val="hybridMultilevel"/>
    <w:lvl w:ilvl="0">
      <w:lvlJc w:val="left"/>
      <w:lvlText w:val="%1."/>
      <w:numFmt w:val="decimal"/>
      <w:start w:val="14"/>
    </w:lvl>
  </w:abstractNum>
  <w:abstractNum w:abstractNumId="73">
    <w:nsid w:val="8F2B15E"/>
    <w:multiLevelType w:val="hybridMultilevel"/>
    <w:lvl w:ilvl="0">
      <w:lvlJc w:val="left"/>
      <w:lvlText w:val="%1."/>
      <w:numFmt w:val="decimal"/>
      <w:start w:val="23"/>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7"/>
    </w:lvl>
  </w:abstractNum>
  <w:abstractNum w:abstractNumId="76">
    <w:nsid w:val="68EB2F63"/>
    <w:multiLevelType w:val="hybridMultilevel"/>
    <w:lvl w:ilvl="0">
      <w:lvlJc w:val="left"/>
      <w:lvlText w:val="%1."/>
      <w:numFmt w:val="decimal"/>
      <w:start w:val="15"/>
    </w:lvl>
  </w:abstractNum>
  <w:abstractNum w:abstractNumId="77">
    <w:nsid w:val="4962813B"/>
    <w:multiLevelType w:val="hybridMultilevel"/>
    <w:lvl w:ilvl="0">
      <w:lvlJc w:val="left"/>
      <w:lvlText w:val="%1."/>
      <w:numFmt w:val="decimal"/>
      <w:start w:val="1"/>
    </w:lvl>
    <w:lvl w:ilvl="1">
      <w:lvlJc w:val="left"/>
      <w:lvlText w:val="(%2)"/>
      <w:numFmt w:val="lowerLetter"/>
      <w:start w:val="1"/>
    </w:lvl>
  </w:abstractNum>
  <w:abstractNum w:abstractNumId="78">
    <w:nsid w:val="60B6DF70"/>
    <w:multiLevelType w:val="hybridMultilevel"/>
    <w:lvl w:ilvl="0">
      <w:lvlJc w:val="left"/>
      <w:lvlText w:val="%1."/>
      <w:numFmt w:val="decimal"/>
      <w:start w:val="1"/>
    </w:lvl>
    <w:lvl w:ilvl="1">
      <w:lvlJc w:val="left"/>
      <w:lvlText w:val="(%2)"/>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3"/>
    </w:lvl>
  </w:abstractNum>
  <w:abstractNum w:abstractNumId="80">
    <w:nsid w:val="14330624"/>
    <w:multiLevelType w:val="hybridMultilevel"/>
    <w:lvl w:ilvl="0">
      <w:lvlJc w:val="left"/>
      <w:lvlText w:val="%1."/>
      <w:numFmt w:val="decimal"/>
      <w:start w:val="5"/>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2019-12-28T12:59:59Z</dcterms:created>
  <dcterms:modified xsi:type="dcterms:W3CDTF">2019-12-28T12:59:59Z</dcterms:modified>
</cp:coreProperties>
</file>