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742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742555"/>
                    </a:xfrm>
                    <a:prstGeom prst="rect">
                      <a:avLst/>
                    </a:prstGeom>
                    <a:noFill/>
                  </pic:spPr>
                </pic:pic>
              </a:graphicData>
            </a:graphic>
          </wp:anchor>
        </w:drawing>
      </w:r>
    </w:p>
    <w:p>
      <w:pPr>
        <w:spacing w:after="0" w:line="1285" w:lineRule="exact"/>
        <w:rPr>
          <w:sz w:val="24"/>
          <w:szCs w:val="24"/>
          <w:color w:val="auto"/>
        </w:rPr>
      </w:pPr>
    </w:p>
    <w:p>
      <w:pPr>
        <w:sectPr>
          <w:pgSz w:w="11900" w:h="16840"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Watson David 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20" w:lineRule="auto"/>
        <w:rPr>
          <w:sz w:val="20"/>
          <w:szCs w:val="20"/>
          <w:color w:val="auto"/>
        </w:rPr>
      </w:pPr>
      <w:r>
        <w:rPr>
          <w:rFonts w:ascii="Times New Roman" w:cs="Times New Roman" w:eastAsia="Times New Roman" w:hAnsi="Times New Roman"/>
          <w:sz w:val="17"/>
          <w:szCs w:val="17"/>
          <w:color w:val="0000FF"/>
        </w:rPr>
        <w:t>C/O APELLIS PHARMACEUTICALS, INC 100 FIFTH AVENUE,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Apellis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APLS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01/17/2025</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05"/>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460" w:lineRule="exact"/>
        <w:rPr>
          <w:sz w:val="24"/>
          <w:szCs w:val="24"/>
          <w:color w:val="auto"/>
        </w:rPr>
      </w:pPr>
    </w:p>
    <w:p>
      <w:pPr>
        <w:sectPr>
          <w:pgSz w:w="11900" w:h="16840" w:orient="portrait"/>
          <w:cols w:equalWidth="0" w:num="3">
            <w:col w:w="3280" w:space="640"/>
            <w:col w:w="3220" w:space="595"/>
            <w:col w:w="3265"/>
          </w:cols>
          <w:pgMar w:left="460" w:top="219" w:right="439" w:bottom="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3960" w:type="dxa"/>
            <w:vAlign w:val="bottom"/>
            <w:gridSpan w:val="6"/>
          </w:tcPr>
          <w:p>
            <w:pPr>
              <w:ind w:left="16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260" w:type="dxa"/>
            <w:vAlign w:val="bottom"/>
            <w:gridSpan w:val="6"/>
          </w:tcPr>
          <w:p>
            <w:pPr>
              <w:ind w:left="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gridSpan w:val="2"/>
          </w:tcPr>
          <w:p>
            <w:pPr>
              <w:ind w:left="20"/>
              <w:spacing w:after="0"/>
              <w:rPr>
                <w:sz w:val="20"/>
                <w:szCs w:val="20"/>
                <w:color w:val="auto"/>
              </w:rPr>
            </w:pPr>
            <w:r>
              <w:rPr>
                <w:rFonts w:ascii="Arial" w:cs="Arial" w:eastAsia="Arial" w:hAnsi="Arial"/>
                <w:sz w:val="13"/>
                <w:szCs w:val="13"/>
                <w:color w:val="auto"/>
              </w:rPr>
              <w:t>Line)</w:t>
            </w:r>
          </w:p>
        </w:tc>
        <w:tc>
          <w:tcPr>
            <w:tcW w:w="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2920" w:type="dxa"/>
            <w:vAlign w:val="bottom"/>
            <w:gridSpan w:val="4"/>
            <w:vMerge w:val="restart"/>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02451</w:t>
            </w: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20" w:type="dxa"/>
            <w:vAlign w:val="bottom"/>
            <w:gridSpan w:val="4"/>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29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760" w:type="dxa"/>
            <w:vAlign w:val="bottom"/>
            <w:tcBorders>
              <w:bottom w:val="single" w:sz="8" w:color="9A9A9A"/>
            </w:tcBorders>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vMerge w:val="restart"/>
          </w:tcPr>
          <w:p>
            <w:pPr>
              <w:ind w:left="200"/>
              <w:spacing w:after="0"/>
              <w:rPr>
                <w:sz w:val="20"/>
                <w:szCs w:val="20"/>
                <w:color w:val="auto"/>
              </w:rPr>
            </w:pPr>
            <w:r>
              <w:rPr>
                <w:rFonts w:ascii="Arial" w:cs="Arial" w:eastAsia="Arial" w:hAnsi="Arial"/>
                <w:sz w:val="13"/>
                <w:szCs w:val="13"/>
                <w:color w:val="auto"/>
              </w:rPr>
              <w:t>Person</w:t>
            </w:r>
          </w:p>
        </w:tc>
        <w:tc>
          <w:tcPr>
            <w:tcW w:w="98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auto"/>
              </w:rPr>
              <w:t>(State)</w:t>
            </w:r>
          </w:p>
        </w:tc>
        <w:tc>
          <w:tcPr>
            <w:tcW w:w="198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980" w:type="dxa"/>
            <w:vAlign w:val="bottom"/>
            <w:gridSpan w:val="2"/>
            <w:vMerge w:val="continue"/>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4240" w:type="dxa"/>
            <w:vAlign w:val="bottom"/>
            <w:tcBorders>
              <w:bottom w:val="single" w:sz="8" w:color="2C2C2C"/>
            </w:tcBorders>
            <w:gridSpan w:val="7"/>
          </w:tcPr>
          <w:p>
            <w:pPr>
              <w:spacing w:after="0"/>
              <w:rPr>
                <w:sz w:val="10"/>
                <w:szCs w:val="10"/>
                <w:color w:val="auto"/>
              </w:rPr>
            </w:pPr>
          </w:p>
        </w:tc>
        <w:tc>
          <w:tcPr>
            <w:tcW w:w="1040" w:type="dxa"/>
            <w:vAlign w:val="bottom"/>
            <w:tcBorders>
              <w:bottom w:val="single" w:sz="8" w:color="2C2C2C"/>
            </w:tcBorders>
            <w:gridSpan w:val="2"/>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040" w:type="dxa"/>
            <w:vAlign w:val="bottom"/>
            <w:tcBorders>
              <w:top w:val="single" w:sz="8" w:color="2C2C2C"/>
            </w:tcBorders>
            <w:gridSpan w:val="10"/>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198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80" w:type="dxa"/>
            <w:vAlign w:val="bottom"/>
            <w:gridSpan w:val="2"/>
          </w:tcPr>
          <w:p>
            <w:pPr>
              <w:ind w:left="9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980" w:type="dxa"/>
            <w:vAlign w:val="bottom"/>
            <w:gridSpan w:val="2"/>
          </w:tcPr>
          <w:p>
            <w:pPr>
              <w:ind w:left="9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9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980" w:type="dxa"/>
            <w:vAlign w:val="bottom"/>
            <w:gridSpan w:val="2"/>
          </w:tcPr>
          <w:p>
            <w:pPr>
              <w:ind w:left="9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20" w:type="dxa"/>
            <w:vAlign w:val="bottom"/>
            <w:tcBorders>
              <w:top w:val="single" w:sz="8" w:color="2C2C2C"/>
            </w:tcBorders>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tcPr>
          <w:p>
            <w:pPr>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3"/>
                <w:szCs w:val="13"/>
                <w:color w:val="auto"/>
              </w:rPr>
            </w:pP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17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5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98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01/17/2025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00" w:type="dxa"/>
            <w:vAlign w:val="bottom"/>
            <w:tcBorders>
              <w:bottom w:val="single" w:sz="8" w:color="2C2C2C"/>
            </w:tcBorders>
          </w:tcPr>
          <w:p>
            <w:pPr>
              <w:jc w:val="right"/>
              <w:ind w:right="129"/>
              <w:spacing w:after="0"/>
              <w:rPr>
                <w:sz w:val="20"/>
                <w:szCs w:val="20"/>
                <w:color w:val="auto"/>
              </w:rPr>
            </w:pPr>
            <w:r>
              <w:rPr>
                <w:rFonts w:ascii="Times New Roman" w:cs="Times New Roman" w:eastAsia="Times New Roman" w:hAnsi="Times New Roman"/>
                <w:sz w:val="17"/>
                <w:szCs w:val="17"/>
                <w:color w:val="0000FF"/>
              </w:rPr>
              <w:t>2,201</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29.9582</w:t>
            </w:r>
          </w:p>
        </w:tc>
        <w:tc>
          <w:tcPr>
            <w:tcW w:w="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105,555</w:t>
            </w:r>
          </w:p>
        </w:tc>
        <w:tc>
          <w:tcPr>
            <w:tcW w:w="980" w:type="dxa"/>
            <w:vAlign w:val="bottom"/>
            <w:tcBorders>
              <w:bottom w:val="single" w:sz="8" w:color="2C2C2C"/>
            </w:tcBorders>
          </w:tcPr>
          <w:p>
            <w:pPr>
              <w:jc w:val="center"/>
              <w:ind w:left="38"/>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01/21/2025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jc w:val="center"/>
              <w:ind w:right="9"/>
              <w:spacing w:after="0"/>
              <w:rPr>
                <w:sz w:val="20"/>
                <w:szCs w:val="20"/>
                <w:color w:val="auto"/>
              </w:rPr>
            </w:pPr>
            <w:r>
              <w:rPr>
                <w:rFonts w:ascii="Times New Roman" w:cs="Times New Roman" w:eastAsia="Times New Roman" w:hAnsi="Times New Roman"/>
                <w:sz w:val="17"/>
                <w:szCs w:val="17"/>
                <w:color w:val="0000FF"/>
              </w:rPr>
              <w:t>42,762</w:t>
            </w:r>
            <w:r>
              <w:rPr>
                <w:rFonts w:ascii="Times New Roman" w:cs="Times New Roman" w:eastAsia="Times New Roman" w:hAnsi="Times New Roman"/>
                <w:sz w:val="22"/>
                <w:szCs w:val="22"/>
                <w:color w:val="008000"/>
                <w:vertAlign w:val="superscript"/>
              </w:rPr>
              <w:t>(2)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148,317</w:t>
            </w:r>
          </w:p>
        </w:tc>
        <w:tc>
          <w:tcPr>
            <w:tcW w:w="980" w:type="dxa"/>
            <w:vAlign w:val="bottom"/>
            <w:tcBorders>
              <w:bottom w:val="single" w:sz="8" w:color="2C2C2C"/>
            </w:tcBorders>
          </w:tcPr>
          <w:p>
            <w:pPr>
              <w:jc w:val="center"/>
              <w:ind w:left="38"/>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3,333</w:t>
            </w:r>
          </w:p>
        </w:tc>
        <w:tc>
          <w:tcPr>
            <w:tcW w:w="980" w:type="dxa"/>
            <w:vAlign w:val="bottom"/>
          </w:tcPr>
          <w:p>
            <w:pPr>
              <w:jc w:val="center"/>
              <w:ind w:left="18"/>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(3)</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(Custodial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Account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for Son)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(The David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70,136</w:t>
            </w:r>
          </w:p>
        </w:tc>
        <w:tc>
          <w:tcPr>
            <w:tcW w:w="980" w:type="dxa"/>
            <w:vAlign w:val="bottom"/>
          </w:tcPr>
          <w:p>
            <w:pPr>
              <w:jc w:val="center"/>
              <w:ind w:left="18"/>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(4)</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O. Watson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Trust of</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Indirect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Owner</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6,667</w:t>
            </w:r>
          </w:p>
        </w:tc>
        <w:tc>
          <w:tcPr>
            <w:tcW w:w="980" w:type="dxa"/>
            <w:vAlign w:val="bottom"/>
          </w:tcPr>
          <w:p>
            <w:pPr>
              <w:jc w:val="center"/>
              <w:ind w:left="18"/>
              <w:spacing w:after="0" w:line="233" w:lineRule="exact"/>
              <w:rPr>
                <w:sz w:val="20"/>
                <w:szCs w:val="20"/>
                <w:color w:val="auto"/>
              </w:rPr>
            </w:pPr>
            <w:r>
              <w:rPr>
                <w:rFonts w:ascii="Times New Roman" w:cs="Times New Roman" w:eastAsia="Times New Roman" w:hAnsi="Times New Roman"/>
                <w:sz w:val="27"/>
                <w:szCs w:val="27"/>
                <w:color w:val="0000FF"/>
                <w:vertAlign w:val="subscript"/>
              </w:rPr>
              <w:t>I</w:t>
            </w:r>
            <w:r>
              <w:rPr>
                <w:rFonts w:ascii="Times New Roman" w:cs="Times New Roman" w:eastAsia="Times New Roman" w:hAnsi="Times New Roman"/>
                <w:sz w:val="10"/>
                <w:szCs w:val="10"/>
                <w:color w:val="008000"/>
              </w:rPr>
              <w:t>(5)</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bl>
    <w:p>
      <w:pPr>
        <w:ind w:left="10100"/>
        <w:spacing w:after="0"/>
        <w:rPr>
          <w:sz w:val="20"/>
          <w:szCs w:val="20"/>
          <w:color w:val="auto"/>
        </w:rPr>
      </w:pPr>
      <w:r>
        <w:rPr>
          <w:rFonts w:ascii="Times New Roman" w:cs="Times New Roman" w:eastAsia="Times New Roman" w:hAnsi="Times New Roman"/>
          <w:sz w:val="17"/>
          <w:szCs w:val="17"/>
          <w:color w:val="0000FF"/>
        </w:rPr>
        <w:t>Watson</w:t>
      </w:r>
    </w:p>
    <w:p>
      <w:pPr>
        <w:spacing w:after="0" w:line="11" w:lineRule="exact"/>
        <w:rPr>
          <w:sz w:val="24"/>
          <w:szCs w:val="24"/>
          <w:color w:val="auto"/>
        </w:rPr>
      </w:pPr>
    </w:p>
    <w:p>
      <w:pPr>
        <w:ind w:left="10100"/>
        <w:spacing w:after="0"/>
        <w:rPr>
          <w:sz w:val="20"/>
          <w:szCs w:val="20"/>
          <w:color w:val="auto"/>
        </w:rPr>
      </w:pPr>
      <w:r>
        <w:rPr>
          <w:rFonts w:ascii="Times New Roman" w:cs="Times New Roman" w:eastAsia="Times New Roman" w:hAnsi="Times New Roman"/>
          <w:sz w:val="17"/>
          <w:szCs w:val="17"/>
          <w:color w:val="0000FF"/>
        </w:rPr>
        <w:t>Education</w:t>
      </w:r>
    </w:p>
    <w:p>
      <w:pPr>
        <w:spacing w:after="0" w:line="18" w:lineRule="exact"/>
        <w:rPr>
          <w:sz w:val="24"/>
          <w:szCs w:val="24"/>
          <w:color w:val="auto"/>
        </w:rPr>
      </w:pPr>
    </w:p>
    <w:p>
      <w:pPr>
        <w:ind w:left="10100"/>
        <w:spacing w:after="0"/>
        <w:rPr>
          <w:sz w:val="20"/>
          <w:szCs w:val="20"/>
          <w:color w:val="auto"/>
        </w:rPr>
      </w:pPr>
      <w:r>
        <w:rPr>
          <w:rFonts w:ascii="Times New Roman" w:cs="Times New Roman" w:eastAsia="Times New Roman" w:hAnsi="Times New Roman"/>
          <w:sz w:val="17"/>
          <w:szCs w:val="17"/>
          <w:color w:val="0000FF"/>
        </w:rPr>
        <w:t>Trust)</w:t>
      </w:r>
    </w:p>
    <w:p>
      <w:pPr>
        <w:spacing w:after="0" w:line="164"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represents shares sold to cover tax withholding on the Restricted Stock Units released on January 16, 2025.</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represents a Restricted Stock Unit award granted on January 21, 2025 that vest 25% annually over four years from grant date subject to continued service.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represents a custodial account held by the reporting person for the sole benefit of his minor son.</w:t>
      </w:r>
    </w:p>
    <w:p>
      <w:pPr>
        <w:spacing w:after="0" w:line="50"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by The David O. Watson Irrevocable Trust of 2023. William Zorn is the trustee of The David O. Watson Irrevocable Trust of 2023. The reporting person disclaims beneficial ownership over the shares held by The David O. Watson Irrevocable Trust of 2023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by The Watson Education Trust (the "Trust"), for which the reporting person serves as trustee. The reporting person disclaims beneficial ownership over the shares held by the</w:t>
      </w:r>
    </w:p>
    <w:p>
      <w:pPr>
        <w:sectPr>
          <w:pgSz w:w="11900" w:h="16840" w:orient="portrait"/>
          <w:cols w:equalWidth="0" w:num="1">
            <w:col w:w="11000"/>
          </w:cols>
          <w:pgMar w:left="460" w:top="219" w:right="4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Trust except to the extent of his pecuniary interest therein.</w:t>
      </w:r>
    </w:p>
    <w:p>
      <w:pPr>
        <w:spacing w:after="0" w:line="68"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David Watson</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01/21/2025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57719" TargetMode="External"/><Relationship Id="rId14" Type="http://schemas.openxmlformats.org/officeDocument/2006/relationships/hyperlink" Target="http://www.sec.gov/cgi-bin/browse-edgar?action=getcompany&amp;CIK=00014924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2025-01-21T15:23:20Z</dcterms:created>
  <dcterms:modified xsi:type="dcterms:W3CDTF">2025-01-21T15:23:20Z</dcterms:modified>
</cp:coreProperties>
</file>