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240" w:after="283"/>
        <w:jc w:val="center"/>
        <w:rPr/>
      </w:pPr>
      <w:bookmarkStart w:id="0" w:name="apls-2024-defa14a.htm"/>
      <w:bookmarkStart w:id="1" w:name="ksapls2024defa14a"/>
      <w:bookmarkEnd w:id="0"/>
      <w:bookmarkEnd w:id="1"/>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36"/>
        </w:rPr>
        <w:t>SCHEDULE 14A</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(Amendment No.)</w:t>
      </w:r>
      <w:r>
        <w:rPr>
          <w:rFonts w:ascii="Times New Roman" w:hAnsi="Times New Roman"/>
          <w:color w:val="000000"/>
          <w:sz w:val="20"/>
        </w:rPr>
        <w:t xml:space="preserve"> </w:t>
      </w:r>
    </w:p>
    <w:p>
      <w:pPr>
        <w:pStyle w:val="TextBody"/>
        <w:bidi w:val="0"/>
        <w:spacing w:before="240" w:after="283"/>
        <w:ind w:left="4320" w:right="4320" w:hanging="0"/>
        <w:jc w:val="left"/>
        <w:rPr>
          <w:rFonts w:ascii="Times New Roman" w:hAnsi="Times New Roman"/>
          <w:color w:val="000000"/>
          <w:sz w:val="20"/>
        </w:rPr>
      </w:pPr>
      <w:r>
        <w:rPr>
          <w:rFonts w:ascii="Times New Roman" w:hAnsi="Times New Roman"/>
          <w:color w:val="000000"/>
          <w:sz w:val="20"/>
        </w:rPr>
        <w:t xml:space="preserve">Filed by the Registrant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Filed by a Party other than the Registrant ☐ </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pBdr/>
        <w:bidi w:val="0"/>
        <w:spacing w:before="240" w:after="283"/>
        <w:ind w:left="0" w:right="0" w:hanging="490"/>
        <w:jc w:val="left"/>
        <w:rPr/>
      </w:pPr>
      <w:r>
        <w:rPr>
          <w:color w:val="000000"/>
        </w:rPr>
        <w:t xml:space="preserve">☐ </w:t>
      </w:r>
      <w:r>
        <w:rPr>
          <w:rFonts w:ascii="Times New Roman" w:hAnsi="Times New Roman"/>
          <w:color w:val="000000"/>
          <w:sz w:val="20"/>
        </w:rPr>
        <w:t xml:space="preserve">Preliminary Proxy Statement </w:t>
      </w:r>
    </w:p>
    <w:p>
      <w:pPr>
        <w:pStyle w:val="TextBody"/>
        <w:pBdr/>
        <w:bidi w:val="0"/>
        <w:spacing w:before="240" w:after="283"/>
        <w:ind w:left="0" w:right="0" w:hanging="490"/>
        <w:jc w:val="left"/>
        <w:rPr/>
      </w:pPr>
      <w:r>
        <w:rPr>
          <w:color w:val="000000"/>
        </w:rPr>
        <w:t xml:space="preserve">☐ </w:t>
      </w: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p>
      <w:pPr>
        <w:pStyle w:val="TextBody"/>
        <w:pBdr/>
        <w:bidi w:val="0"/>
        <w:spacing w:before="240" w:after="283"/>
        <w:ind w:left="0" w:right="0" w:hanging="490"/>
        <w:jc w:val="left"/>
        <w:rPr/>
      </w:pPr>
      <w:r>
        <w:rPr>
          <w:color w:val="000000"/>
        </w:rPr>
        <w:t xml:space="preserve">☐ </w:t>
      </w:r>
      <w:r>
        <w:rPr>
          <w:rFonts w:ascii="Times New Roman" w:hAnsi="Times New Roman"/>
          <w:color w:val="000000"/>
          <w:sz w:val="20"/>
        </w:rPr>
        <w:t xml:space="preserve">Definitive Proxy Statement </w:t>
      </w:r>
    </w:p>
    <w:p>
      <w:pPr>
        <w:pStyle w:val="TextBody"/>
        <w:pBdr/>
        <w:bidi w:val="0"/>
        <w:spacing w:before="240" w:after="283"/>
        <w:ind w:left="0" w:right="0" w:hanging="490"/>
        <w:jc w:val="left"/>
        <w:rPr/>
      </w:pPr>
      <w:r>
        <w:rPr>
          <w:color w:val="000000"/>
        </w:rPr>
        <w:t xml:space="preserve">☒ </w:t>
      </w:r>
      <w:r>
        <w:rPr>
          <w:rFonts w:ascii="Times New Roman" w:hAnsi="Times New Roman"/>
          <w:color w:val="000000"/>
          <w:sz w:val="20"/>
        </w:rPr>
        <w:t xml:space="preserve">Definitive Additional Materials </w:t>
      </w:r>
    </w:p>
    <w:p>
      <w:pPr>
        <w:pStyle w:val="TextBody"/>
        <w:pBdr/>
        <w:bidi w:val="0"/>
        <w:spacing w:before="240" w:after="283"/>
        <w:ind w:left="0" w:right="0" w:hanging="490"/>
        <w:jc w:val="left"/>
        <w:rPr/>
      </w:pPr>
      <w:r>
        <w:rPr>
          <w:color w:val="000000"/>
        </w:rPr>
        <w:t xml:space="preserve">☐ </w:t>
      </w:r>
      <w:r>
        <w:rPr>
          <w:rFonts w:ascii="Times New Roman" w:hAnsi="Times New Roman"/>
          <w:color w:val="000000"/>
          <w:sz w:val="20"/>
        </w:rPr>
        <w:t xml:space="preserve">Soliciting Material Pursuant to §240.14a-12 </w:t>
      </w:r>
    </w:p>
    <w:p>
      <w:pPr>
        <w:pStyle w:val="TextBody"/>
        <w:bidi w:val="0"/>
        <w:spacing w:before="240" w:after="283"/>
        <w:jc w:val="center"/>
        <w:rPr>
          <w:rFonts w:ascii="Times New Roman" w:hAnsi="Times New Roman"/>
          <w:sz w:val="20"/>
        </w:rPr>
      </w:pPr>
      <w:r>
        <w:rPr>
          <w:rFonts w:ascii="Times New Roman" w:hAnsi="Times New Roman"/>
          <w:b/>
          <w:color w:val="000000"/>
          <w:sz w:val="36"/>
        </w:rPr>
        <w:t>APELLIS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(Name of person(s) filing proxy statement, if other than the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p>
      <w:pPr>
        <w:pStyle w:val="TextBody"/>
        <w:pBdr/>
        <w:bidi w:val="0"/>
        <w:spacing w:before="240" w:after="283"/>
        <w:ind w:left="0" w:right="0" w:hanging="490"/>
        <w:jc w:val="left"/>
        <w:rPr/>
      </w:pPr>
      <w:r>
        <w:rPr>
          <w:color w:val="000000"/>
        </w:rPr>
        <w:t xml:space="preserve">☒ </w:t>
      </w:r>
      <w:r>
        <w:rPr>
          <w:rFonts w:ascii="Times New Roman" w:hAnsi="Times New Roman"/>
          <w:color w:val="000000"/>
          <w:sz w:val="20"/>
        </w:rPr>
        <w:t xml:space="preserve">No fee required. </w:t>
      </w:r>
    </w:p>
    <w:p>
      <w:pPr>
        <w:pStyle w:val="TextBody"/>
        <w:pBdr/>
        <w:bidi w:val="0"/>
        <w:spacing w:before="240" w:after="283"/>
        <w:ind w:left="0" w:right="0" w:hanging="490"/>
        <w:jc w:val="left"/>
        <w:rPr/>
      </w:pPr>
      <w:r>
        <w:rPr>
          <w:color w:val="000000"/>
        </w:rPr>
        <w:t xml:space="preserve">☐ </w:t>
      </w:r>
      <w:r>
        <w:rPr>
          <w:rFonts w:ascii="Times New Roman" w:hAnsi="Times New Roman"/>
          <w:color w:val="000000"/>
          <w:sz w:val="20"/>
        </w:rPr>
        <w:t xml:space="preserve">Fee paid previously with preliminary materials. </w:t>
      </w:r>
    </w:p>
    <w:p>
      <w:pPr>
        <w:pStyle w:val="TextBody"/>
        <w:pBdr/>
        <w:bidi w:val="0"/>
        <w:spacing w:before="240" w:after="283"/>
        <w:ind w:left="0" w:right="0" w:hanging="490"/>
        <w:jc w:val="left"/>
        <w:rPr/>
      </w:pPr>
      <w:r>
        <w:rPr>
          <w:color w:val="000000"/>
        </w:rPr>
        <w:t xml:space="preserve">☐ </w:t>
      </w:r>
      <w:r>
        <w:rPr>
          <w:rFonts w:ascii="Times New Roman" w:hAnsi="Times New Roman"/>
          <w:color w:val="000000"/>
          <w:sz w:val="20"/>
        </w:rPr>
        <w:t xml:space="preserve">Fee computed on table in exhibit required by Item 25(b) per Exchange Act Rules 14a-6(i)(1) and 0-11. </w:t>
      </w:r>
    </w:p>
    <w:p>
      <w:pPr>
        <w:pStyle w:val="TextBody"/>
        <w:pBdr>
          <w:bottom w:val="double" w:sz="6" w:space="1" w:color="000000"/>
        </w:pBdr>
        <w:bidi w:val="0"/>
        <w:spacing w:before="240" w:after="283"/>
        <w:ind w:left="0" w:right="0" w:hanging="49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534150" cy="843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34150" cy="8439150"/>
                    </a:xfrm>
                    <a:prstGeom prst="rect">
                      <a:avLst/>
                    </a:prstGeom>
                  </pic:spPr>
                </pic:pic>
              </a:graphicData>
            </a:graphic>
          </wp:inline>
        </w:drawing>
      </w:r>
      <w:r>
        <w:rPr>
          <w:color w:val="000000"/>
        </w:rPr>
        <w:t xml:space="preserve"> </w:t>
      </w:r>
      <w:r>
        <w:rPr>
          <w:rFonts w:ascii="Arial" w:hAnsi="Arial"/>
          <w:color w:val="FFFFFF"/>
          <w:sz w:val="2"/>
        </w:rPr>
        <w:t>Scan QR for digital voting P.O. BOX 8016, CARY, NC 27512-9903 Your vote matters! Apellis Pharmaceuticals, Inc. Annual Meeting of Stockholders Wednesday, June 5, 2024 10:00 AM, Eastern Time Annual Meeting to be held live via the internet - please visit www.proxydocs.com/APLS for more details. You must register to attend the meeting online and/or participate at www.proxydocs.com/APLS For a convenient way to view proxy materials, VOTE, and obtain directions to attend the meeting go to www.proxydocs.com/APLS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May 24, 2024. Meeting Materials: Notice of Meeting and Proxy Statement &amp; Annual Report or Form 10-K Important Notice Regarding the Availability of Proxy Materials for the Stockholders Meeting To Be Held On June 5, 2024 For Stockholders of record as of April 8, 2024 To order paper materials, use one of the following methods. Internet: www.investorelections.com/APLS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SEE REVERSE FOR FULL AGENDA Copyright © 2024 BetaNXT, Inc. or its affiliates. All Rights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10350" cy="854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10350" cy="8543925"/>
                    </a:xfrm>
                    <a:prstGeom prst="rect">
                      <a:avLst/>
                    </a:prstGeom>
                  </pic:spPr>
                </pic:pic>
              </a:graphicData>
            </a:graphic>
          </wp:inline>
        </w:drawing>
      </w:r>
      <w:r>
        <w:rPr>
          <w:color w:val="000000"/>
        </w:rPr>
        <w:t xml:space="preserve"> </w:t>
      </w:r>
      <w:r>
        <w:rPr>
          <w:rFonts w:ascii="Arial" w:hAnsi="Arial"/>
          <w:color w:val="FFFFFF"/>
          <w:sz w:val="2"/>
        </w:rPr>
        <w:t>Apellis Pharmaceuticals, Inc. Annual Meeting of Stockholders THE BOARD OF DIRECTORS RECOMMENDS A VOTE FOR EACH OF THE NOMINEES IN PROPOSAL 1 AND FOR PROPOSALS 2 AND 3 PROPOSAL 1. Election of two Class I directors to hold office until the 2027 annual meeting of stockholders; 1.01 Paul Fonteyne 1.02 Stephanie Monaghan O'Brien 2. Ratification of the appointment of Deloitte &amp; Touche LLP as our independent registered public accounting firm for the fiscal year ending December 31, 2024; 3. Approval of an advisory vote on executive compensation; and 4. Transaction of any other business that may properly come before the Annual Meeting or any adjournment or postponement thereof.</w:t>
      </w:r>
      <w:r>
        <w:rPr>
          <w:rFonts w:ascii="Times New Roman" w:hAnsi="Times New Roman"/>
          <w:color w:val="FFFFFF"/>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3230</Characters>
  <CharactersWithSpaces>3847</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