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676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676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22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Watson David 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APELLIS PHARMACEUTICALS, INC 100 FIFTH AVENUE,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Apellis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60" w:lineRule="exact"/>
        <w:rPr>
          <w:sz w:val="24"/>
          <w:szCs w:val="24"/>
          <w:color w:val="auto"/>
        </w:rPr>
      </w:pPr>
    </w:p>
    <w:p>
      <w:pPr>
        <w:sectPr>
          <w:pgSz w:w="11900" w:h="16838" w:orient="portrait"/>
          <w:cols w:equalWidth="0" w:num="3">
            <w:col w:w="3280" w:space="640"/>
            <w:col w:w="3220" w:space="595"/>
            <w:col w:w="3265"/>
          </w:cols>
          <w:pgMar w:left="460" w:top="219" w:right="439" w:bottom="22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3580" w:type="dxa"/>
            <w:vAlign w:val="bottom"/>
            <w:gridSpan w:val="5"/>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6"/>
          </w:tcPr>
          <w:p>
            <w:pPr>
              <w:ind w:left="4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02451</w:t>
            </w: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14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1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40" w:type="dxa"/>
            <w:vAlign w:val="bottom"/>
            <w:gridSpan w:val="2"/>
          </w:tcPr>
          <w:p>
            <w:pPr>
              <w:ind w:left="10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40" w:type="dxa"/>
            <w:vAlign w:val="bottom"/>
            <w:gridSpan w:val="2"/>
          </w:tcPr>
          <w:p>
            <w:pPr>
              <w:ind w:left="10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40" w:type="dxa"/>
            <w:vAlign w:val="bottom"/>
            <w:gridSpan w:val="2"/>
          </w:tcPr>
          <w:p>
            <w:pPr>
              <w:ind w:left="10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gridSpan w:val="2"/>
          </w:tcPr>
          <w:p>
            <w:pPr>
              <w:ind w:left="1180"/>
              <w:spacing w:after="0"/>
              <w:rPr>
                <w:sz w:val="20"/>
                <w:szCs w:val="20"/>
                <w:color w:val="auto"/>
              </w:rPr>
            </w:pPr>
            <w:r>
              <w:rPr>
                <w:rFonts w:ascii="Times New Roman" w:cs="Times New Roman" w:eastAsia="Times New Roman" w:hAnsi="Times New Roman"/>
                <w:sz w:val="17"/>
                <w:szCs w:val="17"/>
                <w:color w:val="0000FF"/>
              </w:rPr>
              <w:t>09/16/2025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5,000</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24.34</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118,730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w:t>
            </w:r>
          </w:p>
        </w:tc>
        <w:tc>
          <w:tcPr>
            <w:tcW w:w="920" w:type="dxa"/>
            <w:vAlign w:val="bottom"/>
            <w:vMerge w:val="restart"/>
          </w:tcPr>
          <w:p>
            <w:pPr>
              <w:ind w:left="38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(2)</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(Custodial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for minor</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 David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50,136</w:t>
            </w:r>
          </w:p>
        </w:tc>
        <w:tc>
          <w:tcPr>
            <w:tcW w:w="920" w:type="dxa"/>
            <w:vAlign w:val="bottom"/>
          </w:tcPr>
          <w:p>
            <w:pPr>
              <w:ind w:left="38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 Watson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was a scheduled sale from 10B5-1 trading plan dated March 3,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represents a custodial account held by the reporting person for the sole benefit of his minor children.</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David O. Watson Irrevocable Trust of 2023. William Zorn is the trustee of The David O. Watson Irrevocable Trust of 2023. The reporting person disclaims beneficial ownership over the shares held by The David O. Watson Irrevocable Trust of 2023 except to the extent of his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David Watson</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09/18/2025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2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57719"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2025-09-18T15:10:40Z</dcterms:created>
  <dcterms:modified xsi:type="dcterms:W3CDTF">2025-09-18T15:10:40Z</dcterms:modified>
</cp:coreProperties>
</file>