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Francois Cedric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APELLIS PHARMACEUTICALS, INC. 100 FIFTH AVENUE,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Apellis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320" w:space="600"/>
            <w:col w:w="3220" w:space="595"/>
            <w:col w:w="3345"/>
          </w:cols>
          <w:pgMar w:left="460" w:top="219" w:right="359" w:bottom="6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6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80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01/13/2025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6,247</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28.7021</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307,415</w:t>
            </w:r>
          </w:p>
        </w:tc>
        <w:tc>
          <w:tcPr>
            <w:tcW w:w="98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Cedric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532,946</w:t>
            </w:r>
          </w:p>
        </w:tc>
        <w:tc>
          <w:tcPr>
            <w:tcW w:w="980" w:type="dxa"/>
            <w:vAlign w:val="bottom"/>
          </w:tcPr>
          <w:p>
            <w:pPr>
              <w:ind w:left="4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2023 - 2)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Cedric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472,065</w:t>
            </w:r>
          </w:p>
        </w:tc>
        <w:tc>
          <w:tcPr>
            <w:tcW w:w="980" w:type="dxa"/>
            <w:vAlign w:val="bottom"/>
          </w:tcPr>
          <w:p>
            <w:pPr>
              <w:ind w:left="4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300,000</w:t>
            </w:r>
          </w:p>
        </w:tc>
        <w:tc>
          <w:tcPr>
            <w:tcW w:w="980" w:type="dxa"/>
            <w:vAlign w:val="bottom"/>
            <w:vMerge w:val="restart"/>
          </w:tcPr>
          <w:p>
            <w:pPr>
              <w:ind w:left="44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(4)</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Grossi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234,411</w:t>
            </w:r>
          </w:p>
        </w:tc>
        <w:tc>
          <w:tcPr>
            <w:tcW w:w="980" w:type="dxa"/>
            <w:vAlign w:val="bottom"/>
          </w:tcPr>
          <w:p>
            <w:pPr>
              <w:ind w:left="4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(5)</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DuBois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Educational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19" w:right="359" w:bottom="6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11137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0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0"/>
              </w:rPr>
              <w:t>7Title.Title Sharesand</w:t>
            </w:r>
          </w:p>
        </w:tc>
        <w:tc>
          <w:tcPr>
            <w:tcW w:w="740" w:type="dxa"/>
            <w:vAlign w:val="bottom"/>
            <w:gridSpan w:val="2"/>
          </w:tcPr>
          <w:p>
            <w:pPr>
              <w:ind w:left="10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10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5"/>
        </w:trPr>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10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160" w:type="dxa"/>
            <w:vAlign w:val="bottom"/>
          </w:tcPr>
          <w:p>
            <w:pPr>
              <w:ind w:left="40"/>
              <w:spacing w:after="0" w:line="67" w:lineRule="exact"/>
              <w:rPr>
                <w:sz w:val="20"/>
                <w:szCs w:val="20"/>
                <w:color w:val="auto"/>
              </w:rPr>
            </w:pPr>
            <w:r>
              <w:rPr>
                <w:rFonts w:ascii="Times New Roman" w:cs="Times New Roman" w:eastAsia="Times New Roman" w:hAnsi="Times New Roman"/>
                <w:sz w:val="7"/>
                <w:szCs w:val="7"/>
                <w:color w:val="008000"/>
              </w:rPr>
              <w:t>1.</w:t>
            </w:r>
          </w:p>
        </w:tc>
        <w:tc>
          <w:tcPr>
            <w:tcW w:w="6680" w:type="dxa"/>
            <w:vAlign w:val="bottom"/>
            <w:gridSpan w:val="7"/>
          </w:tcPr>
          <w:p>
            <w:pPr>
              <w:ind w:left="20"/>
              <w:spacing w:after="0" w:line="67" w:lineRule="exact"/>
              <w:rPr>
                <w:sz w:val="20"/>
                <w:szCs w:val="20"/>
                <w:color w:val="auto"/>
              </w:rPr>
            </w:pPr>
            <w:r>
              <w:rPr>
                <w:rFonts w:ascii="Times New Roman" w:cs="Times New Roman" w:eastAsia="Times New Roman" w:hAnsi="Times New Roman"/>
                <w:sz w:val="7"/>
                <w:szCs w:val="7"/>
                <w:color w:val="008000"/>
              </w:rPr>
              <w:t>This represents shares sold to cover tax withholding on the Restricted Stock Units released on January 10, 2025.</w:t>
            </w:r>
          </w:p>
        </w:tc>
        <w:tc>
          <w:tcPr>
            <w:tcW w:w="100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8000"/>
              </w:rPr>
              <w:t>2.</w:t>
            </w:r>
          </w:p>
        </w:tc>
        <w:tc>
          <w:tcPr>
            <w:tcW w:w="640" w:type="dxa"/>
            <w:vAlign w:val="bottom"/>
          </w:tcPr>
          <w:p>
            <w:pPr>
              <w:spacing w:after="0"/>
              <w:rPr>
                <w:sz w:val="5"/>
                <w:szCs w:val="5"/>
                <w:color w:val="auto"/>
              </w:rPr>
            </w:pPr>
          </w:p>
        </w:tc>
        <w:tc>
          <w:tcPr>
            <w:tcW w:w="740" w:type="dxa"/>
            <w:vAlign w:val="bottom"/>
          </w:tcPr>
          <w:p>
            <w:pPr>
              <w:spacing w:after="0" w:line="68"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60" w:type="dxa"/>
            <w:vAlign w:val="bottom"/>
            <w:vMerge w:val="continue"/>
          </w:tcPr>
          <w:p>
            <w:pPr>
              <w:spacing w:after="0"/>
              <w:rPr>
                <w:sz w:val="12"/>
                <w:szCs w:val="12"/>
                <w:color w:val="auto"/>
              </w:rPr>
            </w:pPr>
          </w:p>
        </w:tc>
        <w:tc>
          <w:tcPr>
            <w:tcW w:w="7800" w:type="dxa"/>
            <w:vAlign w:val="bottom"/>
            <w:gridSpan w:val="9"/>
          </w:tcPr>
          <w:p>
            <w:pPr>
              <w:ind w:left="20"/>
              <w:spacing w:after="0" w:line="146" w:lineRule="exact"/>
              <w:rPr>
                <w:sz w:val="20"/>
                <w:szCs w:val="20"/>
                <w:color w:val="auto"/>
              </w:rPr>
            </w:pPr>
            <w:r>
              <w:rPr>
                <w:rFonts w:ascii="Times New Roman" w:cs="Times New Roman" w:eastAsia="Times New Roman" w:hAnsi="Times New Roman"/>
                <w:sz w:val="13"/>
                <w:szCs w:val="13"/>
                <w:color w:val="008000"/>
                <w:w w:val="87"/>
              </w:rPr>
              <w:t>The securities</w:t>
            </w:r>
            <w:r>
              <w:rPr>
                <w:rFonts w:ascii="Arial" w:cs="Arial" w:eastAsia="Arial" w:hAnsi="Arial"/>
                <w:sz w:val="11"/>
                <w:szCs w:val="11"/>
                <w:b w:val="1"/>
                <w:bCs w:val="1"/>
                <w:color w:val="000000"/>
                <w:w w:val="87"/>
              </w:rPr>
              <w:t>Security</w:t>
            </w:r>
            <w:r>
              <w:rPr>
                <w:rFonts w:ascii="Times New Roman" w:cs="Times New Roman" w:eastAsia="Times New Roman" w:hAnsi="Times New Roman"/>
                <w:sz w:val="13"/>
                <w:szCs w:val="13"/>
                <w:color w:val="008000"/>
                <w:w w:val="87"/>
              </w:rPr>
              <w:t>areheld by The Cedric Francois Irrevocable Trust of 2023 - 2. William</w:t>
            </w:r>
            <w:r>
              <w:rPr>
                <w:rFonts w:ascii="Arial" w:cs="Arial" w:eastAsia="Arial" w:hAnsi="Arial"/>
                <w:sz w:val="11"/>
                <w:szCs w:val="11"/>
                <w:b w:val="1"/>
                <w:bCs w:val="1"/>
                <w:color w:val="000000"/>
                <w:w w:val="87"/>
              </w:rPr>
              <w:t>(A)</w:t>
            </w:r>
            <w:r>
              <w:rPr>
                <w:rFonts w:ascii="Times New Roman" w:cs="Times New Roman" w:eastAsia="Times New Roman" w:hAnsi="Times New Roman"/>
                <w:sz w:val="13"/>
                <w:szCs w:val="13"/>
                <w:color w:val="008000"/>
                <w:w w:val="87"/>
              </w:rPr>
              <w:t>V.</w:t>
            </w:r>
            <w:r>
              <w:rPr>
                <w:rFonts w:ascii="Arial" w:cs="Arial" w:eastAsia="Arial" w:hAnsi="Arial"/>
                <w:sz w:val="11"/>
                <w:szCs w:val="11"/>
                <w:b w:val="1"/>
                <w:bCs w:val="1"/>
                <w:color w:val="000000"/>
                <w:w w:val="87"/>
              </w:rPr>
              <w:t>or</w:t>
            </w:r>
            <w:r>
              <w:rPr>
                <w:rFonts w:ascii="Times New Roman" w:cs="Times New Roman" w:eastAsia="Times New Roman" w:hAnsi="Times New Roman"/>
                <w:sz w:val="13"/>
                <w:szCs w:val="13"/>
                <w:color w:val="008000"/>
                <w:w w:val="87"/>
              </w:rPr>
              <w:t>A. Zorn is the trustee of The Cedric Francois</w:t>
            </w:r>
            <w:r>
              <w:rPr>
                <w:rFonts w:ascii="Arial" w:cs="Arial" w:eastAsia="Arial" w:hAnsi="Arial"/>
                <w:sz w:val="11"/>
                <w:szCs w:val="11"/>
                <w:b w:val="1"/>
                <w:bCs w:val="1"/>
                <w:color w:val="000000"/>
                <w:w w:val="87"/>
              </w:rPr>
              <w:t>Seurity</w:t>
            </w:r>
            <w:r>
              <w:rPr>
                <w:rFonts w:ascii="Times New Roman" w:cs="Times New Roman" w:eastAsia="Times New Roman" w:hAnsi="Times New Roman"/>
                <w:sz w:val="13"/>
                <w:szCs w:val="13"/>
                <w:color w:val="008000"/>
                <w:w w:val="87"/>
              </w:rPr>
              <w:t>Irrevocable</w:t>
            </w:r>
            <w:r>
              <w:rPr>
                <w:rFonts w:ascii="Arial" w:cs="Arial" w:eastAsia="Arial" w:hAnsi="Arial"/>
                <w:sz w:val="11"/>
                <w:szCs w:val="11"/>
                <w:b w:val="1"/>
                <w:bCs w:val="1"/>
                <w:color w:val="000000"/>
                <w:w w:val="87"/>
              </w:rPr>
              <w:t>(Instr.</w:t>
            </w:r>
          </w:p>
        </w:tc>
        <w:tc>
          <w:tcPr>
            <w:tcW w:w="312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3"/>
                <w:szCs w:val="13"/>
                <w:color w:val="008000"/>
                <w:w w:val="90"/>
              </w:rPr>
              <w:t>Trust of 2023</w:t>
            </w:r>
            <w:r>
              <w:rPr>
                <w:rFonts w:ascii="Arial" w:cs="Arial" w:eastAsia="Arial" w:hAnsi="Arial"/>
                <w:sz w:val="11"/>
                <w:szCs w:val="11"/>
                <w:b w:val="1"/>
                <w:bCs w:val="1"/>
                <w:color w:val="000000"/>
                <w:w w:val="90"/>
              </w:rPr>
              <w:t>Following</w:t>
            </w:r>
            <w:r>
              <w:rPr>
                <w:rFonts w:ascii="Times New Roman" w:cs="Times New Roman" w:eastAsia="Times New Roman" w:hAnsi="Times New Roman"/>
                <w:sz w:val="13"/>
                <w:szCs w:val="13"/>
                <w:color w:val="008000"/>
                <w:w w:val="90"/>
              </w:rPr>
              <w:t>-2.Thereporting</w:t>
            </w:r>
            <w:r>
              <w:rPr>
                <w:rFonts w:ascii="Arial" w:cs="Arial" w:eastAsia="Arial" w:hAnsi="Arial"/>
                <w:sz w:val="11"/>
                <w:szCs w:val="11"/>
                <w:b w:val="1"/>
                <w:bCs w:val="1"/>
                <w:color w:val="000000"/>
                <w:w w:val="90"/>
              </w:rPr>
              <w:t>(I)</w:t>
            </w:r>
            <w:r>
              <w:rPr>
                <w:rFonts w:ascii="Times New Roman" w:cs="Times New Roman" w:eastAsia="Times New Roman" w:hAnsi="Times New Roman"/>
                <w:sz w:val="13"/>
                <w:szCs w:val="13"/>
                <w:color w:val="008000"/>
                <w:w w:val="90"/>
              </w:rPr>
              <w:t>person</w:t>
            </w:r>
            <w:r>
              <w:rPr>
                <w:rFonts w:ascii="Arial" w:cs="Arial" w:eastAsia="Arial" w:hAnsi="Arial"/>
                <w:sz w:val="11"/>
                <w:szCs w:val="11"/>
                <w:b w:val="1"/>
                <w:bCs w:val="1"/>
                <w:color w:val="000000"/>
                <w:w w:val="90"/>
              </w:rPr>
              <w:t>(Instr.</w:t>
            </w:r>
            <w:r>
              <w:rPr>
                <w:rFonts w:ascii="Times New Roman" w:cs="Times New Roman" w:eastAsia="Times New Roman" w:hAnsi="Times New Roman"/>
                <w:sz w:val="13"/>
                <w:szCs w:val="13"/>
                <w:color w:val="008000"/>
                <w:w w:val="90"/>
              </w:rPr>
              <w:t xml:space="preserve"> disclaims</w:t>
            </w:r>
            <w:r>
              <w:rPr>
                <w:rFonts w:ascii="Arial" w:cs="Arial" w:eastAsia="Arial" w:hAnsi="Arial"/>
                <w:sz w:val="11"/>
                <w:szCs w:val="11"/>
                <w:b w:val="1"/>
                <w:bCs w:val="1"/>
                <w:color w:val="000000"/>
                <w:w w:val="90"/>
              </w:rPr>
              <w:t>4)</w:t>
            </w:r>
          </w:p>
        </w:tc>
        <w:tc>
          <w:tcPr>
            <w:tcW w:w="0" w:type="dxa"/>
            <w:vAlign w:val="bottom"/>
          </w:tcPr>
          <w:p>
            <w:pPr>
              <w:spacing w:after="0"/>
              <w:rPr>
                <w:sz w:val="1"/>
                <w:szCs w:val="1"/>
                <w:color w:val="auto"/>
              </w:rPr>
            </w:pPr>
          </w:p>
        </w:tc>
      </w:tr>
      <w:tr>
        <w:trPr>
          <w:trHeight w:val="134"/>
        </w:trPr>
        <w:tc>
          <w:tcPr>
            <w:tcW w:w="7960" w:type="dxa"/>
            <w:vAlign w:val="bottom"/>
            <w:gridSpan w:val="10"/>
          </w:tcPr>
          <w:p>
            <w:pPr>
              <w:ind w:left="40"/>
              <w:spacing w:after="0" w:line="134" w:lineRule="exact"/>
              <w:rPr>
                <w:sz w:val="20"/>
                <w:szCs w:val="20"/>
                <w:color w:val="auto"/>
              </w:rPr>
            </w:pPr>
            <w:r>
              <w:rPr>
                <w:rFonts w:ascii="Times New Roman" w:cs="Times New Roman" w:eastAsia="Times New Roman" w:hAnsi="Times New Roman"/>
                <w:sz w:val="13"/>
                <w:szCs w:val="13"/>
                <w:color w:val="008000"/>
                <w:w w:val="93"/>
              </w:rPr>
              <w:t>beneficial ownership over the shares held by The Cedric Francois Irrevocable Trust of 2023</w:t>
            </w:r>
            <w:r>
              <w:rPr>
                <w:rFonts w:ascii="Arial" w:cs="Arial" w:eastAsia="Arial" w:hAnsi="Arial"/>
                <w:sz w:val="11"/>
                <w:szCs w:val="11"/>
                <w:b w:val="1"/>
                <w:bCs w:val="1"/>
                <w:color w:val="000000"/>
                <w:w w:val="93"/>
              </w:rPr>
              <w:t>Disposed</w:t>
            </w:r>
            <w:r>
              <w:rPr>
                <w:rFonts w:ascii="Times New Roman" w:cs="Times New Roman" w:eastAsia="Times New Roman" w:hAnsi="Times New Roman"/>
                <w:sz w:val="13"/>
                <w:szCs w:val="13"/>
                <w:color w:val="008000"/>
                <w:w w:val="93"/>
              </w:rPr>
              <w:t>-2except to the extent of his pecuniary</w:t>
            </w:r>
            <w:r>
              <w:rPr>
                <w:rFonts w:ascii="Arial" w:cs="Arial" w:eastAsia="Arial" w:hAnsi="Arial"/>
                <w:sz w:val="11"/>
                <w:szCs w:val="11"/>
                <w:b w:val="1"/>
                <w:bCs w:val="1"/>
                <w:color w:val="000000"/>
                <w:w w:val="93"/>
              </w:rPr>
              <w:t>3and</w:t>
            </w:r>
            <w:r>
              <w:rPr>
                <w:rFonts w:ascii="Times New Roman" w:cs="Times New Roman" w:eastAsia="Times New Roman" w:hAnsi="Times New Roman"/>
                <w:sz w:val="13"/>
                <w:szCs w:val="13"/>
                <w:color w:val="008000"/>
                <w:w w:val="93"/>
              </w:rPr>
              <w:t>interest</w:t>
            </w:r>
            <w:r>
              <w:rPr>
                <w:rFonts w:ascii="Arial" w:cs="Arial" w:eastAsia="Arial" w:hAnsi="Arial"/>
                <w:sz w:val="11"/>
                <w:szCs w:val="11"/>
                <w:b w:val="1"/>
                <w:bCs w:val="1"/>
                <w:color w:val="000000"/>
                <w:w w:val="93"/>
              </w:rPr>
              <w:t>4)</w:t>
            </w:r>
            <w:r>
              <w:rPr>
                <w:rFonts w:ascii="Times New Roman" w:cs="Times New Roman" w:eastAsia="Times New Roman" w:hAnsi="Times New Roman"/>
                <w:sz w:val="13"/>
                <w:szCs w:val="13"/>
                <w:color w:val="008000"/>
                <w:w w:val="93"/>
              </w:rPr>
              <w:t xml:space="preserve"> therein.</w:t>
            </w:r>
          </w:p>
        </w:tc>
        <w:tc>
          <w:tcPr>
            <w:tcW w:w="6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8000"/>
              </w:rPr>
              <w:t>3.</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 w:type="dxa"/>
            <w:vAlign w:val="bottom"/>
            <w:vMerge w:val="continue"/>
          </w:tcPr>
          <w:p>
            <w:pPr>
              <w:spacing w:after="0"/>
              <w:rPr>
                <w:sz w:val="6"/>
                <w:szCs w:val="6"/>
                <w:color w:val="auto"/>
              </w:rPr>
            </w:pPr>
          </w:p>
        </w:tc>
        <w:tc>
          <w:tcPr>
            <w:tcW w:w="10920" w:type="dxa"/>
            <w:vAlign w:val="bottom"/>
            <w:gridSpan w:val="13"/>
          </w:tcPr>
          <w:p>
            <w:pPr>
              <w:ind w:left="20"/>
              <w:spacing w:after="0" w:line="80" w:lineRule="exact"/>
              <w:rPr>
                <w:sz w:val="20"/>
                <w:szCs w:val="20"/>
                <w:color w:val="auto"/>
              </w:rPr>
            </w:pPr>
            <w:r>
              <w:rPr>
                <w:rFonts w:ascii="Times New Roman" w:cs="Times New Roman" w:eastAsia="Times New Roman" w:hAnsi="Times New Roman"/>
                <w:sz w:val="9"/>
                <w:szCs w:val="9"/>
                <w:color w:val="008000"/>
              </w:rPr>
              <w:t>The securities are held by The Cedric Francois Irrevocable Trust of 2023. William V. A. Zorn is the trustee of The Cedric Francois Irrevocable Trust of 2023. The reporting person disclaims beneficial</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(Instr. 3, 4</w:t>
            </w:r>
          </w:p>
        </w:tc>
        <w:tc>
          <w:tcPr>
            <w:tcW w:w="1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(Instr. 4)</w:t>
            </w: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7840" w:type="dxa"/>
            <w:vAlign w:val="bottom"/>
            <w:gridSpan w:val="9"/>
          </w:tcPr>
          <w:p>
            <w:pPr>
              <w:ind w:left="40"/>
              <w:spacing w:after="0" w:line="93" w:lineRule="exact"/>
              <w:rPr>
                <w:sz w:val="20"/>
                <w:szCs w:val="20"/>
                <w:color w:val="auto"/>
              </w:rPr>
            </w:pPr>
            <w:r>
              <w:rPr>
                <w:rFonts w:ascii="Times New Roman" w:cs="Times New Roman" w:eastAsia="Times New Roman" w:hAnsi="Times New Roman"/>
                <w:sz w:val="10"/>
                <w:szCs w:val="10"/>
                <w:color w:val="008000"/>
              </w:rPr>
              <w:t>ownership over the shares held by The Cedric Francois Irrevocable Trust of 2023 except to the extent of his pecuniary interest therein.</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and 5)</w:t>
            </w:r>
          </w:p>
        </w:tc>
        <w:tc>
          <w:tcPr>
            <w:tcW w:w="1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40" w:right="220" w:firstLine="7"/>
        <w:spacing w:after="0" w:line="250"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Francois Grossi Trust, for which Juliana Grossi, the spouse of the reporting person, serves as trustee. The reporting person disclaims beneficial ownership over the shares held by the Francois Grossi Trust except to the extent of his pecuniary interest therein.</w:t>
      </w:r>
    </w:p>
    <w:p>
      <w:pPr>
        <w:spacing w:after="0" w:line="21" w:lineRule="exact"/>
        <w:rPr>
          <w:rFonts w:ascii="Times New Roman" w:cs="Times New Roman" w:eastAsia="Times New Roman" w:hAnsi="Times New Roman"/>
          <w:sz w:val="13"/>
          <w:szCs w:val="13"/>
          <w:color w:val="008000"/>
        </w:rPr>
      </w:pPr>
    </w:p>
    <w:p>
      <w:pPr>
        <w:ind w:left="40" w:right="240" w:firstLine="7"/>
        <w:spacing w:after="0" w:line="23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Francois-DuBois Educational Trust, for which the Fiduciary Trust Company of New England serves as trustee. The reporting person disclaims beneficial ownership over the shares held by The Francois-DuBois Educational Trust except to the extent of his pecuniary interest therein.</w:t>
      </w:r>
    </w:p>
    <w:tbl>
      <w:tblPr>
        <w:tblLayout w:type="fixed"/>
        <w:tblInd w:w="20" w:type="dxa"/>
        <w:tblCellMar>
          <w:top w:w="0" w:type="dxa"/>
          <w:left w:w="0" w:type="dxa"/>
          <w:bottom w:w="0" w:type="dxa"/>
          <w:right w:w="0" w:type="dxa"/>
        </w:tblCellMar>
      </w:tblPr>
      <w:tr>
        <w:trPr>
          <w:trHeight w:val="109"/>
        </w:trPr>
        <w:tc>
          <w:tcPr>
            <w:tcW w:w="4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60" w:type="dxa"/>
            <w:vAlign w:val="bottom"/>
            <w:gridSpan w:val="2"/>
          </w:tcPr>
          <w:p>
            <w:pPr>
              <w:ind w:left="460"/>
              <w:spacing w:after="0" w:line="109"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2"/>
                <w:szCs w:val="2"/>
                <w:color w:val="0000FF"/>
              </w:rPr>
              <w:t>/s/ David Watson, attorney-in-</w:t>
            </w: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60" w:type="dxa"/>
            <w:vAlign w:val="bottom"/>
            <w:gridSpan w:val="2"/>
          </w:tcPr>
          <w:p>
            <w:pPr>
              <w:ind w:left="460"/>
              <w:spacing w:after="0" w:line="136" w:lineRule="exact"/>
              <w:rPr>
                <w:sz w:val="20"/>
                <w:szCs w:val="20"/>
                <w:color w:val="auto"/>
              </w:rPr>
            </w:pPr>
            <w:r>
              <w:rPr>
                <w:rFonts w:ascii="Arial" w:cs="Arial" w:eastAsia="Arial" w:hAnsi="Arial"/>
                <w:sz w:val="12"/>
                <w:szCs w:val="12"/>
                <w:b w:val="1"/>
                <w:bCs w:val="1"/>
                <w:color w:val="auto"/>
              </w:rPr>
              <w:t>or</w:t>
            </w:r>
          </w:p>
        </w:tc>
        <w:tc>
          <w:tcPr>
            <w:tcW w:w="2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highlight w:val="white"/>
              </w:rPr>
              <w:t>01/14/2025</w:t>
            </w:r>
          </w:p>
        </w:tc>
        <w:tc>
          <w:tcPr>
            <w:tcW w:w="0" w:type="dxa"/>
            <w:vAlign w:val="bottom"/>
          </w:tcPr>
          <w:p>
            <w:pPr>
              <w:spacing w:after="0"/>
              <w:rPr>
                <w:sz w:val="1"/>
                <w:szCs w:val="1"/>
                <w:color w:val="auto"/>
              </w:rPr>
            </w:pPr>
          </w:p>
        </w:tc>
      </w:tr>
      <w:tr>
        <w:trPr>
          <w:trHeight w:val="87"/>
        </w:trPr>
        <w:tc>
          <w:tcPr>
            <w:tcW w:w="45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800" w:type="dxa"/>
            <w:vAlign w:val="bottom"/>
            <w:tcBorders>
              <w:top w:val="single" w:sz="8" w:color="auto"/>
            </w:tcBorders>
          </w:tcPr>
          <w:p>
            <w:pPr>
              <w:ind w:left="460"/>
              <w:spacing w:after="0" w:line="74" w:lineRule="exact"/>
              <w:rPr>
                <w:sz w:val="20"/>
                <w:szCs w:val="20"/>
                <w:color w:val="auto"/>
              </w:rPr>
            </w:pPr>
            <w:r>
              <w:rPr>
                <w:rFonts w:ascii="Arial" w:cs="Arial" w:eastAsia="Arial" w:hAnsi="Arial"/>
                <w:sz w:val="8"/>
                <w:szCs w:val="8"/>
                <w:b w:val="1"/>
                <w:bCs w:val="1"/>
                <w:color w:val="auto"/>
              </w:rPr>
              <w:t>Number</w:t>
            </w:r>
          </w:p>
        </w:tc>
        <w:tc>
          <w:tcPr>
            <w:tcW w:w="60" w:type="dxa"/>
            <w:vAlign w:val="bottom"/>
          </w:tcPr>
          <w:p>
            <w:pPr>
              <w:spacing w:after="0"/>
              <w:rPr>
                <w:sz w:val="7"/>
                <w:szCs w:val="7"/>
                <w:color w:val="auto"/>
              </w:rPr>
            </w:pPr>
          </w:p>
        </w:tc>
        <w:tc>
          <w:tcPr>
            <w:tcW w:w="23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5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160" w:type="dxa"/>
            <w:vAlign w:val="bottom"/>
            <w:gridSpan w:val="3"/>
          </w:tcPr>
          <w:p>
            <w:pPr>
              <w:spacing w:after="0" w:line="74" w:lineRule="exact"/>
              <w:rPr>
                <w:sz w:val="20"/>
                <w:szCs w:val="20"/>
                <w:color w:val="auto"/>
              </w:rPr>
            </w:pPr>
            <w:r>
              <w:rPr>
                <w:rFonts w:ascii="Times New Roman" w:cs="Times New Roman" w:eastAsia="Times New Roman" w:hAnsi="Times New Roman"/>
                <w:sz w:val="8"/>
                <w:szCs w:val="8"/>
                <w:color w:val="0000FF"/>
                <w:highlight w:val="white"/>
              </w:rPr>
              <w:t>fact for Cedric Francois</w:t>
            </w:r>
          </w:p>
        </w:tc>
        <w:tc>
          <w:tcPr>
            <w:tcW w:w="4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500" w:type="dxa"/>
            <w:vAlign w:val="bottom"/>
          </w:tcPr>
          <w:p>
            <w:pPr>
              <w:spacing w:after="0"/>
              <w:rPr>
                <w:sz w:val="4"/>
                <w:szCs w:val="4"/>
                <w:color w:val="auto"/>
              </w:rPr>
            </w:pPr>
          </w:p>
        </w:tc>
        <w:tc>
          <w:tcPr>
            <w:tcW w:w="1620" w:type="dxa"/>
            <w:vAlign w:val="bottom"/>
          </w:tcPr>
          <w:p>
            <w:pPr>
              <w:ind w:left="880"/>
              <w:spacing w:after="0" w:line="53" w:lineRule="exact"/>
              <w:rPr>
                <w:sz w:val="20"/>
                <w:szCs w:val="20"/>
                <w:color w:val="auto"/>
              </w:rPr>
            </w:pPr>
            <w:r>
              <w:rPr>
                <w:rFonts w:ascii="Arial" w:cs="Arial" w:eastAsia="Arial" w:hAnsi="Arial"/>
                <w:sz w:val="6"/>
                <w:szCs w:val="6"/>
                <w:b w:val="1"/>
                <w:bCs w:val="1"/>
                <w:color w:val="auto"/>
              </w:rPr>
              <w:t>Date</w:t>
            </w:r>
          </w:p>
        </w:tc>
        <w:tc>
          <w:tcPr>
            <w:tcW w:w="740" w:type="dxa"/>
            <w:vAlign w:val="bottom"/>
            <w:gridSpan w:val="2"/>
          </w:tcPr>
          <w:p>
            <w:pPr>
              <w:ind w:left="80"/>
              <w:spacing w:after="0" w:line="53" w:lineRule="exact"/>
              <w:rPr>
                <w:sz w:val="20"/>
                <w:szCs w:val="20"/>
                <w:color w:val="auto"/>
              </w:rPr>
            </w:pPr>
            <w:r>
              <w:rPr>
                <w:rFonts w:ascii="Arial" w:cs="Arial" w:eastAsia="Arial" w:hAnsi="Arial"/>
                <w:sz w:val="6"/>
                <w:szCs w:val="6"/>
                <w:b w:val="1"/>
                <w:bCs w:val="1"/>
                <w:color w:val="auto"/>
              </w:rPr>
              <w:t>Expiration</w:t>
            </w:r>
          </w:p>
        </w:tc>
        <w:tc>
          <w:tcPr>
            <w:tcW w:w="1800" w:type="dxa"/>
            <w:vAlign w:val="bottom"/>
          </w:tcPr>
          <w:p>
            <w:pPr>
              <w:ind w:left="460"/>
              <w:spacing w:after="0" w:line="53" w:lineRule="exact"/>
              <w:rPr>
                <w:sz w:val="20"/>
                <w:szCs w:val="20"/>
                <w:color w:val="auto"/>
              </w:rPr>
            </w:pPr>
            <w:r>
              <w:rPr>
                <w:rFonts w:ascii="Arial" w:cs="Arial" w:eastAsia="Arial" w:hAnsi="Arial"/>
                <w:sz w:val="6"/>
                <w:szCs w:val="6"/>
                <w:b w:val="1"/>
                <w:bCs w:val="1"/>
                <w:color w:val="auto"/>
              </w:rPr>
              <w:t>of</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4500" w:type="dxa"/>
            <w:vAlign w:val="bottom"/>
          </w:tcPr>
          <w:p>
            <w:pPr>
              <w:ind w:left="3820"/>
              <w:spacing w:after="0" w:line="121" w:lineRule="exact"/>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160"/>
              <w:spacing w:after="0" w:line="121" w:lineRule="exact"/>
              <w:rPr>
                <w:sz w:val="20"/>
                <w:szCs w:val="20"/>
                <w:color w:val="auto"/>
              </w:rPr>
            </w:pPr>
            <w:r>
              <w:rPr>
                <w:rFonts w:ascii="Arial" w:cs="Arial" w:eastAsia="Arial" w:hAnsi="Arial"/>
                <w:sz w:val="12"/>
                <w:szCs w:val="12"/>
                <w:b w:val="1"/>
                <w:bCs w:val="1"/>
                <w:color w:val="auto"/>
              </w:rPr>
              <w:t>(A)   (D)   Exercisable</w:t>
            </w:r>
          </w:p>
        </w:tc>
        <w:tc>
          <w:tcPr>
            <w:tcW w:w="4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0"/>
                <w:szCs w:val="10"/>
                <w:color w:val="auto"/>
              </w:rPr>
            </w:pPr>
          </w:p>
        </w:tc>
        <w:tc>
          <w:tcPr>
            <w:tcW w:w="18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Title  Shares</w:t>
            </w:r>
          </w:p>
        </w:tc>
        <w:tc>
          <w:tcPr>
            <w:tcW w:w="2320" w:type="dxa"/>
            <w:vAlign w:val="bottom"/>
            <w:gridSpan w:val="3"/>
            <w:vMerge w:val="restart"/>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80"/>
        </w:trPr>
        <w:tc>
          <w:tcPr>
            <w:tcW w:w="4500" w:type="dxa"/>
            <w:vAlign w:val="bottom"/>
            <w:tcBorders>
              <w:bottom w:val="single" w:sz="8" w:color="808080"/>
            </w:tcBorders>
          </w:tcPr>
          <w:p>
            <w:pPr>
              <w:spacing w:after="0"/>
              <w:rPr>
                <w:sz w:val="6"/>
                <w:szCs w:val="6"/>
                <w:color w:val="auto"/>
              </w:rPr>
            </w:pPr>
          </w:p>
        </w:tc>
        <w:tc>
          <w:tcPr>
            <w:tcW w:w="16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160" w:type="dxa"/>
            <w:vAlign w:val="bottom"/>
            <w:tcBorders>
              <w:bottom w:val="single" w:sz="8" w:color="808080"/>
            </w:tcBorders>
            <w:gridSpan w:val="3"/>
          </w:tcPr>
          <w:p>
            <w:pPr>
              <w:spacing w:after="0" w:line="80" w:lineRule="exact"/>
              <w:rPr>
                <w:sz w:val="20"/>
                <w:szCs w:val="20"/>
                <w:color w:val="auto"/>
              </w:rPr>
            </w:pPr>
            <w:r>
              <w:rPr>
                <w:rFonts w:ascii="Arial" w:cs="Arial" w:eastAsia="Arial" w:hAnsi="Arial"/>
                <w:sz w:val="9"/>
                <w:szCs w:val="9"/>
                <w:color w:val="auto"/>
              </w:rPr>
              <w:t>** Signature of Reporting Person</w:t>
            </w:r>
          </w:p>
        </w:tc>
        <w:tc>
          <w:tcPr>
            <w:tcW w:w="2320" w:type="dxa"/>
            <w:vAlign w:val="bottom"/>
            <w:tcBorders>
              <w:bottom w:val="single" w:sz="8" w:color="808080"/>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080"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2025-01-14T15:25:16Z</dcterms:created>
  <dcterms:modified xsi:type="dcterms:W3CDTF">2025-01-14T15:25:16Z</dcterms:modified>
</cp:coreProperties>
</file>