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7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731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Dunlop A. Sinclair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Apellis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APLS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06/21/2024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6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3"/>
                <w:szCs w:val="13"/>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06/21/2024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35,305</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39.22</w:t>
            </w:r>
            <w:r>
              <w:rPr>
                <w:rFonts w:ascii="Times New Roman" w:cs="Times New Roman" w:eastAsia="Times New Roman" w:hAnsi="Times New Roman"/>
                <w:sz w:val="22"/>
                <w:szCs w:val="22"/>
                <w:color w:val="008000"/>
                <w:w w:val="92"/>
                <w:vertAlign w:val="superscript"/>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138,693</w:t>
            </w:r>
          </w:p>
        </w:tc>
        <w:tc>
          <w:tcPr>
            <w:tcW w:w="520" w:type="dxa"/>
            <w:vAlign w:val="bottom"/>
          </w:tcPr>
          <w:p>
            <w:pPr>
              <w:jc w:val="center"/>
              <w:ind w:left="228"/>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(Epidarex)</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06/21/2024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7"/>
                <w:szCs w:val="17"/>
                <w:color w:val="0000FF"/>
              </w:rPr>
              <w:t>1,695</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39.63</w:t>
            </w:r>
            <w:r>
              <w:rPr>
                <w:rFonts w:ascii="Times New Roman" w:cs="Times New Roman" w:eastAsia="Times New Roman" w:hAnsi="Times New Roman"/>
                <w:sz w:val="22"/>
                <w:szCs w:val="22"/>
                <w:color w:val="008000"/>
                <w:w w:val="92"/>
                <w:vertAlign w:val="superscript"/>
              </w:rPr>
              <w:t>(3)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136,998</w:t>
            </w:r>
          </w:p>
        </w:tc>
        <w:tc>
          <w:tcPr>
            <w:tcW w:w="520" w:type="dxa"/>
            <w:vAlign w:val="bottom"/>
          </w:tcPr>
          <w:p>
            <w:pPr>
              <w:jc w:val="center"/>
              <w:ind w:left="228"/>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(Epidarex)</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133,518</w:t>
            </w:r>
          </w:p>
        </w:tc>
        <w:tc>
          <w:tcPr>
            <w:tcW w:w="520" w:type="dxa"/>
            <w:vAlign w:val="bottom"/>
            <w:tcBorders>
              <w:top w:val="single" w:sz="8" w:color="2C2C2C"/>
            </w:tcBorders>
          </w:tcPr>
          <w:p>
            <w:pPr>
              <w:jc w:val="center"/>
              <w:ind w:left="248"/>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31,855</w:t>
            </w:r>
          </w:p>
        </w:tc>
        <w:tc>
          <w:tcPr>
            <w:tcW w:w="520" w:type="dxa"/>
            <w:vAlign w:val="bottom"/>
          </w:tcPr>
          <w:p>
            <w:pPr>
              <w:jc w:val="center"/>
              <w:ind w:left="228"/>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7"/>
                <w:szCs w:val="17"/>
                <w:color w:val="0000FF"/>
              </w:rPr>
              <w:t>(Masa)</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4"/>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non-Rule 10b5-1 trading plan adopted by Epidarex Capital I LP on March 2, 2024.</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$38.59 - $39.58.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 in footnotes (1) and (2)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$39.59 - $39.67.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Epidarex Capital I, LP ("Epidarex") and the reporting person, a general partner of Epidarex, may be deemed to have voting and dispositive power over the shares held by Epidarex. The reporting person disclaims beneficial ownership over the shares held by Epidarex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MASA and the reporting person, a managing partner of MASA, may be deemed to have voting and dispositive power over the shares held by MASA. The reporting person disclaims beneficial ownership over the shares held by MASA except to the extent of his pecuniary interest therein.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David Watson, attorney-in- </w:t>
      </w:r>
      <w:r>
        <w:rPr>
          <w:rFonts w:ascii="Times New Roman" w:cs="Times New Roman" w:eastAsia="Times New Roman" w:hAnsi="Times New Roman"/>
          <w:sz w:val="33"/>
          <w:szCs w:val="33"/>
          <w:color w:val="0000FF"/>
          <w:vertAlign w:val="subscript"/>
        </w:rPr>
        <w:t>06/21/2024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Sinclair A. Dunlop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82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23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108" TargetMode="External"/><Relationship Id="rId13"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2024-06-21T18:38:53Z</dcterms:created>
  <dcterms:modified xsi:type="dcterms:W3CDTF">2024-06-21T18:38:53Z</dcterms:modified>
</cp:coreProperties>
</file>