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14,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333-221528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333-229876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333-236710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333-253518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333-269888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333-277381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TO</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333-221528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333-229876</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333-236708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333-236710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333-253518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333-263100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333-269888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333-277381</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333-285393</w:t>
      </w:r>
    </w:p>
    <w:p>
      <w:pPr>
        <w:ind w:left="280"/>
        <w:spacing w:after="0"/>
        <w:rPr>
          <w:sz w:val="20"/>
          <w:szCs w:val="20"/>
          <w:color w:val="auto"/>
        </w:rPr>
      </w:pPr>
      <w:r>
        <w:rPr>
          <w:rFonts w:ascii="Times New Roman" w:cs="Times New Roman" w:eastAsia="Times New Roman" w:hAnsi="Times New Roman"/>
          <w:sz w:val="32"/>
          <w:szCs w:val="32"/>
          <w:b w:val="1"/>
          <w:bCs w:val="1"/>
          <w:color w:val="auto"/>
        </w:rPr>
        <w:t>FORM S-8 REGISTRATION STATEMENT NO. 333-293669</w:t>
      </w:r>
    </w:p>
    <w:p>
      <w:pPr>
        <w:jc w:val="center"/>
        <w:ind w:right="100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48"/>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left="280" w:right="1300"/>
        <w:spacing w:after="0" w:line="254" w:lineRule="auto"/>
        <w:rPr>
          <w:sz w:val="20"/>
          <w:szCs w:val="20"/>
          <w:color w:val="auto"/>
        </w:rPr>
      </w:pPr>
      <w:r>
        <w:rPr>
          <w:rFonts w:ascii="Times New Roman" w:cs="Times New Roman" w:eastAsia="Times New Roman" w:hAnsi="Times New Roman"/>
          <w:sz w:val="18"/>
          <w:szCs w:val="18"/>
          <w:b w:val="1"/>
          <w:bCs w:val="1"/>
          <w:color w:val="auto"/>
        </w:rPr>
        <w:t>Apellis Pharmaceuticals, Inc. 2010 Equity Incentive Plan, as amended Apellis Pharmaceuticals, Inc. 2017 Stock Incentive Plan Apellis Pharmaceuticals, Inc. 2017 Employee Stock Purchase Plan Apellis Pharmaceuticals, Inc. 2020 Inducement Stock Incentive Plan</w:t>
      </w:r>
    </w:p>
    <w:p>
      <w:pPr>
        <w:spacing w:after="0" w:line="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Wendell Taylor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Chief Corporation Counsel</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225 Binney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(781) 464-2000</w:t>
      </w:r>
    </w:p>
    <w:p>
      <w:pPr>
        <w:spacing w:after="0" w:line="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25" w:right="439" w:bottom="0" w:gutter="0" w:footer="0" w:header="0"/>
        </w:sectPr>
      </w:pPr>
    </w:p>
    <w:p>
      <w:pPr>
        <w:spacing w:after="0" w:line="200" w:lineRule="exact"/>
        <w:rPr>
          <w:sz w:val="24"/>
          <w:szCs w:val="24"/>
          <w:color w:val="auto"/>
        </w:rPr>
      </w:pPr>
    </w:p>
    <w:p>
      <w:pPr>
        <w:spacing w:after="0" w:line="35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ectPr>
          <w:pgSz w:w="11900" w:h="16838" w:orient="portrait"/>
          <w:cols w:equalWidth="0" w:num="1">
            <w:col w:w="10020"/>
          </w:cols>
          <w:pgMar w:left="1440" w:top="225" w:right="439" w:bottom="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Aaron M. Gruber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Bethany A. Pfalzgraf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Ryan J. Wichtowski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Two Manhattan West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375 Ninth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474-1000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filed by Apellis Pharmaceuticals,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relate to the following registration statements on Form S-8 (together,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960" w:right="120" w:hanging="532"/>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333-221528</w:t>
        </w:r>
      </w:hyperlink>
      <w:r>
        <w:rPr>
          <w:rFonts w:ascii="Times New Roman" w:cs="Times New Roman" w:eastAsia="Times New Roman" w:hAnsi="Times New Roman"/>
          <w:sz w:val="18"/>
          <w:szCs w:val="18"/>
          <w:color w:val="auto"/>
        </w:rPr>
        <w:t>, registering (i) 5,841,285 shares of common stock, $0.0001 par value per share, of the Registrant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under the Registrant’s 2010 Equity Incentive Plan, as amended (the “</w:t>
      </w:r>
      <w:r>
        <w:rPr>
          <w:rFonts w:ascii="Times New Roman" w:cs="Times New Roman" w:eastAsia="Times New Roman" w:hAnsi="Times New Roman"/>
          <w:sz w:val="18"/>
          <w:szCs w:val="18"/>
          <w:u w:val="single" w:color="auto"/>
          <w:color w:val="auto"/>
        </w:rPr>
        <w:t>2010 Plan</w:t>
      </w:r>
      <w:r>
        <w:rPr>
          <w:rFonts w:ascii="Times New Roman" w:cs="Times New Roman" w:eastAsia="Times New Roman" w:hAnsi="Times New Roman"/>
          <w:sz w:val="18"/>
          <w:szCs w:val="18"/>
          <w:color w:val="auto"/>
        </w:rPr>
        <w:t>”), (ii) 1,659,154 shares of Common Stock issuable under the Registrant’s 2017 Stock Incentive Plan (the “</w:t>
      </w:r>
      <w:r>
        <w:rPr>
          <w:rFonts w:ascii="Times New Roman" w:cs="Times New Roman" w:eastAsia="Times New Roman" w:hAnsi="Times New Roman"/>
          <w:sz w:val="18"/>
          <w:szCs w:val="18"/>
          <w:u w:val="single" w:color="auto"/>
          <w:color w:val="auto"/>
        </w:rPr>
        <w:t>2017 Plan</w:t>
      </w:r>
      <w:r>
        <w:rPr>
          <w:rFonts w:ascii="Times New Roman" w:cs="Times New Roman" w:eastAsia="Times New Roman" w:hAnsi="Times New Roman"/>
          <w:sz w:val="18"/>
          <w:szCs w:val="18"/>
          <w:color w:val="auto"/>
        </w:rPr>
        <w:t>”) and (iii) 468,823 shares of Common Stock issuable under the Registrant’s 2017 Employee Stock Purchase Plan (the “</w:t>
      </w:r>
      <w:r>
        <w:rPr>
          <w:rFonts w:ascii="Times New Roman" w:cs="Times New Roman" w:eastAsia="Times New Roman" w:hAnsi="Times New Roman"/>
          <w:sz w:val="18"/>
          <w:szCs w:val="18"/>
          <w:u w:val="single" w:color="auto"/>
          <w:color w:val="auto"/>
        </w:rPr>
        <w:t>2017 ESPP</w:t>
      </w:r>
      <w:r>
        <w:rPr>
          <w:rFonts w:ascii="Times New Roman" w:cs="Times New Roman" w:eastAsia="Times New Roman" w:hAnsi="Times New Roman"/>
          <w:sz w:val="18"/>
          <w:szCs w:val="18"/>
          <w:color w:val="auto"/>
        </w:rPr>
        <w:t>”), which was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13, 2017.</w:t>
      </w:r>
    </w:p>
    <w:p>
      <w:pPr>
        <w:spacing w:after="0" w:line="88"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333-229876</w:t>
        </w:r>
      </w:hyperlink>
      <w:r>
        <w:rPr>
          <w:rFonts w:ascii="Times New Roman" w:cs="Times New Roman" w:eastAsia="Times New Roman" w:hAnsi="Times New Roman"/>
          <w:sz w:val="18"/>
          <w:szCs w:val="18"/>
          <w:color w:val="auto"/>
        </w:rPr>
        <w:t>, registering (i) 4,264,538 shares of Common Stock issuable under the 2017 Plan, (ii) 120,000 shares of Common Stock issuable to an employee pursuant to a non-statutory stock option agreement dated February 11, 2019, granted as an inducement material to employment with the Registrant in accordance with Nasdaq Listing Rule 5635(c)(4), and (iii) 503,341 shares of Common Stock issuable under the 2017 ESPP, which was filed with the SEC on February 26, 2019.</w:t>
      </w:r>
    </w:p>
    <w:p>
      <w:pPr>
        <w:spacing w:after="0" w:line="85" w:lineRule="exact"/>
        <w:rPr>
          <w:rFonts w:ascii="Times New Roman" w:cs="Times New Roman" w:eastAsia="Times New Roman" w:hAnsi="Times New Roman"/>
          <w:sz w:val="18"/>
          <w:szCs w:val="18"/>
          <w:color w:val="auto"/>
        </w:rPr>
      </w:pPr>
    </w:p>
    <w:p>
      <w:pPr>
        <w:ind w:left="960" w:right="6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333-236708</w:t>
        </w:r>
      </w:hyperlink>
      <w:r>
        <w:rPr>
          <w:rFonts w:ascii="Times New Roman" w:cs="Times New Roman" w:eastAsia="Times New Roman" w:hAnsi="Times New Roman"/>
          <w:sz w:val="18"/>
          <w:szCs w:val="18"/>
          <w:color w:val="auto"/>
        </w:rPr>
        <w:t>, registering (i) 2,557,520 shares of Common Stock issuable under the 2017 Plan and (ii) an aggregate of 1,046,362 shares of Common Stock issuable under new hire inducement stock option awards granted between March 1, 2019 and February 26, 2020 to certain employees of the Registrant as an inducement material to entry into employment with the Registrant in accordance with Nasdaq Listing Rule 5635(c)(4), which was filed with the SEC on February 27, 2020.</w:t>
      </w:r>
    </w:p>
    <w:p>
      <w:pPr>
        <w:spacing w:after="0" w:line="85"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333-236710</w:t>
        </w:r>
      </w:hyperlink>
      <w:r>
        <w:rPr>
          <w:rFonts w:ascii="Times New Roman" w:cs="Times New Roman" w:eastAsia="Times New Roman" w:hAnsi="Times New Roman"/>
          <w:sz w:val="18"/>
          <w:szCs w:val="18"/>
          <w:color w:val="auto"/>
        </w:rPr>
        <w:t>, registering 750,000 shares of Common Stock issuable under the Registrant’s 2020 Inducement Stock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which was filed with the SEC on February 27, 2020.</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333-253518</w:t>
        </w:r>
      </w:hyperlink>
      <w:r>
        <w:rPr>
          <w:rFonts w:ascii="Times New Roman" w:cs="Times New Roman" w:eastAsia="Times New Roman" w:hAnsi="Times New Roman"/>
          <w:sz w:val="18"/>
          <w:szCs w:val="18"/>
          <w:color w:val="auto"/>
        </w:rPr>
        <w:t>, registering (i) 3,045,189 shares of Common Stock issuable under the 2017 Plan and (ii) 300,000 shares of Common Stock issuable under the 2020 Plan, which was filed with the SEC on February 25, 2021.</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333-263100</w:t>
        </w:r>
      </w:hyperlink>
      <w:r>
        <w:rPr>
          <w:rFonts w:ascii="Times New Roman" w:cs="Times New Roman" w:eastAsia="Times New Roman" w:hAnsi="Times New Roman"/>
          <w:sz w:val="18"/>
          <w:szCs w:val="18"/>
          <w:color w:val="auto"/>
        </w:rPr>
        <w:t>, registering (i) 3,900,850 shares of Common Stock issuable under the 2017 Plan and (ii) 300,000 shares of Common Stock issuable under the 2020 Plan, which was filed with the SEC on February 28, 2022.</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333-269888</w:t>
        </w:r>
      </w:hyperlink>
      <w:r>
        <w:rPr>
          <w:rFonts w:ascii="Times New Roman" w:cs="Times New Roman" w:eastAsia="Times New Roman" w:hAnsi="Times New Roman"/>
          <w:sz w:val="18"/>
          <w:szCs w:val="18"/>
          <w:color w:val="auto"/>
        </w:rPr>
        <w:t>, registering (i) 4,219,409 shares of Common Stock issuable under the 2017 Plan and (ii) 400,000 shares of Common Stock issuable under the 2020 Plan, which was filed with the SEC on February 21, 2023.</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6">
        <w:r>
          <w:rPr>
            <w:rFonts w:ascii="Times New Roman" w:cs="Times New Roman" w:eastAsia="Times New Roman" w:hAnsi="Times New Roman"/>
            <w:sz w:val="18"/>
            <w:szCs w:val="18"/>
            <w:u w:val="single" w:color="auto"/>
            <w:color w:val="0000EE"/>
          </w:rPr>
          <w:t>333-277381</w:t>
        </w:r>
      </w:hyperlink>
      <w:r>
        <w:rPr>
          <w:rFonts w:ascii="Times New Roman" w:cs="Times New Roman" w:eastAsia="Times New Roman" w:hAnsi="Times New Roman"/>
          <w:sz w:val="18"/>
          <w:szCs w:val="18"/>
          <w:color w:val="auto"/>
        </w:rPr>
        <w:t>, registering (i) 4,219,409 shares of Common Stock issuable under the 2017 Plan and (ii) 200,000 shares of Common Stock issuable under the 2020 Plan, which was filed with the SEC on February 27, 2024.</w:t>
      </w:r>
    </w:p>
    <w:p>
      <w:pPr>
        <w:spacing w:after="0" w:line="67"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7">
        <w:r>
          <w:rPr>
            <w:rFonts w:ascii="Times New Roman" w:cs="Times New Roman" w:eastAsia="Times New Roman" w:hAnsi="Times New Roman"/>
            <w:sz w:val="18"/>
            <w:szCs w:val="18"/>
            <w:u w:val="single" w:color="auto"/>
            <w:color w:val="0000EE"/>
          </w:rPr>
          <w:t>333-285393</w:t>
        </w:r>
      </w:hyperlink>
      <w:r>
        <w:rPr>
          <w:rFonts w:ascii="Times New Roman" w:cs="Times New Roman" w:eastAsia="Times New Roman" w:hAnsi="Times New Roman"/>
          <w:sz w:val="18"/>
          <w:szCs w:val="18"/>
          <w:color w:val="auto"/>
        </w:rPr>
        <w:t>, registering 4,219,409 shares of Common Stock issuable under the 2017 Plan, which was filed with the SEC on February 28, 2025.</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8">
        <w:r>
          <w:rPr>
            <w:rFonts w:ascii="Times New Roman" w:cs="Times New Roman" w:eastAsia="Times New Roman" w:hAnsi="Times New Roman"/>
            <w:sz w:val="18"/>
            <w:szCs w:val="18"/>
            <w:u w:val="single" w:color="auto"/>
            <w:color w:val="0000EE"/>
          </w:rPr>
          <w:t>333-293669</w:t>
        </w:r>
      </w:hyperlink>
      <w:r>
        <w:rPr>
          <w:rFonts w:ascii="Times New Roman" w:cs="Times New Roman" w:eastAsia="Times New Roman" w:hAnsi="Times New Roman"/>
          <w:sz w:val="18"/>
          <w:szCs w:val="18"/>
          <w:color w:val="auto"/>
        </w:rPr>
        <w:t>, registering (i) 4,219,409 shares of Common Stock issuable under the 2017 Plan and (ii) 500,000 shares of Common Stock issuable under the 2017 ESPP, which was filed with the SEC on February 24, 2026.</w:t>
      </w:r>
    </w:p>
    <w:p>
      <w:pPr>
        <w:spacing w:after="0" w:line="162" w:lineRule="exact"/>
        <w:rPr>
          <w:rFonts w:ascii="Times New Roman" w:cs="Times New Roman" w:eastAsia="Times New Roman" w:hAnsi="Times New Roman"/>
          <w:sz w:val="18"/>
          <w:szCs w:val="18"/>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14, 2026, pursuant to the Agreement and Plan of Merger, dated as of March 31, 2026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Registrant, Biogen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Aspen Purchaser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merged with and into the Registrant, with the Registrant surviving as a wholly owned subsidiary of Parent.</w:t>
      </w:r>
    </w:p>
    <w:p>
      <w:pPr>
        <w:sectPr>
          <w:pgSz w:w="11900" w:h="16838" w:orient="portrait"/>
          <w:cols w:equalWidth="0" w:num="1">
            <w:col w:w="11000"/>
          </w:cols>
          <w:pgMar w:left="440" w:top="266" w:right="45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transactions contemplated by the Merger Agreement, the Registrant has terminated any and all offerings and sales of securities pursuant to the Registration Statements. In accordance with the undertakings made by the Registrant in the Registration Statements to remove from registration, by means of a post-effective amendment, any of the securities of the Registrant registered under the Registration Statements which remain unsold at the termination of the offerings, the Registrant hereby terminates the effectiveness of the Registration Statements and removes from registration all of the securities that remain unsold under the Registration Statements as of the date hereof, if any. The Registration Statements are hereby amended, as appropriate, to reflect the deregistration of such securities. After giving effect to these Post-Effective Amendments, there will be no remaining securities registered by the Registrant pursuant to the Registration Statements.</w:t>
      </w:r>
    </w:p>
    <w:p>
      <w:pPr>
        <w:sectPr>
          <w:pgSz w:w="11900" w:h="16838" w:orient="portrait"/>
          <w:cols w:equalWidth="0" w:num="1">
            <w:col w:w="11020"/>
          </w:cols>
          <w:pgMar w:left="440" w:top="270"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Cambridge, Commonwealth of Massachusetts, on this 14th day of May, 2026.</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Robin Kramer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Robin Kramer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these Post-Effective Amendments.</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19" Type="http://schemas.openxmlformats.org/officeDocument/2006/relationships/hyperlink" Target="http://www.sec.gov/Archives/edgar/data/1492422/000119312517341060/d493934ds8.htm" TargetMode="External"/><Relationship Id="rId20" Type="http://schemas.openxmlformats.org/officeDocument/2006/relationships/hyperlink" Target="http://www.sec.gov/Archives/edgar/data/1492422/000119312519051915/d704317ds8.htm" TargetMode="External"/><Relationship Id="rId21" Type="http://schemas.openxmlformats.org/officeDocument/2006/relationships/hyperlink" Target="http://www.sec.gov/Archives/edgar/data/1492422/000119312520052855/d897456ds8.htm" TargetMode="External"/><Relationship Id="rId22" Type="http://schemas.openxmlformats.org/officeDocument/2006/relationships/hyperlink" Target="http://www.sec.gov/Archives/edgar/data/1492422/000119312520052867/d896625ds8.htm" TargetMode="External"/><Relationship Id="rId23" Type="http://schemas.openxmlformats.org/officeDocument/2006/relationships/hyperlink" Target="http://www.sec.gov/Archives/edgar/data/1492422/000119312521057085/d318679ds8.htm" TargetMode="External"/><Relationship Id="rId24" Type="http://schemas.openxmlformats.org/officeDocument/2006/relationships/hyperlink" Target="http://www.sec.gov/Archives/edgar/data/1492422/000119312522058209/d267162ds8.htm" TargetMode="External"/><Relationship Id="rId25" Type="http://schemas.openxmlformats.org/officeDocument/2006/relationships/hyperlink" Target="http://www.sec.gov/Archives/edgar/data/1492422/000119312523043528/d466322ds8.htm" TargetMode="External"/><Relationship Id="rId26" Type="http://schemas.openxmlformats.org/officeDocument/2006/relationships/hyperlink" Target="http://www.sec.gov/Archives/edgar/data/1492422/000119312524047076/d783393ds8.htm" TargetMode="External"/><Relationship Id="rId27" Type="http://schemas.openxmlformats.org/officeDocument/2006/relationships/hyperlink" Target="http://www.sec.gov/Archives/edgar/data/1492422/000119312525040673/d926714ds8.htm" TargetMode="External"/><Relationship Id="rId28" Type="http://schemas.openxmlformats.org/officeDocument/2006/relationships/hyperlink" Target="http://www.sec.gov/Archives/edgar/data/1492422/000119312526065202/d6402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2026-05-14T08:02:39Z</dcterms:created>
  <dcterms:modified xsi:type="dcterms:W3CDTF">2026-05-14T08:02:39Z</dcterms:modified>
</cp:coreProperties>
</file>