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429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42988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Dunlop A. Sinclair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Apellis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APLS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01/01/2025</w:t>
            </w:r>
          </w:p>
        </w:tc>
        <w:tc>
          <w:tcPr>
            <w:tcW w:w="13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APELLIS PHARMACEUTICALS, INC.</w:t>
            </w:r>
          </w:p>
        </w:tc>
        <w:tc>
          <w:tcPr>
            <w:tcW w:w="2560" w:type="dxa"/>
            <w:vAlign w:val="bottom"/>
            <w:gridSpan w:val="3"/>
            <w:vMerge w:val="continue"/>
          </w:tcPr>
          <w:p>
            <w:pPr>
              <w:spacing w:after="0"/>
              <w:rPr>
                <w:sz w:val="10"/>
                <w:szCs w:val="10"/>
                <w:color w:val="auto"/>
              </w:rPr>
            </w:pPr>
          </w:p>
        </w:tc>
        <w:tc>
          <w:tcPr>
            <w:tcW w:w="1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100 FIFTH AVENUE, 3RD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5. Amount of</w:t>
            </w:r>
          </w:p>
        </w:tc>
        <w:tc>
          <w:tcPr>
            <w:tcW w:w="130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2"/>
          </w:tcPr>
          <w:p>
            <w:pPr>
              <w:ind w:left="400"/>
              <w:spacing w:after="0" w:line="128"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2"/>
          </w:tcPr>
          <w:p>
            <w:pPr>
              <w:ind w:left="400"/>
              <w:spacing w:after="0" w:line="129"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4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4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01/01/2025</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6,267</w:t>
            </w:r>
          </w:p>
        </w:tc>
        <w:tc>
          <w:tcPr>
            <w:tcW w:w="6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540" w:type="dxa"/>
            <w:vAlign w:val="bottom"/>
            <w:tcBorders>
              <w:bottom w:val="single" w:sz="8" w:color="2C2C2C"/>
            </w:tcBorders>
            <w:gridSpan w:val="3"/>
          </w:tcPr>
          <w:p>
            <w:pPr>
              <w:jc w:val="right"/>
              <w:ind w:right="641"/>
              <w:spacing w:after="0"/>
              <w:rPr>
                <w:sz w:val="20"/>
                <w:szCs w:val="20"/>
                <w:color w:val="auto"/>
              </w:rPr>
            </w:pPr>
            <w:r>
              <w:rPr>
                <w:rFonts w:ascii="Times New Roman" w:cs="Times New Roman" w:eastAsia="Times New Roman" w:hAnsi="Times New Roman"/>
                <w:sz w:val="17"/>
                <w:szCs w:val="17"/>
                <w:color w:val="0000FF"/>
              </w:rPr>
              <w:t>158,393</w:t>
            </w:r>
          </w:p>
        </w:tc>
        <w:tc>
          <w:tcPr>
            <w:tcW w:w="5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gridSpan w:val="3"/>
          </w:tcPr>
          <w:p>
            <w:pPr>
              <w:jc w:val="right"/>
              <w:ind w:right="641"/>
              <w:spacing w:after="0"/>
              <w:rPr>
                <w:sz w:val="20"/>
                <w:szCs w:val="20"/>
                <w:color w:val="auto"/>
              </w:rPr>
            </w:pPr>
            <w:r>
              <w:rPr>
                <w:rFonts w:ascii="Times New Roman" w:cs="Times New Roman" w:eastAsia="Times New Roman" w:hAnsi="Times New Roman"/>
                <w:sz w:val="17"/>
                <w:szCs w:val="17"/>
                <w:color w:val="0000FF"/>
              </w:rPr>
              <w:t>100,000</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(Epidarex)</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Form:</w:t>
            </w:r>
          </w:p>
        </w:tc>
        <w:tc>
          <w:tcPr>
            <w:tcW w:w="30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86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31.91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01/01/2025</w:t>
            </w:r>
          </w:p>
        </w:tc>
        <w:tc>
          <w:tcPr>
            <w:tcW w:w="114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11,199</w:t>
            </w:r>
          </w:p>
        </w:tc>
        <w:tc>
          <w:tcPr>
            <w:tcW w:w="300" w:type="dxa"/>
            <w:vAlign w:val="bottom"/>
          </w:tcPr>
          <w:p>
            <w:pPr>
              <w:spacing w:after="0"/>
              <w:rPr>
                <w:sz w:val="16"/>
                <w:szCs w:val="16"/>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12/31/2032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w w:val="98"/>
              </w:rPr>
              <w:t>11,199</w:t>
            </w:r>
          </w:p>
        </w:tc>
        <w:tc>
          <w:tcPr>
            <w:tcW w:w="800" w:type="dxa"/>
            <w:vAlign w:val="bottom"/>
            <w:gridSpan w:val="2"/>
          </w:tcPr>
          <w:p>
            <w:pPr>
              <w:jc w:val="right"/>
              <w:ind w:right="2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11,199</w:t>
            </w:r>
          </w:p>
        </w:tc>
        <w:tc>
          <w:tcPr>
            <w:tcW w:w="560" w:type="dxa"/>
            <w:vAlign w:val="bottom"/>
          </w:tcPr>
          <w:p>
            <w:pPr>
              <w:ind w:left="460"/>
              <w:spacing w:after="0"/>
              <w:rPr>
                <w:sz w:val="20"/>
                <w:szCs w:val="20"/>
                <w:color w:val="auto"/>
              </w:rPr>
            </w:pPr>
            <w:r>
              <w:rPr>
                <w:rFonts w:ascii="Times New Roman" w:cs="Times New Roman" w:eastAsia="Times New Roman" w:hAnsi="Times New Roman"/>
                <w:sz w:val="13"/>
                <w:szCs w:val="13"/>
                <w:color w:val="0000FF"/>
                <w:w w:val="84"/>
              </w:rPr>
              <w:t>D</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was granted on January 1, 2025. The restricted stock unit will fully vest on the first anniversary of the date of grant, subject to his continued service as a director, or upon later termination of his service as a director at his election.</w:t>
      </w:r>
    </w:p>
    <w:p>
      <w:pPr>
        <w:spacing w:after="0" w:line="17"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Epidarex and the reporting person, a general partner of Epidarex, may be deemed to have voting and dispositive power over the shares held by Epidarex. The reporting person disclaims beneficial ownership over the shares held by Epidarex except to the extent of his pecuniary interest therein.</w:t>
      </w:r>
    </w:p>
    <w:p>
      <w:pPr>
        <w:spacing w:after="0" w:line="17"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1, 2025. The option vests quarterly on the last day of each quarter from the date of grant, subject to his continued service as a director and expires seven years after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Watson, attorney-in-</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01/03/2025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Sinclair Dunlop</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1108"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2025-01-03T15:23:22Z</dcterms:created>
  <dcterms:modified xsi:type="dcterms:W3CDTF">2025-01-03T15:23:22Z</dcterms:modified>
</cp:coreProperties>
</file>