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01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Dunlop A. Sinclair</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Apellis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APLS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Borders>
              <w:bottom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09/30/2025</w:t>
            </w:r>
          </w:p>
        </w:tc>
        <w:tc>
          <w:tcPr>
            <w:tcW w:w="1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APELLIS PHARMACEUTICALS, INC.</w:t>
            </w:r>
          </w:p>
        </w:tc>
        <w:tc>
          <w:tcPr>
            <w:tcW w:w="2640" w:type="dxa"/>
            <w:vAlign w:val="bottom"/>
            <w:gridSpan w:val="3"/>
            <w:vMerge w:val="continue"/>
          </w:tcPr>
          <w:p>
            <w:pPr>
              <w:spacing w:after="0"/>
              <w:rPr>
                <w:sz w:val="11"/>
                <w:szCs w:val="11"/>
                <w:color w:val="auto"/>
              </w:rPr>
            </w:pPr>
          </w:p>
        </w:tc>
        <w:tc>
          <w:tcPr>
            <w:tcW w:w="1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100 FIFTH AVENUE, 3RD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019"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01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3"/>
                <w:szCs w:val="13"/>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09/30/2025</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7"/>
                <w:szCs w:val="17"/>
                <w:color w:val="0000FF"/>
              </w:rPr>
              <w:t>31,092</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22.58</w:t>
            </w:r>
            <w:r>
              <w:rPr>
                <w:rFonts w:ascii="Times New Roman" w:cs="Times New Roman" w:eastAsia="Times New Roman" w:hAnsi="Times New Roman"/>
                <w:sz w:val="22"/>
                <w:szCs w:val="22"/>
                <w:color w:val="008000"/>
                <w:w w:val="92"/>
                <w:vertAlign w:val="superscript"/>
              </w:rPr>
              <w:t>(2)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33,979</w:t>
            </w:r>
          </w:p>
        </w:tc>
        <w:tc>
          <w:tcPr>
            <w:tcW w:w="520" w:type="dxa"/>
            <w:vAlign w:val="bottom"/>
          </w:tcPr>
          <w:p>
            <w:pPr>
              <w:jc w:val="center"/>
              <w:ind w:left="230"/>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18"/>
                <w:szCs w:val="18"/>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7"/>
                <w:szCs w:val="17"/>
                <w:color w:val="0000FF"/>
              </w:rPr>
              <w:t>(Epidarex)</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09/30/2025</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(4)</w:t>
            </w: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7"/>
                <w:szCs w:val="17"/>
                <w:color w:val="0000FF"/>
              </w:rPr>
              <w:t>3,837</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jc w:val="center"/>
              <w:ind w:right="1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30,142</w:t>
            </w:r>
          </w:p>
        </w:tc>
        <w:tc>
          <w:tcPr>
            <w:tcW w:w="520" w:type="dxa"/>
            <w:vAlign w:val="bottom"/>
          </w:tcPr>
          <w:p>
            <w:pPr>
              <w:jc w:val="center"/>
              <w:ind w:left="230"/>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18"/>
                <w:szCs w:val="18"/>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(Epidarex)</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158,393</w:t>
            </w:r>
          </w:p>
        </w:tc>
        <w:tc>
          <w:tcPr>
            <w:tcW w:w="520" w:type="dxa"/>
            <w:vAlign w:val="bottom"/>
            <w:tcBorders>
              <w:top w:val="single" w:sz="8" w:color="2C2C2C"/>
            </w:tcBorders>
          </w:tcPr>
          <w:p>
            <w:pPr>
              <w:jc w:val="center"/>
              <w:ind w:left="250"/>
              <w:spacing w:after="0"/>
              <w:rPr>
                <w:sz w:val="20"/>
                <w:szCs w:val="20"/>
                <w:color w:val="auto"/>
              </w:rPr>
            </w:pPr>
            <w:r>
              <w:rPr>
                <w:rFonts w:ascii="Times New Roman" w:cs="Times New Roman" w:eastAsia="Times New Roman" w:hAnsi="Times New Roman"/>
                <w:sz w:val="17"/>
                <w:szCs w:val="17"/>
                <w:color w:val="0000FF"/>
                <w:w w:val="97"/>
              </w:rPr>
              <w:t>D</w:t>
            </w:r>
          </w:p>
        </w:tc>
        <w:tc>
          <w:tcPr>
            <w:tcW w:w="38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4"/>
          </w:tcPr>
          <w:p>
            <w:pPr>
              <w:ind w:left="1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52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sales were effected pursuant to a Rule 10b5-1 trading plan adopted by Epidarex Capital I LP ("Epidarex") on June 20, 2025.</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$22.23 to $22.74, inclusive. The reporting person hereby undertakes to provide, upon request, to the staff of the Securities and Exchange Commission, the issuer or a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Epidarex, and the reporting person, a general partner of Epidarex, may be deemed to have voting and dispositive power over the shares held by Epidarex. The reporting person disclaims beneficial ownership over the shares held by Epidarex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stock distribution from Epidarex to a Limited Partner and General Partner of Epidarex, for no consideration.</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David Watson, attorney-in- </w:t>
      </w:r>
      <w:r>
        <w:rPr>
          <w:rFonts w:ascii="Times New Roman" w:cs="Times New Roman" w:eastAsia="Times New Roman" w:hAnsi="Times New Roman"/>
          <w:sz w:val="34"/>
          <w:szCs w:val="34"/>
          <w:color w:val="0000FF"/>
          <w:vertAlign w:val="subscript"/>
        </w:rPr>
        <w:t>10/02/2025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Sinclair Dunlop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47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77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108"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2025-10-02T15:09:17Z</dcterms:created>
  <dcterms:modified xsi:type="dcterms:W3CDTF">2025-10-02T15:09:17Z</dcterms:modified>
</cp:coreProperties>
</file>