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903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90372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40" w:type="dxa"/>
            <w:vAlign w:val="bottom"/>
            <w:gridSpan w:val="3"/>
            <w:vMerge w:val="restart"/>
          </w:tcPr>
          <w:p>
            <w:pPr>
              <w:ind w:left="20"/>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Machiels Alec</w:t>
              </w:r>
            </w:hyperlink>
          </w:p>
        </w:tc>
        <w:tc>
          <w:tcPr>
            <w:tcW w:w="1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Apellis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APLS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tcBorders>
              <w:bottom w:val="single" w:sz="8" w:color="0000EE"/>
            </w:tcBorders>
          </w:tcPr>
          <w:p>
            <w:pPr>
              <w:spacing w:after="0"/>
              <w:rPr>
                <w:sz w:val="6"/>
                <w:szCs w:val="6"/>
                <w:color w:val="auto"/>
              </w:rPr>
            </w:pPr>
          </w:p>
        </w:tc>
        <w:tc>
          <w:tcPr>
            <w:tcW w:w="13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5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01/01/2026</w:t>
            </w:r>
          </w:p>
        </w:tc>
        <w:tc>
          <w:tcPr>
            <w:tcW w:w="13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APELLIS PHARMACEUTICALS, INC.</w:t>
            </w:r>
          </w:p>
        </w:tc>
        <w:tc>
          <w:tcPr>
            <w:tcW w:w="2560" w:type="dxa"/>
            <w:vAlign w:val="bottom"/>
            <w:gridSpan w:val="3"/>
            <w:vMerge w:val="continue"/>
          </w:tcPr>
          <w:p>
            <w:pPr>
              <w:spacing w:after="0"/>
              <w:rPr>
                <w:sz w:val="10"/>
                <w:szCs w:val="10"/>
                <w:color w:val="auto"/>
              </w:rPr>
            </w:pPr>
          </w:p>
        </w:tc>
        <w:tc>
          <w:tcPr>
            <w:tcW w:w="13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100 FIFTH AVENUE, 3RD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50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69"/>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5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01/01/2026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7,961</w:t>
            </w:r>
            <w:r>
              <w:rPr>
                <w:rFonts w:ascii="Times New Roman" w:cs="Times New Roman" w:eastAsia="Times New Roman" w:hAnsi="Times New Roman"/>
                <w:sz w:val="21"/>
                <w:szCs w:val="21"/>
                <w:color w:val="008000"/>
                <w:vertAlign w:val="superscript"/>
              </w:rPr>
              <w:t>(1)</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384,989</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5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06"/>
        </w:trPr>
        <w:tc>
          <w:tcPr>
            <w:tcW w:w="2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250,000</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114"/>
        </w:trPr>
        <w:tc>
          <w:tcPr>
            <w:tcW w:w="250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(Bauhaus</w:t>
            </w:r>
          </w:p>
        </w:tc>
        <w:tc>
          <w:tcPr>
            <w:tcW w:w="0" w:type="dxa"/>
            <w:vAlign w:val="bottom"/>
          </w:tcPr>
          <w:p>
            <w:pPr>
              <w:spacing w:after="0"/>
              <w:rPr>
                <w:sz w:val="1"/>
                <w:szCs w:val="1"/>
                <w:color w:val="auto"/>
              </w:rPr>
            </w:pPr>
          </w:p>
        </w:tc>
      </w:tr>
      <w:tr>
        <w:trPr>
          <w:trHeight w:val="92"/>
        </w:trPr>
        <w:tc>
          <w:tcPr>
            <w:tcW w:w="2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25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 LLC)</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45"/>
        </w:trPr>
        <w:tc>
          <w:tcPr>
            <w:tcW w:w="25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206"/>
        </w:trPr>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4"/>
              </w:rPr>
              <w:t>11,950</w:t>
            </w:r>
          </w:p>
        </w:tc>
        <w:tc>
          <w:tcPr>
            <w:tcW w:w="9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(Owned</w:t>
            </w: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76"/>
        </w:trPr>
        <w:tc>
          <w:tcPr>
            <w:tcW w:w="25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45"/>
        </w:trPr>
        <w:tc>
          <w:tcPr>
            <w:tcW w:w="25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06"/>
        </w:trPr>
        <w:tc>
          <w:tcPr>
            <w:tcW w:w="2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150,000</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114"/>
        </w:trPr>
        <w:tc>
          <w:tcPr>
            <w:tcW w:w="250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3"/>
        </w:trPr>
        <w:tc>
          <w:tcPr>
            <w:tcW w:w="2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102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(4)</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25.12</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14,684</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12/31/2033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14,684</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14,684</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6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restricted stock unit was granted on January 1, 2026. The restricted stock unit will fully vest on the first anniversary of the date of grant, subject to his continued service as a director, or upon later termination of his service as a director at his election.</w:t>
      </w:r>
    </w:p>
    <w:p>
      <w:pPr>
        <w:spacing w:after="0" w:line="17" w:lineRule="exact"/>
        <w:rPr>
          <w:rFonts w:ascii="Times New Roman" w:cs="Times New Roman" w:eastAsia="Times New Roman" w:hAnsi="Times New Roman"/>
          <w:sz w:val="13"/>
          <w:szCs w:val="13"/>
          <w:color w:val="008000"/>
        </w:rPr>
      </w:pPr>
    </w:p>
    <w:p>
      <w:pPr>
        <w:ind w:left="40" w:right="3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Bauhaus 1 LLC, which LLC is held by The Irrevocable Agreement of Trust of Alec Machiels (the "Trust"). The reporting person is the managing member of Bauhaus 1 LLC and the trustee of the Trust.</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spouse.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7, 2021, the reporting person's spouse transferred 150,000 shares of Apellis Pharmaceuticals, Inc. common stock to her trust, of which the reporting person is the trustee.</w:t>
      </w:r>
    </w:p>
    <w:p>
      <w:pPr>
        <w:spacing w:after="0" w:line="43" w:lineRule="exact"/>
        <w:rPr>
          <w:rFonts w:ascii="Times New Roman" w:cs="Times New Roman" w:eastAsia="Times New Roman" w:hAnsi="Times New Roman"/>
          <w:sz w:val="13"/>
          <w:szCs w:val="13"/>
          <w:color w:val="008000"/>
        </w:rPr>
      </w:pPr>
    </w:p>
    <w:p>
      <w:pPr>
        <w:ind w:left="40" w:right="2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January 1, 2026. The option vests quarterly on the last day of each quarter from the date of grant, subject to his continued service as a director and expires seven years after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David Watson, attorney-in-</w:t>
            </w:r>
          </w:p>
        </w:tc>
        <w:tc>
          <w:tcPr>
            <w:tcW w:w="1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01/05/2026</w:t>
            </w:r>
          </w:p>
        </w:tc>
        <w:tc>
          <w:tcPr>
            <w:tcW w:w="0" w:type="dxa"/>
            <w:vAlign w:val="bottom"/>
          </w:tcPr>
          <w:p>
            <w:pPr>
              <w:spacing w:after="0"/>
              <w:rPr>
                <w:sz w:val="1"/>
                <w:szCs w:val="1"/>
                <w:color w:val="auto"/>
              </w:rPr>
            </w:pPr>
          </w:p>
        </w:tc>
      </w:tr>
      <w:tr>
        <w:trPr>
          <w:trHeight w:val="88"/>
        </w:trPr>
        <w:tc>
          <w:tcPr>
            <w:tcW w:w="150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7"/>
              </w:rPr>
              <w:t>fact for Alec Machiels</w:t>
            </w:r>
          </w:p>
        </w:tc>
        <w:tc>
          <w:tcPr>
            <w:tcW w:w="7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00" w:type="dxa"/>
            <w:vAlign w:val="bottom"/>
            <w:tcBorders>
              <w:bottom w:val="single" w:sz="8" w:color="auto"/>
            </w:tcBorders>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7" w:right="359" w:bottom="0" w:gutter="0" w:footer="0" w:header="0"/>
          <w:type w:val="continuous"/>
        </w:sectPr>
      </w:pPr>
    </w:p>
    <w:bookmarkStart w:id="1" w:name="page2"/>
    <w:bookmarkEnd w:id="1"/>
    <w:p>
      <w:pPr>
        <w:jc w:val="both"/>
        <w:ind w:right="2519" w:firstLine="2"/>
        <w:spacing w:after="0" w:line="335"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96687" TargetMode="External"/><Relationship Id="rId14"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2026-01-05T16:44:51Z</dcterms:created>
  <dcterms:modified xsi:type="dcterms:W3CDTF">2026-01-05T16:44:51Z</dcterms:modified>
</cp:coreProperties>
</file>