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Francois Cedric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36" w:lineRule="auto"/>
        <w:rPr>
          <w:sz w:val="20"/>
          <w:szCs w:val="20"/>
          <w:color w:val="auto"/>
        </w:rPr>
      </w:pPr>
      <w:r>
        <w:rPr>
          <w:rFonts w:ascii="Times New Roman" w:cs="Times New Roman" w:eastAsia="Times New Roman" w:hAnsi="Times New Roman"/>
          <w:sz w:val="17"/>
          <w:szCs w:val="17"/>
          <w:color w:val="0000FF"/>
        </w:rPr>
        <w:t>C/O APELLIS PHARMACEUTICALS, INC. 100 FIFTH AVENUE, 3RD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Apellis 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APLS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01/17/2025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4"/>
          <w:szCs w:val="24"/>
          <w:color w:val="auto"/>
        </w:rPr>
      </w:pPr>
    </w:p>
    <w:p>
      <w:pPr>
        <w:sectPr>
          <w:pgSz w:w="11900" w:h="16838" w:orient="portrait"/>
          <w:cols w:equalWidth="0" w:num="3">
            <w:col w:w="3320" w:space="600"/>
            <w:col w:w="3220" w:space="595"/>
            <w:col w:w="3345"/>
          </w:cols>
          <w:pgMar w:left="460" w:top="219" w:right="359" w:bottom="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60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60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8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230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800" w:type="dxa"/>
            <w:vAlign w:val="bottom"/>
            <w:tcBorders>
              <w:top w:val="single" w:sz="8" w:color="2C2C2C"/>
            </w:tcBorders>
          </w:tcPr>
          <w:p>
            <w:pPr>
              <w:spacing w:after="0"/>
              <w:rPr>
                <w:sz w:val="7"/>
                <w:szCs w:val="7"/>
                <w:color w:val="auto"/>
              </w:rPr>
            </w:pPr>
          </w:p>
        </w:tc>
        <w:tc>
          <w:tcPr>
            <w:tcW w:w="104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9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vMerge w:val="continue"/>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300" w:type="dxa"/>
            <w:vAlign w:val="bottom"/>
            <w:tcBorders>
              <w:bottom w:val="single" w:sz="8" w:color="2C2C2C"/>
            </w:tcBorders>
          </w:tcPr>
          <w:p>
            <w:pPr>
              <w:spacing w:after="0"/>
              <w:rPr>
                <w:sz w:val="15"/>
                <w:szCs w:val="15"/>
                <w:color w:val="auto"/>
              </w:rPr>
            </w:pPr>
          </w:p>
        </w:tc>
        <w:tc>
          <w:tcPr>
            <w:tcW w:w="16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Borders>
              <w:bottom w:val="single" w:sz="8" w:color="2C2C2C"/>
            </w:tcBorders>
          </w:tcPr>
          <w:p>
            <w:pPr>
              <w:spacing w:after="0"/>
              <w:rPr>
                <w:sz w:val="15"/>
                <w:szCs w:val="15"/>
                <w:color w:val="auto"/>
              </w:rPr>
            </w:pPr>
          </w:p>
        </w:tc>
        <w:tc>
          <w:tcPr>
            <w:tcW w:w="98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01/17/2025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49"/>
              <w:spacing w:after="0"/>
              <w:rPr>
                <w:sz w:val="20"/>
                <w:szCs w:val="20"/>
                <w:color w:val="auto"/>
              </w:rPr>
            </w:pPr>
            <w:r>
              <w:rPr>
                <w:rFonts w:ascii="Times New Roman" w:cs="Times New Roman" w:eastAsia="Times New Roman" w:hAnsi="Times New Roman"/>
                <w:sz w:val="17"/>
                <w:szCs w:val="17"/>
                <w:color w:val="0000FF"/>
              </w:rPr>
              <w:t>6,007</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29.9582</w:t>
            </w:r>
          </w:p>
        </w:tc>
        <w:tc>
          <w:tcPr>
            <w:tcW w:w="10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301,408</w:t>
            </w:r>
          </w:p>
        </w:tc>
        <w:tc>
          <w:tcPr>
            <w:tcW w:w="980" w:type="dxa"/>
            <w:vAlign w:val="bottom"/>
            <w:tcBorders>
              <w:bottom w:val="single" w:sz="8" w:color="2C2C2C"/>
            </w:tcBorders>
          </w:tcPr>
          <w:p>
            <w:pPr>
              <w:jc w:val="center"/>
              <w:ind w:left="39"/>
              <w:spacing w:after="0"/>
              <w:rPr>
                <w:sz w:val="20"/>
                <w:szCs w:val="20"/>
                <w:color w:val="auto"/>
              </w:rPr>
            </w:pPr>
            <w:r>
              <w:rPr>
                <w:rFonts w:ascii="Times New Roman" w:cs="Times New Roman" w:eastAsia="Times New Roman" w:hAnsi="Times New Roman"/>
                <w:sz w:val="17"/>
                <w:szCs w:val="17"/>
                <w:color w:val="0000FF"/>
                <w:w w:val="97"/>
              </w:rPr>
              <w:t>D</w:t>
            </w:r>
          </w:p>
        </w:tc>
        <w:tc>
          <w:tcPr>
            <w:tcW w:w="9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01/21/2025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130,662</w:t>
            </w:r>
            <w:r>
              <w:rPr>
                <w:rFonts w:ascii="Times New Roman" w:cs="Times New Roman" w:eastAsia="Times New Roman" w:hAnsi="Times New Roman"/>
                <w:sz w:val="22"/>
                <w:szCs w:val="22"/>
                <w:color w:val="008000"/>
                <w:vertAlign w:val="superscript"/>
              </w:rPr>
              <w:t>(2)</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00" w:type="dxa"/>
            <w:vAlign w:val="bottom"/>
            <w:tcBorders>
              <w:bottom w:val="single" w:sz="8" w:color="2C2C2C"/>
            </w:tcBorders>
          </w:tcPr>
          <w:p>
            <w:pPr>
              <w:jc w:val="center"/>
              <w:ind w:right="20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0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432,070</w:t>
            </w:r>
          </w:p>
        </w:tc>
        <w:tc>
          <w:tcPr>
            <w:tcW w:w="980" w:type="dxa"/>
            <w:vAlign w:val="bottom"/>
            <w:tcBorders>
              <w:bottom w:val="single" w:sz="8" w:color="2C2C2C"/>
            </w:tcBorders>
          </w:tcPr>
          <w:p>
            <w:pPr>
              <w:jc w:val="center"/>
              <w:ind w:left="39"/>
              <w:spacing w:after="0"/>
              <w:rPr>
                <w:sz w:val="20"/>
                <w:szCs w:val="20"/>
                <w:color w:val="auto"/>
              </w:rPr>
            </w:pPr>
            <w:r>
              <w:rPr>
                <w:rFonts w:ascii="Times New Roman" w:cs="Times New Roman" w:eastAsia="Times New Roman" w:hAnsi="Times New Roman"/>
                <w:sz w:val="17"/>
                <w:szCs w:val="17"/>
                <w:color w:val="0000FF"/>
                <w:w w:val="97"/>
              </w:rPr>
              <w:t>D</w:t>
            </w:r>
          </w:p>
        </w:tc>
        <w:tc>
          <w:tcPr>
            <w:tcW w:w="9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Indirect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Owner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 Cedric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532,946</w:t>
            </w:r>
          </w:p>
        </w:tc>
        <w:tc>
          <w:tcPr>
            <w:tcW w:w="980" w:type="dxa"/>
            <w:vAlign w:val="bottom"/>
          </w:tcPr>
          <w:p>
            <w:pPr>
              <w:jc w:val="center"/>
              <w:ind w:left="19"/>
              <w:spacing w:after="0" w:line="213"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(3)</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Francois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 of</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2023 - 2)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Indirect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Owner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 Cedric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472,065</w:t>
            </w:r>
          </w:p>
        </w:tc>
        <w:tc>
          <w:tcPr>
            <w:tcW w:w="980" w:type="dxa"/>
            <w:vAlign w:val="bottom"/>
          </w:tcPr>
          <w:p>
            <w:pPr>
              <w:jc w:val="center"/>
              <w:ind w:left="19"/>
              <w:spacing w:after="0" w:line="213"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(4)</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Francois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 of</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2023)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Indirect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Owner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300,000</w:t>
            </w:r>
          </w:p>
        </w:tc>
        <w:tc>
          <w:tcPr>
            <w:tcW w:w="980" w:type="dxa"/>
            <w:vAlign w:val="bottom"/>
            <w:vMerge w:val="restart"/>
          </w:tcPr>
          <w:p>
            <w:pPr>
              <w:jc w:val="center"/>
              <w:ind w:left="19"/>
              <w:spacing w:after="0" w:line="387" w:lineRule="exact"/>
              <w:rPr>
                <w:sz w:val="20"/>
                <w:szCs w:val="20"/>
                <w:color w:val="auto"/>
              </w:rPr>
            </w:pPr>
            <w:r>
              <w:rPr>
                <w:rFonts w:ascii="Times New Roman" w:cs="Times New Roman" w:eastAsia="Times New Roman" w:hAnsi="Times New Roman"/>
                <w:sz w:val="34"/>
                <w:szCs w:val="34"/>
                <w:color w:val="0000FF"/>
                <w:w w:val="88"/>
                <w:vertAlign w:val="subscript"/>
              </w:rPr>
              <w:t>I</w:t>
            </w:r>
            <w:r>
              <w:rPr>
                <w:rFonts w:ascii="Times New Roman" w:cs="Times New Roman" w:eastAsia="Times New Roman" w:hAnsi="Times New Roman"/>
                <w:sz w:val="11"/>
                <w:szCs w:val="11"/>
                <w:color w:val="008000"/>
                <w:w w:val="88"/>
              </w:rPr>
              <w:t>(5)</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00" w:type="dxa"/>
            <w:vAlign w:val="bottom"/>
            <w:vMerge w:val="continue"/>
          </w:tcPr>
          <w:p>
            <w:pPr>
              <w:spacing w:after="0"/>
              <w:rPr>
                <w:sz w:val="15"/>
                <w:szCs w:val="15"/>
                <w:color w:val="auto"/>
              </w:rPr>
            </w:pPr>
          </w:p>
        </w:tc>
        <w:tc>
          <w:tcPr>
            <w:tcW w:w="16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Francois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Grossi</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Indirect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Owner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234,411</w:t>
            </w:r>
          </w:p>
        </w:tc>
        <w:tc>
          <w:tcPr>
            <w:tcW w:w="980" w:type="dxa"/>
            <w:vAlign w:val="bottom"/>
          </w:tcPr>
          <w:p>
            <w:pPr>
              <w:jc w:val="center"/>
              <w:ind w:left="19"/>
              <w:spacing w:after="0" w:line="213"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(6)</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Francois-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DuBois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Educational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230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300" w:type="dxa"/>
            <w:vAlign w:val="bottom"/>
            <w:tcBorders>
              <w:top w:val="single" w:sz="8" w:color="808080"/>
            </w:tcBorders>
            <w:shd w:val="clear" w:color="auto" w:fill="2C2C2C"/>
          </w:tcPr>
          <w:p>
            <w:pPr>
              <w:spacing w:after="0" w:line="20" w:lineRule="exact"/>
              <w:rPr>
                <w:sz w:val="1"/>
                <w:szCs w:val="1"/>
                <w:color w:val="auto"/>
              </w:rPr>
            </w:pPr>
          </w:p>
        </w:tc>
        <w:tc>
          <w:tcPr>
            <w:tcW w:w="16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4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04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tcPr>
          <w:p>
            <w:pPr>
              <w:ind w:left="10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500" w:type="dxa"/>
            <w:vAlign w:val="bottom"/>
          </w:tcPr>
          <w:p>
            <w:pPr>
              <w:spacing w:after="0"/>
              <w:rPr>
                <w:sz w:val="11"/>
                <w:szCs w:val="11"/>
                <w:color w:val="auto"/>
              </w:rPr>
            </w:pP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500" w:type="dxa"/>
            <w:vAlign w:val="bottom"/>
          </w:tcPr>
          <w:p>
            <w:pPr>
              <w:spacing w:after="0"/>
              <w:rPr>
                <w:sz w:val="11"/>
                <w:szCs w:val="11"/>
                <w:color w:val="auto"/>
              </w:rPr>
            </w:pP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500" w:type="dxa"/>
            <w:vAlign w:val="bottom"/>
          </w:tcPr>
          <w:p>
            <w:pPr>
              <w:spacing w:after="0"/>
              <w:rPr>
                <w:sz w:val="11"/>
                <w:szCs w:val="11"/>
                <w:color w:val="auto"/>
              </w:rPr>
            </w:pP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1500" w:type="dxa"/>
            <w:vAlign w:val="bottom"/>
          </w:tcPr>
          <w:p>
            <w:pPr>
              <w:spacing w:after="0"/>
              <w:rPr>
                <w:sz w:val="11"/>
                <w:szCs w:val="11"/>
                <w:color w:val="auto"/>
              </w:rPr>
            </w:pP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5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15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6"/>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1500" w:type="dxa"/>
            <w:vAlign w:val="bottom"/>
            <w:tcBorders>
              <w:bottom w:val="single" w:sz="8" w:color="808080"/>
            </w:tcBorders>
          </w:tcPr>
          <w:p>
            <w:pPr>
              <w:spacing w:after="0"/>
              <w:rPr>
                <w:sz w:val="3"/>
                <w:szCs w:val="3"/>
                <w:color w:val="auto"/>
              </w:rPr>
            </w:pPr>
          </w:p>
        </w:tc>
        <w:tc>
          <w:tcPr>
            <w:tcW w:w="1020" w:type="dxa"/>
            <w:vAlign w:val="bottom"/>
            <w:tcBorders>
              <w:bottom w:val="single" w:sz="8" w:color="808080"/>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bl>
    <w:p>
      <w:pPr>
        <w:sectPr>
          <w:pgSz w:w="11900" w:h="16838" w:orient="portrait"/>
          <w:cols w:equalWidth="0" w:num="1">
            <w:col w:w="11080"/>
          </w:cols>
          <w:pgMar w:left="460" w:top="219"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18910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4055" cy="1891030"/>
                    </a:xfrm>
                    <a:prstGeom prst="rect">
                      <a:avLst/>
                    </a:prstGeom>
                    <a:noFill/>
                  </pic:spPr>
                </pic:pic>
              </a:graphicData>
            </a:graphic>
          </wp:anchor>
        </w:drawing>
        <w:t>Table II - Derivative Securities Acquired, Disposed of, or Beneficially</w:t>
      </w:r>
      <w:r>
        <w:rPr>
          <w:rFonts w:ascii="Arial" w:cs="Arial" w:eastAsia="Arial" w:hAnsi="Arial"/>
          <w:sz w:val="23"/>
          <w:szCs w:val="23"/>
          <w:b w:val="1"/>
          <w:bCs w:val="1"/>
          <w:color w:val="auto"/>
          <w:vertAlign w:val="superscript"/>
        </w:rPr>
        <w:t>Amount</w:t>
      </w:r>
      <w:r>
        <w:rPr>
          <w:rFonts w:ascii="Arial" w:cs="Arial" w:eastAsia="Arial" w:hAnsi="Arial"/>
          <w:sz w:val="17"/>
          <w:szCs w:val="17"/>
          <w:b w:val="1"/>
          <w:bCs w:val="1"/>
          <w:color w:val="auto"/>
        </w:rPr>
        <w:t xml:space="preserve"> Owned</w:t>
      </w:r>
    </w:p>
    <w:p>
      <w:pPr>
        <w:ind w:left="7340"/>
        <w:spacing w:after="0" w:line="187" w:lineRule="auto"/>
        <w:rPr>
          <w:sz w:val="20"/>
          <w:szCs w:val="20"/>
          <w:color w:val="auto"/>
        </w:rPr>
      </w:pPr>
      <w:r>
        <w:rPr>
          <w:rFonts w:ascii="Arial" w:cs="Arial" w:eastAsia="Arial" w:hAnsi="Arial"/>
          <w:sz w:val="8"/>
          <w:szCs w:val="8"/>
          <w:b w:val="1"/>
          <w:bCs w:val="1"/>
          <w:color w:val="auto"/>
        </w:rPr>
        <w:t>or</w:t>
      </w:r>
    </w:p>
    <w:p>
      <w:pPr>
        <w:jc w:val="center"/>
        <w:spacing w:after="0"/>
        <w:rPr>
          <w:sz w:val="20"/>
          <w:szCs w:val="20"/>
          <w:color w:val="auto"/>
        </w:rPr>
      </w:pPr>
      <w:r>
        <w:rPr>
          <w:rFonts w:ascii="Arial" w:cs="Arial" w:eastAsia="Arial" w:hAnsi="Arial"/>
          <w:sz w:val="17"/>
          <w:szCs w:val="17"/>
          <w:b w:val="1"/>
          <w:bCs w:val="1"/>
          <w:color w:val="auto"/>
        </w:rPr>
        <w:t xml:space="preserve">(e.g., puts, calls, warrants, options, convertible </w:t>
      </w:r>
      <w:r>
        <w:rPr>
          <w:rFonts w:ascii="Arial" w:cs="Arial" w:eastAsia="Arial" w:hAnsi="Arial"/>
          <w:sz w:val="11"/>
          <w:szCs w:val="11"/>
          <w:b w:val="1"/>
          <w:bCs w:val="1"/>
          <w:color w:val="auto"/>
        </w:rPr>
        <w:t>securities)Numb</w:t>
      </w:r>
    </w:p>
    <w:p>
      <w:pPr>
        <w:ind w:left="5400"/>
        <w:spacing w:after="0"/>
        <w:tabs>
          <w:tab w:leader="none" w:pos="6200" w:val="left"/>
          <w:tab w:leader="none" w:pos="7320" w:val="left"/>
        </w:tabs>
        <w:rPr>
          <w:sz w:val="20"/>
          <w:szCs w:val="20"/>
          <w:color w:val="auto"/>
        </w:rPr>
      </w:pPr>
      <w:r>
        <w:rPr>
          <w:rFonts w:ascii="Arial" w:cs="Arial" w:eastAsia="Arial" w:hAnsi="Arial"/>
          <w:sz w:val="12"/>
          <w:szCs w:val="12"/>
          <w:b w:val="1"/>
          <w:bCs w:val="1"/>
          <w:color w:val="auto"/>
        </w:rPr>
        <w:t>Date</w:t>
      </w:r>
      <w:r>
        <w:rPr>
          <w:sz w:val="20"/>
          <w:szCs w:val="20"/>
          <w:color w:val="auto"/>
        </w:rPr>
        <w:tab/>
      </w:r>
      <w:r>
        <w:rPr>
          <w:rFonts w:ascii="Arial" w:cs="Arial" w:eastAsia="Arial" w:hAnsi="Arial"/>
          <w:sz w:val="12"/>
          <w:szCs w:val="12"/>
          <w:b w:val="1"/>
          <w:bCs w:val="1"/>
          <w:color w:val="auto"/>
        </w:rPr>
        <w:t>Expiration</w:t>
      </w:r>
      <w:r>
        <w:rPr>
          <w:sz w:val="20"/>
          <w:szCs w:val="20"/>
          <w:color w:val="auto"/>
        </w:rPr>
        <w:tab/>
      </w:r>
      <w:r>
        <w:rPr>
          <w:rFonts w:ascii="Arial" w:cs="Arial" w:eastAsia="Arial" w:hAnsi="Arial"/>
          <w:sz w:val="10"/>
          <w:szCs w:val="10"/>
          <w:b w:val="1"/>
          <w:bCs w:val="1"/>
          <w:color w:val="auto"/>
        </w:rPr>
        <w:t>of</w:t>
      </w:r>
    </w:p>
    <w:tbl>
      <w:tblPr>
        <w:tblLayout w:type="fixed"/>
        <w:tblInd w:w="0" w:type="dxa"/>
        <w:tblCellMar>
          <w:top w:w="0" w:type="dxa"/>
          <w:left w:w="0" w:type="dxa"/>
          <w:bottom w:w="0" w:type="dxa"/>
          <w:right w:w="0" w:type="dxa"/>
        </w:tblCellMar>
      </w:tblPr>
      <w:tr>
        <w:trPr>
          <w:trHeight w:val="122"/>
        </w:trPr>
        <w:tc>
          <w:tcPr>
            <w:tcW w:w="20" w:type="dxa"/>
            <w:vAlign w:val="bottom"/>
          </w:tcPr>
          <w:p>
            <w:pPr>
              <w:spacing w:after="0"/>
              <w:rPr>
                <w:sz w:val="10"/>
                <w:szCs w:val="10"/>
                <w:color w:val="auto"/>
              </w:rPr>
            </w:pPr>
          </w:p>
        </w:tc>
        <w:tc>
          <w:tcPr>
            <w:tcW w:w="780" w:type="dxa"/>
            <w:vAlign w:val="bottom"/>
            <w:gridSpan w:val="2"/>
          </w:tcPr>
          <w:p>
            <w:pPr>
              <w:ind w:left="60"/>
              <w:spacing w:after="0" w:line="122" w:lineRule="exact"/>
              <w:rPr>
                <w:sz w:val="20"/>
                <w:szCs w:val="20"/>
                <w:color w:val="auto"/>
              </w:rPr>
            </w:pPr>
            <w:r>
              <w:rPr>
                <w:rFonts w:ascii="Arial" w:cs="Arial" w:eastAsia="Arial" w:hAnsi="Arial"/>
                <w:sz w:val="12"/>
                <w:szCs w:val="12"/>
                <w:b w:val="1"/>
                <w:bCs w:val="1"/>
                <w:color w:val="auto"/>
              </w:rPr>
              <w:t>1. Title of</w:t>
            </w:r>
          </w:p>
        </w:tc>
        <w:tc>
          <w:tcPr>
            <w:tcW w:w="740" w:type="dxa"/>
            <w:vAlign w:val="bottom"/>
          </w:tcPr>
          <w:p>
            <w:pPr>
              <w:spacing w:after="0" w:line="122" w:lineRule="exact"/>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line="122" w:lineRule="exact"/>
              <w:rPr>
                <w:sz w:val="20"/>
                <w:szCs w:val="20"/>
                <w:color w:val="auto"/>
              </w:rPr>
            </w:pPr>
            <w:r>
              <w:rPr>
                <w:rFonts w:ascii="Arial" w:cs="Arial" w:eastAsia="Arial" w:hAnsi="Arial"/>
                <w:sz w:val="12"/>
                <w:szCs w:val="12"/>
                <w:b w:val="1"/>
                <w:bCs w:val="1"/>
                <w:color w:val="auto"/>
                <w:w w:val="89"/>
              </w:rPr>
              <w:t>4Code.</w:t>
            </w:r>
          </w:p>
        </w:tc>
        <w:tc>
          <w:tcPr>
            <w:tcW w:w="44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V</w:t>
            </w:r>
          </w:p>
        </w:tc>
        <w:tc>
          <w:tcPr>
            <w:tcW w:w="680" w:type="dxa"/>
            <w:vAlign w:val="bottom"/>
          </w:tcPr>
          <w:p>
            <w:pPr>
              <w:ind w:left="20"/>
              <w:spacing w:after="0" w:line="122" w:lineRule="exact"/>
              <w:rPr>
                <w:sz w:val="20"/>
                <w:szCs w:val="20"/>
                <w:color w:val="auto"/>
              </w:rPr>
            </w:pPr>
            <w:r>
              <w:rPr>
                <w:rFonts w:ascii="Arial" w:cs="Arial" w:eastAsia="Arial" w:hAnsi="Arial"/>
                <w:sz w:val="12"/>
                <w:szCs w:val="12"/>
                <w:b w:val="1"/>
                <w:bCs w:val="1"/>
                <w:color w:val="auto"/>
                <w:w w:val="72"/>
              </w:rPr>
              <w:t>5(A).Number(D)</w:t>
            </w:r>
          </w:p>
        </w:tc>
        <w:tc>
          <w:tcPr>
            <w:tcW w:w="154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w w:val="72"/>
              </w:rPr>
              <w:t>6Exercisable.DateExercisableDate and</w:t>
            </w:r>
          </w:p>
        </w:tc>
        <w:tc>
          <w:tcPr>
            <w:tcW w:w="980" w:type="dxa"/>
            <w:vAlign w:val="bottom"/>
          </w:tcPr>
          <w:p>
            <w:pPr>
              <w:ind w:left="60"/>
              <w:spacing w:after="0" w:line="122" w:lineRule="exact"/>
              <w:rPr>
                <w:sz w:val="20"/>
                <w:szCs w:val="20"/>
                <w:color w:val="auto"/>
              </w:rPr>
            </w:pPr>
            <w:r>
              <w:rPr>
                <w:rFonts w:ascii="Arial" w:cs="Arial" w:eastAsia="Arial" w:hAnsi="Arial"/>
                <w:sz w:val="12"/>
                <w:szCs w:val="12"/>
                <w:b w:val="1"/>
                <w:bCs w:val="1"/>
                <w:color w:val="auto"/>
                <w:w w:val="72"/>
              </w:rPr>
              <w:t>7Title.Title Sharesand</w:t>
            </w:r>
          </w:p>
        </w:tc>
        <w:tc>
          <w:tcPr>
            <w:tcW w:w="720" w:type="dxa"/>
            <w:vAlign w:val="bottom"/>
            <w:gridSpan w:val="2"/>
          </w:tcPr>
          <w:p>
            <w:pPr>
              <w:ind w:left="80"/>
              <w:spacing w:after="0" w:line="122" w:lineRule="exact"/>
              <w:rPr>
                <w:sz w:val="20"/>
                <w:szCs w:val="20"/>
                <w:color w:val="auto"/>
              </w:rPr>
            </w:pPr>
            <w:r>
              <w:rPr>
                <w:rFonts w:ascii="Arial" w:cs="Arial" w:eastAsia="Arial" w:hAnsi="Arial"/>
                <w:sz w:val="12"/>
                <w:szCs w:val="12"/>
                <w:b w:val="1"/>
                <w:bCs w:val="1"/>
                <w:color w:val="auto"/>
              </w:rPr>
              <w:t>8. Price of</w:t>
            </w:r>
          </w:p>
        </w:tc>
        <w:tc>
          <w:tcPr>
            <w:tcW w:w="1020" w:type="dxa"/>
            <w:vAlign w:val="bottom"/>
            <w:gridSpan w:val="5"/>
          </w:tcPr>
          <w:p>
            <w:pPr>
              <w:ind w:left="80"/>
              <w:spacing w:after="0" w:line="122" w:lineRule="exact"/>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20"/>
              <w:spacing w:after="0" w:line="122" w:lineRule="exact"/>
              <w:rPr>
                <w:sz w:val="20"/>
                <w:szCs w:val="20"/>
                <w:color w:val="auto"/>
              </w:rPr>
            </w:pPr>
            <w:r>
              <w:rPr>
                <w:rFonts w:ascii="Arial" w:cs="Arial" w:eastAsia="Arial" w:hAnsi="Arial"/>
                <w:sz w:val="12"/>
                <w:szCs w:val="12"/>
                <w:b w:val="1"/>
                <w:bCs w:val="1"/>
                <w:color w:val="auto"/>
              </w:rPr>
              <w:t>10.</w:t>
            </w:r>
          </w:p>
        </w:tc>
        <w:tc>
          <w:tcPr>
            <w:tcW w:w="780" w:type="dxa"/>
            <w:vAlign w:val="bottom"/>
            <w:gridSpan w:val="2"/>
          </w:tcPr>
          <w:p>
            <w:pPr>
              <w:ind w:left="80"/>
              <w:spacing w:after="0" w:line="122" w:lineRule="exact"/>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8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line="121"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20"/>
              <w:spacing w:after="0" w:line="121"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60"/>
              <w:spacing w:after="0" w:line="121"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5"/>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21"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w w:val="75"/>
              </w:rPr>
              <w:t>Explanation</w:t>
            </w:r>
            <w:r>
              <w:rPr>
                <w:rFonts w:ascii="Arial" w:cs="Arial" w:eastAsia="Arial" w:hAnsi="Arial"/>
                <w:sz w:val="9"/>
                <w:szCs w:val="9"/>
                <w:b w:val="1"/>
                <w:bCs w:val="1"/>
                <w:color w:val="auto"/>
                <w:w w:val="75"/>
              </w:rPr>
              <w:t>Security</w:t>
            </w:r>
          </w:p>
        </w:tc>
        <w:tc>
          <w:tcPr>
            <w:tcW w:w="1860" w:type="dxa"/>
            <w:vAlign w:val="bottom"/>
            <w:gridSpan w:val="2"/>
          </w:tcPr>
          <w:p>
            <w:pPr>
              <w:spacing w:after="0" w:line="146" w:lineRule="exact"/>
              <w:rPr>
                <w:sz w:val="20"/>
                <w:szCs w:val="20"/>
                <w:color w:val="auto"/>
              </w:rPr>
            </w:pPr>
            <w:r>
              <w:rPr>
                <w:rFonts w:ascii="Arial" w:cs="Arial" w:eastAsia="Arial" w:hAnsi="Arial"/>
                <w:sz w:val="12"/>
                <w:szCs w:val="12"/>
                <w:b w:val="1"/>
                <w:bCs w:val="1"/>
                <w:color w:val="auto"/>
                <w:w w:val="76"/>
              </w:rPr>
              <w:t>or</w:t>
            </w:r>
            <w:r>
              <w:rPr>
                <w:rFonts w:ascii="Arial" w:cs="Arial" w:eastAsia="Arial" w:hAnsi="Arial"/>
                <w:sz w:val="13"/>
                <w:szCs w:val="13"/>
                <w:b w:val="1"/>
                <w:bCs w:val="1"/>
                <w:color w:val="auto"/>
                <w:w w:val="76"/>
              </w:rPr>
              <w:t>of</w:t>
            </w:r>
            <w:r>
              <w:rPr>
                <w:rFonts w:ascii="Arial" w:cs="Arial" w:eastAsia="Arial" w:hAnsi="Arial"/>
                <w:sz w:val="12"/>
                <w:szCs w:val="12"/>
                <w:b w:val="1"/>
                <w:bCs w:val="1"/>
                <w:color w:val="auto"/>
                <w:w w:val="76"/>
              </w:rPr>
              <w:t>Ex</w:t>
            </w:r>
            <w:r>
              <w:rPr>
                <w:rFonts w:ascii="Arial" w:cs="Arial" w:eastAsia="Arial" w:hAnsi="Arial"/>
                <w:sz w:val="13"/>
                <w:szCs w:val="13"/>
                <w:b w:val="1"/>
                <w:bCs w:val="1"/>
                <w:color w:val="auto"/>
                <w:w w:val="76"/>
              </w:rPr>
              <w:t>Responses:</w:t>
            </w:r>
            <w:r>
              <w:rPr>
                <w:rFonts w:ascii="Arial" w:cs="Arial" w:eastAsia="Arial" w:hAnsi="Arial"/>
                <w:sz w:val="12"/>
                <w:szCs w:val="12"/>
                <w:b w:val="1"/>
                <w:bCs w:val="1"/>
                <w:color w:val="auto"/>
                <w:w w:val="76"/>
              </w:rPr>
              <w:t>rcise(Month/Day/Year)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60"/>
              <w:spacing w:after="0"/>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Security</w:t>
            </w:r>
          </w:p>
        </w:tc>
        <w:tc>
          <w:tcPr>
            <w:tcW w:w="1020" w:type="dxa"/>
            <w:vAlign w:val="bottom"/>
            <w:gridSpan w:val="5"/>
          </w:tcPr>
          <w:p>
            <w:pPr>
              <w:ind w:left="80"/>
              <w:spacing w:after="0"/>
              <w:rPr>
                <w:sz w:val="20"/>
                <w:szCs w:val="20"/>
                <w:color w:val="auto"/>
              </w:rPr>
            </w:pPr>
            <w:r>
              <w:rPr>
                <w:rFonts w:ascii="Arial" w:cs="Arial" w:eastAsia="Arial" w:hAnsi="Arial"/>
                <w:sz w:val="12"/>
                <w:szCs w:val="12"/>
                <w:b w:val="1"/>
                <w:bCs w:val="1"/>
                <w:color w:val="auto"/>
              </w:rPr>
              <w:t>Securities</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Form:</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8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spacing w:after="0" w:line="121"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0"/>
                <w:szCs w:val="10"/>
                <w:color w:val="auto"/>
              </w:rPr>
            </w:pPr>
          </w:p>
        </w:tc>
        <w:tc>
          <w:tcPr>
            <w:tcW w:w="11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0"/>
                <w:szCs w:val="10"/>
                <w:color w:val="auto"/>
              </w:rPr>
            </w:pPr>
          </w:p>
        </w:tc>
        <w:tc>
          <w:tcPr>
            <w:tcW w:w="680" w:type="dxa"/>
            <w:vAlign w:val="bottom"/>
          </w:tcPr>
          <w:p>
            <w:pPr>
              <w:ind w:left="20"/>
              <w:spacing w:after="0" w:line="121" w:lineRule="exact"/>
              <w:rPr>
                <w:sz w:val="20"/>
                <w:szCs w:val="20"/>
                <w:color w:val="auto"/>
              </w:rPr>
            </w:pPr>
            <w:r>
              <w:rPr>
                <w:rFonts w:ascii="Arial" w:cs="Arial" w:eastAsia="Arial" w:hAnsi="Arial"/>
                <w:sz w:val="12"/>
                <w:szCs w:val="12"/>
                <w:b w:val="1"/>
                <w:bCs w:val="1"/>
                <w:color w:val="auto"/>
              </w:rPr>
              <w:t>Securities</w:t>
            </w:r>
          </w:p>
        </w:tc>
        <w:tc>
          <w:tcPr>
            <w:tcW w:w="8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80"/>
              <w:spacing w:after="0" w:line="121" w:lineRule="exact"/>
              <w:rPr>
                <w:sz w:val="20"/>
                <w:szCs w:val="20"/>
                <w:color w:val="auto"/>
              </w:rPr>
            </w:pPr>
            <w:r>
              <w:rPr>
                <w:rFonts w:ascii="Arial" w:cs="Arial" w:eastAsia="Arial" w:hAnsi="Arial"/>
                <w:sz w:val="12"/>
                <w:szCs w:val="12"/>
                <w:b w:val="1"/>
                <w:bCs w:val="1"/>
                <w:color w:val="auto"/>
              </w:rPr>
              <w:t>(Instr. 5)</w:t>
            </w:r>
          </w:p>
        </w:tc>
        <w:tc>
          <w:tcPr>
            <w:tcW w:w="1020" w:type="dxa"/>
            <w:vAlign w:val="bottom"/>
            <w:gridSpan w:val="5"/>
          </w:tcPr>
          <w:p>
            <w:pPr>
              <w:ind w:left="80"/>
              <w:spacing w:after="0" w:line="121"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20"/>
              <w:spacing w:after="0" w:line="121"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80"/>
              <w:spacing w:after="0" w:line="12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67"/>
        </w:trPr>
        <w:tc>
          <w:tcPr>
            <w:tcW w:w="160" w:type="dxa"/>
            <w:vAlign w:val="bottom"/>
            <w:gridSpan w:val="2"/>
          </w:tcPr>
          <w:p>
            <w:pPr>
              <w:ind w:left="40"/>
              <w:spacing w:after="0" w:line="67" w:lineRule="exact"/>
              <w:rPr>
                <w:sz w:val="20"/>
                <w:szCs w:val="20"/>
                <w:color w:val="auto"/>
              </w:rPr>
            </w:pPr>
            <w:r>
              <w:rPr>
                <w:rFonts w:ascii="Times New Roman" w:cs="Times New Roman" w:eastAsia="Times New Roman" w:hAnsi="Times New Roman"/>
                <w:sz w:val="7"/>
                <w:szCs w:val="7"/>
                <w:color w:val="008000"/>
              </w:rPr>
              <w:t>1.</w:t>
            </w:r>
          </w:p>
        </w:tc>
        <w:tc>
          <w:tcPr>
            <w:tcW w:w="6040" w:type="dxa"/>
            <w:vAlign w:val="bottom"/>
            <w:gridSpan w:val="8"/>
          </w:tcPr>
          <w:p>
            <w:pPr>
              <w:ind w:left="20"/>
              <w:spacing w:after="0" w:line="67" w:lineRule="exact"/>
              <w:rPr>
                <w:sz w:val="20"/>
                <w:szCs w:val="20"/>
                <w:color w:val="auto"/>
              </w:rPr>
            </w:pPr>
            <w:r>
              <w:rPr>
                <w:rFonts w:ascii="Times New Roman" w:cs="Times New Roman" w:eastAsia="Times New Roman" w:hAnsi="Times New Roman"/>
                <w:sz w:val="7"/>
                <w:szCs w:val="7"/>
                <w:color w:val="008000"/>
              </w:rPr>
              <w:t>This represents shares sold to cover tax withholding on the Restricted Stock Units released on January 16, 2025.</w:t>
            </w: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20" w:type="dxa"/>
            <w:vAlign w:val="bottom"/>
            <w:gridSpan w:val="5"/>
            <w:vMerge w:val="restart"/>
          </w:tcPr>
          <w:p>
            <w:pPr>
              <w:ind w:left="80"/>
              <w:spacing w:after="0" w:line="134" w:lineRule="exact"/>
              <w:rPr>
                <w:sz w:val="20"/>
                <w:szCs w:val="20"/>
                <w:color w:val="auto"/>
              </w:rPr>
            </w:pPr>
            <w:r>
              <w:rPr>
                <w:rFonts w:ascii="Arial" w:cs="Arial" w:eastAsia="Arial" w:hAnsi="Arial"/>
                <w:sz w:val="12"/>
                <w:szCs w:val="12"/>
                <w:b w:val="1"/>
                <w:bCs w:val="1"/>
                <w:color w:val="auto"/>
              </w:rPr>
              <w:t>Owned</w:t>
            </w:r>
          </w:p>
        </w:tc>
        <w:tc>
          <w:tcPr>
            <w:tcW w:w="700" w:type="dxa"/>
            <w:vAlign w:val="bottom"/>
            <w:vMerge w:val="restart"/>
          </w:tcPr>
          <w:p>
            <w:pPr>
              <w:ind w:left="2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vMerge w:val="restart"/>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67"/>
        </w:trPr>
        <w:tc>
          <w:tcPr>
            <w:tcW w:w="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8000"/>
              </w:rPr>
              <w:t>2.</w:t>
            </w:r>
          </w:p>
        </w:tc>
        <w:tc>
          <w:tcPr>
            <w:tcW w:w="640" w:type="dxa"/>
            <w:vAlign w:val="bottom"/>
          </w:tcPr>
          <w:p>
            <w:pPr>
              <w:spacing w:after="0"/>
              <w:rPr>
                <w:sz w:val="5"/>
                <w:szCs w:val="5"/>
                <w:color w:val="auto"/>
              </w:rPr>
            </w:pPr>
          </w:p>
        </w:tc>
        <w:tc>
          <w:tcPr>
            <w:tcW w:w="740" w:type="dxa"/>
            <w:vAlign w:val="bottom"/>
          </w:tcPr>
          <w:p>
            <w:pPr>
              <w:spacing w:after="0" w:line="68" w:lineRule="exact"/>
              <w:rPr>
                <w:sz w:val="20"/>
                <w:szCs w:val="20"/>
                <w:color w:val="auto"/>
              </w:rPr>
            </w:pPr>
            <w:r>
              <w:rPr>
                <w:rFonts w:ascii="Arial" w:cs="Arial" w:eastAsia="Arial" w:hAnsi="Arial"/>
                <w:sz w:val="7"/>
                <w:szCs w:val="7"/>
                <w:b w:val="1"/>
                <w:bCs w:val="1"/>
                <w:color w:val="auto"/>
              </w:rPr>
              <w:t>Derivative</w:t>
            </w: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ind w:left="20"/>
              <w:spacing w:after="0" w:line="68" w:lineRule="exact"/>
              <w:rPr>
                <w:sz w:val="20"/>
                <w:szCs w:val="20"/>
                <w:color w:val="auto"/>
              </w:rPr>
            </w:pPr>
            <w:r>
              <w:rPr>
                <w:rFonts w:ascii="Arial" w:cs="Arial" w:eastAsia="Arial" w:hAnsi="Arial"/>
                <w:sz w:val="7"/>
                <w:szCs w:val="7"/>
                <w:b w:val="1"/>
                <w:bCs w:val="1"/>
                <w:color w:val="auto"/>
              </w:rPr>
              <w:t>Acquired</w:t>
            </w:r>
          </w:p>
        </w:tc>
        <w:tc>
          <w:tcPr>
            <w:tcW w:w="8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20" w:type="dxa"/>
            <w:vAlign w:val="bottom"/>
            <w:gridSpan w:val="5"/>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5"/>
        </w:trPr>
        <w:tc>
          <w:tcPr>
            <w:tcW w:w="160" w:type="dxa"/>
            <w:vAlign w:val="bottom"/>
            <w:gridSpan w:val="2"/>
            <w:vMerge w:val="continue"/>
          </w:tcPr>
          <w:p>
            <w:pPr>
              <w:spacing w:after="0"/>
              <w:rPr>
                <w:sz w:val="12"/>
                <w:szCs w:val="12"/>
                <w:color w:val="auto"/>
              </w:rPr>
            </w:pPr>
          </w:p>
        </w:tc>
        <w:tc>
          <w:tcPr>
            <w:tcW w:w="8080" w:type="dxa"/>
            <w:vAlign w:val="bottom"/>
            <w:gridSpan w:val="12"/>
          </w:tcPr>
          <w:p>
            <w:pPr>
              <w:ind w:left="20"/>
              <w:spacing w:after="0" w:line="146" w:lineRule="exact"/>
              <w:rPr>
                <w:sz w:val="20"/>
                <w:szCs w:val="20"/>
                <w:color w:val="auto"/>
              </w:rPr>
            </w:pPr>
            <w:r>
              <w:rPr>
                <w:rFonts w:ascii="Times New Roman" w:cs="Times New Roman" w:eastAsia="Times New Roman" w:hAnsi="Times New Roman"/>
                <w:sz w:val="13"/>
                <w:szCs w:val="13"/>
                <w:color w:val="008000"/>
                <w:w w:val="88"/>
              </w:rPr>
              <w:t>This represents</w:t>
            </w:r>
            <w:r>
              <w:rPr>
                <w:rFonts w:ascii="Arial" w:cs="Arial" w:eastAsia="Arial" w:hAnsi="Arial"/>
                <w:sz w:val="11"/>
                <w:szCs w:val="11"/>
                <w:b w:val="1"/>
                <w:bCs w:val="1"/>
                <w:color w:val="000000"/>
                <w:w w:val="88"/>
              </w:rPr>
              <w:t>Security</w:t>
            </w:r>
            <w:r>
              <w:rPr>
                <w:rFonts w:ascii="Times New Roman" w:cs="Times New Roman" w:eastAsia="Times New Roman" w:hAnsi="Times New Roman"/>
                <w:sz w:val="13"/>
                <w:szCs w:val="13"/>
                <w:color w:val="008000"/>
                <w:w w:val="88"/>
              </w:rPr>
              <w:t xml:space="preserve">aRestricted Stock Unit award granted on January 21, 2025 that vest </w:t>
            </w:r>
            <w:r>
              <w:rPr>
                <w:rFonts w:ascii="Arial" w:cs="Arial" w:eastAsia="Arial" w:hAnsi="Arial"/>
                <w:sz w:val="11"/>
                <w:szCs w:val="11"/>
                <w:b w:val="1"/>
                <w:bCs w:val="1"/>
                <w:color w:val="000000"/>
                <w:w w:val="88"/>
              </w:rPr>
              <w:t>(A)</w:t>
            </w:r>
            <w:r>
              <w:rPr>
                <w:rFonts w:ascii="Times New Roman" w:cs="Times New Roman" w:eastAsia="Times New Roman" w:hAnsi="Times New Roman"/>
                <w:sz w:val="13"/>
                <w:szCs w:val="13"/>
                <w:color w:val="008000"/>
                <w:w w:val="88"/>
              </w:rPr>
              <w:t>25%</w:t>
            </w:r>
            <w:r>
              <w:rPr>
                <w:rFonts w:ascii="Arial" w:cs="Arial" w:eastAsia="Arial" w:hAnsi="Arial"/>
                <w:sz w:val="11"/>
                <w:szCs w:val="11"/>
                <w:b w:val="1"/>
                <w:bCs w:val="1"/>
                <w:color w:val="000000"/>
                <w:w w:val="88"/>
              </w:rPr>
              <w:t>or</w:t>
            </w:r>
            <w:r>
              <w:rPr>
                <w:rFonts w:ascii="Times New Roman" w:cs="Times New Roman" w:eastAsia="Times New Roman" w:hAnsi="Times New Roman"/>
                <w:sz w:val="13"/>
                <w:szCs w:val="13"/>
                <w:color w:val="008000"/>
                <w:w w:val="88"/>
              </w:rPr>
              <w:t>annually over four years from grant date</w:t>
            </w:r>
            <w:r>
              <w:rPr>
                <w:rFonts w:ascii="Arial" w:cs="Arial" w:eastAsia="Arial" w:hAnsi="Arial"/>
                <w:sz w:val="11"/>
                <w:szCs w:val="11"/>
                <w:b w:val="1"/>
                <w:bCs w:val="1"/>
                <w:color w:val="000000"/>
                <w:w w:val="88"/>
              </w:rPr>
              <w:t>Security</w:t>
            </w:r>
            <w:r>
              <w:rPr>
                <w:rFonts w:ascii="Times New Roman" w:cs="Times New Roman" w:eastAsia="Times New Roman" w:hAnsi="Times New Roman"/>
                <w:sz w:val="13"/>
                <w:szCs w:val="13"/>
                <w:color w:val="008000"/>
                <w:w w:val="88"/>
              </w:rPr>
              <w:t>subject</w:t>
            </w:r>
            <w:r>
              <w:rPr>
                <w:rFonts w:ascii="Arial" w:cs="Arial" w:eastAsia="Arial" w:hAnsi="Arial"/>
                <w:sz w:val="11"/>
                <w:szCs w:val="11"/>
                <w:b w:val="1"/>
                <w:bCs w:val="1"/>
                <w:color w:val="000000"/>
                <w:w w:val="88"/>
              </w:rPr>
              <w:t>(Instr</w:t>
            </w:r>
            <w:r>
              <w:rPr>
                <w:rFonts w:ascii="Times New Roman" w:cs="Times New Roman" w:eastAsia="Times New Roman" w:hAnsi="Times New Roman"/>
                <w:sz w:val="13"/>
                <w:szCs w:val="13"/>
                <w:color w:val="008000"/>
                <w:w w:val="88"/>
              </w:rPr>
              <w:t>tocontinued</w:t>
            </w:r>
            <w:r>
              <w:rPr>
                <w:rFonts w:ascii="Arial" w:cs="Arial" w:eastAsia="Arial" w:hAnsi="Arial"/>
                <w:sz w:val="11"/>
                <w:szCs w:val="11"/>
                <w:b w:val="1"/>
                <w:bCs w:val="1"/>
                <w:color w:val="000000"/>
                <w:w w:val="88"/>
              </w:rPr>
              <w:t>.</w:t>
            </w:r>
          </w:p>
        </w:tc>
        <w:tc>
          <w:tcPr>
            <w:tcW w:w="1360" w:type="dxa"/>
            <w:vAlign w:val="bottom"/>
            <w:gridSpan w:val="6"/>
          </w:tcPr>
          <w:p>
            <w:pPr>
              <w:ind w:left="20"/>
              <w:spacing w:after="0" w:line="146" w:lineRule="exact"/>
              <w:rPr>
                <w:sz w:val="20"/>
                <w:szCs w:val="20"/>
                <w:color w:val="auto"/>
              </w:rPr>
            </w:pPr>
            <w:r>
              <w:rPr>
                <w:rFonts w:ascii="Times New Roman" w:cs="Times New Roman" w:eastAsia="Times New Roman" w:hAnsi="Times New Roman"/>
                <w:sz w:val="13"/>
                <w:szCs w:val="13"/>
                <w:color w:val="008000"/>
              </w:rPr>
              <w:t>service.</w:t>
            </w:r>
            <w:r>
              <w:rPr>
                <w:rFonts w:ascii="Arial" w:cs="Arial" w:eastAsia="Arial" w:hAnsi="Arial"/>
                <w:sz w:val="11"/>
                <w:szCs w:val="11"/>
                <w:b w:val="1"/>
                <w:bCs w:val="1"/>
                <w:color w:val="000000"/>
              </w:rPr>
              <w:t>Following</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8000"/>
              </w:rPr>
              <w:t>3.</w:t>
            </w: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ind w:left="20"/>
              <w:spacing w:after="0" w:line="121" w:lineRule="exact"/>
              <w:rPr>
                <w:sz w:val="20"/>
                <w:szCs w:val="20"/>
                <w:color w:val="auto"/>
              </w:rPr>
            </w:pPr>
            <w:r>
              <w:rPr>
                <w:rFonts w:ascii="Arial" w:cs="Arial" w:eastAsia="Arial" w:hAnsi="Arial"/>
                <w:sz w:val="12"/>
                <w:szCs w:val="12"/>
                <w:b w:val="1"/>
                <w:bCs w:val="1"/>
                <w:color w:val="auto"/>
              </w:rPr>
              <w:t>Disposed</w:t>
            </w:r>
          </w:p>
        </w:tc>
        <w:tc>
          <w:tcPr>
            <w:tcW w:w="8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3 and 4)</w:t>
            </w: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20" w:type="dxa"/>
            <w:vAlign w:val="bottom"/>
            <w:gridSpan w:val="5"/>
          </w:tcPr>
          <w:p>
            <w:pPr>
              <w:ind w:left="80"/>
              <w:spacing w:after="0" w:line="121" w:lineRule="exact"/>
              <w:rPr>
                <w:sz w:val="20"/>
                <w:szCs w:val="20"/>
                <w:color w:val="auto"/>
              </w:rPr>
            </w:pPr>
            <w:r>
              <w:rPr>
                <w:rFonts w:ascii="Arial" w:cs="Arial" w:eastAsia="Arial" w:hAnsi="Arial"/>
                <w:sz w:val="12"/>
                <w:szCs w:val="12"/>
                <w:b w:val="1"/>
                <w:bCs w:val="1"/>
                <w:color w:val="auto"/>
              </w:rPr>
              <w:t>Reported</w:t>
            </w: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160" w:type="dxa"/>
            <w:vAlign w:val="bottom"/>
            <w:gridSpan w:val="2"/>
            <w:vMerge w:val="continue"/>
          </w:tcPr>
          <w:p>
            <w:pPr>
              <w:spacing w:after="0"/>
              <w:rPr>
                <w:sz w:val="5"/>
                <w:szCs w:val="5"/>
                <w:color w:val="auto"/>
              </w:rPr>
            </w:pPr>
          </w:p>
        </w:tc>
        <w:tc>
          <w:tcPr>
            <w:tcW w:w="10920" w:type="dxa"/>
            <w:vAlign w:val="bottom"/>
            <w:gridSpan w:val="21"/>
          </w:tcPr>
          <w:p>
            <w:pPr>
              <w:ind w:left="20"/>
              <w:spacing w:after="0" w:line="67" w:lineRule="exact"/>
              <w:rPr>
                <w:sz w:val="20"/>
                <w:szCs w:val="20"/>
                <w:color w:val="auto"/>
              </w:rPr>
            </w:pPr>
            <w:r>
              <w:rPr>
                <w:rFonts w:ascii="Times New Roman" w:cs="Times New Roman" w:eastAsia="Times New Roman" w:hAnsi="Times New Roman"/>
                <w:sz w:val="7"/>
                <w:szCs w:val="7"/>
                <w:color w:val="008000"/>
              </w:rPr>
              <w:t>The securities are held by The Cedric Francois Irrevocable Trust of 2023 - 2. William V. A. Zorn is the trustee of The Cedric Francois Irrevocable Trust of 2023 - 2. The reporting person disclaims</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ind w:left="20"/>
              <w:spacing w:after="0" w:line="67" w:lineRule="exact"/>
              <w:rPr>
                <w:sz w:val="20"/>
                <w:szCs w:val="20"/>
                <w:color w:val="auto"/>
              </w:rPr>
            </w:pPr>
            <w:r>
              <w:rPr>
                <w:rFonts w:ascii="Arial" w:cs="Arial" w:eastAsia="Arial" w:hAnsi="Arial"/>
                <w:sz w:val="7"/>
                <w:szCs w:val="7"/>
                <w:b w:val="1"/>
                <w:bCs w:val="1"/>
                <w:color w:val="auto"/>
              </w:rPr>
              <w:t>of (D)</w:t>
            </w:r>
          </w:p>
        </w:tc>
        <w:tc>
          <w:tcPr>
            <w:tcW w:w="8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20" w:type="dxa"/>
            <w:vAlign w:val="bottom"/>
            <w:gridSpan w:val="5"/>
          </w:tcPr>
          <w:p>
            <w:pPr>
              <w:ind w:left="80"/>
              <w:spacing w:after="0" w:line="67" w:lineRule="exact"/>
              <w:rPr>
                <w:sz w:val="20"/>
                <w:szCs w:val="20"/>
                <w:color w:val="auto"/>
              </w:rPr>
            </w:pPr>
            <w:r>
              <w:rPr>
                <w:rFonts w:ascii="Arial" w:cs="Arial" w:eastAsia="Arial" w:hAnsi="Arial"/>
                <w:sz w:val="7"/>
                <w:szCs w:val="7"/>
                <w:b w:val="1"/>
                <w:bCs w:val="1"/>
                <w:color w:val="auto"/>
              </w:rPr>
              <w:t>Transaction(s)</w:t>
            </w: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220" w:type="dxa"/>
            <w:vAlign w:val="bottom"/>
            <w:gridSpan w:val="13"/>
          </w:tcPr>
          <w:p>
            <w:pPr>
              <w:ind w:left="20"/>
              <w:spacing w:after="0" w:line="80" w:lineRule="exact"/>
              <w:rPr>
                <w:sz w:val="20"/>
                <w:szCs w:val="20"/>
                <w:color w:val="auto"/>
              </w:rPr>
            </w:pPr>
            <w:r>
              <w:rPr>
                <w:rFonts w:ascii="Times New Roman" w:cs="Times New Roman" w:eastAsia="Times New Roman" w:hAnsi="Times New Roman"/>
                <w:sz w:val="9"/>
                <w:szCs w:val="9"/>
                <w:color w:val="008000"/>
              </w:rPr>
              <w:t>beneficial ownership over the shares held by The Cedric Francois Irrevocable Trust of 2023 - 2 except to the extent of his pecuniary interest therein.</w:t>
            </w:r>
          </w:p>
        </w:tc>
        <w:tc>
          <w:tcPr>
            <w:tcW w:w="340" w:type="dxa"/>
            <w:vAlign w:val="bottom"/>
          </w:tcPr>
          <w:p>
            <w:pPr>
              <w:spacing w:after="0"/>
              <w:rPr>
                <w:sz w:val="6"/>
                <w:szCs w:val="6"/>
                <w:color w:val="auto"/>
              </w:rPr>
            </w:pPr>
          </w:p>
        </w:tc>
        <w:tc>
          <w:tcPr>
            <w:tcW w:w="1020" w:type="dxa"/>
            <w:vAlign w:val="bottom"/>
            <w:gridSpan w:val="5"/>
            <w:vMerge w:val="restart"/>
          </w:tcPr>
          <w:p>
            <w:pPr>
              <w:ind w:left="80"/>
              <w:spacing w:after="0"/>
              <w:rPr>
                <w:sz w:val="20"/>
                <w:szCs w:val="20"/>
                <w:color w:val="auto"/>
              </w:rPr>
            </w:pPr>
            <w:r>
              <w:rPr>
                <w:rFonts w:ascii="Arial" w:cs="Arial" w:eastAsia="Arial" w:hAnsi="Arial"/>
                <w:sz w:val="12"/>
                <w:szCs w:val="12"/>
                <w:b w:val="1"/>
                <w:bCs w:val="1"/>
                <w:color w:val="auto"/>
              </w:rPr>
              <w:t>(Instr. 4)</w:t>
            </w: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ind w:left="20"/>
              <w:spacing w:after="0" w:line="66" w:lineRule="exact"/>
              <w:rPr>
                <w:sz w:val="20"/>
                <w:szCs w:val="20"/>
                <w:color w:val="auto"/>
              </w:rPr>
            </w:pPr>
            <w:r>
              <w:rPr>
                <w:rFonts w:ascii="Arial" w:cs="Arial" w:eastAsia="Arial" w:hAnsi="Arial"/>
                <w:sz w:val="7"/>
                <w:szCs w:val="7"/>
                <w:b w:val="1"/>
                <w:bCs w:val="1"/>
                <w:color w:val="auto"/>
              </w:rPr>
              <w:t>(Instr. 3, 4</w:t>
            </w:r>
          </w:p>
        </w:tc>
        <w:tc>
          <w:tcPr>
            <w:tcW w:w="8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20" w:type="dxa"/>
            <w:vAlign w:val="bottom"/>
            <w:gridSpan w:val="5"/>
            <w:vMerge w:val="continue"/>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60" w:type="dxa"/>
            <w:vAlign w:val="bottom"/>
            <w:gridSpan w:val="2"/>
          </w:tcPr>
          <w:p>
            <w:pPr>
              <w:ind w:left="40"/>
              <w:spacing w:after="0" w:line="148" w:lineRule="exact"/>
              <w:rPr>
                <w:sz w:val="20"/>
                <w:szCs w:val="20"/>
                <w:color w:val="auto"/>
              </w:rPr>
            </w:pPr>
            <w:r>
              <w:rPr>
                <w:rFonts w:ascii="Times New Roman" w:cs="Times New Roman" w:eastAsia="Times New Roman" w:hAnsi="Times New Roman"/>
                <w:sz w:val="13"/>
                <w:szCs w:val="13"/>
                <w:color w:val="008000"/>
              </w:rPr>
              <w:t>4.</w:t>
            </w:r>
          </w:p>
        </w:tc>
        <w:tc>
          <w:tcPr>
            <w:tcW w:w="10920" w:type="dxa"/>
            <w:vAlign w:val="bottom"/>
            <w:gridSpan w:val="21"/>
          </w:tcPr>
          <w:p>
            <w:pPr>
              <w:ind w:left="20"/>
              <w:spacing w:after="0" w:line="148" w:lineRule="exact"/>
              <w:rPr>
                <w:sz w:val="20"/>
                <w:szCs w:val="20"/>
                <w:color w:val="auto"/>
              </w:rPr>
            </w:pPr>
            <w:r>
              <w:rPr>
                <w:rFonts w:ascii="Times New Roman" w:cs="Times New Roman" w:eastAsia="Times New Roman" w:hAnsi="Times New Roman"/>
                <w:sz w:val="13"/>
                <w:szCs w:val="13"/>
                <w:color w:val="008000"/>
              </w:rPr>
              <w:t>The securities are held by The Cedric Francois Irrevocable Trust of 2023. William V.</w:t>
            </w:r>
            <w:r>
              <w:rPr>
                <w:rFonts w:ascii="Arial" w:cs="Arial" w:eastAsia="Arial" w:hAnsi="Arial"/>
                <w:sz w:val="11"/>
                <w:szCs w:val="11"/>
                <w:b w:val="1"/>
                <w:bCs w:val="1"/>
                <w:color w:val="000000"/>
              </w:rPr>
              <w:t>and</w:t>
            </w:r>
            <w:r>
              <w:rPr>
                <w:rFonts w:ascii="Times New Roman" w:cs="Times New Roman" w:eastAsia="Times New Roman" w:hAnsi="Times New Roman"/>
                <w:sz w:val="13"/>
                <w:szCs w:val="13"/>
                <w:color w:val="008000"/>
              </w:rPr>
              <w:t>A. Zorn</w:t>
            </w:r>
            <w:r>
              <w:rPr>
                <w:rFonts w:ascii="Arial" w:cs="Arial" w:eastAsia="Arial" w:hAnsi="Arial"/>
                <w:sz w:val="11"/>
                <w:szCs w:val="11"/>
                <w:b w:val="1"/>
                <w:bCs w:val="1"/>
                <w:color w:val="000000"/>
              </w:rPr>
              <w:t>5)</w:t>
            </w:r>
            <w:r>
              <w:rPr>
                <w:rFonts w:ascii="Times New Roman" w:cs="Times New Roman" w:eastAsia="Times New Roman" w:hAnsi="Times New Roman"/>
                <w:sz w:val="13"/>
                <w:szCs w:val="13"/>
                <w:color w:val="008000"/>
              </w:rPr>
              <w:t xml:space="preserve"> is the trustee of The Cedric Francois Irrevocable Trust of 2023. The reporting person disclaims beneficial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840" w:type="dxa"/>
            <w:vAlign w:val="bottom"/>
            <w:gridSpan w:val="12"/>
          </w:tcPr>
          <w:p>
            <w:pPr>
              <w:ind w:left="20"/>
              <w:spacing w:after="0"/>
              <w:rPr>
                <w:sz w:val="20"/>
                <w:szCs w:val="20"/>
                <w:color w:val="auto"/>
              </w:rPr>
            </w:pPr>
            <w:r>
              <w:rPr>
                <w:rFonts w:ascii="Times New Roman" w:cs="Times New Roman" w:eastAsia="Times New Roman" w:hAnsi="Times New Roman"/>
                <w:sz w:val="13"/>
                <w:szCs w:val="13"/>
                <w:color w:val="008000"/>
              </w:rPr>
              <w:t>ownership over the shares held by The Cedric Francois Irrevocable Trust of 2023 except to the extent of his pecuniary interest therein.</w:t>
            </w: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8000"/>
              </w:rPr>
              <w:t>5.</w:t>
            </w:r>
          </w:p>
        </w:tc>
        <w:tc>
          <w:tcPr>
            <w:tcW w:w="10920" w:type="dxa"/>
            <w:vAlign w:val="bottom"/>
            <w:gridSpan w:val="21"/>
          </w:tcPr>
          <w:p>
            <w:pPr>
              <w:ind w:left="20"/>
              <w:spacing w:after="0"/>
              <w:rPr>
                <w:sz w:val="20"/>
                <w:szCs w:val="20"/>
                <w:color w:val="auto"/>
              </w:rPr>
            </w:pPr>
            <w:r>
              <w:rPr>
                <w:rFonts w:ascii="Times New Roman" w:cs="Times New Roman" w:eastAsia="Times New Roman" w:hAnsi="Times New Roman"/>
                <w:sz w:val="13"/>
                <w:szCs w:val="13"/>
                <w:color w:val="008000"/>
              </w:rPr>
              <w:t>The securities are held by The Francois Grossi Trust, for which Juliana Grossi, the spouse of the reporting person, serves as trustee. The reporting person disclaims beneficial ownership over the shares</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4640" w:type="dxa"/>
            <w:vAlign w:val="bottom"/>
            <w:gridSpan w:val="7"/>
            <w:vMerge w:val="restart"/>
          </w:tcPr>
          <w:p>
            <w:pPr>
              <w:ind w:left="20"/>
              <w:spacing w:after="0"/>
              <w:rPr>
                <w:sz w:val="20"/>
                <w:szCs w:val="20"/>
                <w:color w:val="auto"/>
              </w:rPr>
            </w:pPr>
            <w:r>
              <w:rPr>
                <w:rFonts w:ascii="Times New Roman" w:cs="Times New Roman" w:eastAsia="Times New Roman" w:hAnsi="Times New Roman"/>
                <w:sz w:val="13"/>
                <w:szCs w:val="13"/>
                <w:color w:val="008000"/>
              </w:rPr>
              <w:t>held by the Francois Grossi Trust except to the extent of his pecuniary interest therein.</w:t>
            </w:r>
          </w:p>
        </w:tc>
        <w:tc>
          <w:tcPr>
            <w:tcW w:w="680" w:type="dxa"/>
            <w:vAlign w:val="bottom"/>
          </w:tcPr>
          <w:p>
            <w:pPr>
              <w:spacing w:after="0"/>
              <w:rPr>
                <w:sz w:val="6"/>
                <w:szCs w:val="6"/>
                <w:color w:val="auto"/>
              </w:rPr>
            </w:pPr>
          </w:p>
        </w:tc>
        <w:tc>
          <w:tcPr>
            <w:tcW w:w="86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tcPr>
          <w:p>
            <w:pPr>
              <w:ind w:left="460"/>
              <w:spacing w:after="0" w:line="80" w:lineRule="exact"/>
              <w:rPr>
                <w:sz w:val="20"/>
                <w:szCs w:val="20"/>
                <w:color w:val="auto"/>
              </w:rPr>
            </w:pPr>
            <w:r>
              <w:rPr>
                <w:rFonts w:ascii="Arial" w:cs="Arial" w:eastAsia="Arial" w:hAnsi="Arial"/>
                <w:sz w:val="8"/>
                <w:szCs w:val="8"/>
                <w:b w:val="1"/>
                <w:bCs w:val="1"/>
                <w:color w:val="auto"/>
              </w:rPr>
              <w:t>Amount</w:t>
            </w: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640" w:type="dxa"/>
            <w:vAlign w:val="bottom"/>
            <w:gridSpan w:val="7"/>
            <w:vMerge w:val="continue"/>
          </w:tcPr>
          <w:p>
            <w:pPr>
              <w:spacing w:after="0"/>
              <w:rPr>
                <w:sz w:val="9"/>
                <w:szCs w:val="9"/>
                <w:color w:val="auto"/>
              </w:rPr>
            </w:pPr>
          </w:p>
        </w:tc>
        <w:tc>
          <w:tcPr>
            <w:tcW w:w="680" w:type="dxa"/>
            <w:vAlign w:val="bottom"/>
          </w:tcPr>
          <w:p>
            <w:pPr>
              <w:spacing w:after="0"/>
              <w:rPr>
                <w:sz w:val="9"/>
                <w:szCs w:val="9"/>
                <w:color w:val="auto"/>
              </w:rPr>
            </w:pPr>
          </w:p>
        </w:tc>
        <w:tc>
          <w:tcPr>
            <w:tcW w:w="8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vMerge w:val="restart"/>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4"/>
        </w:trPr>
        <w:tc>
          <w:tcPr>
            <w:tcW w:w="160" w:type="dxa"/>
            <w:vAlign w:val="bottom"/>
            <w:gridSpan w:val="2"/>
          </w:tcPr>
          <w:p>
            <w:pPr>
              <w:ind w:left="40"/>
              <w:spacing w:after="0" w:line="134" w:lineRule="exact"/>
              <w:rPr>
                <w:sz w:val="20"/>
                <w:szCs w:val="20"/>
                <w:color w:val="auto"/>
              </w:rPr>
            </w:pPr>
            <w:r>
              <w:rPr>
                <w:rFonts w:ascii="Times New Roman" w:cs="Times New Roman" w:eastAsia="Times New Roman" w:hAnsi="Times New Roman"/>
                <w:sz w:val="13"/>
                <w:szCs w:val="13"/>
                <w:color w:val="008000"/>
              </w:rPr>
              <w:t>6.</w:t>
            </w:r>
          </w:p>
        </w:tc>
        <w:tc>
          <w:tcPr>
            <w:tcW w:w="10920" w:type="dxa"/>
            <w:vAlign w:val="bottom"/>
            <w:gridSpan w:val="21"/>
          </w:tcPr>
          <w:p>
            <w:pPr>
              <w:ind w:left="20"/>
              <w:spacing w:after="0" w:line="134" w:lineRule="exact"/>
              <w:rPr>
                <w:sz w:val="20"/>
                <w:szCs w:val="20"/>
                <w:color w:val="auto"/>
              </w:rPr>
            </w:pPr>
            <w:r>
              <w:rPr>
                <w:rFonts w:ascii="Times New Roman" w:cs="Times New Roman" w:eastAsia="Times New Roman" w:hAnsi="Times New Roman"/>
                <w:sz w:val="13"/>
                <w:szCs w:val="13"/>
                <w:color w:val="008000"/>
              </w:rPr>
              <w:t xml:space="preserve">The securities are held by The Francois-DuBois Educational Trust, for which the Fiduciary Trust Company of New England serves as </w:t>
            </w:r>
            <w:r>
              <w:rPr>
                <w:rFonts w:ascii="Arial" w:cs="Arial" w:eastAsia="Arial" w:hAnsi="Arial"/>
                <w:sz w:val="11"/>
                <w:szCs w:val="11"/>
                <w:b w:val="1"/>
                <w:bCs w:val="1"/>
                <w:color w:val="000000"/>
              </w:rPr>
              <w:t>N</w:t>
            </w:r>
            <w:r>
              <w:rPr>
                <w:rFonts w:ascii="Times New Roman" w:cs="Times New Roman" w:eastAsia="Times New Roman" w:hAnsi="Times New Roman"/>
                <w:sz w:val="13"/>
                <w:szCs w:val="13"/>
                <w:color w:val="008000"/>
              </w:rPr>
              <w:t>trustee</w:t>
            </w:r>
            <w:r>
              <w:rPr>
                <w:rFonts w:ascii="Arial" w:cs="Arial" w:eastAsia="Arial" w:hAnsi="Arial"/>
                <w:sz w:val="11"/>
                <w:szCs w:val="11"/>
                <w:b w:val="1"/>
                <w:bCs w:val="1"/>
                <w:color w:val="000000"/>
              </w:rPr>
              <w:t>mber</w:t>
            </w:r>
            <w:r>
              <w:rPr>
                <w:rFonts w:ascii="Times New Roman" w:cs="Times New Roman" w:eastAsia="Times New Roman" w:hAnsi="Times New Roman"/>
                <w:sz w:val="13"/>
                <w:szCs w:val="13"/>
                <w:color w:val="008000"/>
              </w:rPr>
              <w:t>.The reporting person disclaims beneficial ownership over</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60" w:type="dxa"/>
            <w:vAlign w:val="bottom"/>
          </w:tcPr>
          <w:p>
            <w:pPr>
              <w:ind w:left="60"/>
              <w:spacing w:after="0" w:line="120" w:lineRule="exact"/>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20"/>
              <w:spacing w:after="0" w:line="120"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20"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80" w:type="dxa"/>
            <w:vAlign w:val="bottom"/>
            <w:gridSpan w:val="9"/>
          </w:tcPr>
          <w:p>
            <w:pPr>
              <w:ind w:left="20"/>
              <w:spacing w:after="0" w:line="27" w:lineRule="exact"/>
              <w:rPr>
                <w:sz w:val="20"/>
                <w:szCs w:val="20"/>
                <w:color w:val="auto"/>
              </w:rPr>
            </w:pPr>
            <w:r>
              <w:rPr>
                <w:rFonts w:ascii="Times New Roman" w:cs="Times New Roman" w:eastAsia="Times New Roman" w:hAnsi="Times New Roman"/>
                <w:sz w:val="3"/>
                <w:szCs w:val="3"/>
                <w:color w:val="008000"/>
              </w:rPr>
              <w:t>the shares held by The Francois-DuBois Educational Trust except to the extent of his pecuniary interest therein.</w:t>
            </w:r>
          </w:p>
        </w:tc>
        <w:tc>
          <w:tcPr>
            <w:tcW w:w="68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9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Title  Shares</w:t>
            </w: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7"/>
        </w:trPr>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ind w:left="60"/>
              <w:spacing w:after="0" w:line="107" w:lineRule="exact"/>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line="107" w:lineRule="exact"/>
              <w:rPr>
                <w:sz w:val="20"/>
                <w:szCs w:val="20"/>
                <w:color w:val="auto"/>
              </w:rPr>
            </w:pPr>
            <w:r>
              <w:rPr>
                <w:rFonts w:ascii="Arial" w:cs="Arial" w:eastAsia="Arial" w:hAnsi="Arial"/>
                <w:sz w:val="12"/>
                <w:szCs w:val="12"/>
                <w:b w:val="1"/>
                <w:bCs w:val="1"/>
                <w:color w:val="auto"/>
              </w:rPr>
              <w:t>V</w:t>
            </w:r>
          </w:p>
        </w:tc>
        <w:tc>
          <w:tcPr>
            <w:tcW w:w="680" w:type="dxa"/>
            <w:vAlign w:val="bottom"/>
          </w:tcPr>
          <w:p>
            <w:pPr>
              <w:ind w:left="20"/>
              <w:spacing w:after="0" w:line="107" w:lineRule="exact"/>
              <w:rPr>
                <w:sz w:val="20"/>
                <w:szCs w:val="20"/>
                <w:color w:val="auto"/>
              </w:rPr>
            </w:pPr>
            <w:r>
              <w:rPr>
                <w:rFonts w:ascii="Arial" w:cs="Arial" w:eastAsia="Arial" w:hAnsi="Arial"/>
                <w:sz w:val="12"/>
                <w:szCs w:val="12"/>
                <w:b w:val="1"/>
                <w:bCs w:val="1"/>
                <w:color w:val="auto"/>
              </w:rPr>
              <w:t>(A)   (D)</w:t>
            </w:r>
          </w:p>
        </w:tc>
        <w:tc>
          <w:tcPr>
            <w:tcW w:w="860" w:type="dxa"/>
            <w:vAlign w:val="bottom"/>
          </w:tcPr>
          <w:p>
            <w:pPr>
              <w:ind w:left="60"/>
              <w:spacing w:after="0" w:line="107" w:lineRule="exact"/>
              <w:rPr>
                <w:sz w:val="20"/>
                <w:szCs w:val="20"/>
                <w:color w:val="auto"/>
              </w:rPr>
            </w:pPr>
            <w:r>
              <w:rPr>
                <w:rFonts w:ascii="Arial" w:cs="Arial" w:eastAsia="Arial" w:hAnsi="Arial"/>
                <w:sz w:val="12"/>
                <w:szCs w:val="12"/>
                <w:b w:val="1"/>
                <w:bCs w:val="1"/>
                <w:color w:val="auto"/>
              </w:rPr>
              <w:t>Exercisable</w:t>
            </w:r>
          </w:p>
        </w:tc>
        <w:tc>
          <w:tcPr>
            <w:tcW w:w="680" w:type="dxa"/>
            <w:vAlign w:val="bottom"/>
            <w:gridSpan w:val="2"/>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1120" w:type="dxa"/>
            <w:vAlign w:val="bottom"/>
            <w:tcBorders>
              <w:bottom w:val="single" w:sz="8" w:color="808080"/>
            </w:tcBorders>
          </w:tcPr>
          <w:p>
            <w:pPr>
              <w:spacing w:after="0"/>
              <w:rPr>
                <w:sz w:val="6"/>
                <w:szCs w:val="6"/>
                <w:color w:val="auto"/>
              </w:rPr>
            </w:pPr>
          </w:p>
        </w:tc>
        <w:tc>
          <w:tcPr>
            <w:tcW w:w="1120" w:type="dxa"/>
            <w:vAlign w:val="bottom"/>
            <w:tcBorders>
              <w:bottom w:val="single" w:sz="8" w:color="808080"/>
            </w:tcBorders>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680" w:type="dxa"/>
            <w:vAlign w:val="bottom"/>
            <w:tcBorders>
              <w:bottom w:val="single" w:sz="8" w:color="808080"/>
            </w:tcBorders>
          </w:tcPr>
          <w:p>
            <w:pPr>
              <w:spacing w:after="0"/>
              <w:rPr>
                <w:sz w:val="6"/>
                <w:szCs w:val="6"/>
                <w:color w:val="auto"/>
              </w:rPr>
            </w:pPr>
          </w:p>
        </w:tc>
        <w:tc>
          <w:tcPr>
            <w:tcW w:w="860" w:type="dxa"/>
            <w:vAlign w:val="bottom"/>
            <w:tcBorders>
              <w:bottom w:val="single" w:sz="8" w:color="808080"/>
            </w:tcBorders>
          </w:tcPr>
          <w:p>
            <w:pPr>
              <w:spacing w:after="0"/>
              <w:rPr>
                <w:sz w:val="6"/>
                <w:szCs w:val="6"/>
                <w:color w:val="auto"/>
              </w:rPr>
            </w:pPr>
          </w:p>
        </w:tc>
        <w:tc>
          <w:tcPr>
            <w:tcW w:w="380" w:type="dxa"/>
            <w:vAlign w:val="bottom"/>
            <w:tcBorders>
              <w:bottom w:val="single" w:sz="8" w:color="808080"/>
            </w:tcBorders>
          </w:tcPr>
          <w:p>
            <w:pPr>
              <w:spacing w:after="0"/>
              <w:rPr>
                <w:sz w:val="6"/>
                <w:szCs w:val="6"/>
                <w:color w:val="auto"/>
              </w:rPr>
            </w:pPr>
          </w:p>
        </w:tc>
        <w:tc>
          <w:tcPr>
            <w:tcW w:w="2100" w:type="dxa"/>
            <w:vAlign w:val="bottom"/>
            <w:gridSpan w:val="5"/>
            <w:vMerge w:val="restart"/>
          </w:tcPr>
          <w:p>
            <w:pPr>
              <w:spacing w:after="0" w:line="154" w:lineRule="exact"/>
              <w:rPr>
                <w:sz w:val="20"/>
                <w:szCs w:val="20"/>
                <w:color w:val="auto"/>
              </w:rPr>
            </w:pPr>
            <w:r>
              <w:rPr>
                <w:rFonts w:ascii="Times New Roman" w:cs="Times New Roman" w:eastAsia="Times New Roman" w:hAnsi="Times New Roman"/>
                <w:sz w:val="17"/>
                <w:szCs w:val="17"/>
                <w:color w:val="0000FF"/>
                <w:highlight w:val="white"/>
              </w:rPr>
              <w:t>/s/ David Watson, attorney-in-</w:t>
            </w:r>
          </w:p>
        </w:tc>
        <w:tc>
          <w:tcPr>
            <w:tcW w:w="2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700" w:type="dxa"/>
            <w:vAlign w:val="bottom"/>
            <w:tcBorders>
              <w:bottom w:val="single" w:sz="8" w:color="808080"/>
            </w:tcBorders>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tcPr>
          <w:p>
            <w:pPr>
              <w:spacing w:after="0"/>
              <w:rPr>
                <w:sz w:val="6"/>
                <w:szCs w:val="6"/>
                <w:color w:val="auto"/>
              </w:rPr>
            </w:pPr>
          </w:p>
        </w:tc>
        <w:tc>
          <w:tcPr>
            <w:tcW w:w="380" w:type="dxa"/>
            <w:vAlign w:val="bottom"/>
          </w:tcPr>
          <w:p>
            <w:pPr>
              <w:spacing w:after="0"/>
              <w:rPr>
                <w:sz w:val="6"/>
                <w:szCs w:val="6"/>
                <w:color w:val="auto"/>
              </w:rPr>
            </w:pPr>
          </w:p>
        </w:tc>
        <w:tc>
          <w:tcPr>
            <w:tcW w:w="2100" w:type="dxa"/>
            <w:vAlign w:val="bottom"/>
            <w:tcBorders>
              <w:bottom w:val="single" w:sz="8" w:color="auto"/>
            </w:tcBorders>
            <w:gridSpan w:val="5"/>
            <w:vMerge w:val="continue"/>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900" w:type="dxa"/>
            <w:vAlign w:val="bottom"/>
            <w:gridSpan w:val="3"/>
            <w:vMerge w:val="restart"/>
          </w:tcPr>
          <w:p>
            <w:pPr>
              <w:ind w:left="80"/>
              <w:spacing w:after="0" w:line="167" w:lineRule="exact"/>
              <w:rPr>
                <w:sz w:val="20"/>
                <w:szCs w:val="20"/>
                <w:color w:val="auto"/>
              </w:rPr>
            </w:pPr>
            <w:r>
              <w:rPr>
                <w:rFonts w:ascii="Times New Roman" w:cs="Times New Roman" w:eastAsia="Times New Roman" w:hAnsi="Times New Roman"/>
                <w:sz w:val="17"/>
                <w:szCs w:val="17"/>
                <w:color w:val="0000FF"/>
                <w:highlight w:val="white"/>
              </w:rPr>
              <w:t>01/21/2025</w:t>
            </w: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tcPr>
          <w:p>
            <w:pPr>
              <w:spacing w:after="0"/>
              <w:rPr>
                <w:sz w:val="6"/>
                <w:szCs w:val="6"/>
                <w:color w:val="auto"/>
              </w:rPr>
            </w:pPr>
          </w:p>
        </w:tc>
        <w:tc>
          <w:tcPr>
            <w:tcW w:w="380" w:type="dxa"/>
            <w:vAlign w:val="bottom"/>
          </w:tcPr>
          <w:p>
            <w:pPr>
              <w:spacing w:after="0"/>
              <w:rPr>
                <w:sz w:val="6"/>
                <w:szCs w:val="6"/>
                <w:color w:val="auto"/>
              </w:rPr>
            </w:pPr>
          </w:p>
        </w:tc>
        <w:tc>
          <w:tcPr>
            <w:tcW w:w="2100" w:type="dxa"/>
            <w:vAlign w:val="bottom"/>
            <w:gridSpan w:val="5"/>
          </w:tcPr>
          <w:p>
            <w:pPr>
              <w:spacing w:after="0"/>
              <w:rPr>
                <w:sz w:val="6"/>
                <w:szCs w:val="6"/>
                <w:color w:val="auto"/>
              </w:rPr>
            </w:pPr>
          </w:p>
        </w:tc>
        <w:tc>
          <w:tcPr>
            <w:tcW w:w="20" w:type="dxa"/>
            <w:vAlign w:val="bottom"/>
          </w:tcPr>
          <w:p>
            <w:pPr>
              <w:spacing w:after="0"/>
              <w:rPr>
                <w:sz w:val="6"/>
                <w:szCs w:val="6"/>
                <w:color w:val="auto"/>
              </w:rPr>
            </w:pPr>
          </w:p>
        </w:tc>
        <w:tc>
          <w:tcPr>
            <w:tcW w:w="900" w:type="dxa"/>
            <w:vAlign w:val="bottom"/>
            <w:gridSpan w:val="3"/>
            <w:vMerge w:val="continue"/>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60" w:type="dxa"/>
            <w:vAlign w:val="bottom"/>
            <w:tcBorders>
              <w:bottom w:val="single" w:sz="8" w:color="auto"/>
            </w:tcBorders>
            <w:gridSpan w:val="3"/>
          </w:tcPr>
          <w:p>
            <w:pPr>
              <w:spacing w:after="0" w:line="93" w:lineRule="exact"/>
              <w:rPr>
                <w:sz w:val="20"/>
                <w:szCs w:val="20"/>
                <w:color w:val="auto"/>
              </w:rPr>
            </w:pPr>
            <w:r>
              <w:rPr>
                <w:rFonts w:ascii="Times New Roman" w:cs="Times New Roman" w:eastAsia="Times New Roman" w:hAnsi="Times New Roman"/>
                <w:sz w:val="10"/>
                <w:szCs w:val="10"/>
                <w:color w:val="0000FF"/>
              </w:rPr>
              <w:t>fact for Cedric Francois</w:t>
            </w: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0" w:type="dxa"/>
            <w:vAlign w:val="bottom"/>
            <w:gridSpan w:val="4"/>
          </w:tcPr>
          <w:p>
            <w:pPr>
              <w:spacing w:after="0"/>
              <w:rPr>
                <w:sz w:val="20"/>
                <w:szCs w:val="20"/>
                <w:color w:val="auto"/>
              </w:rPr>
            </w:pPr>
            <w:r>
              <w:rPr>
                <w:rFonts w:ascii="Arial" w:cs="Arial" w:eastAsia="Arial" w:hAnsi="Arial"/>
                <w:sz w:val="13"/>
                <w:szCs w:val="13"/>
                <w:color w:val="auto"/>
              </w:rPr>
              <w:t>** Signature of Reporting Person</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gridSpan w:val="3"/>
          </w:tcPr>
          <w:p>
            <w:pPr>
              <w:ind w:left="80"/>
              <w:spacing w:after="0"/>
              <w:rPr>
                <w:sz w:val="20"/>
                <w:szCs w:val="20"/>
                <w:color w:val="auto"/>
              </w:rPr>
            </w:pPr>
            <w:r>
              <w:rPr>
                <w:rFonts w:ascii="Arial" w:cs="Arial" w:eastAsia="Arial" w:hAnsi="Arial"/>
                <w:sz w:val="13"/>
                <w:szCs w:val="13"/>
                <w:color w:val="auto"/>
              </w:rPr>
              <w:t>Date</w:t>
            </w:r>
          </w:p>
        </w:tc>
        <w:tc>
          <w:tcPr>
            <w:tcW w:w="7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7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58080" TargetMode="External"/><Relationship Id="rId14" Type="http://schemas.openxmlformats.org/officeDocument/2006/relationships/hyperlink" Target="http://www.sec.gov/cgi-bin/browse-edgar?action=getcompany&amp;CIK=00014924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2025-01-21T15:10:26Z</dcterms:created>
  <dcterms:modified xsi:type="dcterms:W3CDTF">2025-01-21T15:10:26Z</dcterms:modified>
</cp:coreProperties>
</file>