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825500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73660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370205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7" w:lineRule="exact"/>
        <w:rPr>
          <w:rFonts w:ascii="MS PGothic" w:cs="MS PGothic" w:eastAsia="MS PGothic" w:hAnsi="MS PGothic"/>
          <w:sz w:val="20"/>
          <w:szCs w:val="20"/>
          <w:color w:val="auto"/>
        </w:rPr>
      </w:pPr>
    </w:p>
    <w:p>
      <w:pPr>
        <w:ind w:left="380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1"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51"/>
        </w:trPr>
        <w:tc>
          <w:tcPr>
            <w:tcW w:w="430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0"/>
        </w:trPr>
        <w:tc>
          <w:tcPr>
            <w:tcW w:w="4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7"/>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14"/>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46"/>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bl>
    <w:p>
      <w:pPr>
        <w:spacing w:after="0" w:line="49" w:lineRule="exact"/>
        <w:rPr>
          <w:sz w:val="24"/>
          <w:szCs w:val="24"/>
          <w:color w:val="auto"/>
        </w:rPr>
      </w:pPr>
    </w:p>
    <w:p>
      <w:pPr>
        <w:ind w:right="8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jc w:val="both"/>
        <w:ind w:right="2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sectPr>
      </w:pPr>
    </w:p>
    <w:bookmarkStart w:id="1" w:name="page2"/>
    <w:bookmarkEnd w:id="1"/>
    <w:p>
      <w:pPr>
        <w:ind w:right="119" w:firstLine="50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2024, the registrant had 121,365,555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2023</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60" w:type="dxa"/>
            <w:vAlign w:val="bottom"/>
            <w:gridSpan w:val="3"/>
            <w:vMerge w:val="restart"/>
          </w:tcPr>
          <w:p>
            <w:pPr>
              <w:spacing w:after="0"/>
              <w:rPr>
                <w:sz w:val="15"/>
                <w:szCs w:val="15"/>
                <w:color w:val="auto"/>
              </w:rPr>
            </w:pPr>
          </w:p>
        </w:tc>
        <w:tc>
          <w:tcPr>
            <w:tcW w:w="96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640" w:type="dxa"/>
            <w:vAlign w:val="bottom"/>
            <w:gridSpan w:val="2"/>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9600" w:type="dxa"/>
            <w:vAlign w:val="bottom"/>
            <w:gridSpan w:val="15"/>
            <w:vMerge w:val="continue"/>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8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w:t>
            </w:r>
            <w:r>
              <w:rPr>
                <w:rFonts w:ascii="Times New Roman" w:cs="Times New Roman" w:eastAsia="Times New Roman" w:hAnsi="Times New Roman"/>
                <w:sz w:val="18"/>
                <w:szCs w:val="18"/>
                <w:color w:val="000000"/>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 2023</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1520" w:type="dxa"/>
            <w:vAlign w:val="bottom"/>
            <w:tcBorders>
              <w:top w:val="single" w:sz="8" w:color="0000FF"/>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80" w:type="dxa"/>
            <w:vAlign w:val="bottom"/>
            <w:gridSpan w:val="4"/>
          </w:tcPr>
          <w:p>
            <w:pPr>
              <w:spacing w:after="0"/>
              <w:rPr>
                <w:sz w:val="19"/>
                <w:szCs w:val="19"/>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80" w:type="dxa"/>
            <w:vAlign w:val="bottom"/>
            <w:gridSpan w:val="4"/>
          </w:tcPr>
          <w:p>
            <w:pPr>
              <w:spacing w:after="0"/>
              <w:rPr>
                <w:sz w:val="19"/>
                <w:szCs w:val="19"/>
                <w:color w:val="auto"/>
              </w:rPr>
            </w:pPr>
          </w:p>
        </w:tc>
        <w:tc>
          <w:tcPr>
            <w:tcW w:w="4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3160" w:type="dxa"/>
            <w:vAlign w:val="bottom"/>
            <w:gridSpan w:val="4"/>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300" w:type="dxa"/>
            <w:vAlign w:val="bottom"/>
            <w:gridSpan w:val="2"/>
          </w:tcPr>
          <w:p>
            <w:pPr>
              <w:spacing w:after="0"/>
              <w:rPr>
                <w:sz w:val="19"/>
                <w:szCs w:val="19"/>
                <w:color w:val="auto"/>
              </w:rPr>
            </w:pPr>
          </w:p>
        </w:tc>
        <w:tc>
          <w:tcPr>
            <w:tcW w:w="2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80" w:type="dxa"/>
            <w:vAlign w:val="bottom"/>
            <w:gridSpan w:val="10"/>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80" w:type="dxa"/>
            <w:vAlign w:val="bottom"/>
            <w:gridSpan w:val="12"/>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80" w:type="dxa"/>
            <w:vAlign w:val="bottom"/>
            <w:gridSpan w:val="4"/>
          </w:tcPr>
          <w:p>
            <w:pPr>
              <w:spacing w:after="0"/>
              <w:rPr>
                <w:sz w:val="19"/>
                <w:szCs w:val="19"/>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4"/>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6"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of the anticipated results from these trials;</w:t>
      </w:r>
    </w:p>
    <w:p>
      <w:pPr>
        <w:spacing w:after="0" w:line="69" w:lineRule="exact"/>
        <w:rPr>
          <w:rFonts w:ascii="Times New Roman" w:cs="Times New Roman" w:eastAsia="Times New Roman" w:hAnsi="Times New Roman"/>
          <w:sz w:val="18"/>
          <w:szCs w:val="18"/>
          <w:color w:val="auto"/>
        </w:rPr>
      </w:pPr>
    </w:p>
    <w:p>
      <w:pPr>
        <w:ind w:left="760" w:right="7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future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current and future product candidates for any additional 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clinical benefits and attributes of our current and future product candidates we may develop and the inhibition of C3;</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current or future collaboration, including our collaborations with Sobi and Beam Therapeutics, Inc.;</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other products for which we receive marketing approval;</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2023,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in our Annual Report on Form 10-K for the year ended December 31, 2023.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Quarterly Report on Form 10-Q are the property of their respective owners.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and references to Aspaveli refer to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which we received approval from the United States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Quarterly Report on Form 10-Q are the property of their respective owners.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325,923</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267,837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206,442</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r>
        <w:trPr>
          <w:trHeight w:val="247"/>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811,428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766,331</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1"/>
                <w:szCs w:val="21"/>
                <w:color w:val="auto"/>
              </w:rPr>
            </w:pPr>
          </w:p>
        </w:tc>
      </w:tr>
      <w:tr>
        <w:trPr>
          <w:trHeight w:val="236"/>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831,930</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215,291</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100" w:type="dxa"/>
            <w:vAlign w:val="bottom"/>
            <w:shd w:val="clear" w:color="auto" w:fill="CFF0FC"/>
          </w:tcPr>
          <w:p>
            <w:pPr>
              <w:spacing w:after="0"/>
              <w:rPr>
                <w:sz w:val="20"/>
                <w:szCs w:val="20"/>
                <w:color w:val="auto"/>
              </w:rPr>
            </w:pPr>
          </w:p>
        </w:tc>
      </w:t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244,426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r>
      <w:tr>
        <w:trPr>
          <w:trHeight w:val="236"/>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565,254</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 zero</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 at March 31, 2024 and December 31, 2023</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March 31, 2024 and December 31, 2023; 121,267 shares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at March 31, 2024, and 119,556 shares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(3,525 )</w:t>
            </w:r>
          </w:p>
        </w:tc>
        <w:tc>
          <w:tcPr>
            <w:tcW w:w="1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(2,903,911 )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(2,837,488 )</w:t>
            </w:r>
          </w:p>
        </w:tc>
      </w:tr>
      <w:tr>
        <w:trPr>
          <w:trHeight w:val="236"/>
        </w:trPr>
        <w:tc>
          <w:tcPr>
            <w:tcW w:w="8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tcBorders>
              <w:top w:val="single" w:sz="8" w:color="CFF0FC"/>
            </w:tcBorders>
          </w:tcPr>
          <w:p>
            <w:pPr>
              <w:spacing w:after="0"/>
              <w:rPr>
                <w:sz w:val="20"/>
                <w:szCs w:val="20"/>
                <w:color w:val="auto"/>
              </w:rPr>
            </w:pPr>
          </w:p>
        </w:tc>
      </w:tr>
      <w:tr>
        <w:trPr>
          <w:trHeight w:val="276"/>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831,930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-4956810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-4956810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-4015105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-4015105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-1831975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4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163,075</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172,325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129,505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234,415</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9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(62,090 )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(175,083 )</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(6,967 )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(7,529 )</w:t>
            </w:r>
          </w:p>
        </w:tc>
        <w:tc>
          <w:tcPr>
            <w:tcW w:w="0" w:type="dxa"/>
            <w:vAlign w:val="bottom"/>
          </w:tcPr>
          <w:p>
            <w:pPr>
              <w:spacing w:after="0"/>
              <w:rPr>
                <w:sz w:val="1"/>
                <w:szCs w:val="1"/>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9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(66,253 )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(177,496 )</w:t>
            </w:r>
          </w:p>
        </w:tc>
        <w:tc>
          <w:tcPr>
            <w:tcW w:w="0" w:type="dxa"/>
            <w:vAlign w:val="bottom"/>
          </w:tcPr>
          <w:p>
            <w:pPr>
              <w:spacing w:after="0"/>
              <w:rPr>
                <w:sz w:val="1"/>
                <w:szCs w:val="1"/>
                <w:color w:val="auto"/>
              </w:rPr>
            </w:pP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(66,423 )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(177,778 )</w:t>
            </w:r>
          </w:p>
        </w:tc>
        <w:tc>
          <w:tcPr>
            <w:tcW w:w="0" w:type="dxa"/>
            <w:vAlign w:val="bottom"/>
          </w:tcPr>
          <w:p>
            <w:pPr>
              <w:spacing w:after="0"/>
              <w:rPr>
                <w:sz w:val="1"/>
                <w:szCs w:val="1"/>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9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(66,406 )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(177,678 )</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(0.54 )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191"/>
        </w:trPr>
        <w:tc>
          <w:tcPr>
            <w:tcW w:w="778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9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122,957</w:t>
            </w:r>
          </w:p>
        </w:tc>
        <w:tc>
          <w:tcPr>
            <w:tcW w:w="28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113,872</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-3184525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-3184525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-2242820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-1617345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-1301115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-658495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-316230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-299085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7"/>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119,556</w:t>
            </w:r>
          </w:p>
        </w:tc>
        <w:tc>
          <w:tcPr>
            <w:tcW w:w="64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(2,837,488 )</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shd w:val="clear" w:color="auto" w:fill="CFF0FC"/>
          </w:tcPr>
          <w:p>
            <w:pPr>
              <w:spacing w:after="0"/>
              <w:rPr>
                <w:sz w:val="20"/>
                <w:szCs w:val="20"/>
                <w:color w:val="auto"/>
              </w:rPr>
            </w:pP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tcPr>
          <w:p>
            <w:pPr>
              <w:spacing w:after="0"/>
              <w:rPr>
                <w:sz w:val="20"/>
                <w:szCs w:val="20"/>
                <w:color w:val="auto"/>
              </w:rPr>
            </w:pPr>
          </w:p>
        </w:tc>
      </w:tr>
      <w:tr>
        <w:trPr>
          <w:trHeight w:val="215"/>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FF0FC"/>
          </w:tcPr>
          <w:p>
            <w:pPr>
              <w:spacing w:after="0"/>
              <w:rPr>
                <w:sz w:val="21"/>
                <w:szCs w:val="21"/>
                <w:color w:val="auto"/>
              </w:rPr>
            </w:pPr>
          </w:p>
        </w:tc>
      </w:tr>
      <w:tr>
        <w:trPr>
          <w:trHeight w:val="211"/>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49"/>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shd w:val="clear" w:color="auto" w:fill="CFF0FC"/>
          </w:tcPr>
          <w:p>
            <w:pPr>
              <w:spacing w:after="0"/>
              <w:rPr>
                <w:sz w:val="21"/>
                <w:szCs w:val="21"/>
                <w:color w:val="auto"/>
              </w:rPr>
            </w:pP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(66,423 )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(66,423 )</w:t>
            </w:r>
          </w:p>
        </w:tc>
      </w:tr>
      <w:tr>
        <w:trPr>
          <w:trHeight w:val="243"/>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r>
      <w:tr>
        <w:trPr>
          <w:trHeight w:val="25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(3,525 )</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(2,903,911 )</w:t>
            </w: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100" w:type="dxa"/>
            <w:vAlign w:val="bottom"/>
            <w:shd w:val="clear" w:color="auto" w:fill="CFF0FC"/>
          </w:tcPr>
          <w:p>
            <w:pPr>
              <w:spacing w:after="0"/>
              <w:rPr>
                <w:sz w:val="22"/>
                <w:szCs w:val="22"/>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39"/>
        </w:trPr>
        <w:tc>
          <w:tcPr>
            <w:tcW w:w="8840" w:type="dxa"/>
            <w:vAlign w:val="bottom"/>
            <w:gridSpan w:val="14"/>
          </w:tcPr>
          <w:p>
            <w:pPr>
              <w:jc w:val="center"/>
              <w:ind w:left="231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4040" w:type="dxa"/>
            <w:vAlign w:val="bottom"/>
          </w:tcPr>
          <w:p>
            <w:pPr>
              <w:spacing w:after="0"/>
              <w:rPr>
                <w:sz w:val="24"/>
                <w:szCs w:val="24"/>
                <w:color w:val="auto"/>
              </w:rPr>
            </w:pPr>
          </w:p>
        </w:tc>
        <w:tc>
          <w:tcPr>
            <w:tcW w:w="354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APELLIS PHARMACEUTICALS, INC.</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100" w:type="dxa"/>
            <w:vAlign w:val="bottom"/>
            <w:gridSpan w:val="17"/>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7"/>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1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(Deficit)</w:t>
            </w:r>
          </w:p>
        </w:tc>
      </w:tr>
      <w:tr>
        <w:trPr>
          <w:trHeight w:val="23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110,772</w:t>
            </w:r>
          </w:p>
        </w:tc>
        <w:tc>
          <w:tcPr>
            <w:tcW w:w="12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2,479,596</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(2,308,860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169,872</w:t>
            </w:r>
          </w:p>
        </w:tc>
        <w:tc>
          <w:tcPr>
            <w:tcW w:w="100" w:type="dxa"/>
            <w:vAlign w:val="bottom"/>
          </w:tcPr>
          <w:p>
            <w:pPr>
              <w:spacing w:after="0"/>
              <w:rPr>
                <w:sz w:val="20"/>
                <w:szCs w:val="20"/>
                <w:color w:val="auto"/>
              </w:rPr>
            </w:pPr>
          </w:p>
        </w:tc>
      </w:tr>
      <w:tr>
        <w:trPr>
          <w:trHeight w:val="215"/>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Issuance of common stock and pre-funded warrants in</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offering</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384,387</w:t>
            </w:r>
          </w:p>
        </w:tc>
        <w:tc>
          <w:tcPr>
            <w:tcW w:w="100" w:type="dxa"/>
            <w:vAlign w:val="bottom"/>
            <w:shd w:val="clear" w:color="auto" w:fill="CFF0FC"/>
          </w:tcPr>
          <w:p>
            <w:pPr>
              <w:spacing w:after="0"/>
              <w:rPr>
                <w:sz w:val="21"/>
                <w:szCs w:val="21"/>
                <w:color w:val="auto"/>
              </w:rPr>
            </w:pPr>
          </w:p>
        </w:tc>
      </w:tr>
      <w:tr>
        <w:trPr>
          <w:trHeight w:val="211"/>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17,718</w:t>
            </w:r>
          </w:p>
        </w:tc>
        <w:tc>
          <w:tcPr>
            <w:tcW w:w="100" w:type="dxa"/>
            <w:vAlign w:val="bottom"/>
          </w:tcPr>
          <w:p>
            <w:pPr>
              <w:spacing w:after="0"/>
              <w:rPr>
                <w:sz w:val="20"/>
                <w:szCs w:val="20"/>
                <w:color w:val="auto"/>
              </w:rPr>
            </w:pPr>
          </w:p>
        </w:tc>
      </w:tr>
      <w:tr>
        <w:trPr>
          <w:trHeight w:val="218"/>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(10,999 )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(10,999 )</w:t>
            </w: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28,823</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(177,778 )</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(177,778 )</w:t>
            </w:r>
          </w:p>
        </w:tc>
      </w:tr>
      <w:tr>
        <w:trPr>
          <w:trHeight w:val="247"/>
        </w:trPr>
        <w:tc>
          <w:tcPr>
            <w:tcW w:w="4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2,899,524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rPr>
              <w:t>(775 )</w:t>
            </w:r>
          </w:p>
        </w:tc>
        <w:tc>
          <w:tcPr>
            <w:tcW w:w="100" w:type="dxa"/>
            <w:vAlign w:val="bottom"/>
          </w:tcPr>
          <w:p>
            <w:pPr>
              <w:spacing w:after="0"/>
              <w:rPr>
                <w:sz w:val="19"/>
                <w:szCs w:val="19"/>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(2,486,638 )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412,123</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-3355975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-3338830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-3355975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-3338830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-3355975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-3338830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-3355975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-3338830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-3355975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-3338830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-179070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-179070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-179070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-179070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37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4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(66,423 )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(177,778 )</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to development liability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(61,415 )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(23,778 )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(14,921 )</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assets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(4,338 )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(10,730 )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(5,854 )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(26,330 )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(23,471 )</w:t>
            </w:r>
          </w:p>
        </w:tc>
      </w:tr>
      <w:tr>
        <w:trPr>
          <w:trHeight w:val="243"/>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(132,983 )</w:t>
            </w:r>
          </w:p>
        </w:tc>
        <w:tc>
          <w:tcPr>
            <w:tcW w:w="4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(177,620 )</w:t>
            </w:r>
          </w:p>
        </w:tc>
      </w:tr>
      <w:tr>
        <w:trPr>
          <w:trHeight w:val="24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(293 )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(259 )</w:t>
            </w:r>
          </w:p>
        </w:tc>
      </w:tr>
      <w:tr>
        <w:trPr>
          <w:trHeight w:val="20"/>
        </w:trPr>
        <w:tc>
          <w:tcPr>
            <w:tcW w:w="7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(293 )</w:t>
            </w:r>
          </w:p>
        </w:tc>
        <w:tc>
          <w:tcPr>
            <w:tcW w:w="4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(259 )</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 offering,</w:t>
            </w:r>
          </w:p>
        </w:tc>
        <w:tc>
          <w:tcPr>
            <w:tcW w:w="10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384,387</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(10,999 )</w:t>
            </w:r>
          </w:p>
        </w:tc>
      </w:tr>
      <w:tr>
        <w:trPr>
          <w:trHeight w:val="236"/>
        </w:trPr>
        <w:tc>
          <w:tcPr>
            <w:tcW w:w="7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28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391,106</w:t>
            </w:r>
          </w:p>
        </w:tc>
        <w:tc>
          <w:tcPr>
            <w:tcW w:w="100" w:type="dxa"/>
            <w:vAlign w:val="bottom"/>
            <w:tcBorders>
              <w:top w:val="single" w:sz="8" w:color="CFF0FC"/>
            </w:tcBorders>
          </w:tcPr>
          <w:p>
            <w:pPr>
              <w:spacing w:after="0"/>
              <w:rPr>
                <w:sz w:val="20"/>
                <w:szCs w:val="20"/>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(209 )</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(25,273 )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213,283</w:t>
            </w:r>
          </w:p>
        </w:tc>
        <w:tc>
          <w:tcPr>
            <w:tcW w:w="100" w:type="dxa"/>
            <w:vAlign w:val="bottom"/>
          </w:tcPr>
          <w:p>
            <w:pPr>
              <w:spacing w:after="0"/>
              <w:rPr>
                <w:sz w:val="20"/>
                <w:szCs w:val="20"/>
                <w:color w:val="auto"/>
              </w:rPr>
            </w:pPr>
          </w:p>
        </w:tc>
      </w:tr>
      <w:tr>
        <w:trPr>
          <w:trHeight w:val="24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327,026</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766,358</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74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2"/>
        </w:trPr>
        <w:tc>
          <w:tcPr>
            <w:tcW w:w="7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325,923</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765,083</w:t>
            </w:r>
          </w:p>
        </w:tc>
        <w:tc>
          <w:tcPr>
            <w:tcW w:w="100" w:type="dxa"/>
            <w:vAlign w:val="bottom"/>
          </w:tcPr>
          <w:p>
            <w:pPr>
              <w:spacing w:after="0"/>
              <w:rPr>
                <w:sz w:val="20"/>
                <w:szCs w:val="20"/>
                <w:color w:val="auto"/>
              </w:rPr>
            </w:pP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327,026</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766,358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8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r>
        <w:trPr>
          <w:trHeight w:val="234"/>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income tax refunds net of income taxes paid</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-3264535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-3264535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-2194560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-2194560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-1560830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-1560830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-772795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-772795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Company’s operations since inception have been limited to organizing and staffing the Company, acquiring rights to product candidates, business planning, raising capital, developing its product candidates, commercializing EMPAVELI (pegcetacoplan) for the treatment of paroxysmal nocturnal hemoglobinuria (“PNH”) and the commercialization of SYFOVRE (pegcetacoplan injection) for the treatment of geographic atrophy secondary to age-related macular degeneration (“GA”).</w:t>
      </w:r>
    </w:p>
    <w:p>
      <w:pPr>
        <w:spacing w:after="0" w:line="18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March 31, 2024, the Company has incurred cash outflows from operations, losses from operations and had an accumulated deficit of $2.9 billion primarily as a result of expenses incurred through a combination of research and development activities related to the Company’s various product candidates and expenses supporting those activities. The Company has primarily financed its operations through public offerings of its common stock, convertible debt, private placements of preferred stock prior to its initial public offering, the development funding agreement with SFJ Pharmaceuticals Group (“SFJ”), and the collaboration agreement with Sobi. The Company has financed a portion of its operations through product sales but has not yet achieved profitability.</w:t>
      </w:r>
    </w:p>
    <w:p>
      <w:pPr>
        <w:spacing w:after="0" w:line="18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As of May 7, 2024, the date of issuance of these unaudited condensed consolidated financial statements, the Company believes that its cash and cash equivalents of $325.9 million as of March 31, 2024 together with cash anticipated to be generated from sales of EMPAVELI and from SYFOVRE will be sufficient to fund its operations and capital expenditure requirements for at least the next twelve months.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condensed consolidated balance sheet as of December 31, 2023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2024 are not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necessarily indicative of the results to be expected for the year ending December 31, 2024 or for any other interim period or for any other future year.</w:t>
      </w:r>
    </w:p>
    <w:p>
      <w:pPr>
        <w:spacing w:after="0" w:line="22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and related financial information should be read in conjunction with the audited consolidated financial statements and the related notes thereto for the year ended December 31, 2023 included in the Company’s Annual Report on Form 10-K filed with the SEC on February 27, 2024, as amended by Amendment No. 1 thereto filed with the SEC on February 29, 2024 (the “2023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liability, accrued expenses, prepaid expenses, convertible debt, reserves for variable consideration, reserves for excess or obsolete inventories,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Reference is made to Note 2 Summary of Significant Accounting Policies in our 2023 Form 10-K for a detailed description of significant accounting policies. There have been no significant changes to our accounting policies as disclosed in our 2023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this guidance to determine the impact it may have on its consolidated financial statements and disclosures.</w:t>
      </w:r>
    </w:p>
    <w:p>
      <w:pPr>
        <w:spacing w:after="0" w:line="1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w:t>
      </w:r>
    </w:p>
    <w:p>
      <w:pPr>
        <w:spacing w:after="0" w:line="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2024. Retrospective application is required, and early adoption is permitted. The Company is currently evaluating the impact the guidance will have on its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received FDA approval for the sale of EMPAVELI in the United States in May 2021 and approval for the sale of SYFOVRE in the United States in February 2023. The Company’s product revenues, net of sales discounts, allowances and reserves, for the three months ended March 31, 2024 and 2023 were $163.1 million and $38.8 million, respectively. The Company’s product revenues consist of sales of EMPAVELI and SYFOVRE to specialty pharmacies and specialty distributors.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73660</wp:posOffset>
            </wp:positionV>
            <wp:extent cx="93980" cy="153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March31,</w:t>
            </w:r>
          </w:p>
        </w:tc>
        <w:tc>
          <w:tcPr>
            <w:tcW w:w="13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3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6"/>
        </w:trPr>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EMPAVELI</w:t>
            </w:r>
          </w:p>
        </w:tc>
        <w:tc>
          <w:tcPr>
            <w:tcW w:w="136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100" w:type="dxa"/>
            <w:vAlign w:val="bottom"/>
          </w:tcPr>
          <w:p>
            <w:pPr>
              <w:spacing w:after="0"/>
              <w:rPr>
                <w:sz w:val="20"/>
                <w:szCs w:val="20"/>
                <w:color w:val="auto"/>
              </w:rPr>
            </w:pPr>
          </w:p>
        </w:tc>
      </w:tr>
      <w:tr>
        <w:trPr>
          <w:trHeight w:val="247"/>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SYFOVRE</w:t>
            </w:r>
          </w:p>
        </w:tc>
        <w:tc>
          <w:tcPr>
            <w:tcW w:w="1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7"/>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36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163,075</w:t>
            </w:r>
          </w:p>
        </w:tc>
        <w:tc>
          <w:tcPr>
            <w:tcW w:w="380" w:type="dxa"/>
            <w:vAlign w:val="bottom"/>
            <w:gridSpan w:val="2"/>
          </w:tcPr>
          <w:p>
            <w:pPr>
              <w:spacing w:after="0"/>
              <w:rPr>
                <w:sz w:val="22"/>
                <w:szCs w:val="22"/>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Company’s accounts receivable balance of $267.8 million as of March 31, 2024 and $206.4 million as of December 31, 2023, consisted of EMPAVELI and SYFOVRE product sales receivable and licensing and other revenue receivables from our collaboration with Swedish Orphan Biovitrum AB (Publ) (“Sobi”). The Company does not have a reserve related to expected credit losses against its accounts receivable balance and expects to collect its accounts receivable in the ordinary course of business.</w:t>
      </w:r>
    </w:p>
    <w:p>
      <w:pPr>
        <w:spacing w:after="0" w:line="1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Company’s product sales reserves totaled $19.2 million and $16.6 million as of March 31, 2024 and December 31, 2023, respectively. These amounts are included in accrued expenses on the Company’s unaudited condensed consolidated balance sheets.</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months ended March 31, 2024 and 2023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0" w:type="dxa"/>
            <w:vAlign w:val="bottom"/>
          </w:tcPr>
          <w:p>
            <w:pPr>
              <w:spacing w:after="0"/>
              <w:rPr>
                <w:sz w:val="13"/>
                <w:szCs w:val="13"/>
                <w:color w:val="auto"/>
              </w:rPr>
            </w:pPr>
          </w:p>
        </w:tc>
        <w:tc>
          <w:tcPr>
            <w:tcW w:w="16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260" w:type="dxa"/>
            <w:vAlign w:val="bottom"/>
            <w:shd w:val="clear" w:color="auto" w:fill="CCEEFF"/>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tcBorders>
              <w:right w:val="single" w:sz="8" w:color="CCEEFF"/>
            </w:tcBorders>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FF0FC"/>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2,053</w:t>
            </w:r>
          </w:p>
        </w:tc>
        <w:tc>
          <w:tcPr>
            <w:tcW w:w="180" w:type="dxa"/>
            <w:vAlign w:val="bottom"/>
            <w:tcBorders>
              <w:right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9,575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26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right w:val="single" w:sz="8" w:color="CCEEFF"/>
            </w:tcBorders>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(9,724 )</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(9,906 )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(21,489 )</w:t>
            </w:r>
          </w:p>
        </w:tc>
        <w:tc>
          <w:tcPr>
            <w:tcW w:w="0" w:type="dxa"/>
            <w:vAlign w:val="bottom"/>
          </w:tcPr>
          <w:p>
            <w:pPr>
              <w:spacing w:after="0"/>
              <w:rPr>
                <w:sz w:val="1"/>
                <w:szCs w:val="1"/>
                <w:color w:val="auto"/>
              </w:rPr>
            </w:pPr>
          </w:p>
        </w:tc>
      </w:tr>
      <w:tr>
        <w:trPr>
          <w:trHeight w:val="317"/>
        </w:trPr>
        <w:tc>
          <w:tcPr>
            <w:tcW w:w="4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2024</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5,671</w:t>
            </w:r>
          </w:p>
        </w:tc>
        <w:tc>
          <w:tcPr>
            <w:tcW w:w="140" w:type="dxa"/>
            <w:vAlign w:val="bottom"/>
            <w:tcBorders>
              <w:bottom w:val="single" w:sz="8" w:color="CFF0FC"/>
              <w:right w:val="single" w:sz="8" w:color="CCEEFF"/>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1,453</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20" w:type="dxa"/>
            <w:vAlign w:val="bottom"/>
          </w:tcPr>
          <w:p>
            <w:pPr>
              <w:spacing w:after="0"/>
              <w:rPr>
                <w:sz w:val="24"/>
                <w:szCs w:val="24"/>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spacing w:after="0"/>
              <w:rPr>
                <w:sz w:val="24"/>
                <w:szCs w:val="2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4"/>
                <w:szCs w:val="2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FF0FC"/>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24"/>
                <w:szCs w:val="2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right w:val="single" w:sz="8" w:color="CCEEFF"/>
            </w:tcBorders>
            <w:shd w:val="clear" w:color="auto" w:fill="CFF0FC"/>
          </w:tcPr>
          <w:p>
            <w:pPr>
              <w:spacing w:after="0"/>
              <w:rPr>
                <w:sz w:val="24"/>
                <w:szCs w:val="24"/>
                <w:color w:val="auto"/>
              </w:rPr>
            </w:pPr>
          </w:p>
        </w:tc>
        <w:tc>
          <w:tcPr>
            <w:tcW w:w="180" w:type="dxa"/>
            <w:vAlign w:val="bottom"/>
            <w:tcBorders>
              <w:right w:val="single" w:sz="8" w:color="CFF0FC"/>
            </w:tcBorders>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(249 )</w:t>
            </w:r>
          </w:p>
        </w:tc>
        <w:tc>
          <w:tcPr>
            <w:tcW w:w="18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89"/>
        </w:trPr>
        <w:tc>
          <w:tcPr>
            <w:tcW w:w="4220" w:type="dxa"/>
            <w:vAlign w:val="bottom"/>
            <w:shd w:val="clear" w:color="auto" w:fill="CCEEFF"/>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80" w:type="dxa"/>
            <w:vAlign w:val="bottom"/>
            <w:gridSpan w:val="2"/>
            <w:vMerge w:val="continue"/>
            <w:shd w:val="clear" w:color="auto" w:fill="CFF0FC"/>
          </w:tcPr>
          <w:p>
            <w:pPr>
              <w:spacing w:after="0"/>
              <w:rPr>
                <w:sz w:val="7"/>
                <w:szCs w:val="7"/>
                <w:color w:val="auto"/>
              </w:rPr>
            </w:pPr>
          </w:p>
        </w:tc>
        <w:tc>
          <w:tcPr>
            <w:tcW w:w="220" w:type="dxa"/>
            <w:vAlign w:val="bottom"/>
            <w:tcBorders>
              <w:right w:val="single" w:sz="8" w:color="CCEEFF"/>
            </w:tcBorders>
            <w:gridSpan w:val="2"/>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40" w:type="dxa"/>
            <w:vAlign w:val="bottom"/>
            <w:tcBorders>
              <w:right w:val="single" w:sz="8" w:color="CFF0FC"/>
            </w:tcBorders>
            <w:gridSpan w:val="2"/>
            <w:vMerge w:val="continue"/>
            <w:shd w:val="clear" w:color="auto" w:fill="CFF0FC"/>
          </w:tcPr>
          <w:p>
            <w:pPr>
              <w:spacing w:after="0"/>
              <w:rPr>
                <w:sz w:val="7"/>
                <w:szCs w:val="7"/>
                <w:color w:val="auto"/>
              </w:rPr>
            </w:pPr>
          </w:p>
        </w:tc>
        <w:tc>
          <w:tcPr>
            <w:tcW w:w="180" w:type="dxa"/>
            <w:vAlign w:val="bottom"/>
            <w:tcBorders>
              <w:right w:val="single" w:sz="8" w:color="CFF0FC"/>
            </w:tcBorders>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(1,823 )</w:t>
            </w:r>
          </w:p>
        </w:tc>
        <w:tc>
          <w:tcPr>
            <w:tcW w:w="0" w:type="dxa"/>
            <w:vAlign w:val="bottom"/>
          </w:tcPr>
          <w:p>
            <w:pPr>
              <w:spacing w:after="0"/>
              <w:rPr>
                <w:sz w:val="1"/>
                <w:szCs w:val="1"/>
                <w:color w:val="auto"/>
              </w:rPr>
            </w:pPr>
          </w:p>
        </w:tc>
      </w:tr>
      <w:tr>
        <w:trPr>
          <w:trHeight w:val="317"/>
        </w:trPr>
        <w:tc>
          <w:tcPr>
            <w:tcW w:w="4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2023</w:t>
            </w: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bottom w:val="single" w:sz="8" w:color="CFF0FC"/>
              <w:right w:val="single" w:sz="8" w:color="CCEEFF"/>
            </w:tcBorders>
            <w:shd w:val="clear" w:color="auto" w:fill="CFF0FC"/>
          </w:tcPr>
          <w:p>
            <w:pPr>
              <w:spacing w:after="0"/>
              <w:rPr>
                <w:sz w:val="24"/>
                <w:szCs w:val="24"/>
                <w:color w:val="auto"/>
              </w:rPr>
            </w:pPr>
          </w:p>
        </w:tc>
        <w:tc>
          <w:tcPr>
            <w:tcW w:w="180" w:type="dxa"/>
            <w:vAlign w:val="bottom"/>
            <w:tcBorders>
              <w:bottom w:val="single" w:sz="8" w:color="CCEEFF"/>
              <w:right w:val="single" w:sz="8" w:color="CFF0FC"/>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-1309370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-1292225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-1309370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-1292225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-1309370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-1292225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of more of total gross product revenues and/or 10% or more of total product sales receivable consisted of the following:</w:t>
      </w:r>
    </w:p>
    <w:p>
      <w:pPr>
        <w:spacing w:after="0" w:line="170" w:lineRule="exact"/>
        <w:rPr>
          <w:sz w:val="20"/>
          <w:szCs w:val="20"/>
          <w:color w:val="auto"/>
        </w:rPr>
      </w:pPr>
    </w:p>
    <w:p>
      <w:pPr>
        <w:jc w:val="center"/>
        <w:ind w:left="3100"/>
        <w:spacing w:after="0"/>
        <w:rPr>
          <w:sz w:val="20"/>
          <w:szCs w:val="20"/>
          <w:color w:val="auto"/>
        </w:rPr>
      </w:pPr>
      <w:r>
        <w:rPr>
          <w:rFonts w:ascii="Times New Roman" w:cs="Times New Roman" w:eastAsia="Times New Roman" w:hAnsi="Times New Roman"/>
          <w:sz w:val="14"/>
          <w:szCs w:val="14"/>
          <w:b w:val="1"/>
          <w:bCs w:val="1"/>
          <w:color w:val="auto"/>
        </w:rPr>
        <w:t>Percent of Total Gross Product</w:t>
      </w:r>
    </w:p>
    <w:p>
      <w:pPr>
        <w:spacing w:after="0" w:line="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8" w:lineRule="exact"/>
        <w:rPr>
          <w:sz w:val="20"/>
          <w:szCs w:val="20"/>
          <w:color w:val="auto"/>
        </w:rPr>
      </w:pPr>
    </w:p>
    <w:tbl>
      <w:tblPr>
        <w:tblLayout w:type="fixed"/>
        <w:tblInd w:w="282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24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March31,</w:t>
            </w:r>
          </w:p>
        </w:tc>
      </w:tr>
      <w:tr>
        <w:trPr>
          <w:trHeight w:val="169"/>
        </w:trPr>
        <w:tc>
          <w:tcPr>
            <w:tcW w:w="3160" w:type="dxa"/>
            <w:vAlign w:val="bottom"/>
          </w:tcPr>
          <w:p>
            <w:pPr>
              <w:spacing w:after="0"/>
              <w:rPr>
                <w:sz w:val="14"/>
                <w:szCs w:val="14"/>
                <w:color w:val="auto"/>
              </w:rPr>
            </w:pPr>
          </w:p>
        </w:tc>
        <w:tc>
          <w:tcPr>
            <w:tcW w:w="72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A</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15%</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52%</w:t>
            </w:r>
          </w:p>
        </w:tc>
      </w:tr>
      <w:tr>
        <w:trPr>
          <w:trHeight w:val="233"/>
        </w:trPr>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Customer C</w:t>
            </w:r>
          </w:p>
        </w:tc>
        <w:tc>
          <w:tcPr>
            <w:tcW w:w="72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rPr>
              <w:t>19%</w:t>
            </w: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6"/>
                <w:szCs w:val="16"/>
                <w:color w:val="auto"/>
              </w:rPr>
              <w:t>9%</w:t>
            </w:r>
          </w:p>
        </w:tc>
      </w:tr>
      <w:tr>
        <w:trPr>
          <w:trHeight w:val="252"/>
        </w:trPr>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D</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59%</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33%</w:t>
            </w:r>
          </w:p>
        </w:tc>
      </w:tr>
      <w:tr>
        <w:trPr>
          <w:trHeight w:val="472"/>
        </w:trPr>
        <w:tc>
          <w:tcPr>
            <w:tcW w:w="3160" w:type="dxa"/>
            <w:vAlign w:val="bottom"/>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169"/>
        </w:trPr>
        <w:tc>
          <w:tcPr>
            <w:tcW w:w="3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69"/>
        </w:trPr>
        <w:tc>
          <w:tcPr>
            <w:tcW w:w="3160" w:type="dxa"/>
            <w:vAlign w:val="bottom"/>
          </w:tcPr>
          <w:p>
            <w:pPr>
              <w:spacing w:after="0"/>
              <w:rPr>
                <w:sz w:val="14"/>
                <w:szCs w:val="14"/>
                <w:color w:val="auto"/>
              </w:rPr>
            </w:pPr>
          </w:p>
        </w:tc>
        <w:tc>
          <w:tcPr>
            <w:tcW w:w="72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A</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3%</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25%</w:t>
            </w:r>
          </w:p>
        </w:tc>
      </w:tr>
      <w:tr>
        <w:trPr>
          <w:trHeight w:val="220"/>
        </w:trPr>
        <w:tc>
          <w:tcPr>
            <w:tcW w:w="3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Customer C</w:t>
            </w:r>
          </w:p>
        </w:tc>
        <w:tc>
          <w:tcPr>
            <w:tcW w:w="72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rPr>
              <w:t>21%</w:t>
            </w: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6"/>
                <w:szCs w:val="16"/>
                <w:color w:val="auto"/>
              </w:rPr>
              <w:t>15%</w:t>
            </w:r>
          </w:p>
        </w:tc>
      </w:tr>
      <w:tr>
        <w:trPr>
          <w:trHeight w:val="239"/>
        </w:trPr>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D</w:t>
            </w:r>
          </w:p>
        </w:tc>
        <w:tc>
          <w:tcPr>
            <w:tcW w:w="720" w:type="dxa"/>
            <w:vAlign w:val="bottom"/>
            <w:shd w:val="clear" w:color="auto" w:fill="CFF0FC"/>
          </w:tcPr>
          <w:p>
            <w:pPr>
              <w:jc w:val="center"/>
              <w:ind w:left="343"/>
              <w:spacing w:after="0"/>
              <w:rPr>
                <w:sz w:val="20"/>
                <w:szCs w:val="20"/>
                <w:color w:val="auto"/>
              </w:rPr>
            </w:pPr>
            <w:r>
              <w:rPr>
                <w:rFonts w:ascii="Times New Roman" w:cs="Times New Roman" w:eastAsia="Times New Roman" w:hAnsi="Times New Roman"/>
                <w:sz w:val="16"/>
                <w:szCs w:val="16"/>
                <w:color w:val="auto"/>
              </w:rPr>
              <w:t>67%</w:t>
            </w:r>
          </w:p>
        </w:tc>
        <w:tc>
          <w:tcPr>
            <w:tcW w:w="1740" w:type="dxa"/>
            <w:vAlign w:val="bottom"/>
            <w:gridSpan w:val="3"/>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March 31, 2024 and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4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42,089</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shd w:val="clear" w:color="auto" w:fill="CFF0FC"/>
          </w:tcPr>
          <w:p>
            <w:pPr>
              <w:spacing w:after="0"/>
              <w:rPr>
                <w:sz w:val="20"/>
                <w:szCs w:val="20"/>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1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82,924</w:t>
            </w:r>
          </w:p>
        </w:tc>
        <w:tc>
          <w:tcPr>
            <w:tcW w:w="100" w:type="dxa"/>
            <w:vAlign w:val="bottom"/>
          </w:tcPr>
          <w:p>
            <w:pPr>
              <w:spacing w:after="0"/>
              <w:rPr>
                <w:sz w:val="20"/>
                <w:szCs w:val="20"/>
                <w:color w:val="auto"/>
              </w:rPr>
            </w:pPr>
          </w:p>
        </w:tc>
      </w:tr>
      <w:tr>
        <w:trPr>
          <w:trHeight w:val="247"/>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144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-187960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The Company's reserve for excess and obsolete inventory was $7.9 million and $9.3 million as of March 31, 2024 and December 31, 2023, respectively.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March 31, 2024 and December 31, 2023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130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96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20"/>
                <w:szCs w:val="20"/>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20"/>
                <w:szCs w:val="20"/>
                <w:color w:val="auto"/>
              </w:rPr>
            </w:pPr>
          </w:p>
        </w:tc>
      </w:tr>
      <w:tr>
        <w:trPr>
          <w:trHeight w:val="247"/>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3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prepaid expenses</w:t>
            </w:r>
          </w:p>
        </w:tc>
        <w:tc>
          <w:tcPr>
            <w:tcW w:w="1300" w:type="dxa"/>
            <w:vAlign w:val="bottom"/>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-187960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85"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16510</wp:posOffset>
            </wp:positionV>
            <wp:extent cx="11817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8"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16510</wp:posOffset>
            </wp:positionV>
            <wp:extent cx="1395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9100" w:space="720"/>
            <w:col w:w="14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Royalties receivable</w:t>
            </w: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54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20"/>
                <w:szCs w:val="20"/>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from collaboration agreement(1)</w:t>
            </w: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7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5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2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-187960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300" w:right="620" w:firstLine="52"/>
        <w:spacing w:after="0" w:line="281" w:lineRule="auto"/>
        <w:tabs>
          <w:tab w:leader="none" w:pos="5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waived the remaining reimbursement payment of $15.0 million from Sobi in connection with the decision to discontinue the cold agglutinin disease (CAD) program.</w:t>
      </w:r>
    </w:p>
    <w:p>
      <w:pPr>
        <w:spacing w:after="0" w:line="37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Liability</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development funding agreement with SFJ (the “SFJ agreement”), under which SFJ agreed to provide funding to the Company to support the development of pegcetacoplan for the treatment of patients with PNH. Pursuant to the SFJ agreement, SFJ paid the Company $60.0 million following the signing of the agreement and agreed to pay the Company up to an additional $60.0 million in the aggregate in three equal installments upon the achievement of specified development milestones with respect to the Company’s Phase 3 program for pegcetacoplan in PNH and subject to the Company having cash resources at the time sufficient to fund at least 10 months of the Company’s operations.</w:t>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June 2019 the Company amended the SFJ agreement to include an additional $20.0 million funding payment. SFJ paid the Company $80.0 million under the amended SFJ agreement between June 2019 and January 2020.</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SFJ agreement, following regulatory approval by the FDA in May 2021 for the use of systemic pegcetacoplan as a treatment for PNH, the Company became obligated to pay SFJ an initial payment of $4.0 million and then an additional $226.0 million in the aggregate in six additional annual payments with the majority of the payments being made from the third anniversary to the sixth anniversary of regulatory approval. The Company paid SFJ the initial payment of $4.0 million in June 2021, its first annual payment of $11.5 million in May 2022 and its second annual payment of $24.5 million in May 2023. The subsequent annual payments remaining are due and payable in May of each year from 2024 through 2027.</w:t>
      </w:r>
    </w:p>
    <w:p>
      <w:pPr>
        <w:sectPr>
          <w:pgSz w:w="11900" w:h="16838" w:orient="portrait"/>
          <w:cols w:equalWidth="0" w:num="1">
            <w:col w:w="11240"/>
          </w:cols>
          <w:pgMar w:left="320" w:top="765" w:right="3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regulatory approval of systemic pegcetacoplan for the treatment of PNH by the European Medicines Agency (“EMA”) in December 2021, the Company became obligated to pay SFJ an initial payment of $5.0 million and then an additional $225.0 million in the aggregate in six additional annual payments with the majority of the payments being made from the third anniversary to the sixth anniversary of regulatory approval. The Company paid SFJ the initial payment of $5.0 million in January 2022 its first annual payment of $18.0 million in December 2022 and its second annual payment of $31.0 million in December 2023. The subsequent annual payments are due and payable in December of each year from 2024 through 2027.</w:t>
      </w:r>
    </w:p>
    <w:p>
      <w:pPr>
        <w:spacing w:after="0" w:line="18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Company has paid SFJ a total of $94.0 million as of March 31, 2024. The Company is obligated to pay SFJ $37.5 million in May 2024 and $61.3 million in December 2024.</w:t>
      </w:r>
    </w:p>
    <w:p>
      <w:pPr>
        <w:spacing w:after="0" w:line="16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Additionally,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5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From December 15, 2021 to the final annual payment due in December 2027, the development liability will be accreted from its initial carrying amount to the total payment amount using the effective interest rate method over the remaining life of the SFJ agreement. The difference between the carrying amount and the total payment amount is presented as a discount to the development liability. The accretion is recorded as interest expense in the unaudited condensed consolidated statement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development liability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Effective</w:t>
            </w:r>
          </w:p>
        </w:tc>
      </w:tr>
      <w:tr>
        <w:trPr>
          <w:trHeight w:val="225"/>
        </w:trPr>
        <w:tc>
          <w:tcPr>
            <w:tcW w:w="6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0" w:type="dxa"/>
            <w:vAlign w:val="bottom"/>
            <w:gridSpan w:val="2"/>
          </w:tcPr>
          <w:p>
            <w:pPr>
              <w:spacing w:after="0"/>
              <w:rPr>
                <w:sz w:val="19"/>
                <w:szCs w:val="19"/>
                <w:color w:val="auto"/>
              </w:rPr>
            </w:pPr>
          </w:p>
        </w:tc>
      </w:tr>
      <w:tr>
        <w:trPr>
          <w:trHeight w:val="234"/>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26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7.91 %</w:t>
            </w:r>
          </w:p>
        </w:tc>
      </w:tr>
      <w:tr>
        <w:trPr>
          <w:trHeight w:val="245"/>
        </w:trPr>
        <w:tc>
          <w:tcPr>
            <w:tcW w:w="6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Unamortized discount to development liability</w:t>
            </w:r>
          </w:p>
        </w:tc>
        <w:tc>
          <w:tcPr>
            <w:tcW w:w="16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(44,287 )</w:t>
            </w:r>
          </w:p>
        </w:tc>
        <w:tc>
          <w:tcPr>
            <w:tcW w:w="5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(50,353 )</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of development liability, net of discount</w:t>
            </w:r>
          </w:p>
        </w:tc>
        <w:tc>
          <w:tcPr>
            <w:tcW w:w="1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(77,287 )</w:t>
            </w:r>
          </w:p>
        </w:tc>
        <w:tc>
          <w:tcPr>
            <w:tcW w:w="5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(75,830 )</w:t>
            </w: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3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long-term development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244,426</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20" w:type="dxa"/>
            <w:vAlign w:val="bottom"/>
            <w:tcBorders>
              <w:top w:val="single" w:sz="8" w:color="CFF0FC"/>
            </w:tcBorders>
          </w:tcPr>
          <w:p>
            <w:pPr>
              <w:spacing w:after="0"/>
              <w:rPr>
                <w:sz w:val="20"/>
                <w:szCs w:val="20"/>
                <w:color w:val="auto"/>
              </w:rPr>
            </w:pPr>
          </w:p>
        </w:tc>
        <w:tc>
          <w:tcPr>
            <w:tcW w:w="14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interest expense of $6.1 million and $6.6 million were recorded for the accretion of the development liability.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Future minimum SFJ payments as of March 31, 2024 is as follows (in thousands):</w:t>
            </w:r>
          </w:p>
        </w:tc>
        <w:tc>
          <w:tcPr>
            <w:tcW w:w="1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156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2024 and December 31, 2023 (in thousands):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80" w:type="dxa"/>
            <w:vAlign w:val="bottom"/>
            <w:shd w:val="clear" w:color="auto" w:fill="CFF0FC"/>
          </w:tcPr>
          <w:p>
            <w:pPr>
              <w:spacing w:after="0"/>
              <w:rPr>
                <w:sz w:val="20"/>
                <w:szCs w:val="20"/>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80" w:type="dxa"/>
            <w:vAlign w:val="bottom"/>
            <w:shd w:val="clear" w:color="auto" w:fill="CFF0FC"/>
          </w:tcPr>
          <w:p>
            <w:pPr>
              <w:spacing w:after="0"/>
              <w:rPr>
                <w:sz w:val="21"/>
                <w:szCs w:val="2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101,399</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16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2019 Convertible Notes to pay the cost of the capped call transactions in September 2019 described below.</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of the 2020 Convertible Notes to pay the cost of the additional capped call transactions in May 2020 described below.</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Prior to March 15, 2026, the Convertible Notes are convertible only under the following circumstances:</w:t>
      </w:r>
    </w:p>
    <w:p>
      <w:pPr>
        <w:spacing w:after="0" w:line="117" w:lineRule="exact"/>
        <w:rPr>
          <w:sz w:val="20"/>
          <w:szCs w:val="20"/>
          <w:color w:val="auto"/>
        </w:rPr>
      </w:pPr>
    </w:p>
    <w:p>
      <w:pPr>
        <w:ind w:left="1020" w:right="480" w:hanging="504"/>
        <w:spacing w:after="0" w:line="265" w:lineRule="auto"/>
        <w:tabs>
          <w:tab w:leader="none" w:pos="1020"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212529"/>
        </w:rPr>
      </w:pPr>
    </w:p>
    <w:p>
      <w:pPr>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the five 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69" w:lineRule="exact"/>
        <w:rPr>
          <w:rFonts w:ascii="Times New Roman" w:cs="Times New Roman" w:eastAsia="Times New Roman" w:hAnsi="Times New Roman"/>
          <w:sz w:val="18"/>
          <w:szCs w:val="18"/>
          <w:color w:val="212529"/>
        </w:rPr>
      </w:pPr>
    </w:p>
    <w:p>
      <w:pPr>
        <w:ind w:left="1020" w:right="280" w:hanging="504"/>
        <w:spacing w:after="0" w:line="281" w:lineRule="auto"/>
        <w:tabs>
          <w:tab w:leader="none" w:pos="1020"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if the Company calls any or all of the Convertible Notes for redemption, at any time prior to the close of business on the second scheduled trading day immediately preceding the redemption date; or</w:t>
      </w:r>
    </w:p>
    <w:p>
      <w:pPr>
        <w:spacing w:after="0" w:line="54" w:lineRule="exact"/>
        <w:rPr>
          <w:rFonts w:ascii="Times New Roman" w:cs="Times New Roman" w:eastAsia="Times New Roman" w:hAnsi="Times New Roman"/>
          <w:sz w:val="18"/>
          <w:szCs w:val="18"/>
          <w:color w:val="212529"/>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upon the occurrence of corporate events specified in the Indenture.</w:t>
      </w:r>
    </w:p>
    <w:p>
      <w:pPr>
        <w:spacing w:after="0" w:line="2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212529"/>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7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212529"/>
        </w:rPr>
        <w:t>Prior to September 20, 2023, the Company could not redeem the Convertible Notes. From and 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12529"/>
        </w:rPr>
        <w:t>the conversion of such Notes, if converted in connection with the redemption, will be increased in certain circumstances. The Company has not called for redemption or redeemed any of the Convertible Notes as of March 31, 2024.</w:t>
      </w:r>
    </w:p>
    <w:p>
      <w:pPr>
        <w:spacing w:after="0" w:line="163"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212529"/>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12529"/>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In accordance with ASC Topic 470-20, “Debt – Debt with Conversion and Other Options,” (“ASC 470-20”) the Company accounted for the exchange as an induced conversion based on the short period of time the conversion offer was open and the substantive conversion feature offer. The Company accounted for the conversion of the debt as an inducement by expensing the fair value of the shares that were issued in excess of the original terms of the Convertible Notes.</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are convertible at the option of the holders until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held in treasury Convertible Notes in principal amount of $425.4 million which have not been cancelled.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March 31, 2024 and December 31, 2023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136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70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1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r>
      <w:tr>
        <w:trPr>
          <w:trHeight w:val="247"/>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3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(788 )</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(864 )</w:t>
            </w:r>
          </w:p>
        </w:tc>
      </w:tr>
      <w:tr>
        <w:trPr>
          <w:trHeight w:val="236"/>
        </w:trPr>
        <w:tc>
          <w:tcPr>
            <w:tcW w:w="7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360" w:type="dxa"/>
            <w:vAlign w:val="bottom"/>
            <w:tcBorders>
              <w:top w:val="single" w:sz="8" w:color="auto"/>
              <w:bottom w:val="single" w:sz="8" w:color="auto"/>
            </w:tcBorders>
          </w:tcPr>
          <w:p>
            <w:pPr>
              <w:jc w:val="right"/>
              <w:ind w:right="11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Borders>
              <w:top w:val="single" w:sz="8" w:color="CCEEFF"/>
            </w:tcBorders>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three months ended March 31, 2024 and 2023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4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tcBorders>
              <w:bottom w:val="single" w:sz="8" w:color="CCEEFF"/>
            </w:tcBorders>
            <w:gridSpan w:val="3"/>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212529"/>
              </w:rPr>
              <w:t>Future minimum payments on Convertible Notes payable as of March 31, 2024 are as follows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-2366645</wp:posOffset>
            </wp:positionV>
            <wp:extent cx="9398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-2366645</wp:posOffset>
            </wp:positionV>
            <wp:extent cx="93980"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-1711960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-1694815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color w:val="212529"/>
        </w:rPr>
        <w:t>September 11, 2019 and May 6, 2020, concurrently with the pricing of the 2019 Convertible Notes and the 2020 Convertible Notes, respectively,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agreements with the capped call counterparties to unwind a portion of the capped call transactions. The unwind transactions were settled based on the volume-weighted average price of the Company’s common stock over a 7-day averaging period beginning on and including February 27, 2024. The settlement of the unwind transactions was completed on March 8, 2024 at volume-weighted average price per share of $64.11, which resulted in cash proceeds to the Company of $98.8 million. As of March 31, 2024, the capped call transactions remaining is a notional amount corresponding to $93.9 million principal amount of Convertible Notes.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but also include some equipment leases. The Company determines if an arrangement qualifies as a lease at its inception.</w:t>
      </w:r>
    </w:p>
    <w:p>
      <w:pPr>
        <w:spacing w:after="0" w:line="12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March 31, 2024 and December 31, 2023, all leases were classified as operating leases. Additional information related to the operating lease assets and liabilities is as follows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5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2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7.25 %</w:t>
            </w: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-281940</wp:posOffset>
            </wp:positionV>
            <wp:extent cx="5702300" cy="290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2300" cy="2908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lease cost for operating lease expense was $1.5 million and $1.7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three months ended March 31, 2024 and 2023 is as follows (in thousands):</w:t>
      </w:r>
    </w:p>
    <w:p>
      <w:pPr>
        <w:spacing w:after="0" w:line="286" w:lineRule="exact"/>
        <w:rPr>
          <w:sz w:val="20"/>
          <w:szCs w:val="20"/>
          <w:color w:val="auto"/>
        </w:rPr>
      </w:pPr>
    </w:p>
    <w:p>
      <w:pPr>
        <w:ind w:left="7380"/>
        <w:spacing w:after="0"/>
        <w:tabs>
          <w:tab w:leader="none" w:pos="9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16510</wp:posOffset>
            </wp:positionV>
            <wp:extent cx="208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14" w:lineRule="exact"/>
        <w:rPr>
          <w:sz w:val="20"/>
          <w:szCs w:val="20"/>
          <w:color w:val="auto"/>
        </w:rPr>
      </w:pPr>
    </w:p>
    <w:p>
      <w:pPr>
        <w:ind w:left="1140"/>
        <w:spacing w:after="0"/>
        <w:tabs>
          <w:tab w:leader="none" w:pos="6760" w:val="left"/>
          <w:tab w:leader="none" w:pos="7840" w:val="left"/>
          <w:tab w:leader="none" w:pos="8540" w:val="left"/>
          <w:tab w:leader="none" w:pos="960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-127635</wp:posOffset>
            </wp:positionV>
            <wp:extent cx="570230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maturities of the Company’s operating lease liabilities as of March 31, 2024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(1,649 )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4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8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6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2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231,740</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231,740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231,740</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231,740</w:t>
            </w:r>
          </w:p>
        </w:tc>
        <w:tc>
          <w:tcPr>
            <w:tcW w:w="10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Pr>
          <w:p>
            <w:pPr>
              <w:spacing w:after="0"/>
              <w:rPr>
                <w:sz w:val="19"/>
                <w:szCs w:val="19"/>
                <w:color w:val="auto"/>
              </w:rPr>
            </w:pPr>
          </w:p>
        </w:tc>
      </w:tr>
      <w:tr>
        <w:trPr>
          <w:trHeight w:val="266"/>
        </w:trPr>
        <w:tc>
          <w:tcPr>
            <w:tcW w:w="2360" w:type="dxa"/>
            <w:vAlign w:val="bottom"/>
            <w:tcBorders>
              <w:bottom w:val="single" w:sz="8" w:color="CFF1FC"/>
            </w:tcBorders>
            <w:shd w:val="clear" w:color="auto" w:fill="CFF1FC"/>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Borders>
              <w:bottom w:val="single" w:sz="8" w:color="CFF1FC"/>
            </w:tcBorders>
            <w:shd w:val="clear" w:color="auto" w:fill="CFF1FC"/>
          </w:tcPr>
          <w:p>
            <w:pPr>
              <w:spacing w:after="0"/>
              <w:rPr>
                <w:sz w:val="23"/>
                <w:szCs w:val="23"/>
                <w:color w:val="auto"/>
              </w:rPr>
            </w:pPr>
          </w:p>
        </w:tc>
        <w:tc>
          <w:tcPr>
            <w:tcW w:w="26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tcBorders>
              <w:bottom w:val="single" w:sz="8" w:color="CFF1FC"/>
            </w:tcBorders>
            <w:gridSpan w:val="2"/>
            <w:shd w:val="clear" w:color="auto" w:fill="CFF1FC"/>
          </w:tcPr>
          <w:p>
            <w:pPr>
              <w:spacing w:after="0"/>
              <w:rPr>
                <w:sz w:val="23"/>
                <w:szCs w:val="23"/>
                <w:color w:val="auto"/>
              </w:rPr>
            </w:pPr>
          </w:p>
        </w:tc>
        <w:tc>
          <w:tcPr>
            <w:tcW w:w="24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1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980" w:type="dxa"/>
            <w:vAlign w:val="bottom"/>
            <w:tcBorders>
              <w:bottom w:val="single" w:sz="8" w:color="auto"/>
            </w:tcBorders>
            <w:shd w:val="clear" w:color="auto" w:fill="CFF1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1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280" w:type="dxa"/>
            <w:vAlign w:val="bottom"/>
            <w:tcBorders>
              <w:bottom w:val="single" w:sz="8" w:color="auto"/>
            </w:tcBorders>
            <w:shd w:val="clear" w:color="auto" w:fill="CFF1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Borders>
              <w:bottom w:val="single" w:sz="8" w:color="CFF1FC"/>
            </w:tcBorders>
            <w:shd w:val="clear" w:color="auto" w:fill="CFF1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-1403350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-1403350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-1403350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-1103630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-1103630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-1103630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Convertible Notes and development liability are financial instruments that are reported in the consolidated financial statements at historical cost. The Convertible Notes are Level 1 within the fair value level hierarchy as of March 31, 2024 and December 31, 2023. The fair value of the Convertible Notes was $151.7 million as of March 31, 2024 and $140.8 million as of December 31, 2023. The Convertible Notes accrue a semi-annual coupon at an annual rate of 3.5%, which was included in accrued expenses in the condensed consolidated balance sheets as of March 31, 2024 and December 31, 2023.</w:t>
      </w:r>
    </w:p>
    <w:p>
      <w:pPr>
        <w:spacing w:after="0" w:line="18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fair value of the development liability was $316.9 million and $306.9 million as of March 31, 2024 and December 31, 2023, respectively. The development liability is Level 2 within the fair value hierarchy based on the discounting of fixed cash flows using an observed bond yield for borrowers with similar credit rating.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$0.2 million and $0.3 million of income tax expense, respectively, primarily pertaining to state and foreign income taxes.</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income tax provision during interim periods is computed by applying an estimated annual effective tax rate to year-to-date pre-tax income, plus adjustments for significant unusual or infrequently occurring items, in accordance with FASB ASC Topic 740-270, Income Taxes – Interim Reporting. The income tax provision differs from the U.S. federal statutory rate of 21% primarily due to the effect of valuation allowance against the Company’s net deferred tax assets, which reduces the Company’s net tax benefit.</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for the period ended March 31, 2024.</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positions for the period ended March 31, 2024. If such unrecognized tax benefits were realized, the entire amount would impact the tax provision. Our policy is to review and update unrecognized tax positions as facts and circumstances change.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have agreed to collaborate to develop Licensed Products for the treatment of PNH, CAD, HSCT-TMA, C3G, IC-MPGN and ALS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have formed several governance committees to oversee the development and manufacture, and to review and discuss the commercialization, of Licensed Products. The Company and SOBI discontinued the development programs in ALS and CAD.</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between the parties. The Sobi collaboration agreement grants Sobi the right to perform or have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performed drug product manufacturing of Licensed Products for development and for commercialization outside the United States and to manufacture or have manufactured drug substance under certain circumstances.</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$65.0 million and waived payment of $15.0 million.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 and for its payment obligations to SFJ.</w:t>
      </w:r>
    </w:p>
    <w:p>
      <w:pPr>
        <w:spacing w:after="0" w:line="186"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Under the Sobi collaboration agreement, for the three months ended March 31, 2024 and 2023, the Company recognized $4.5 million and $1.6 million of royalty revenue, respectively. The Company did not recognize any contra-research and development expense for the three months ended March 31, 2024 and 2023. Since contract inception, the Company has recognized $65.0 million in contra-research and development expenses.</w:t>
      </w:r>
    </w:p>
    <w:p>
      <w:pPr>
        <w:spacing w:after="0" w:line="17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recorded $15.0 million in current assets, which represented the receivable for contra-research and development expenses incurred but not yet reimbursed from Sobi. In January 2024, the Company waived the remaining reimbursement payment of $15.0 million in connection with the decision to discontinue the CAD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8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has incurred an aggregate royalty expense of $13.4 million on sales of SYFOVRE.</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has incurred an aggregate royalty expense of $9.5 million on sales of EMPAVELI and Aspaveli.</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2021, the Company entered into an exclusive five-year research collaboration (the “Beam collaboration agreement”)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Beam collaboration agreement, the Company is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Beam collaboration agreement and upon such election any license agreement in place at that time, would be terminated.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the Beam collaboration agreement, the Company agreed to pay a $50.0 million up-front, non-refundable payment to Beam, which the Company paid in July 2021. The Company paid an additional $25.0 million on the first anniversary of the Beam collaboration agreement in June 2022. The Company and Beam are each responsible for their own costs during the research collaboration. If and after the opt-in license rights are exercised for each of the up to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analyzed the Beam collaboration agreement pursuant to ASC 808 to assess whether the agreement involved joint operating activities performed by parties that are both active participants in the activities and exposed to significant risks and rewards dependent on the commercial success of such activities. Since each party is actively participating in this activity and exposed to significant risks and rewards related to the activity through each party’s costs will be accounted for under ASC 808.</w:t>
      </w:r>
    </w:p>
    <w:p>
      <w:pPr>
        <w:spacing w:after="0" w:line="13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Since ASC 808 does not provide recognition guidance, the Company referred to the guidance under FASB ASC Topic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 to arrangements involving payments by the Company. ASC 730 requires the Company to recognize research and developments costs as expense as incurred since the payment was made for the use of Beam’s intellectual property and research and development services and there is no alternative 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and drug product, with Bachem Americas, Inc., under which the Company has agreed to purchase a significant portion of its requirements for the pegcetacoplan drug substance over the initial term of the agreement, which continues until December 31, 2025, and a commercial supply agreement with NOF Corporation, under which the Company has agreed to purchase activated polyethylene glycol derivative, or PEG, which is a component of pegcetacoplan. Under these agreements, as of March 31, 2024, the Company is obligated to pay up to $70.7 million to these vendors. In addition, the Company has other non-cancelable purchase agreements as of March 31, 2024, under which it is obligated to pay up to $19.7 million to vendors.</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w:t>
      </w:r>
    </w:p>
    <w:p>
      <w:pPr>
        <w:spacing w:after="0" w:line="18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 The Court has not yet ruled on this motion.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 matter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 litigation.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Basic and diluted net loss per share is calculated based upon the weighted average number of shares of common stock outstanding during the period. Shares of the Company’s common stock underlying pre-funded warrants are included in the calculation of basic and diluted earnings per share. Since the Company was in a loss position for all periods presented, basic net loss per common share is the same as diluted net loss per common share for all periods presented as the inclusion of all potential common shares outstanding would have been anti-dilutive. Convertible notes and shares outstanding presented below were excluded from the calculation of diluted net loss per share, prior to the use of the treasury stock method, as their effect is anti-dilutive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8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5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56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5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-1095375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-1095375</wp:posOffset>
            </wp:positionV>
            <wp:extent cx="425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2023 included in our Annual Report on Form 10-K filed with the Securities and Exchange Commission on February 27, 2024, [, as amended by Amendment No. 1 thereto filed with the Securities and Exchange Commission on February 29, 2024,] which we refer to as the 2023 Annual Report on Form 10-K</w:t>
      </w:r>
    </w:p>
    <w:p>
      <w:pPr>
        <w:spacing w:after="0" w:line="33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2023 Annual Report on Form 10-K for important factors that we believe could cause actual results to differ materially from those in our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spacing w:after="0" w:line="18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2023, the U.S. Food and Drug Administration, or the FDA, approved SYFOVRE® (pegcetacoplan injection), the first approved treatment for geographic atrophy secondary to age-related macular degeneration, or GA. We believe SYFOVRE has the potential to be a best-in-class treatment for patients with GA, a disease that affects more than one million people in the United States and five million people worldwide. We launched SYFOVRE in the United States in March 2023. For the three months ended March 31, 2024 and 2023 we generated $137.5 million and $18.4 million, respectively, in U.S. net product revenue from sales of SYFOVRE.</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marketing authorization application, or MAA, to the European Medicines Agency, or EMA, for intravitreal pegcetacoplan for the treatment of GA is under review. In April 2024, the EMA reset the MAA review to day 180, the last phase of the initial assessment, and we now anticipate an opinion from the Committee for Medicinal Products for Human Use, or CHMP, no later than July 2024. The EMA’s decision was strictly procedural and in response to a judgment by the Court of Justice of the European Union regarding the organization of the EMA’s expert groups, and was not related to the pegcetacoplan data package. We have submitted marketing applications to regulatory authorities in Canada, Australia, the United Kingdom, and Switzerland for SYFOVRE for the treatment of GA, which are each under review by the applicable regulatory authorities. We have exclusive, worldwide commercialization rights for intravitreal pegcetacoplan.</w:t>
      </w:r>
    </w:p>
    <w:p>
      <w:pPr>
        <w:spacing w:after="0" w:line="18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212121"/>
        </w:rPr>
        <w:t xml:space="preserve">As of March 31, 2024, </w:t>
      </w:r>
      <w:r>
        <w:rPr>
          <w:rFonts w:ascii="Times New Roman" w:cs="Times New Roman" w:eastAsia="Times New Roman" w:hAnsi="Times New Roman"/>
          <w:sz w:val="18"/>
          <w:szCs w:val="18"/>
          <w:color w:val="000000"/>
        </w:rPr>
        <w:t>we estimate that the rate of incidence of retinal vasculitis following SYFOVRE treatment remains rare at approximately 0.01% per</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injection. We believe that the events of retinal vasculitis predominantly occur in the first injection of SYFOVRE, with an estimated rate at first injection at approximately 1 in 4,000.</w:t>
      </w:r>
    </w:p>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On October 1, 2023, the U.S. Centers for Medicare &amp; Medicaid Services assigned a permanent and product-specific J-code for SYFOVRE, which became effective on the same day. J-codes are permanent reimbursement codes used by government payers and commercial insurers to facilitate billing of Medicare Part B treatments, which must be administered by a healthcare professional.</w:t>
      </w:r>
    </w:p>
    <w:p>
      <w:pPr>
        <w:spacing w:after="0" w:line="17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In May 2021, the FDA approved EMPAVELI (systemic pegcetacoplan), the first targeted C3 therapy, for the treatment of paroxysmal nocturnal hemoglobinuria, or PNH, for use in adults who are either treatment-naïve or who are switching from C5 inhibitors eculizumab or ravulizumab. For the three months ended March 31, 2024 and 2023, we generated $25.6 million and $20.4 million, respectively, in U.S. net product revenue from sales of EMPAVELI.</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Systemic pegcetacoplan has been approved for the treatment of adults with PNH in the European Union, Japan, Saudi Arabia, Australia, the United Kingdom and other jurisdictions. It is currently marketed under the trade name EMPAVELI in Saudi Arabia and Australia and Aspaveli in the European Union, Japan and United Kingdom. Under our collaboration and license agreement, or the Sobi collaboration agreement, with Swedish Orphan Biovitrum AB (Publ), or Sobi, Sobi has global co-development and exclusive ex-U.S. commercialization rights for systemic pegcetacoplan outside of the United States, and we have commercialization rights for systemic pegcetacoplan in the United States.</w:t>
      </w:r>
    </w:p>
    <w:p>
      <w:pPr>
        <w:spacing w:after="0" w:line="18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We are leading the development of systemic pegcetacoplan in C3 glomerulopathy, or C3G, and primary immune complex membranoproliferative glomerulonephritis, or primary IC-MPGN, in nephrology under our collaboration with Sobi. We plan to report top-line data from the ongoing Phase 3 VALIANT trial investigating systemic pegcetacoplan in adolescent and adult patients with native and post-transplant recurrence IC-MPGN and C3G in mid-2024. Under our collaboration with Sobi, Sobi is leading the development of systemic pegcetacoplan for hematopoietic stem cell transplantation-associated thrombotic microangiopathy, or HSCT-TMA, in hematology. We are also evaluating the administration of systemic pegcetacoplan as a novel approach to enabling xenotransplantation procedures and adeno associated virus, or AAV, vector administration for gene therapies.</w:t>
      </w:r>
    </w:p>
    <w:p>
      <w:pPr>
        <w:spacing w:after="0" w:line="17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In January 2024, together with Sobi, we discontinued the CASCADE Phase 3 trial evaluating systemic pegcetacoplan in patients with cold agglutinin disease, or CAD, due to the decreased medical need in CAD and the limited number of patients eligible for the CASCADE trial.</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developing additional product candidates with other routes of administration. These candidates include APL-3007, a small interfering RNA, or siRNA, which is in a Phase 1 clinical trial in healthy volunteers, for which we expect to report topline data later this year,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$1.9 billion in net proceeds from public offerings of our common</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stock and pre-funded warrants to purchase common stock, $535.8 million in net proceeds from offerings of Convertible Notes, a $250.0 million up-front payment and $65.0 million development reimbursement payments from Sobi pursuant to the Sobi collaboration agreement, $112.6 million in proceeds from the private placement of shares of our convertible preferred stock prior to our initial public offering, or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and converted $0.7 million of aggregate principal amount of our Convertible Notes for shares of our common stock.</w:t>
      </w:r>
    </w:p>
    <w:p>
      <w:pPr>
        <w:spacing w:after="0" w:line="1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and we expect to continue to incur net operating losses for at least this year. Our net losses were $66.4 million and $177.8 million for the three months ended March 31, 2024 and 2023, respectively. As of March 31, 2024, we had an accumulated deficit of $2.9 billion.</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28, 2019, we entered into a development funding agreement, which we refer to as the SFJ agreement, with SFJ Pharmaceuticals Group, or SFJ, under which SFJ agreed to provide funding to us to support the development of systemic pegcetacoplan for the treatment of patients with PNH. Pursuant to the agreement, SFJ paid us $60.0 million following the signing of the agreement and agreed to pay us up to an additional $60.0 million in the aggregate in three equal installments upon the achievement of specified development milestones with respect to our Phase 3 program for pegcetacoplan in PNH and subject to our having cash resources at the time sufficient to fund at least 10 months of our operations.</w:t>
      </w:r>
    </w:p>
    <w:p>
      <w:pPr>
        <w:spacing w:after="0" w:line="182"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In June 2019 we amended the SFJ agreement to include an additional $20 million funding payment. SFJ paid us $80.0 million under the amended SFJ agreement between June 2019 and January 2020.</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SFJ agreement, following regulatory approvals by the FDA and the European Commission, or the EC, for the use of systemic pegcetacoplan as a treatment for PNH, we paid SFJ $4.0 million in 2021 in connection with the FDA approval in May 2021 and $5.0 million in January 2022 in connection with the EC approval in December 2021. In addition, we paid $11.5 million in connection with the one-year anniversary of the FDA approval in May 2022 and $18.0 million in connection with the one-year anniversary of the EC approval in December 2022 and $24.5 million in connection with the two-year anniversary of FDA approval in May 2023 and $31.0 million in connection with the two-year anniversary of EC approval in December 2023. We are obligated to pay SFJ $366.0 million in additional payments due on each anniversary of FDA and EC regulatory approval through 2027 with $37.5 million due in May 2024 and $61.3 million due in December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8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 we issued convertible notes, or the 2020 Convertible Notes, with an aggregate principal amount of $300.0 million. The net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332" w:lineRule="exact"/>
        <w:rPr>
          <w:sz w:val="20"/>
          <w:szCs w:val="20"/>
          <w:color w:val="auto"/>
        </w:rPr>
      </w:pPr>
    </w:p>
    <w:p>
      <w:pPr>
        <w:ind w:left="1020" w:right="60" w:hanging="504"/>
        <w:spacing w:after="0" w:line="265" w:lineRule="auto"/>
        <w:tabs>
          <w:tab w:leader="none" w:pos="1020" w:val="left"/>
        </w:tabs>
        <w:numPr>
          <w:ilvl w:val="0"/>
          <w:numId w:val="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212529"/>
        </w:rPr>
      </w:pPr>
    </w:p>
    <w:p>
      <w:pPr>
        <w:ind w:left="1020" w:hanging="504"/>
        <w:spacing w:after="0" w:line="26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left="1020" w:right="200" w:hanging="504"/>
        <w:spacing w:after="0" w:line="281"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 upon the occurrence of corporate events specified in the Indenture.</w:t>
      </w:r>
    </w:p>
    <w:p>
      <w:pPr>
        <w:spacing w:after="0" w:line="163"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March 31, 2024.</w:t>
      </w:r>
    </w:p>
    <w:p>
      <w:pPr>
        <w:spacing w:after="0" w:line="18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 of the principal amount of the notes to be repurchased, plus any accrued and unpaid interest to, but excluding, the fundamental change repurchase date.</w:t>
      </w:r>
    </w:p>
    <w:p>
      <w:pPr>
        <w:spacing w:after="0" w:line="1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the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FASB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are convertible at the option of the holders until March 31, 2024. No Convertible Notes were converted during this period.</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are convertible at the option of the holders until June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held in treasury Convertible Notes in principal amount of $425.4 million which notes had not been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which would be payable following the first regulatory and reimbursement approval of systemic pegcetacoplan in any major European country, and to reimburse us for up to $80.0 million in development costs. In January 2021 we received a $25.0 million development reimbursement payment from Sobi and in January 2022 and 2023, we received a $20.0 million development reimbursement payment from Sobi. In January 2024, we waived the remaining reimbursement payment of $15.0 million in connection with the decision to discontinue the CAD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May 2023, we and Sobi announced that the Phase 2 MERIDIAN study evaluating systemic pegcetacoplan for amyotrophic lateral sclerosis, or ALS, did not meet its primary or key secondary endpoints. Based on this lack of efficacy, we and Sobi discontinued development of systemic pegcetacoplan for ALS.</w:t>
      </w:r>
    </w:p>
    <w:p>
      <w:pPr>
        <w:spacing w:after="0" w:line="13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EC approved systemic Aspaveli (pegcetacoplan) for the treatment of adults with PNH in December 2021. In March 2022, we earned a $50.0 million payment from Sobi related to the first regulatory and reimbursement milestone in Europe, which we received in April 2022.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 and for our payment obligations to SFJ.</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agreement with Sobi.</w:t>
      </w:r>
    </w:p>
    <w:p>
      <w:pPr>
        <w:spacing w:after="0" w:line="18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18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costs associated with revenue from our collaboration agreement with Sobi, royalties owed to our licensor for such sales, and certain period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8"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5" w:lineRule="exact"/>
        <w:rPr>
          <w:sz w:val="20"/>
          <w:szCs w:val="20"/>
          <w:color w:val="auto"/>
        </w:rPr>
      </w:pPr>
    </w:p>
    <w:p>
      <w:pPr>
        <w:ind w:left="1020" w:right="34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4"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related goods are delivered or the services are performed. We have not provided program costs since inception because historically we have not tracked or recorded our research and development expenses on a program-by-program basis from inception</w:t>
      </w:r>
    </w:p>
    <w:p>
      <w:pPr>
        <w:spacing w:after="0" w:line="1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9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facility costs not otherwise included in research and development expenses, legal fees relating to patent and corporate matters, and fees for accounting and consulting services.</w:t>
      </w:r>
    </w:p>
    <w:p>
      <w:pPr>
        <w:spacing w:after="0" w:line="18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commercial activities for our approved products, potential commercialization of our product candidates and costs of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licensing revenue, costs of research collaboration arrangements, inventory, accrued research and development expenses, convertible notes, capped call transactions and the development derivative and development liability, which we described in our 2023 Annual Report on Form 10-K.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Part I, Item 1 of this Quarterly Report on Form 10-Q and in Part I, Item 7, “Critical Accounting Estimates” in our 2023 Annual Report on Form 10-K. There have been no changes to our critical accounting policies and estimates since our 2023 Annual Report on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and 2023 (in thousands, except percentages)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7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163,075</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124,275</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2"/>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127,479</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(25,326 )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129,505</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27,412</w:t>
            </w:r>
          </w:p>
        </w:tc>
        <w:tc>
          <w:tcPr>
            <w:tcW w:w="200" w:type="dxa"/>
            <w:vAlign w:val="bottom"/>
          </w:tcPr>
          <w:p>
            <w:pPr>
              <w:spacing w:after="0"/>
              <w:rPr>
                <w:sz w:val="22"/>
                <w:szCs w:val="22"/>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234,415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219,929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(62,090 )</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(175,083 )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112,993</w:t>
            </w: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(6,967 )</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(7,529 )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(expense)/income, net</w:t>
            </w:r>
          </w:p>
        </w:tc>
        <w:tc>
          <w:tcPr>
            <w:tcW w:w="2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(499 )</w:t>
            </w:r>
          </w:p>
        </w:tc>
        <w:tc>
          <w:tcPr>
            <w:tcW w:w="26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(277 )</w:t>
            </w: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line="20" w:lineRule="exact"/>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(66,253 )</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(177,496 )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2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(66,423 )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(177,778 )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111,355</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-1600835</wp:posOffset>
            </wp:positionV>
            <wp:extent cx="677291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-967105</wp:posOffset>
            </wp:positionV>
            <wp:extent cx="677291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-2225675</wp:posOffset>
            </wp:positionV>
            <wp:extent cx="677291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-1283970</wp:posOffset>
            </wp:positionV>
            <wp:extent cx="677291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-658495</wp:posOffset>
            </wp:positionV>
            <wp:extent cx="677291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-341630</wp:posOffset>
            </wp:positionV>
            <wp:extent cx="677291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291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 revenue, net is derived from EMPAVELI sales in the United States which was launched in May 2021 and SYFOVRE sales in the United States which was launched in March 2023. We recognized $163.1 million and $38.8 million of net product revenue for the three months ended March 31, 2024 and 2023, respectively. The net product revenue of $163.1 million for the three months ended March 31, 2024, consists of $25.6 million in net product revenue from sales of EMPAVELI and $137.5 million in net product revenue from sales of SYFOVRE. The net product revenue of $38.8 million for the three months ended March 31, 2023, consists of $20.4 million in net product revenue from sales of EMPAVELI and $18.4 million in net product revenue from sales of SYFOVRE.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Licensing and other revenue of $9.3 million for the three months ended March 31, 2024 consisted of $4.8 million in revenue from product supplied to Sobi and $4.5 million in royalty revenue from Sobi. Licensing and other revenue of $6.0 million for the three months ended March 31, 2023 consisted of $4.5 million in revenue from product supplied to Sobi and $1.6 million in royalty revenue from Sobi.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Cost of sales was $20.2 million for the three months ended March 31, 2024 and $7.8 million for the three months ended March 31, 2023. The increase in cost of sales was primarily driven by a $1.9 million increase due to higher volume from commercial sales and product provided under our patient assistance programs, a $4.7 million increase in royalty expense, and a $5.4 million increase in expenses incurred related to excess or obsolete inventory.</w:t>
      </w:r>
    </w:p>
    <w:p>
      <w:pPr>
        <w:spacing w:after="0" w:line="17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three months ended March 31, 2024 and 2023. We expect this may continue to impact the cost of sales as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remaining pre-FDA approval inventory is sold to customers. As of March 31, 2024, the remaining pre-FDA approved inventory was $19.4 million, which primarily consisted of raw materials.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2024 and 2023 (in thousands, except percentages):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612 %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(5,173 )</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line="20" w:lineRule="exact"/>
              <w:rPr>
                <w:sz w:val="1"/>
                <w:szCs w:val="1"/>
                <w:color w:val="auto"/>
              </w:rPr>
            </w:pPr>
          </w:p>
        </w:tc>
      </w:tr>
      <w:tr>
        <w:trPr>
          <w:trHeight w:val="232"/>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(2,593 )</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(17,509 )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(17,560 )</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(25,326 )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4"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$25.3 million to $84.7 million for the three months ended March 31, 2024 from $110.0 million for the three months ended March 31, 2023, a decrease of 23%. The decrease in research and development expenses was primarily attributable to a $5.2 million decrease in program specific external costs, a $2.6 million decrease in non-program specific external costs, and a $17.5 million decrease in compensation and related personnel costs.</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decrease in our program-specific external costs of $5.2 million was driven by a $5.6 million decrease in GA costs which largely reflects the impact of the approval of SYFOVRE in February 2023, a $6.0 million decrease in ALS costs due to the discontinuation of the Phase 2 MERIDIAN study, and a $6.5 million decrease in other development and discovery program costs. These decreases were partially offset by a $15.0 million one-time expense related to the discontinuation of the CAD program.</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$15.8 million decrease in salaries and benefits due to lower headcount compared to the prior year and a $1.7 million decrease in stock compensation expense associated with the grant of stock options and restricted stock units to employees. Lower headcount was driven by the reclassification of certain employee costs to selling, general and administrative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$27.4 million to $129.5 million for the three months ended March 31, 2024, from $102.1 million for the three months ended March 31, 2023, an increase of 27%. The increase was primarily attributable to an increase in personnel related costs of $7.4 million, an increase in professional and consulting fees and general commercial preparation activities of $17.7 million and higher office costs of $2.7 million, which were partially offset by a decrease of $0.2 million in travel expenses and a decrease of $0.2 million in insurance expenses. The increase in personnel related costs of $7.4 million consisted of a $4.4 million increase in salaries and benefits and an increase of $3.3 million related to stock compensation expense associated with the grant of stock options and restricted stock units to employees, partially offset by a decrease of $0.3 million in recruiting expenses. The increase in other professional and consulting fees and general commercial preparation activities of $17.7 million consisted primarily of higher commercialization related activity of $18.0 million primarily due to the commercial launch of SYFOVRE in March 2023, partially offset by a decrease in general professional fees of $0.3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ectPr>
          <w:pgSz w:w="11900" w:h="16838" w:orient="portrait"/>
          <w:cols w:equalWidth="0" w:num="1">
            <w:col w:w="11340"/>
          </w:cols>
          <w:pgMar w:left="320" w:top="765" w:right="2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Interest income was $3.3 million for the three months ended March 31, 2024, a decrease of $2.1 million, compared to $5.4 million for the three months ended March 31, 2023. The decrease in interest income was primarily attributable to decreased investments during the three months ended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Interest expense was $7.0 million for the three months ended March 31, 2024 and $7.5 million for the three months ended March 31, 2023. The decrease is primarily due to a decrease in the balance of the development liability</w:t>
      </w:r>
      <w:r>
        <w:rPr>
          <w:rFonts w:ascii="Calibri" w:cs="Calibri" w:eastAsia="Calibri" w:hAnsi="Calibri"/>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income/(expense), net, was $0.5 million during the three months ended March 31, 2024 and $0.3 million for the three months ended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Income tax expense was $0.2 million for the three months ended March 31, 2024, a decrease of $0.1 million, compared to $0.3 million for the three months ended March 31, 2023. The decrease primarily pertained to a decrease in state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$1.9 billion in net proceeds from public offerings of our common stock and pre-funded warrants to purchase common stock, $535.8 million in net proceeds from offerings of Convertible Notes, a $250.0 million up-front payment and a $65.0 million development reimbursement payments from Sobi pursuant to the Sobi collaboration agreement, $112.6 million in proceeds from the private placement of shares of our convertible preferred stock prior to our IPO, $140.0 million under the SFJ agreement, $20.0 million in proceeds from borrowings under a term loan facility with Silicon Valley Bank, and $7.0 million in proceeds from our issuance and sale of a promissory note. We have repaid the term loan facility and the promissory note in full, and we exchanged $425.4 million of aggregate principal amount of our Convertible Notes for shares of our common stock.</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three months ended March 31, 2024.</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w:t>
      </w:r>
    </w:p>
    <w:p>
      <w:pPr>
        <w:spacing w:after="0" w:line="1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entered into agreements with the capped call counterparties to unwind a portion of the capped call transactions on February 27, 2024. The unwind agreements applied to the portion of the capped call transactions in a notional amount corresponding to the $426.1 million principal amount of Convertible Notes that we held in treasury as of December 31, 2023 or have been previously converted. The unwind transactions was settled based on the volume-weighted average price of our common stock over a 7-day averaging period beginning on and including February 27, 2024. The settlement of the unwind transactions was completed on March 8, 2024 at volume-weighted average price per share of $64.11, which resulted in cash proceeds to us of $98.8 million. As of March 31, 2024, the capped call transactions remaining is a notional amount corresponding to $93.9 million principal amount of Convertible Notes.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our cash flows for the three months ended March 31, 2024 and 2023 (in thousands):</w:t>
      </w:r>
    </w:p>
    <w:p>
      <w:pPr>
        <w:sectPr>
          <w:pgSz w:w="11900" w:h="16838" w:orient="portrait"/>
          <w:cols w:equalWidth="0" w:num="1">
            <w:col w:w="11140"/>
          </w:cols>
          <w:pgMar w:left="320" w:top="7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36"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cash equivalents and restricted cash</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(decrease) increase in cash,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290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91735" cy="29083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equivalents and restricted cash</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6522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(132,983</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28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(293 )</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43"/>
        </w:trPr>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391,106</w:t>
            </w:r>
          </w:p>
        </w:tc>
        <w:tc>
          <w:tcPr>
            <w:tcW w:w="80" w:type="dxa"/>
            <w:vAlign w:val="bottom"/>
          </w:tcPr>
          <w:p>
            <w:pPr>
              <w:spacing w:after="0"/>
              <w:rPr>
                <w:sz w:val="21"/>
                <w:szCs w:val="21"/>
                <w:color w:val="auto"/>
              </w:rPr>
            </w:pPr>
          </w:p>
        </w:tc>
      </w:tr>
      <w:tr>
        <w:trPr>
          <w:trHeight w:val="452"/>
        </w:trPr>
        <w:tc>
          <w:tcPr>
            <w:tcW w:w="28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(209 )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(25,273 )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213,283</w:t>
            </w:r>
          </w:p>
        </w:tc>
        <w:tc>
          <w:tcPr>
            <w:tcW w:w="80" w:type="dxa"/>
            <w:vAlign w:val="bottom"/>
          </w:tcPr>
          <w:p>
            <w:pPr>
              <w:spacing w:after="0"/>
              <w:rPr>
                <w:sz w:val="24"/>
                <w:szCs w:val="24"/>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6160" w:space="720"/>
            <w:col w:w="4260"/>
          </w:cols>
          <w:pgMar w:left="320" w:top="765" w:right="439" w:bottom="1440" w:gutter="0" w:footer="0" w:header="0"/>
          <w:type w:val="continuous"/>
        </w:sect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$133.0 million for the three months ended March 31, 2024 and consisted primarily of a net loss of $66.4 million adjusted for $36.9 million of non-cash items, including share-based compensation expense of $30.3 million, depreciation expense of $0.4 million and accretion of discount to the development liability of $6.1 million. Further, it included a net increase in operating assets and liabilities of $103.5 million, which was driven by increases in accounts receivable of $61.4 million, an increase in inventory of $14.9 million, an increase in prepaid assets of $4.3 million, a decrease in other current assets of $10.7 million, a decrease in accounts payable and accrued expenses of $37.1 million, and an increase in deferred revenue of $3.6 million.</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was $177.6 million for the three months ended March 31, 2023 and consisted primarily of a net loss of $177.8 million adjusted for $35.9 million of non-cash items, including share-based compensation expense of $28.8 million, depreciation expense of $0.4 million and accretion of discount to the development liability of $6.6 million. Further, it includes a net decrease in operating assets of $6.5 million, a decrease in accounts payable of $5.9 million and accrued expenses of $23.4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$0.3 million primarily due to purchases of fixed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2023 was $0.3 million primarily due to purchases of fixed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was $108.2 million during the three months ended March 31, 2024 and consisted primarily of proceeds from the settlement of capped call unwind transactions of $98.8 million and $9.5 million of proceeds from the exercise of stock options.</w:t>
      </w:r>
    </w:p>
    <w:p>
      <w:pPr>
        <w:spacing w:after="0" w:line="12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was $391.1 million during the three months ended March 31, 2023 and consisted primarily of proceeds from the follow-on common stock and pre-funded warrant offering in March 2023 of $384.4 million, $17.7 million proceeds from the exercise of stock options offset by the payments of employee tax withholding related to equity-based compensation of $11.0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2024,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short-term and long-term funding requirements are based on assumptions that may prove to be wrong, and we may need additional capital resources to fund our operating plans and capital expenditure requirements.</w:t>
      </w:r>
    </w:p>
    <w:p>
      <w:pPr>
        <w:spacing w:after="0" w:line="16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systemic pegcetacoplan and SYFOVRE and any other products for which we receive marketing approval including product sales, medical affairs, marketing, manufacturing and distribution;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Sobi;•our ability to identify additional collaborators for any of our product candidates and the terms and timing of any collaboration agreement that we may establish for the development and any commercialization of such product candidates;</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in our 2023 Annual Report on Form 10-K. See Note 13 Commitments and Contingencies in the Notes to Unaudited Condensed Consolidated Financial Statements in Part I, Item I of this Form 10-Q for a discussion of obligations and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2024, we had cash and cash equivalents of $325.9 million, consisting primarily of money market funds and U.S. Government obligations.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the Notes to Unaudited Condensed Consolidated Financial Statements in Part I, Item I of this Form 10-Q.</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2023, which could materially affect our business, financial condition or future results. The risk factors disclosure in our Annual Report on Form 10-K for the year ended December 31, 2023 is qualified by the information that is described in this Quarterly Report on Form 10-Q. The risks described in our Annual Report on Form 10–K for the year ended December 31, 2023 are not our only risks. Additional risks and uncertainties not currently known to us or that we currently deem to be immaterial also may materially adversely affect our business, financial condition or future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 Taken</w:t>
            </w: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2"/>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of</w:t>
            </w:r>
          </w:p>
        </w:tc>
        <w:tc>
          <w:tcPr>
            <w:tcW w:w="140" w:type="dxa"/>
            <w:vAlign w:val="bottom"/>
          </w:tcPr>
          <w:p>
            <w:pPr>
              <w:spacing w:after="0"/>
              <w:rPr>
                <w:sz w:val="17"/>
                <w:szCs w:val="17"/>
                <w:color w:val="auto"/>
              </w:rPr>
            </w:pPr>
          </w:p>
        </w:tc>
        <w:tc>
          <w:tcPr>
            <w:tcW w:w="21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00" w:type="dxa"/>
            <w:vAlign w:val="bottom"/>
          </w:tcPr>
          <w:p>
            <w:pPr>
              <w:spacing w:after="0"/>
              <w:rPr>
                <w:sz w:val="17"/>
                <w:szCs w:val="17"/>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Trading</w:t>
            </w:r>
          </w:p>
        </w:tc>
        <w:tc>
          <w:tcPr>
            <w:tcW w:w="140" w:type="dxa"/>
            <w:vAlign w:val="bottom"/>
          </w:tcPr>
          <w:p>
            <w:pPr>
              <w:spacing w:after="0"/>
              <w:rPr>
                <w:sz w:val="17"/>
                <w:szCs w:val="17"/>
                <w:color w:val="auto"/>
              </w:rPr>
            </w:pPr>
          </w:p>
        </w:tc>
        <w:tc>
          <w:tcPr>
            <w:tcW w:w="25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40" w:type="dxa"/>
            <w:vAlign w:val="bottom"/>
          </w:tcPr>
          <w:p>
            <w:pPr>
              <w:spacing w:after="0"/>
              <w:rPr>
                <w:sz w:val="17"/>
                <w:szCs w:val="17"/>
                <w:color w:val="auto"/>
              </w:rPr>
            </w:pPr>
          </w:p>
        </w:tc>
        <w:tc>
          <w:tcPr>
            <w:tcW w:w="144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25"/>
        </w:trPr>
        <w:tc>
          <w:tcPr>
            <w:tcW w:w="2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w:t>
            </w:r>
          </w:p>
        </w:tc>
        <w:tc>
          <w:tcPr>
            <w:tcW w:w="140" w:type="dxa"/>
            <w:vAlign w:val="bottom"/>
          </w:tcPr>
          <w:p>
            <w:pPr>
              <w:spacing w:after="0"/>
              <w:rPr>
                <w:sz w:val="19"/>
                <w:szCs w:val="19"/>
                <w:color w:val="auto"/>
              </w:rPr>
            </w:pPr>
          </w:p>
        </w:tc>
        <w:tc>
          <w:tcPr>
            <w:tcW w:w="2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00" w:type="dxa"/>
            <w:vAlign w:val="bottom"/>
          </w:tcPr>
          <w:p>
            <w:pPr>
              <w:spacing w:after="0"/>
              <w:rPr>
                <w:sz w:val="19"/>
                <w:szCs w:val="19"/>
                <w:color w:val="auto"/>
              </w:rPr>
            </w:pP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9"/>
                <w:szCs w:val="19"/>
                <w:color w:val="auto"/>
              </w:rPr>
            </w:pPr>
          </w:p>
        </w:tc>
        <w:tc>
          <w:tcPr>
            <w:tcW w:w="25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9"/>
                <w:szCs w:val="19"/>
                <w:color w:val="auto"/>
              </w:rPr>
            </w:pP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2"/>
        </w:trPr>
        <w:tc>
          <w:tcPr>
            <w:tcW w:w="2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11/28/2025, or such earlier date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Alec Machiels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2/29/2024</w:t>
            </w: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18,000 shares</w:t>
            </w:r>
          </w:p>
        </w:tc>
      </w:tr>
      <w:tr>
        <w:trPr>
          <w:trHeight w:val="202"/>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Until 2/28/2025, or such earlier date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Watson</w:t>
            </w:r>
          </w:p>
        </w:tc>
        <w:tc>
          <w:tcPr>
            <w:tcW w:w="16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Counsel</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2/29/2024</w:t>
            </w:r>
          </w:p>
        </w:tc>
        <w:tc>
          <w:tcPr>
            <w:tcW w:w="1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to 23,872 shares</w:t>
            </w:r>
          </w:p>
        </w:tc>
      </w:tr>
      <w:tr>
        <w:trPr>
          <w:trHeight w:val="21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DeLong</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2/28/2025, or such earlier date</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Business &amp; Strategy</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3/1/2024</w:t>
            </w: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24,799 shares</w:t>
            </w:r>
          </w:p>
        </w:tc>
      </w:tr>
      <w:tr>
        <w:trPr>
          <w:trHeight w:val="202"/>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Until 12/31/2024, or such earlier date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Sinclair Dunlop (1)</w:t>
            </w:r>
          </w:p>
        </w:tc>
        <w:tc>
          <w:tcPr>
            <w:tcW w:w="16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non-Rule 10b5-1 trading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Independent Director</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3/2/2024</w:t>
            </w:r>
          </w:p>
        </w:tc>
        <w:tc>
          <w:tcPr>
            <w:tcW w:w="1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to 174,000 shares</w:t>
            </w:r>
          </w:p>
        </w:tc>
      </w:tr>
      <w:tr>
        <w:trPr>
          <w:trHeight w:val="21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Cedric Francois</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5/30/2025 or such earlier date</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3/8/2024</w:t>
            </w: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592,034 shares</w:t>
            </w:r>
          </w:p>
        </w:tc>
      </w:tr>
      <w:tr>
        <w:trPr>
          <w:trHeight w:val="202"/>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Until 12/31/2024 or such earlier date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Caroline Baumal</w:t>
            </w:r>
          </w:p>
        </w:tc>
        <w:tc>
          <w:tcPr>
            <w:tcW w:w="16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3/13/2024</w:t>
            </w:r>
          </w:p>
        </w:tc>
        <w:tc>
          <w:tcPr>
            <w:tcW w:w="1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to 6,136 shares</w:t>
            </w:r>
          </w:p>
        </w:tc>
      </w:tr>
      <w:tr>
        <w:trPr>
          <w:trHeight w:val="212"/>
        </w:trPr>
        <w:tc>
          <w:tcPr>
            <w:tcW w:w="2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2/28/2025 or such earlier date</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Jeffrey R Eisele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Development Officer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3/15/2024</w:t>
            </w: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207,256 shares</w:t>
            </w: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Chopas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Corporate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Until 8/30/2024 or such earlier date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Controller and Chief</w:t>
            </w:r>
          </w:p>
        </w:tc>
        <w:tc>
          <w:tcPr>
            <w:tcW w:w="16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Officer</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3/18/2024</w:t>
            </w:r>
          </w:p>
        </w:tc>
        <w:tc>
          <w:tcPr>
            <w:tcW w:w="1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to 4,000 shares</w:t>
            </w:r>
          </w:p>
        </w:tc>
      </w:tr>
      <w:tr>
        <w:trPr>
          <w:trHeight w:val="212"/>
        </w:trPr>
        <w:tc>
          <w:tcPr>
            <w:tcW w:w="2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3/31/2025, or such earlier date</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Karen L Lewis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2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People Officer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3/19/2024</w:t>
            </w: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Up to 101,422 shares</w:t>
            </w: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Nur Nicholson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Until 11/15/2024, or such earlier date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Technical Operations</w:t>
            </w:r>
          </w:p>
        </w:tc>
        <w:tc>
          <w:tcPr>
            <w:tcW w:w="16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Rule 10b5-1 trading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3/30/2024</w:t>
            </w:r>
          </w:p>
        </w:tc>
        <w:tc>
          <w:tcPr>
            <w:tcW w:w="14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arrangement</w:t>
            </w:r>
          </w:p>
        </w:tc>
        <w:tc>
          <w:tcPr>
            <w:tcW w:w="10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completed or expire without execution</w:t>
            </w:r>
          </w:p>
        </w:tc>
        <w:tc>
          <w:tcPr>
            <w:tcW w:w="14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to 28,747 shares</w:t>
            </w:r>
          </w:p>
        </w:tc>
      </w:tr>
    </w:tbl>
    <w:p>
      <w:pPr>
        <w:spacing w:after="0" w:line="109" w:lineRule="exact"/>
        <w:rPr>
          <w:sz w:val="20"/>
          <w:szCs w:val="20"/>
          <w:color w:val="auto"/>
        </w:rPr>
      </w:pPr>
    </w:p>
    <w:p>
      <w:pPr>
        <w:ind w:left="5540" w:right="3060" w:hanging="5383"/>
        <w:spacing w:after="0" w:line="531" w:lineRule="auto"/>
        <w:tabs>
          <w:tab w:leader="none" w:pos="4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non-Rule 10b5-1 trading plan relates to Epidarex Capital I LP, an affiliated entity of the named director.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gridSpan w:val="6"/>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8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9"/>
              </w:rPr>
              <w:t>as Adopted Pursuant to Section 302 of the Sarbanes-Oxley Act of 2002.</w:t>
            </w:r>
          </w:p>
        </w:tc>
        <w:tc>
          <w:tcPr>
            <w:tcW w:w="4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3"/>
        </w:trPr>
        <w:tc>
          <w:tcPr>
            <w:tcW w:w="1260" w:type="dxa"/>
            <w:vAlign w:val="bottom"/>
          </w:tcPr>
          <w:p>
            <w:pPr>
              <w:spacing w:after="0"/>
              <w:rPr>
                <w:sz w:val="24"/>
                <w:szCs w:val="24"/>
                <w:color w:val="auto"/>
              </w:rPr>
            </w:pPr>
          </w:p>
        </w:tc>
        <w:tc>
          <w:tcPr>
            <w:tcW w:w="5340" w:type="dxa"/>
            <w:vAlign w:val="bottom"/>
            <w:gridSpan w:val="6"/>
          </w:tcPr>
          <w:p>
            <w:pPr>
              <w:jc w:val="right"/>
              <w:ind w:right="808"/>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332"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Cedric Francois</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7"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820" w:val="left"/>
          <w:tab w:leader="none" w:pos="728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26035</wp:posOffset>
            </wp:positionV>
            <wp:extent cx="2543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2024 as filed with the Securities and Exchange Commission on the date hereof (the “Report”), the undersigned, Cedric Francois, President and Chief Executive Officer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2024 as filed with the Securities and Exchange Commission on the date hereof (the “Report”), the undersigned, Timothy Sullivan, Chief Financial Officer and Treasurer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abstractNum>
  <w:abstractNum w:abstractNumId="4">
    <w:nsid w:val="216231B"/>
    <w:multiLevelType w:val="hybridMultilevel"/>
    <w:lvl w:ilvl="0">
      <w:lvlJc w:val="left"/>
      <w:lvlText w:val="%1."/>
      <w:numFmt w:val="decimal"/>
      <w:start w:val="6"/>
    </w:lvl>
    <w:lvl w:ilvl="1">
      <w:lvlJc w:val="left"/>
      <w:lvlText w:val="%2"/>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2024-05-07T06:12:28Z</dcterms:created>
  <dcterms:modified xsi:type="dcterms:W3CDTF">2024-05-07T06:12:28Z</dcterms:modified>
</cp:coreProperties>
</file>