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676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676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22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Watson David 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APELLIS PHARMACEUTICALS, INC 100 FIFTH AVENUE,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Apellis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60" w:lineRule="exact"/>
        <w:rPr>
          <w:sz w:val="24"/>
          <w:szCs w:val="24"/>
          <w:color w:val="auto"/>
        </w:rPr>
      </w:pPr>
    </w:p>
    <w:p>
      <w:pPr>
        <w:sectPr>
          <w:pgSz w:w="11900" w:h="16838" w:orient="portrait"/>
          <w:cols w:equalWidth="0" w:num="3">
            <w:col w:w="3280" w:space="640"/>
            <w:col w:w="3220" w:space="595"/>
            <w:col w:w="3265"/>
          </w:cols>
          <w:pgMar w:left="460" w:top="219" w:right="439" w:bottom="22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3580" w:type="dxa"/>
            <w:vAlign w:val="bottom"/>
            <w:gridSpan w:val="5"/>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6"/>
          </w:tcPr>
          <w:p>
            <w:pPr>
              <w:ind w:left="4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gridSpan w:val="2"/>
          </w:tcPr>
          <w:p>
            <w:pPr>
              <w:ind w:left="40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02451</w:t>
            </w: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14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1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40" w:type="dxa"/>
            <w:vAlign w:val="bottom"/>
            <w:gridSpan w:val="2"/>
          </w:tcPr>
          <w:p>
            <w:pPr>
              <w:ind w:left="10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40" w:type="dxa"/>
            <w:vAlign w:val="bottom"/>
            <w:gridSpan w:val="2"/>
          </w:tcPr>
          <w:p>
            <w:pPr>
              <w:ind w:left="10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40" w:type="dxa"/>
            <w:vAlign w:val="bottom"/>
            <w:gridSpan w:val="2"/>
          </w:tcPr>
          <w:p>
            <w:pPr>
              <w:ind w:left="10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gridSpan w:val="2"/>
          </w:tcPr>
          <w:p>
            <w:pPr>
              <w:ind w:left="1180"/>
              <w:spacing w:after="0"/>
              <w:rPr>
                <w:sz w:val="20"/>
                <w:szCs w:val="20"/>
                <w:color w:val="auto"/>
              </w:rPr>
            </w:pPr>
            <w:r>
              <w:rPr>
                <w:rFonts w:ascii="Times New Roman" w:cs="Times New Roman" w:eastAsia="Times New Roman" w:hAnsi="Times New Roman"/>
                <w:sz w:val="17"/>
                <w:szCs w:val="17"/>
                <w:color w:val="0000FF"/>
              </w:rPr>
              <w:t>11/17/2025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5,000</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20.06</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108,730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w:t>
            </w:r>
          </w:p>
        </w:tc>
        <w:tc>
          <w:tcPr>
            <w:tcW w:w="920" w:type="dxa"/>
            <w:vAlign w:val="bottom"/>
            <w:vMerge w:val="restart"/>
          </w:tcPr>
          <w:p>
            <w:pPr>
              <w:ind w:left="38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(2)</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(Custodial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for minor</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 David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50,136</w:t>
            </w:r>
          </w:p>
        </w:tc>
        <w:tc>
          <w:tcPr>
            <w:tcW w:w="920" w:type="dxa"/>
            <w:vAlign w:val="bottom"/>
          </w:tcPr>
          <w:p>
            <w:pPr>
              <w:ind w:left="38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 Watson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was a scheduled sale from 10B5-1 trading plan dated March 3,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represents a custodial account held by the reporting person for the sole benefit of his minor children.</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David O. Watson Irrevocable Trust of 2023. William Zorn is the trustee of The David O. Watson Irrevocable Trust of 2023. The reporting person disclaims beneficial ownership over the shares held by The David O. Watson Irrevocable Trust of 2023 except to the extent of his pecuniary interest therein.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David Watson</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11/18/2025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2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57719"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2025-11-18T09:07:15Z</dcterms:created>
  <dcterms:modified xsi:type="dcterms:W3CDTF">2025-11-18T09:07:15Z</dcterms:modified>
</cp:coreProperties>
</file>