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001-38276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27-1537290</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APLS</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6, 2021, Apellis Pharmaceuticals, Inc. (the “Company”) entered into separate, privately negotiated exchange agreements (the “Exchange Agreements”) with certain holders of its 3.500% Convertible Senior Notes due 2026 (the “Notes”) that were issued on September 16, 2019. Under the terms of the Exchange Agreements, the holders have agreed to exchange with the Company approximately $107.5 million in aggregate principal amount of Notes held by them for (i) 2,232,808 shares of the Company’s common stock, which is equal to 20.7792 shares per $1,000 principal amount of Notes exchanged plus (ii) an additional number of shares of the Company’s common stock per $1,000 principal amount of Notes exchanged equal to the quotient of (a) $544.07 divided by (b) the average of the daily volume-weighted average prices of the Company’s common stock over the ten consecutive trading days commencing on January 7, 2021 (collectively, the “Shares”). These exchange transactions are expected to close on January 25, 2021, subject to the satisfaction of customary closing conditions.</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Exchange Agreements is qualified in its entirety by reference to the form of Exchange Agreement, a copy of which is attached as Exhibit 10.1 hereto.</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January 7, 2021, the Company issued a press release announcing the execution of the Exchange Agreements, a copy of which is attached hereto as Exhibit 99.1.</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under Item 1.01 above is incorporated by reference herein.</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issuance of the Shares under the Exchange Agreements is being made in reliance on the exemption from the registration requirements of the Securities Act of 1933, as amended (the “Securities Act”), provided by Section 4(a)(2) of the Securities Act. The Shares will be issued only to investors that qualified as “qualified institutional buyers” (as such term is defined in Rule 144A of the Securities Act) or institutional “accredited investors” (as such term in defined in Rule 501 of the Securities Act”).</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shares of the Company’s common stock issuable in the exchanges have not been registered under the Securities Act or the securities laws of any state or other jurisdiction, and may not be offered or sold in the United States absent registration or an applicable exemption from the registration requirements of the Securities Act and such other jurisdictions.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Statements in this Current Report on Form 8-K about future expectations, plans and prospects, as well as any other statements regarding matters that are not historical facts, may constitute “forward-looking statements” within the meaning of The Private Securities Litigation Reform Act of 1995. These statements include, but are not limited to, statements in respect of the expected closing of the exchanges.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whether the conditions for the closing of the exchanges will be satisfied and other factors discussed in the “Risk Factors” section of the Company’s Quarterly Report on Form 10-Q filed with the Securities and Exchange Commission on November 2, 2020 and the risks described in other filings that Apellis may make with the Securities and Exchange Commission. Any forward-looking statements contained in this Current Report on Form 8-K speak only as of the date hereof, and Apellis specifically disclaims any obligation to update any forward-looking statement, whether as a result of new information, future events or otherwise.</w:t>
      </w:r>
    </w:p>
    <w:p>
      <w:pPr>
        <w:sectPr>
          <w:pgSz w:w="11900" w:h="16838" w:orient="portrait"/>
          <w:cols w:equalWidth="0" w:num="1">
            <w:col w:w="10980"/>
          </w:cols>
          <w:pgMar w:left="440" w:top="293"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0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5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5780" w:type="dxa"/>
            <w:vAlign w:val="bottom"/>
            <w:gridSpan w:val="2"/>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Form of Exchange Agreement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5780" w:type="dxa"/>
            <w:vAlign w:val="bottom"/>
            <w:gridSpan w:val="2"/>
          </w:tcPr>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Press Release of Apellis Pharmaceuticals, Inc., dated January 7, 2021</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93"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7,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4" w:name="page5"/>
    <w:bookmarkEnd w:id="4"/>
    <w:p>
      <w:pPr>
        <w:ind w:left="10084"/>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6, 2021</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3.500% Convertible Senior Notes due 2026</w:t>
      </w:r>
    </w:p>
    <w:p>
      <w:pPr>
        <w:spacing w:after="0" w:line="225"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The undersigned investor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for itself and on behalf of the beneficial owners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for whom the Investor holds contractual and investment authority (each, including the Investor if it is a party exchanging Notes (as defined below), an “</w:t>
      </w:r>
      <w:r>
        <w:rPr>
          <w:rFonts w:ascii="Times New Roman" w:cs="Times New Roman" w:eastAsia="Times New Roman" w:hAnsi="Times New Roman"/>
          <w:sz w:val="18"/>
          <w:szCs w:val="18"/>
          <w:b w:val="1"/>
          <w:bCs w:val="1"/>
          <w:color w:val="auto"/>
        </w:rPr>
        <w:t>Exchanging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hereby agrees to exchange, with Apellis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certain 3.500%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Senior Notes due 2026, CUSIP 03753UAB2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for shares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pursuant to this exchange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Investor understands that the exchange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is being made without registration of the offer or sale of the Shares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any securities laws of any state of the United States or of any other jurisdiction in a private placement pursuant to the exemption from registration provided by Section 4(a)(2) of the Securities Act and that each Exchanging Investor participating in the Exchange is required to be an institutional “accredited investor” within the meaning of Rule 501(a)(1), (2), (3) or (7) of Regulation D under the Securities Act that is also a “qualified institutional buyer” within the meaning of Rule 144A under the Securities Act. Capitalized terms used but not defined in this Agreement have the respective meanings set forth in the indenture, dated as of September 16, 2019,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140" w:hanging="4"/>
        <w:spacing w:after="0" w:line="266"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On the basis of the representations, warranties and agreements herein contained and subject to the terms and conditions herein set forth, the Investor hereby agrees to exchange for itself and on behalf of the Exchanging Investors, an aggregate principal amount of the Notes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Exchanged Notes</w:t>
      </w:r>
      <w:r>
        <w:rPr>
          <w:rFonts w:ascii="Times New Roman" w:cs="Times New Roman" w:eastAsia="Times New Roman" w:hAnsi="Times New Roman"/>
          <w:sz w:val="18"/>
          <w:szCs w:val="18"/>
          <w:color w:val="auto"/>
        </w:rPr>
        <w:t>”) for:</w:t>
      </w:r>
    </w:p>
    <w:p>
      <w:pPr>
        <w:spacing w:after="0" w:line="67" w:lineRule="exact"/>
        <w:rPr>
          <w:rFonts w:ascii="Times New Roman" w:cs="Times New Roman" w:eastAsia="Times New Roman" w:hAnsi="Times New Roman"/>
          <w:sz w:val="18"/>
          <w:szCs w:val="18"/>
          <w:color w:val="auto"/>
        </w:rPr>
      </w:pPr>
    </w:p>
    <w:p>
      <w:pPr>
        <w:ind w:left="1244" w:hanging="381"/>
        <w:spacing w:after="0"/>
        <w:tabs>
          <w:tab w:leader="none" w:pos="124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number of Shares per $1,000 principal amount of such Exchanged Notes equal to 20.7792;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1244" w:hanging="381"/>
        <w:spacing w:after="0"/>
        <w:tabs>
          <w:tab w:leader="none" w:pos="124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additional number of Shares per $1,000 principal amount of such Exchanged Notes equal to the quotient of (i) $544.07 </w:t>
      </w:r>
      <w:r>
        <w:rPr>
          <w:rFonts w:ascii="Times New Roman" w:cs="Times New Roman" w:eastAsia="Times New Roman" w:hAnsi="Times New Roman"/>
          <w:sz w:val="18"/>
          <w:szCs w:val="18"/>
          <w:u w:val="single" w:color="auto"/>
          <w:color w:val="auto"/>
        </w:rPr>
        <w:t>divided by</w:t>
      </w:r>
    </w:p>
    <w:p>
      <w:pPr>
        <w:spacing w:after="0" w:line="27" w:lineRule="exact"/>
        <w:rPr>
          <w:rFonts w:ascii="Times New Roman" w:cs="Times New Roman" w:eastAsia="Times New Roman" w:hAnsi="Times New Roman"/>
          <w:sz w:val="18"/>
          <w:szCs w:val="18"/>
          <w:color w:val="auto"/>
        </w:rPr>
      </w:pPr>
    </w:p>
    <w:p>
      <w:pPr>
        <w:ind w:left="444" w:right="440" w:hanging="4"/>
        <w:spacing w:after="0" w:line="260" w:lineRule="auto"/>
        <w:tabs>
          <w:tab w:leader="none" w:pos="70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Daily VWAPs (as defined below) over the Reference Period (as defined below) (the aggregate number of Shares under clause (a) and (b), the “</w:t>
      </w:r>
      <w:r>
        <w:rPr>
          <w:rFonts w:ascii="Times New Roman" w:cs="Times New Roman" w:eastAsia="Times New Roman" w:hAnsi="Times New Roman"/>
          <w:sz w:val="18"/>
          <w:szCs w:val="18"/>
          <w:b w:val="1"/>
          <w:bCs w:val="1"/>
          <w:color w:val="auto"/>
        </w:rPr>
        <w:t>Exchange Consideration</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444" w:right="660"/>
        <w:spacing w:after="0" w:line="266" w:lineRule="auto"/>
        <w:rPr>
          <w:sz w:val="20"/>
          <w:szCs w:val="20"/>
          <w:color w:val="auto"/>
        </w:rPr>
      </w:pPr>
      <w:r>
        <w:rPr>
          <w:rFonts w:ascii="Times New Roman" w:cs="Times New Roman" w:eastAsia="Times New Roman" w:hAnsi="Times New Roman"/>
          <w:sz w:val="18"/>
          <w:szCs w:val="18"/>
          <w:color w:val="auto"/>
        </w:rPr>
        <w:t xml:space="preserve">in each case, as adjusted in good faith by the Company for any stock dividend, stock split, stock combination, reclassification or similar transaction occurring on or after the date hereof and prior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number of Shares to be exchanged for the Exchanged Notes shall be rounded down to the nearest whole share for each Exchanging Investor.</w:t>
      </w:r>
    </w:p>
    <w:p>
      <w:pPr>
        <w:spacing w:after="0" w:line="68" w:lineRule="exact"/>
        <w:rPr>
          <w:sz w:val="20"/>
          <w:szCs w:val="20"/>
          <w:color w:val="auto"/>
        </w:rPr>
      </w:pPr>
    </w:p>
    <w:p>
      <w:pPr>
        <w:ind w:left="444" w:right="500"/>
        <w:spacing w:after="0" w:line="282" w:lineRule="auto"/>
        <w:rPr>
          <w:sz w:val="20"/>
          <w:szCs w:val="20"/>
          <w:color w:val="auto"/>
        </w:rPr>
      </w:pPr>
      <w:r>
        <w:rPr>
          <w:rFonts w:ascii="Times New Roman" w:cs="Times New Roman" w:eastAsia="Times New Roman" w:hAnsi="Times New Roman"/>
          <w:sz w:val="18"/>
          <w:szCs w:val="18"/>
          <w:color w:val="auto"/>
        </w:rPr>
        <w:t>For the avoidance of doubt, no cash will be paid to any Exchanging Investor in respect of any accrued and unpaid interest on the Exchanged Notes.</w:t>
      </w:r>
    </w:p>
    <w:p>
      <w:pPr>
        <w:spacing w:after="0" w:line="54" w:lineRule="exact"/>
        <w:rPr>
          <w:sz w:val="20"/>
          <w:szCs w:val="20"/>
          <w:color w:val="auto"/>
        </w:rPr>
      </w:pPr>
    </w:p>
    <w:p>
      <w:pPr>
        <w:ind w:left="444" w:right="80"/>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no event shall the number of shares of Common Stock issuable under this Agreement and in exchange for other Notes pursuant to any other exchange agreement entered into on or about the date of this Agreement (the “</w:t>
      </w:r>
      <w:r>
        <w:rPr>
          <w:rFonts w:ascii="Times New Roman" w:cs="Times New Roman" w:eastAsia="Times New Roman" w:hAnsi="Times New Roman"/>
          <w:sz w:val="18"/>
          <w:szCs w:val="18"/>
          <w:b w:val="1"/>
          <w:bCs w:val="1"/>
          <w:color w:val="auto"/>
        </w:rPr>
        <w:t>Other Exchange Agreements</w:t>
      </w:r>
      <w:r>
        <w:rPr>
          <w:rFonts w:ascii="Times New Roman" w:cs="Times New Roman" w:eastAsia="Times New Roman" w:hAnsi="Times New Roman"/>
          <w:sz w:val="18"/>
          <w:szCs w:val="18"/>
          <w:color w:val="auto"/>
        </w:rPr>
        <w:t>”) between the Company and holders of such other Notes with respect to the exchange of Notes for Common Stock exceed 19.9% of the Company’s issued and outstanding Common Stock on the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5" w:name="page6"/>
    <w:bookmarkEnd w:id="5"/>
    <w:p>
      <w:pPr>
        <w:ind w:left="440"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date hereof (the “</w:t>
      </w:r>
      <w:r>
        <w:rPr>
          <w:rFonts w:ascii="Times New Roman" w:cs="Times New Roman" w:eastAsia="Times New Roman" w:hAnsi="Times New Roman"/>
          <w:sz w:val="18"/>
          <w:szCs w:val="18"/>
          <w:b w:val="1"/>
          <w:bCs w:val="1"/>
          <w:color w:val="auto"/>
        </w:rPr>
        <w:t>Threshold</w:t>
      </w:r>
      <w:r>
        <w:rPr>
          <w:rFonts w:ascii="Times New Roman" w:cs="Times New Roman" w:eastAsia="Times New Roman" w:hAnsi="Times New Roman"/>
          <w:sz w:val="18"/>
          <w:szCs w:val="18"/>
          <w:color w:val="auto"/>
        </w:rPr>
        <w:t>”). If such aggregate amount of shares of Common Stock were to exceed the Threshold, the aggregate number of such shares of Common Stock to be issued under this Agreement and the Other Exchange Agreements shall be allocated among the Exchanging Investors and the “Exchanging Investors” under the Other Exchange Agreements on a pro rata basis based on the principal amount of Notes exchanged by each such Exchanging Investor under this Agreement and the Other Exchange Agreements.</w:t>
      </w:r>
    </w:p>
    <w:p>
      <w:pPr>
        <w:spacing w:after="0" w:line="68" w:lineRule="exact"/>
        <w:rPr>
          <w:sz w:val="20"/>
          <w:szCs w:val="20"/>
          <w:color w:val="auto"/>
        </w:rPr>
      </w:pPr>
    </w:p>
    <w:p>
      <w:pPr>
        <w:ind w:left="440" w:right="16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 day on which the Federal Reserve Bank of New York is authorized or required by law or executive order to close or be closed.</w:t>
      </w:r>
    </w:p>
    <w:p>
      <w:pPr>
        <w:spacing w:after="0" w:line="47" w:lineRule="exact"/>
        <w:rPr>
          <w:sz w:val="20"/>
          <w:szCs w:val="20"/>
          <w:color w:val="auto"/>
        </w:rPr>
      </w:pPr>
    </w:p>
    <w:p>
      <w:pPr>
        <w:ind w:left="440" w:right="20" w:firstLine="423"/>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Trading Day (as defined below) in the Reference Period (as defined below), the per share volume-weighted average price of the Common Stock as displayed under the heading “Bloomberg VWAP” on Bloomberg page “APLS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Last Reported Sale Price on such day).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74" w:lineRule="exact"/>
        <w:rPr>
          <w:sz w:val="20"/>
          <w:szCs w:val="20"/>
          <w:color w:val="auto"/>
        </w:rPr>
      </w:pPr>
    </w:p>
    <w:p>
      <w:pPr>
        <w:ind w:left="440" w:right="20" w:firstLine="423"/>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Last Reported Sale Price</w:t>
      </w:r>
      <w:r>
        <w:rPr>
          <w:rFonts w:ascii="Times New Roman" w:cs="Times New Roman" w:eastAsia="Times New Roman" w:hAnsi="Times New Roman"/>
          <w:sz w:val="17"/>
          <w:szCs w:val="17"/>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w:t>
      </w:r>
    </w:p>
    <w:p>
      <w:pPr>
        <w:spacing w:after="0" w:line="45" w:lineRule="exact"/>
        <w:rPr>
          <w:sz w:val="20"/>
          <w:szCs w:val="20"/>
          <w:color w:val="auto"/>
        </w:rPr>
      </w:pPr>
    </w:p>
    <w:p>
      <w:pPr>
        <w:ind w:left="440" w:right="200" w:firstLine="423"/>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(as defined in the Indenture)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Period</w:t>
      </w:r>
      <w:r>
        <w:rPr>
          <w:rFonts w:ascii="Times New Roman" w:cs="Times New Roman" w:eastAsia="Times New Roman" w:hAnsi="Times New Roman"/>
          <w:sz w:val="18"/>
          <w:szCs w:val="18"/>
          <w:color w:val="auto"/>
        </w:rPr>
        <w:t>” means the period of ten consecutive Trading Days commencing on the first Trading Day following the date hereof.</w:t>
      </w:r>
    </w:p>
    <w:p>
      <w:pPr>
        <w:spacing w:after="0" w:line="117" w:lineRule="exact"/>
        <w:rPr>
          <w:sz w:val="20"/>
          <w:szCs w:val="20"/>
          <w:color w:val="auto"/>
        </w:rPr>
      </w:pPr>
    </w:p>
    <w:p>
      <w:pPr>
        <w:ind w:left="440" w:right="20" w:firstLine="4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(a) there is no Market Disruption Event and (b)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Investor agrees that it and any Exchanging Investor shall not deliver a Notice of Conversion with respect to any Exchanged Notes and the Investor and each Exchanging Investor shall hold the Exchanged Notes until the Closing (as defined below). In consideration for the performance of their obligations hereunder (including as described in the immediately preceding sentence), the Company agrees to deliver the Exchange Consideration on the Closing Date (as defined below) to each Exchanging Investor in exchange for its Exchanged Notes.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 w:name="page7"/>
    <w:bookmarkEnd w:id="6"/>
    <w:p>
      <w:pPr>
        <w:ind w:left="4" w:right="1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Exchange shall occur in accordance with the procedures set forth in </w:t>
      </w:r>
      <w:r>
        <w:rPr>
          <w:rFonts w:ascii="Times New Roman" w:cs="Times New Roman" w:eastAsia="Times New Roman" w:hAnsi="Times New Roman"/>
          <w:sz w:val="17"/>
          <w:szCs w:val="17"/>
          <w:u w:val="single" w:color="auto"/>
          <w:color w:val="auto"/>
        </w:rPr>
        <w:t>Exhibit B.2</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color w:val="auto"/>
        </w:rPr>
        <w:t>Exchange Procedures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of the Company and the Investor acknowledges that the delivery of the Shares to any Exchanging Investor may be delayed due to procedures and mechanics within the system of American Stock Transfer &amp; Trust Company, LLC, The Depositary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or The Nasdaq Global Select Market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(including the procedures and mechanics regarding the listing of the Shares on Nasdaq) or other events beyond the Company’s control and that such a delay will not be a default under this Agreement so long as (i) the Company is using its reasonable best efforts to effect such delivery, or</w:t>
      </w:r>
    </w:p>
    <w:p>
      <w:pPr>
        <w:spacing w:after="0" w:line="3" w:lineRule="exact"/>
        <w:rPr>
          <w:sz w:val="20"/>
          <w:szCs w:val="20"/>
          <w:color w:val="auto"/>
        </w:rPr>
      </w:pPr>
    </w:p>
    <w:p>
      <w:pPr>
        <w:jc w:val="both"/>
        <w:ind w:left="4" w:right="40" w:hanging="4"/>
        <w:spacing w:after="0" w:line="255"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delay arises due to a failure by Investor to deliver settlement instructions in accordance with Section 3(s);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delivery of Shares will be made until the Exchanged Notes have been properly submitted for exchange in accordance with the Exchange Procedures and no accrued interest will be payable by reason of any delay in making such delivery.</w:t>
      </w:r>
    </w:p>
    <w:p>
      <w:pPr>
        <w:spacing w:after="0" w:line="182"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closing of the Exchange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remotely via the exchange of documents and signatures at 10:00 a.m., New York City time, on January 25, 2021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or at such other time and place as the Company and the Investor may mutually agree. On the Closing Date, subject to satisfaction of the conditions precedent specified herein and the prior receipt by the Company from the Investor of the Exchanged Notes, the Company shall deliver the Shares to the DTC account specified by the Investor for each relevant Exchanging Investor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All questions as to the form of all documents and the validity and acceptance of the Exchanged Notes and the Exchange Consideration will be determined by the Company, in its sole discretion, which determination shall be final and binding. Subject to the terms and conditions of this Agreement, the Investor hereby, for itself and on behalf of its Accounts, (a) waives any and all other rights with respect to such Exchanged Notes and (b) releases and discharges the Company from any and all claims the undersigned and its Accounts may now have, or may have in the future, arising out of, or related to, such Exchanged Notes.</w:t>
      </w:r>
    </w:p>
    <w:p>
      <w:pPr>
        <w:spacing w:after="0" w:line="192" w:lineRule="exact"/>
        <w:rPr>
          <w:sz w:val="20"/>
          <w:szCs w:val="20"/>
          <w:color w:val="auto"/>
        </w:rPr>
      </w:pPr>
    </w:p>
    <w:p>
      <w:pPr>
        <w:ind w:left="4" w:right="140" w:hanging="4"/>
        <w:spacing w:after="0" w:line="282" w:lineRule="auto"/>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and Covenants of the Company</w:t>
      </w:r>
      <w:r>
        <w:rPr>
          <w:rFonts w:ascii="Times New Roman" w:cs="Times New Roman" w:eastAsia="Times New Roman" w:hAnsi="Times New Roman"/>
          <w:sz w:val="18"/>
          <w:szCs w:val="18"/>
          <w:color w:val="auto"/>
        </w:rPr>
        <w:t>. As of the date hereof and the Closing Date, the Company represents and warrants to, and covenants with, the Exchanging Investors that:</w:t>
      </w:r>
    </w:p>
    <w:p>
      <w:pPr>
        <w:spacing w:after="0" w:line="53" w:lineRule="exact"/>
        <w:rPr>
          <w:rFonts w:ascii="Times New Roman" w:cs="Times New Roman" w:eastAsia="Times New Roman" w:hAnsi="Times New Roman"/>
          <w:sz w:val="18"/>
          <w:szCs w:val="18"/>
          <w:color w:val="auto"/>
        </w:rPr>
      </w:pPr>
    </w:p>
    <w:p>
      <w:pPr>
        <w:ind w:left="444" w:firstLine="419"/>
        <w:spacing w:after="0" w:line="269" w:lineRule="auto"/>
        <w:tabs>
          <w:tab w:leader="none" w:pos="1243"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are entities duly organized, validly existing and in good standing under the laws of the jurisdiction in which each is formed, and have the requisite power and authority to own their properties and to carry on their business as now being conducted, except in the case of the Company’s subsidiaries as would not reasonably be expected to have a material adverse effect on the business, properties, assets, liabilities, operations (including results thereof), or financial condition of the Company or its subsidiaries, taken as a whole. The Company and each of its subsidiaries is duly qualified as a foreign entity to do business (where such concept exists) and is in good standing in every jurisdiction (where such concept exists) in which its ownership of property or the nature of the business conducted by it makes such qualification necessary, except to the extent that the failure to be so qualified or be in good standing would not reasonably be expected to have a material adverse effect on the business, properties, assets, liabilities, operations (including results thereof), or condition (financial or otherwise) of the Company or its subsidiaries, taken as a whole. The Company has the power, authority and capacity to execute and deliver this Agreement, to perform its obligations hereunder, and to consummate the Exchange contemplated hereby. No consent, approval, order or authorization of, or registration, declaration or filing with any governmental entity is required on the part of the Company or any of its subsidiaries in connection with the execution, delivery and performance by the Company of this Agreement and the consummation by the Company of the Exchange, except as may be required under any state or federal securities laws or that may be made or obtained after the Closing without penalty.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7" w:name="page8"/>
    <w:bookmarkEnd w:id="7"/>
    <w:p>
      <w:pPr>
        <w:ind w:firstLine="419"/>
        <w:spacing w:after="0" w:line="261" w:lineRule="auto"/>
        <w:tabs>
          <w:tab w:leader="none" w:pos="8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has been duly authorized, executed and delivered by the Company and constitutes a legal, valid and binding obligation of the Company, enforceable against the Company in accordance with its terms, except that such enforcement may be subject to (a) bankruptcy, insolvency, fraudulent transfer, reorganization, moratorium or other similar laws affecting or relating to enforcement of creditors’ rights generally and (b) general principles of equity, whether such enforceability is considered in a proceeding at law or in equity.</w:t>
      </w:r>
    </w:p>
    <w:p>
      <w:pPr>
        <w:spacing w:after="0" w:line="71" w:lineRule="exact"/>
        <w:rPr>
          <w:rFonts w:ascii="Times New Roman" w:cs="Times New Roman" w:eastAsia="Times New Roman" w:hAnsi="Times New Roman"/>
          <w:sz w:val="18"/>
          <w:szCs w:val="18"/>
          <w:color w:val="auto"/>
        </w:rPr>
      </w:pPr>
    </w:p>
    <w:p>
      <w:pPr>
        <w:ind w:right="40" w:firstLine="419"/>
        <w:spacing w:after="0" w:line="256" w:lineRule="auto"/>
        <w:tabs>
          <w:tab w:leader="none" w:pos="7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consummation of the Exchange will not violate, conflict with or result in a breach of or default under (i) the charter or bylaws of the Company, (ii) any agreement or instrument to which the Company is a party or by which the Company or any of its assets or subsidiaries are bound, or (iii) assuming the truth and accuracy of the representations and warranties and compliance with the covenants of the Investor and each Exchanging Investor herein, any laws, regulations or governmental or judicial decrees, injunctions or orders applicable to the Company and its subsidiaries, except in the case of clauses (ii) or (iii), where such violations, conflicts, breaches or defaults as would not, individually or in the aggregate, materially impair the ability of the Company to consummate the transactions contemplated by this Agreement.</w:t>
      </w:r>
    </w:p>
    <w:p>
      <w:pPr>
        <w:spacing w:after="0" w:line="79"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issued, delivered and paid for in the manner set forth in this Agreement, the Shares will (i) be validly issued, fully paid and</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non-assessable, (ii) be free and clear of any Liens (as defined in Section 3(c) below), option, equity or other adverse claim thereto, including claims or rights under any voting trust agreements, shareholder agreements or other agreements to which the Company is a party, and (iii) will not be subject to any preemptive, participation, rights of first refusal or other similar rights under the General Corporation Law of the State of Delaware or any to which the Company is a party (other than any such rights that will be waived prior to the Closing). Assuming the accuracy of the Investor’s and each Exchanging Investor’s representations and warranties hereunder, the Shares (a) will be issued in the Exchange in reliance on the exemption from the registration requirements of the Securities Act pursuant to 4(a)(2) of the Securities Act and (b) when issued will be free of any restrictive legend and will not be subject to restrictions on transfer under Rule 144 promulgated under the Securities Act.</w:t>
      </w:r>
    </w:p>
    <w:p>
      <w:pPr>
        <w:spacing w:after="0" w:line="80" w:lineRule="exact"/>
        <w:rPr>
          <w:sz w:val="20"/>
          <w:szCs w:val="20"/>
          <w:color w:val="auto"/>
        </w:rPr>
      </w:pPr>
    </w:p>
    <w:p>
      <w:pPr>
        <w:ind w:right="60" w:firstLine="419"/>
        <w:spacing w:after="0" w:line="258" w:lineRule="auto"/>
        <w:tabs>
          <w:tab w:leader="none" w:pos="7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this Agreement by the Company and the consummation by the Company of the transactions contemplated hereby does not require the consent, approval, authorization, order, registration or qualification of, or filing with, any governmental authority, non-governmental regulatory authorities (including Nasdaq, other than the filing with Nasdaq of a Listing of Additional Shares notification which the Company will so file prior to the issuance of Shares on the Closing Date), except as may be required under any state or federal securities laws or that may be made or obtained after the Closing without penalty.</w:t>
      </w:r>
    </w:p>
    <w:p>
      <w:pPr>
        <w:spacing w:after="0" w:line="75" w:lineRule="exact"/>
        <w:rPr>
          <w:rFonts w:ascii="Times New Roman" w:cs="Times New Roman" w:eastAsia="Times New Roman" w:hAnsi="Times New Roman"/>
          <w:sz w:val="18"/>
          <w:szCs w:val="18"/>
          <w:color w:val="auto"/>
        </w:rPr>
      </w:pPr>
    </w:p>
    <w:p>
      <w:pPr>
        <w:ind w:right="80" w:firstLine="419"/>
        <w:spacing w:after="0" w:line="255" w:lineRule="auto"/>
        <w:tabs>
          <w:tab w:leader="none" w:pos="7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2020 to the date of this Agreement, the Company has timely filed all reports, schedules, forms, proxy statements, statements and other documents required to be filed by it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the reporting requirements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timely filed notifications of late filings for any of the foregoing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As of their respective dates, the SEC Documents complied in all material respects with the requirements of the Exchange Act and the rules and regulations of the SEC promulgated thereunder applicable to the SEC Documents.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8" w:name="page9"/>
    <w:bookmarkEnd w:id="8"/>
    <w:p>
      <w:pPr>
        <w:ind w:left="444" w:right="100" w:firstLine="419"/>
        <w:spacing w:after="0" w:line="312" w:lineRule="auto"/>
        <w:tabs>
          <w:tab w:leader="none" w:pos="1253"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the prior written consent of the Investor, the Company shall not disclose the name of the Investor or any Exchanging Investor in any filing or announcement, unless such disclosure is required by applicable law, rule, regulation or legal process based on advice of counsel.</w:t>
      </w:r>
    </w:p>
    <w:p>
      <w:pPr>
        <w:spacing w:after="0" w:line="31" w:lineRule="exact"/>
        <w:rPr>
          <w:rFonts w:ascii="Times New Roman" w:cs="Times New Roman" w:eastAsia="Times New Roman" w:hAnsi="Times New Roman"/>
          <w:sz w:val="17"/>
          <w:szCs w:val="17"/>
          <w:color w:val="auto"/>
        </w:rPr>
      </w:pPr>
    </w:p>
    <w:p>
      <w:pPr>
        <w:ind w:left="444" w:right="440" w:firstLine="419"/>
        <w:spacing w:after="0" w:line="282" w:lineRule="auto"/>
        <w:tabs>
          <w:tab w:leader="none" w:pos="1253"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lawsuit, arbitration, claim or proceeding pending or, to the knowledge of the Company, threatened, against the Company that would reasonably be expected to impede the consummation of the Exchange.</w:t>
      </w:r>
    </w:p>
    <w:p>
      <w:pPr>
        <w:spacing w:after="0" w:line="53" w:lineRule="exact"/>
        <w:rPr>
          <w:rFonts w:ascii="Times New Roman" w:cs="Times New Roman" w:eastAsia="Times New Roman" w:hAnsi="Times New Roman"/>
          <w:sz w:val="18"/>
          <w:szCs w:val="18"/>
          <w:color w:val="auto"/>
        </w:rPr>
      </w:pPr>
    </w:p>
    <w:p>
      <w:pPr>
        <w:ind w:left="444" w:right="120" w:firstLine="419"/>
        <w:spacing w:after="0" w:line="282" w:lineRule="auto"/>
        <w:tabs>
          <w:tab w:leader="none" w:pos="1213"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it shall, upon request, execute and deliver any additional documents deemed by the Trustee or transfer agent to be reasonably necessary to complete the Exchange.</w:t>
      </w:r>
    </w:p>
    <w:p>
      <w:pPr>
        <w:spacing w:after="0" w:line="53" w:lineRule="exact"/>
        <w:rPr>
          <w:rFonts w:ascii="Times New Roman" w:cs="Times New Roman" w:eastAsia="Times New Roman" w:hAnsi="Times New Roman"/>
          <w:sz w:val="18"/>
          <w:szCs w:val="18"/>
          <w:color w:val="auto"/>
        </w:rPr>
      </w:pPr>
    </w:p>
    <w:p>
      <w:pPr>
        <w:ind w:left="444" w:right="220" w:firstLine="419"/>
        <w:spacing w:after="0" w:line="258" w:lineRule="auto"/>
        <w:tabs>
          <w:tab w:leader="none" w:pos="1213"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publicly disclose on or before 8:30 a.m., New York City time, on the first Business Day after the date hereof, the exchange of the Exchanged Notes as contemplated by this Agreement in a press release. The Company hereby acknowledges and agrees that any press release or Current Report on Form 8-K will disclose all confidential information communicated by the Company to the Investor or any Exchanging Investor in connection with the Exchange to the extent the Company believes such confidential information constitutes material non-public information, if any, with respect to the Exchange or otherwise.</w:t>
      </w:r>
    </w:p>
    <w:p>
      <w:pPr>
        <w:spacing w:after="0" w:line="183" w:lineRule="exact"/>
        <w:rPr>
          <w:rFonts w:ascii="Times New Roman" w:cs="Times New Roman" w:eastAsia="Times New Roman" w:hAnsi="Times New Roman"/>
          <w:sz w:val="18"/>
          <w:szCs w:val="18"/>
          <w:color w:val="auto"/>
        </w:rPr>
      </w:pPr>
    </w:p>
    <w:p>
      <w:pPr>
        <w:ind w:left="4" w:right="360" w:hanging="4"/>
        <w:spacing w:after="0" w:line="312" w:lineRule="auto"/>
        <w:tabs>
          <w:tab w:leader="none" w:pos="31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and Covenants of the Investor</w:t>
      </w:r>
      <w:r>
        <w:rPr>
          <w:rFonts w:ascii="Times New Roman" w:cs="Times New Roman" w:eastAsia="Times New Roman" w:hAnsi="Times New Roman"/>
          <w:sz w:val="17"/>
          <w:szCs w:val="17"/>
          <w:color w:val="auto"/>
        </w:rPr>
        <w:t>. As of the date hereof and as of the Closing Date (except as otherwise set forth below), the Investor hereby, for itself and on behalf of the Exchanging Investors, represents and warrants to, and covenants with, the Company that:</w:t>
      </w:r>
    </w:p>
    <w:p>
      <w:pPr>
        <w:spacing w:after="0" w:line="31" w:lineRule="exact"/>
        <w:rPr>
          <w:rFonts w:ascii="Times New Roman" w:cs="Times New Roman" w:eastAsia="Times New Roman" w:hAnsi="Times New Roman"/>
          <w:sz w:val="17"/>
          <w:szCs w:val="17"/>
          <w:color w:val="auto"/>
        </w:rPr>
      </w:pPr>
    </w:p>
    <w:p>
      <w:pPr>
        <w:ind w:left="444" w:right="200" w:firstLine="419"/>
        <w:spacing w:after="0" w:line="282" w:lineRule="auto"/>
        <w:tabs>
          <w:tab w:leader="none" w:pos="1243"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Exchanging Investor is a corporation, limited partnership, limited liability company or other entity, as the case may be, duly formed, validly existing and in good standing under the laws of the jurisdiction of its formation.</w:t>
      </w:r>
    </w:p>
    <w:p>
      <w:pPr>
        <w:spacing w:after="0" w:line="53" w:lineRule="exact"/>
        <w:rPr>
          <w:rFonts w:ascii="Times New Roman" w:cs="Times New Roman" w:eastAsia="Times New Roman" w:hAnsi="Times New Roman"/>
          <w:sz w:val="18"/>
          <w:szCs w:val="18"/>
          <w:color w:val="auto"/>
        </w:rPr>
      </w:pPr>
    </w:p>
    <w:p>
      <w:pPr>
        <w:ind w:left="444" w:right="20" w:firstLine="419"/>
        <w:spacing w:after="0" w:line="255" w:lineRule="auto"/>
        <w:tabs>
          <w:tab w:leader="none" w:pos="1253"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all requisite corporate (or other applicable entity) power and authority to execute and deliver this Agreement for itself and on behalf of the Exchanging Investors and to carry out and perform its obligations under the terms hereof and the transactions contemplated hereby. This Agreement has been duly authorized, executed and delivered by the Investor and constitutes the legal, valid and binding obligation of the Investor and each Exchanging Investor, enforceable in accordance with its terms, except that such enforcement may be subject to</w:t>
      </w:r>
    </w:p>
    <w:p>
      <w:pPr>
        <w:spacing w:after="0" w:line="2" w:lineRule="exact"/>
        <w:rPr>
          <w:rFonts w:ascii="Times New Roman" w:cs="Times New Roman" w:eastAsia="Times New Roman" w:hAnsi="Times New Roman"/>
          <w:sz w:val="18"/>
          <w:szCs w:val="18"/>
          <w:color w:val="auto"/>
        </w:rPr>
      </w:pPr>
    </w:p>
    <w:p>
      <w:pPr>
        <w:ind w:left="444" w:hanging="4"/>
        <w:spacing w:after="0" w:line="253" w:lineRule="auto"/>
        <w:tabs>
          <w:tab w:leader="none" w:pos="68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bankruptcy, insolvency, fraudulent transfer, reorganization, moratorium or other similar laws affecting or relating to enforcement of creditors’ rights generally and (b) general principles of equity, whether such enforceability is considered in a proceeding at law or in equity. If the Investor is executing this Agreement on behalf of an Account, (i) the Investor has all requisite discretionary and contractual authority to enter into this Agreement on behalf of, and, bind, each Account, and (ii)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the Exchange Agreement contains a true, correct and complete list of (A) the name of each Account and (B) the principal amount of each Account’s Exchanged Notes, as applicable.</w:t>
      </w:r>
    </w:p>
    <w:p>
      <w:pPr>
        <w:spacing w:after="0" w:line="78" w:lineRule="exact"/>
        <w:rPr>
          <w:rFonts w:ascii="Times New Roman" w:cs="Times New Roman" w:eastAsia="Times New Roman" w:hAnsi="Times New Roman"/>
          <w:sz w:val="18"/>
          <w:szCs w:val="18"/>
          <w:color w:val="auto"/>
        </w:rPr>
      </w:pPr>
    </w:p>
    <w:p>
      <w:pPr>
        <w:ind w:left="444" w:right="180" w:firstLine="419"/>
        <w:spacing w:after="0" w:line="266" w:lineRule="auto"/>
        <w:tabs>
          <w:tab w:leader="none" w:pos="123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and as of the Closing, each of the Exchanging Investors is the current sole legal and beneficial owner of the Exchanged Notes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the Agreement. When the Exchanged Notes are exchanged, the Company will acquire good, marketable and unencumbered title thereto, free and clear of all liens, mortgages, pledges, security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 w:name="page10"/>
    <w:bookmarkEnd w:id="9"/>
    <w:p>
      <w:pPr>
        <w:ind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interests, restrictions, charges, encumbrances or adverse claims, rights or proxies of any kind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None of the Exchanging Investors has, nor prior to the Closing, will have, in whole or in part, other than pledges or security interests that an Exchanging Investor may have created in favor of a prime broker under and in accordance with its prime brokerage agreement with such broker, (x) assigned, transferred, hypothecated, pledged, exchanged, submitted for conversion pursuant to the Indenture or otherwise disposed of any of its Exchanged Notes (other than to the Company pursuant hereto), or (y) given any person or entity any transfer order, power of attorney or other authority of any nature whatsoever with respect to its Exchanged Notes.</w:t>
      </w:r>
    </w:p>
    <w:p>
      <w:pPr>
        <w:spacing w:after="0" w:line="78" w:lineRule="exact"/>
        <w:rPr>
          <w:sz w:val="20"/>
          <w:szCs w:val="20"/>
          <w:color w:val="auto"/>
        </w:rPr>
      </w:pPr>
    </w:p>
    <w:p>
      <w:pPr>
        <w:ind w:firstLine="419"/>
        <w:spacing w:after="0" w:line="254" w:lineRule="auto"/>
        <w:tabs>
          <w:tab w:leader="none" w:pos="8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Investor and compliance by the Investor and each Exchanging Investor with all provisions hereof and the consummation of the transactions contemplated hereby, including the Exchange, will not (i) require any consent, approval, authorization or other order of, or qualification with, any court or governmental body or agency (except as may be required under the securities or Blue Sky laws of the various states), (ii) constitute a breach or violation of any of the terms or provisions of, or result in a default under, (x) the organizational documents of any of the Investor or any Exchanging Investor or (y) any material indenture, loan agreement, mortgage, lease or other agreement or instrument to which the Investor or any of the Exchanging Investors is a party or by which such Investor or Exchanging Investor is bound, or (iii) violate or conflict with any applicable law or any rule, regulation, judgment, decision, order or decree of any court or any governmental body or agency having jurisdiction over the Investor or any of the Exchanging Investors.</w:t>
      </w:r>
    </w:p>
    <w:p>
      <w:pPr>
        <w:spacing w:after="0" w:line="83" w:lineRule="exact"/>
        <w:rPr>
          <w:rFonts w:ascii="Times New Roman" w:cs="Times New Roman" w:eastAsia="Times New Roman" w:hAnsi="Times New Roman"/>
          <w:sz w:val="18"/>
          <w:szCs w:val="18"/>
          <w:color w:val="auto"/>
        </w:rPr>
      </w:pPr>
    </w:p>
    <w:p>
      <w:pPr>
        <w:ind w:right="380" w:firstLine="419"/>
        <w:spacing w:after="0" w:line="261" w:lineRule="auto"/>
        <w:tabs>
          <w:tab w:leader="none" w:pos="7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Exchanging Investor will comply with all applicable laws and regulations in effect necessary for each Exchanging Investor to consummate the transactions contemplated hereby and obtain any consent, approval or permission required for the transactions contemplated hereby and the laws and regulations of any jurisdiction to which the Investor and each such Exchanging Investor is subject, and the Company shall have no responsibility therefor.</w:t>
      </w:r>
    </w:p>
    <w:p>
      <w:pPr>
        <w:spacing w:after="0" w:line="71" w:lineRule="exact"/>
        <w:rPr>
          <w:rFonts w:ascii="Times New Roman" w:cs="Times New Roman" w:eastAsia="Times New Roman" w:hAnsi="Times New Roman"/>
          <w:sz w:val="18"/>
          <w:szCs w:val="18"/>
          <w:color w:val="auto"/>
        </w:rPr>
      </w:pPr>
    </w:p>
    <w:p>
      <w:pPr>
        <w:ind w:right="100" w:firstLine="419"/>
        <w:spacing w:after="0" w:line="277" w:lineRule="auto"/>
        <w:tabs>
          <w:tab w:leader="none" w:pos="77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and each Exchanging Investor acknowledges that no person has been authorized to give any information or to make any representation or warranty concerning the Company or the Exchange other than the information set forth herein in connection with the Investor’s and each Exchanging Investor’s examination of the Company and the terms of the Exchange and the Shares, and the Company does not take, and J. Wood Capital Advisors LLC (the “</w:t>
      </w:r>
      <w:r>
        <w:rPr>
          <w:rFonts w:ascii="Times New Roman" w:cs="Times New Roman" w:eastAsia="Times New Roman" w:hAnsi="Times New Roman"/>
          <w:sz w:val="17"/>
          <w:szCs w:val="17"/>
          <w:b w:val="1"/>
          <w:bCs w:val="1"/>
          <w:color w:val="auto"/>
        </w:rPr>
        <w:t>Placement Agent</w:t>
      </w:r>
      <w:r>
        <w:rPr>
          <w:rFonts w:ascii="Times New Roman" w:cs="Times New Roman" w:eastAsia="Times New Roman" w:hAnsi="Times New Roman"/>
          <w:sz w:val="17"/>
          <w:szCs w:val="17"/>
          <w:color w:val="auto"/>
        </w:rPr>
        <w:t>”) does not take any responsibility for, and neither the Company nor the Placement Agent can provide any assurance as to the reliability of, any other information that others may provide to the Investor or any Exchanging Investor.</w:t>
      </w:r>
    </w:p>
    <w:p>
      <w:pPr>
        <w:spacing w:after="0" w:line="59" w:lineRule="exact"/>
        <w:rPr>
          <w:rFonts w:ascii="Times New Roman" w:cs="Times New Roman" w:eastAsia="Times New Roman" w:hAnsi="Times New Roman"/>
          <w:sz w:val="17"/>
          <w:szCs w:val="17"/>
          <w:color w:val="auto"/>
        </w:rPr>
      </w:pPr>
    </w:p>
    <w:p>
      <w:pPr>
        <w:ind w:right="60" w:firstLine="419"/>
        <w:spacing w:after="0" w:line="254" w:lineRule="auto"/>
        <w:tabs>
          <w:tab w:leader="none" w:pos="8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Exchanging Investor has such knowledge, skill and experience in business, financial and investment matters so that it is capable of evaluating the merits and risks with respect to the Exchange and an investment in the Shares. With the assistance of the Investor’s and each Exchanging Investor’s own professional advisors, to the extent that the Investor and Exchanging Investor has deemed appropriate, such Exchanging Investor has made its own legal, tax, accounting and financial evaluation of the merits and risks of an investment in the Shares and the consequences of the Exchange and this Agreement and the Investor and Exchanging Investor has made its own independent decision that the investment in the Shares is suitable and appropriate for the Investor and Exchanging Investor. The Investor and each Exchanging Investor has considered the suitability of the Shares as an investment in light of the Investor and such Exchanging Investor’s circumstances and financial condition and is able to bear the risks associated with an investment in the Shares.</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66" w:right="459" w:bottom="1440" w:gutter="0" w:footer="0" w:header="0"/>
        </w:sectPr>
      </w:pPr>
    </w:p>
    <w:bookmarkStart w:id="10" w:name="page11"/>
    <w:bookmarkEnd w:id="10"/>
    <w:p>
      <w:pPr>
        <w:ind w:firstLine="419"/>
        <w:spacing w:after="0" w:line="256" w:lineRule="auto"/>
        <w:tabs>
          <w:tab w:leader="none" w:pos="8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Investor confirms that it and each Exchanging Investor is not relying on any communication (written or oral) of the Company, the Placement Agent or any of their respective affiliates or representatives as investment advice or as a recommendation to acquire the Shares in the Exchange. It is understood that information provided by the Company, the Placement Agent or any of their respective affiliates and representatives shall not be considered investment advice or a recommendation to participate in the Exchange, and that none of the Company, the Placement Agent or any of their respective affiliates or representatives is acting or has acted as an advisor to the Investor or any Exchanging Investor in deciding to participate in the Exchange.</w:t>
      </w:r>
    </w:p>
    <w:p>
      <w:pPr>
        <w:spacing w:after="0" w:line="79" w:lineRule="exact"/>
        <w:rPr>
          <w:rFonts w:ascii="Times New Roman" w:cs="Times New Roman" w:eastAsia="Times New Roman" w:hAnsi="Times New Roman"/>
          <w:sz w:val="18"/>
          <w:szCs w:val="18"/>
          <w:color w:val="auto"/>
        </w:rPr>
      </w:pPr>
    </w:p>
    <w:p>
      <w:pPr>
        <w:ind w:right="100" w:firstLine="419"/>
        <w:spacing w:after="0" w:line="254" w:lineRule="auto"/>
        <w:tabs>
          <w:tab w:leader="none" w:pos="7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confirms that the Company has not (i) given the Investor or any Exchanging Investor any guarantee, representation or warranty as to the potential success, return, effect or benefit (either legal, regulatory, tax, financial, accounting or otherwise) of an investment in the Shares or (ii) made any representation or warranty to the Investor or any Exchanging Investor regarding the legality of an investment in the Shares under applicable legal investment or similar laws or regulations. The Investor confirms that it and each Exchanging Investor is not relying and has not relied, upon any statement, advice (whether accounting, tax, financial legal or other), representation or warranty by the Company or any of its affiliates or representatives, including, without limitation, the Placement Agent, except for the representations and warranties made by the Company in this Agreement, and that the Investor has made its own independent decision that the investment in the Shares is suitable and appropriate for the Investor and the Exchanging Investors.</w:t>
      </w:r>
    </w:p>
    <w:p>
      <w:pPr>
        <w:spacing w:after="0" w:line="83" w:lineRule="exact"/>
        <w:rPr>
          <w:rFonts w:ascii="Times New Roman" w:cs="Times New Roman" w:eastAsia="Times New Roman" w:hAnsi="Times New Roman"/>
          <w:sz w:val="18"/>
          <w:szCs w:val="18"/>
          <w:color w:val="auto"/>
        </w:rPr>
      </w:pPr>
    </w:p>
    <w:p>
      <w:pPr>
        <w:jc w:val="both"/>
        <w:ind w:right="20" w:firstLine="419"/>
        <w:spacing w:after="0" w:line="256" w:lineRule="auto"/>
        <w:tabs>
          <w:tab w:leader="none" w:pos="7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Exchanging Investor is familiar with the business and financial condition and operations of the Company and the Investor and each Exchanging Investor has had the opportunity to conduct its own investigation of the Company and the Shares. The Investor and each Exchanging Investor has had access to the SEC filings of the Company and such other information concerning the Company and the Shares as it deems necessary to enable it to make an informed investment decision concerning the Exchange. The Investor and each Exchanging Investor has been offered the opportunity to ask such questions of the Company and its representatives and received answers thereto, as it deems necessary to enable it to make an informed investment decision concerning the Exchange.</w:t>
      </w:r>
    </w:p>
    <w:p>
      <w:pPr>
        <w:spacing w:after="0" w:line="79" w:lineRule="exact"/>
        <w:rPr>
          <w:rFonts w:ascii="Times New Roman" w:cs="Times New Roman" w:eastAsia="Times New Roman" w:hAnsi="Times New Roman"/>
          <w:sz w:val="18"/>
          <w:szCs w:val="18"/>
          <w:color w:val="auto"/>
        </w:rPr>
      </w:pPr>
    </w:p>
    <w:p>
      <w:pPr>
        <w:ind w:right="100" w:firstLine="419"/>
        <w:spacing w:after="0" w:line="261" w:lineRule="auto"/>
        <w:tabs>
          <w:tab w:leader="none" w:pos="8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Exchanging Investor is an institutional “accredited investor” as defined in Rule 501(a)(1), (2), (3) or (7) under the Securities Act and a “qualified institutional buyer” as defined in Rule 144A under the Securities Act. The Investor agrees to furnish any additional information regarding the Investor or any Exchanging Investor reasonably requested by the Company or any of its affiliates to assure compliance with applicable U.S. federal and state securities laws in connection with the Exchange.</w:t>
      </w:r>
    </w:p>
    <w:p>
      <w:pPr>
        <w:spacing w:after="0" w:line="71" w:lineRule="exact"/>
        <w:rPr>
          <w:rFonts w:ascii="Times New Roman" w:cs="Times New Roman" w:eastAsia="Times New Roman" w:hAnsi="Times New Roman"/>
          <w:sz w:val="18"/>
          <w:szCs w:val="18"/>
          <w:color w:val="auto"/>
        </w:rPr>
      </w:pPr>
    </w:p>
    <w:p>
      <w:pPr>
        <w:ind w:right="60" w:firstLine="419"/>
        <w:spacing w:after="0" w:line="261" w:lineRule="auto"/>
        <w:tabs>
          <w:tab w:leader="none" w:pos="7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Exchanging Investor is not, and has not been during the consecutive three month period preceding the date hereof and as of the Closing, will not be, a director, officer or “affiliate” within the meaning of Rule 144 promulgated under the Securities Act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the Company. To the Investor’s knowledge, no Exchanging Investor acquired any of the Exchanged Notes, directly or indirectly, from an Affiliate of the Company.</w:t>
      </w:r>
    </w:p>
    <w:p>
      <w:pPr>
        <w:spacing w:after="0" w:line="71" w:lineRule="exact"/>
        <w:rPr>
          <w:rFonts w:ascii="Times New Roman" w:cs="Times New Roman" w:eastAsia="Times New Roman" w:hAnsi="Times New Roman"/>
          <w:sz w:val="18"/>
          <w:szCs w:val="18"/>
          <w:color w:val="auto"/>
        </w:rPr>
      </w:pPr>
    </w:p>
    <w:p>
      <w:pPr>
        <w:ind w:right="740" w:firstLine="419"/>
        <w:spacing w:after="0" w:line="282" w:lineRule="auto"/>
        <w:tabs>
          <w:tab w:leader="none" w:pos="8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Investor nor any Exchanging Investor is directly, or indirectly through one or more intermediaries, controlling or controlled by, or under direct or indirect common control with, the Company.</w:t>
      </w:r>
    </w:p>
    <w:p>
      <w:pPr>
        <w:spacing w:after="0" w:line="53" w:lineRule="exact"/>
        <w:rPr>
          <w:rFonts w:ascii="Times New Roman" w:cs="Times New Roman" w:eastAsia="Times New Roman" w:hAnsi="Times New Roman"/>
          <w:sz w:val="18"/>
          <w:szCs w:val="18"/>
          <w:color w:val="auto"/>
        </w:rPr>
      </w:pPr>
    </w:p>
    <w:p>
      <w:pPr>
        <w:ind w:right="180" w:firstLine="419"/>
        <w:spacing w:after="0" w:line="282" w:lineRule="auto"/>
        <w:tabs>
          <w:tab w:leader="none" w:pos="8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Exchanging Investor is acquiring the Shares solely for its own beneficial account, for investment purposes, and not with a view to, or for resale in connection with, any</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1" w:name="page12"/>
    <w:bookmarkEnd w:id="11"/>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distribution of the Shares. The Investor and each Exchanging Investor understands that the offer and sale of the Shares have not been registered under the Securities Act or any state securities laws and are being issued without registration under the Securities Act pursuant to Section 4(a)(2) of the Securities Act, which exemption depends in part upon the investment intent of the Exchanging Investors and the accuracy of the other representations and warranties made by the Investor or behalf of the Exchanging Investors in this Agreement. The Investor and the Exchanging Investors understand that the Company is relying upon the representations, warranties and agreements contained in this Agreement (and any supplemental information provided to the Company by the Investor or the Exchanging Investors) for the purpose of determining whether this transaction meets the requirements for such exemption(s) and to issue the Shares without legends as set forth herein.</w:t>
      </w:r>
    </w:p>
    <w:p>
      <w:pPr>
        <w:spacing w:after="0" w:line="81" w:lineRule="exact"/>
        <w:rPr>
          <w:sz w:val="20"/>
          <w:szCs w:val="20"/>
          <w:color w:val="auto"/>
        </w:rPr>
      </w:pPr>
    </w:p>
    <w:p>
      <w:pPr>
        <w:ind w:right="80" w:firstLine="419"/>
        <w:spacing w:after="0" w:line="282" w:lineRule="auto"/>
        <w:tabs>
          <w:tab w:leader="none" w:pos="8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the terms of the Exchange have been mutually negotiated between the Investor and the Company. The Investor was given a meaningful opportunity to negotiate the terms of the Exchange.</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8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and each Exchanging Investor had a sufficient amount of time to consider whether to participate in the Exchange and that neither the Company nor the Placement Agent has placed any pressure on the Investor or any Exchanging Investor to respond to the opportunity to participate in the Exchange. The Investor acknowledges that neither it nor any Exchanging Investor become aware of the Exchange through any form of general solicitation or advertising within the meaning of Rule 502 under the Securities Act or otherwise through a “public offering” under Section 4(a)(2) of the Securities Act.</w:t>
      </w:r>
    </w:p>
    <w:p>
      <w:pPr>
        <w:spacing w:after="0" w:line="75" w:lineRule="exact"/>
        <w:rPr>
          <w:rFonts w:ascii="Times New Roman" w:cs="Times New Roman" w:eastAsia="Times New Roman" w:hAnsi="Times New Roman"/>
          <w:sz w:val="18"/>
          <w:szCs w:val="18"/>
          <w:color w:val="auto"/>
        </w:rPr>
      </w:pPr>
    </w:p>
    <w:p>
      <w:pPr>
        <w:ind w:right="20" w:firstLine="419"/>
        <w:spacing w:after="0" w:line="282" w:lineRule="auto"/>
        <w:tabs>
          <w:tab w:leader="none" w:pos="8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it and each Exchanging Investor understands that the Company intends to pay the Placement Agent a fee in respect of the Exchange.</w:t>
      </w:r>
    </w:p>
    <w:p>
      <w:pPr>
        <w:spacing w:after="0" w:line="53" w:lineRule="exact"/>
        <w:rPr>
          <w:rFonts w:ascii="Times New Roman" w:cs="Times New Roman" w:eastAsia="Times New Roman" w:hAnsi="Times New Roman"/>
          <w:sz w:val="18"/>
          <w:szCs w:val="18"/>
          <w:color w:val="auto"/>
        </w:rPr>
      </w:pPr>
    </w:p>
    <w:p>
      <w:pPr>
        <w:ind w:right="360" w:firstLine="419"/>
        <w:spacing w:after="0" w:line="266" w:lineRule="auto"/>
        <w:tabs>
          <w:tab w:leader="none" w:pos="7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will, upon request, execute and deliver, for itself and on behalf of any Exchanging Investor, any additional documents deemed by the Company and the Trustee or the transfer agent to be reasonably necessary to complete the transactions contemplated by this Agreement.</w:t>
      </w:r>
    </w:p>
    <w:p>
      <w:pPr>
        <w:spacing w:after="0" w:line="67" w:lineRule="exact"/>
        <w:rPr>
          <w:rFonts w:ascii="Times New Roman" w:cs="Times New Roman" w:eastAsia="Times New Roman" w:hAnsi="Times New Roman"/>
          <w:sz w:val="18"/>
          <w:szCs w:val="18"/>
          <w:color w:val="auto"/>
        </w:rPr>
      </w:pPr>
    </w:p>
    <w:p>
      <w:pPr>
        <w:ind w:right="780" w:firstLine="419"/>
        <w:spacing w:after="0" w:line="282" w:lineRule="auto"/>
        <w:tabs>
          <w:tab w:leader="none" w:pos="7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one (1) business day after the date hereof, the Investor agrees to deliver to the Company settlement instructions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to the Exchange Agreement for each of the Exchanging Investors.</w:t>
      </w:r>
    </w:p>
    <w:p>
      <w:pPr>
        <w:spacing w:after="0" w:line="53" w:lineRule="exact"/>
        <w:rPr>
          <w:rFonts w:ascii="Times New Roman" w:cs="Times New Roman" w:eastAsia="Times New Roman" w:hAnsi="Times New Roman"/>
          <w:sz w:val="18"/>
          <w:szCs w:val="18"/>
          <w:color w:val="auto"/>
        </w:rPr>
      </w:pPr>
    </w:p>
    <w:p>
      <w:pPr>
        <w:ind w:right="100" w:firstLine="419"/>
        <w:spacing w:after="0" w:line="258" w:lineRule="auto"/>
        <w:tabs>
          <w:tab w:leader="none" w:pos="7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it and each Exchanging Investor has not disclosed, and will not disclose, to any third party any information regarding the Exchange, and has not transacted, and will not transact in any securities of the Company, including, but not limited to, any hedging transactions, from the time the Investor was first contacted by the Company or the Placement Agent with respect to the transactions contemplated by this Agreement until after the confidential information (as described in the confirmatory wall-crossing email received by the Investor from the Placement Agent) is made public.</w:t>
      </w:r>
    </w:p>
    <w:p>
      <w:pPr>
        <w:spacing w:after="0" w:line="75" w:lineRule="exact"/>
        <w:rPr>
          <w:rFonts w:ascii="Times New Roman" w:cs="Times New Roman" w:eastAsia="Times New Roman" w:hAnsi="Times New Roman"/>
          <w:sz w:val="18"/>
          <w:szCs w:val="18"/>
          <w:color w:val="auto"/>
        </w:rPr>
      </w:pPr>
    </w:p>
    <w:p>
      <w:pPr>
        <w:ind w:right="20" w:firstLine="419"/>
        <w:spacing w:after="0" w:line="258" w:lineRule="auto"/>
        <w:tabs>
          <w:tab w:leader="none" w:pos="8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Exchanging Investor understands that the Company, the Placement Agent and others will rely upon the truth and accuracy of the foregoing representations, warranties and covenants and agrees that if any of the representations and warranties deemed to have been made by it or the Exchanging Investors are no longer accurate, the Investor shall promptly notify the Company and the Placement Agent prior to the Closing. The Investor understands that, unless the Investor notifies the Company in writing to the contrary before the Closing, each of the Investor’s and Exchanging Investors’ representations and warranties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contained in this Agreement will be deemed to have been reaffirmed and confirmed as of the Closing. If the Investor is exchanging any Exchanged Notes and acquiring the Shares as a fiduciary or agent for one or more accounts (including for purposes of this </w:t>
      </w:r>
      <w:r>
        <w:rPr>
          <w:rFonts w:ascii="Times New Roman" w:cs="Times New Roman" w:eastAsia="Times New Roman" w:hAnsi="Times New Roman"/>
          <w:sz w:val="18"/>
          <w:szCs w:val="18"/>
          <w:b w:val="1"/>
          <w:bCs w:val="1"/>
          <w:color w:val="auto"/>
        </w:rPr>
        <w:t>Section 3(u)</w:t>
      </w:r>
      <w:r>
        <w:rPr>
          <w:rFonts w:ascii="Times New Roman" w:cs="Times New Roman" w:eastAsia="Times New Roman" w:hAnsi="Times New Roman"/>
          <w:sz w:val="18"/>
          <w:szCs w:val="18"/>
          <w:color w:val="auto"/>
        </w:rPr>
        <w:t>, the Accounts which are Exchanging Investors), it represents that (i) it has sole investment discretion with respect to each such account, (ii) it has full power to make the foregoing representations, warranties and covenants on behalf of such account and (iii) it has contractual authority with respect to each such account.</w:t>
      </w:r>
    </w:p>
    <w:p>
      <w:pPr>
        <w:spacing w:after="0" w:line="75" w:lineRule="exact"/>
        <w:rPr>
          <w:sz w:val="20"/>
          <w:szCs w:val="20"/>
          <w:color w:val="auto"/>
        </w:rPr>
      </w:pPr>
    </w:p>
    <w:p>
      <w:pPr>
        <w:ind w:firstLine="419"/>
        <w:spacing w:after="0" w:line="273" w:lineRule="auto"/>
        <w:tabs>
          <w:tab w:leader="none" w:pos="80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and each Exchanging Investor acknowledges and the Investor agrees that the Placement Agent has not acted as a financial advisor or fiduciary to the Investor or any Exchanging Investor and that the Placement Agent and its directors, officers, employees, representatives and controlling persons have no responsibility for making, and have not made, any independent investigation of the information contained herein or in the Company’s SEC filings and make no representation or warranty to the Investor or any Exchanging Investor, express or implied, with respect to the Company, the Exchanged Notes or the Shares or the accuracy, completeness or adequacy of the information provided to the Investor or any Exchanging Investor or any other publicly available information, nor shall any of the foregoing persons be liable for any loss or damages of any kind resulting from the use of the information contained therein or otherwise supplied to the Investor or any Exchanging Investor.</w:t>
      </w:r>
    </w:p>
    <w:p>
      <w:pPr>
        <w:spacing w:after="0" w:line="63" w:lineRule="exact"/>
        <w:rPr>
          <w:rFonts w:ascii="Times New Roman" w:cs="Times New Roman" w:eastAsia="Times New Roman" w:hAnsi="Times New Roman"/>
          <w:sz w:val="17"/>
          <w:szCs w:val="17"/>
          <w:color w:val="auto"/>
        </w:rPr>
      </w:pPr>
    </w:p>
    <w:p>
      <w:pPr>
        <w:ind w:right="100" w:firstLine="419"/>
        <w:spacing w:after="0" w:line="269" w:lineRule="auto"/>
        <w:tabs>
          <w:tab w:leader="none" w:pos="84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and each Exchanging Investor acknowledges and understands that at the time of the Closing, the Company may be in possession of material non-public information not known to the Investor or any Exchanging Investor that may impact the value of the Notes, including the Exchanged Notes, and the Shares (“</w:t>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that the Company has not disclosed to the Investor or any Exchanging Investor. The Investor and each Exchanging Investor acknowledges that they have not relied upon the non-disclosure of any such Information for purposes of making their decision to participate in the Exchange. The Investor and each Exchanging Investor understands, based on its experience, the disadvantage to which the Investor and each Exchanging Investor is subject due to the disparity of information between the Company, on the one hand, and the Investor and each Exchanging Investor, on the other hand. Notwithstanding this, the Investor and each Exchanging Investor has deemed it appropriate to participate in the Exchange. The Investor agrees that the Company and its directors, officers, employees, agents, stockholders and affiliates shall have no liability to the Investor or any Exchanging Investor or their respective beneficiaries whatsoever due to or in connection with the Company’s use or non-disclosure of the Information or otherwise as a result of the Exchange, and the Investor hereby irrevocably waives any claim that it or any Exchanging Investor might have based on the failure of the Company to disclose the Information.</w:t>
      </w:r>
    </w:p>
    <w:p>
      <w:pPr>
        <w:spacing w:after="0" w:line="73" w:lineRule="exact"/>
        <w:rPr>
          <w:rFonts w:ascii="Times New Roman" w:cs="Times New Roman" w:eastAsia="Times New Roman" w:hAnsi="Times New Roman"/>
          <w:sz w:val="17"/>
          <w:szCs w:val="17"/>
          <w:color w:val="auto"/>
        </w:rPr>
      </w:pPr>
    </w:p>
    <w:p>
      <w:pPr>
        <w:ind w:right="300" w:firstLine="419"/>
        <w:spacing w:after="0" w:line="282" w:lineRule="auto"/>
        <w:tabs>
          <w:tab w:leader="none" w:pos="8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Exchanging Investor understands that no federal, state, local or foreign agency has passed upon the merits or risks of an investment in the Shares or made any finding or determination concerning the fairness or advisability of this investment.</w:t>
      </w:r>
    </w:p>
    <w:p>
      <w:pPr>
        <w:spacing w:after="0" w:line="53" w:lineRule="exact"/>
        <w:rPr>
          <w:rFonts w:ascii="Times New Roman" w:cs="Times New Roman" w:eastAsia="Times New Roman" w:hAnsi="Times New Roman"/>
          <w:sz w:val="18"/>
          <w:szCs w:val="18"/>
          <w:color w:val="auto"/>
        </w:rPr>
      </w:pPr>
    </w:p>
    <w:p>
      <w:pPr>
        <w:ind w:firstLine="419"/>
        <w:spacing w:after="0" w:line="255" w:lineRule="auto"/>
        <w:tabs>
          <w:tab w:leader="none" w:pos="8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Investor and each Exchanging Investor have been conducted in material compliance with the applicable rules and regulations administered or conducted by the U.S. Department of Treasury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applicable rules and regulations of the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and the applicable Anti-Money Laundering (“</w:t>
      </w:r>
      <w:r>
        <w:rPr>
          <w:rFonts w:ascii="Times New Roman" w:cs="Times New Roman" w:eastAsia="Times New Roman" w:hAnsi="Times New Roman"/>
          <w:sz w:val="18"/>
          <w:szCs w:val="18"/>
          <w:b w:val="1"/>
          <w:bCs w:val="1"/>
          <w:color w:val="auto"/>
        </w:rPr>
        <w:t>AML</w:t>
      </w:r>
      <w:r>
        <w:rPr>
          <w:rFonts w:ascii="Times New Roman" w:cs="Times New Roman" w:eastAsia="Times New Roman" w:hAnsi="Times New Roman"/>
          <w:sz w:val="18"/>
          <w:szCs w:val="18"/>
          <w:color w:val="auto"/>
        </w:rPr>
        <w:t>”) rules in the Bank Secrecy Act. The Investor has performed due diligence necessary to reasonably determine that the Exchanging Investors are not named on the lists of denied parties or blocked persons administered by OFAC, resident in or organized under the laws of a country that is the subject of comprehensive economic sanctions and embargoes administered or conducted by OFAC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are not otherwise the subject of Sanctions and have not been found to be in violation or under suspicion of violating OFAC, FCPA or AML rules and regulations.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3" w:name="page14"/>
    <w:bookmarkEnd w:id="13"/>
    <w:p>
      <w:pPr>
        <w:ind w:left="444" w:right="380" w:firstLine="419"/>
        <w:spacing w:after="0" w:line="282" w:lineRule="auto"/>
        <w:tabs>
          <w:tab w:leader="none" w:pos="12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Investor acknowledges that the Company may issue appropriate stop-transfer instructions to its transfer agent, if any, and may make appropriate notations to the same effect in its books and records to ensure compliance with the provisions of this Section 3.</w:t>
      </w:r>
    </w:p>
    <w:p>
      <w:pPr>
        <w:spacing w:after="0" w:line="54" w:lineRule="exact"/>
        <w:rPr>
          <w:sz w:val="20"/>
          <w:szCs w:val="20"/>
          <w:color w:val="auto"/>
        </w:rPr>
      </w:pPr>
    </w:p>
    <w:p>
      <w:pPr>
        <w:ind w:left="1324" w:hanging="461"/>
        <w:spacing w:after="0"/>
        <w:tabs>
          <w:tab w:leader="none" w:pos="13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and each Exchanging Investor is a resident of the jurisdiction set forth on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to this Agreement.</w:t>
      </w:r>
    </w:p>
    <w:p>
      <w:pPr>
        <w:spacing w:after="0" w:line="225" w:lineRule="exact"/>
        <w:rPr>
          <w:rFonts w:ascii="Times New Roman" w:cs="Times New Roman" w:eastAsia="Times New Roman" w:hAnsi="Times New Roman"/>
          <w:sz w:val="18"/>
          <w:szCs w:val="18"/>
          <w:color w:val="auto"/>
        </w:rPr>
      </w:pPr>
    </w:p>
    <w:p>
      <w:pPr>
        <w:ind w:left="4" w:right="420" w:hanging="4"/>
        <w:spacing w:after="0" w:line="255"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Obligations of the Investor and the Company</w:t>
      </w:r>
      <w:r>
        <w:rPr>
          <w:rFonts w:ascii="Times New Roman" w:cs="Times New Roman" w:eastAsia="Times New Roman" w:hAnsi="Times New Roman"/>
          <w:sz w:val="18"/>
          <w:szCs w:val="18"/>
          <w:color w:val="auto"/>
        </w:rPr>
        <w:t xml:space="preserve">. The obligations of the Investor and the Exchanging Investors and of the Company under this Agreement are subject to the satisfaction at or prior to the Closing of the following conditions precedent: (a) the representations and warranties of the Company contained in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xml:space="preserve"> hereof (with respect to the Investor and Exchanging Investors) and of the Investor contained in </w:t>
      </w: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color w:val="auto"/>
        </w:rPr>
        <w:t>hereof (with respect to the Company) shall be true and correct as of the Closing in all respects with the same effect as though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had been made as of the Closing and (b) no provision of any applicable law or any judgment, ruling, order, writ, injunction, award or decree of any governmental authority shall be in effect prohibiting or making illegal the consummation of the transactions contemplated by this Agreement.</w:t>
      </w:r>
    </w:p>
    <w:p>
      <w:pPr>
        <w:spacing w:after="0" w:line="188" w:lineRule="exact"/>
        <w:rPr>
          <w:rFonts w:ascii="Times New Roman" w:cs="Times New Roman" w:eastAsia="Times New Roman" w:hAnsi="Times New Roman"/>
          <w:sz w:val="18"/>
          <w:szCs w:val="18"/>
          <w:color w:val="auto"/>
        </w:rPr>
      </w:pPr>
    </w:p>
    <w:p>
      <w:pPr>
        <w:ind w:left="4" w:right="780" w:hanging="4"/>
        <w:spacing w:after="0" w:line="282"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Amendment</w:t>
      </w:r>
      <w:r>
        <w:rPr>
          <w:rFonts w:ascii="Times New Roman" w:cs="Times New Roman" w:eastAsia="Times New Roman" w:hAnsi="Times New Roman"/>
          <w:sz w:val="18"/>
          <w:szCs w:val="18"/>
          <w:color w:val="auto"/>
        </w:rPr>
        <w:t>. Neither this Agreement nor any provisions hereof or thereof shall be modified, changed or discharged, except by an instrument in writing, signed by the Company and the Investor.</w:t>
      </w:r>
    </w:p>
    <w:p>
      <w:pPr>
        <w:spacing w:after="0" w:line="161" w:lineRule="exact"/>
        <w:rPr>
          <w:rFonts w:ascii="Times New Roman" w:cs="Times New Roman" w:eastAsia="Times New Roman" w:hAnsi="Times New Roman"/>
          <w:sz w:val="18"/>
          <w:szCs w:val="18"/>
          <w:color w:val="auto"/>
        </w:rPr>
      </w:pPr>
    </w:p>
    <w:p>
      <w:pPr>
        <w:ind w:left="4" w:right="380" w:hanging="4"/>
        <w:spacing w:after="0" w:line="282"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Neither this Agreement nor any right, remedy, obligation or liability arising hereunder or by reason hereof shall be assignable by either the Company or the Investor without the prior written consent of the other.</w:t>
      </w:r>
    </w:p>
    <w:p>
      <w:pPr>
        <w:spacing w:after="0" w:line="161" w:lineRule="exact"/>
        <w:rPr>
          <w:rFonts w:ascii="Times New Roman" w:cs="Times New Roman" w:eastAsia="Times New Roman" w:hAnsi="Times New Roman"/>
          <w:sz w:val="18"/>
          <w:szCs w:val="18"/>
          <w:color w:val="auto"/>
        </w:rPr>
      </w:pPr>
    </w:p>
    <w:p>
      <w:pPr>
        <w:jc w:val="both"/>
        <w:ind w:left="4" w:right="340" w:hanging="4"/>
        <w:spacing w:after="0" w:line="266"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COMPANY AND THE INVESTOR HEREBY IRREVOCABLY WAIVES ANY AND ALL RIGHT TO TRIAL BY JURY WITH RESPECT TO ANY LEGAL PROCEEDING ARISING OUT OF THE TRANSACTIONS CONTEMPLATED BY THIS AGREEMENT.</w:t>
      </w:r>
    </w:p>
    <w:p>
      <w:pPr>
        <w:spacing w:after="0" w:line="175" w:lineRule="exact"/>
        <w:rPr>
          <w:rFonts w:ascii="Times New Roman" w:cs="Times New Roman" w:eastAsia="Times New Roman" w:hAnsi="Times New Roman"/>
          <w:sz w:val="18"/>
          <w:szCs w:val="18"/>
          <w:color w:val="auto"/>
        </w:rPr>
      </w:pPr>
    </w:p>
    <w:p>
      <w:pPr>
        <w:ind w:left="4" w:right="60" w:hanging="4"/>
        <w:spacing w:after="0" w:line="282"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without giving effect to such state’s rules concerning conflicts of laws that might provide for any other choice of law.</w:t>
      </w:r>
    </w:p>
    <w:p>
      <w:pPr>
        <w:spacing w:after="0" w:line="161" w:lineRule="exact"/>
        <w:rPr>
          <w:rFonts w:ascii="Times New Roman" w:cs="Times New Roman" w:eastAsia="Times New Roman" w:hAnsi="Times New Roman"/>
          <w:sz w:val="18"/>
          <w:szCs w:val="18"/>
          <w:color w:val="auto"/>
        </w:rPr>
      </w:pPr>
    </w:p>
    <w:p>
      <w:pPr>
        <w:ind w:left="4" w:hanging="4"/>
        <w:spacing w:after="0" w:line="256"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Company and the Investor: (a) agrees that any legal suit, action or proceeding arising out of or relating to this Agreement or the transactions contemplated hereby shall be instituted exclusively in the courts of the State of New York located in the City and County of New York or in the United States District Court for the Southern District of New York; (b) waives any objection that it may now or hereafter have to the venue of any such suit, action or proceeding; and (c) irrevocably consents to the jurisdiction of the aforesaid courts in any such suit, action or proceeding. Each of the Company and the Investor agrees that a final judgment in any such action or proceeding shall be conclusive and may be enforced in other jurisdictions by suit on the judgment or in any other manner provided by law.</w:t>
      </w:r>
    </w:p>
    <w:p>
      <w:pPr>
        <w:spacing w:after="0" w:line="187" w:lineRule="exact"/>
        <w:rPr>
          <w:rFonts w:ascii="Times New Roman" w:cs="Times New Roman" w:eastAsia="Times New Roman" w:hAnsi="Times New Roman"/>
          <w:sz w:val="18"/>
          <w:szCs w:val="18"/>
          <w:color w:val="auto"/>
        </w:rPr>
      </w:pPr>
    </w:p>
    <w:p>
      <w:pPr>
        <w:ind w:left="4" w:hanging="4"/>
        <w:spacing w:after="0" w:line="261" w:lineRule="auto"/>
        <w:tabs>
          <w:tab w:leader="none" w:pos="4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xml:space="preserve">. Each of the Company and the Investor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Each of the Company and the Investor irrevocably waives, to the fullest extent permitted by law, the defense of an inconvenient forum to the maintenance of such action or proceeding in any such court.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4" w:name="page15"/>
    <w:bookmarkEnd w:id="14"/>
    <w:p>
      <w:pPr>
        <w:ind w:left="4" w:right="500" w:hanging="4"/>
        <w:spacing w:after="0" w:line="312" w:lineRule="auto"/>
        <w:tabs>
          <w:tab w:leader="none" w:pos="40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Service of Process</w:t>
      </w:r>
      <w:r>
        <w:rPr>
          <w:rFonts w:ascii="Times New Roman" w:cs="Times New Roman" w:eastAsia="Times New Roman" w:hAnsi="Times New Roman"/>
          <w:sz w:val="17"/>
          <w:szCs w:val="17"/>
          <w:color w:val="auto"/>
        </w:rPr>
        <w:t xml:space="preserve">. Each of the Company and the Investor irrevocably consents to service of process in the manner provided for notices in </w:t>
      </w:r>
      <w:r>
        <w:rPr>
          <w:rFonts w:ascii="Times New Roman" w:cs="Times New Roman" w:eastAsia="Times New Roman" w:hAnsi="Times New Roman"/>
          <w:sz w:val="17"/>
          <w:szCs w:val="17"/>
          <w:b w:val="1"/>
          <w:bCs w:val="1"/>
          <w:color w:val="auto"/>
        </w:rPr>
        <w:t>Section 12</w:t>
      </w:r>
      <w:r>
        <w:rPr>
          <w:rFonts w:ascii="Times New Roman" w:cs="Times New Roman" w:eastAsia="Times New Roman" w:hAnsi="Times New Roman"/>
          <w:sz w:val="17"/>
          <w:szCs w:val="17"/>
          <w:color w:val="auto"/>
        </w:rPr>
        <w:t>. Nothing in this Agreement will affect the right of the Company or the Investor to serve process in any other manner permitted by law.</w:t>
      </w:r>
    </w:p>
    <w:p>
      <w:pPr>
        <w:spacing w:after="0" w:line="139" w:lineRule="exact"/>
        <w:rPr>
          <w:rFonts w:ascii="Times New Roman" w:cs="Times New Roman" w:eastAsia="Times New Roman" w:hAnsi="Times New Roman"/>
          <w:sz w:val="17"/>
          <w:szCs w:val="17"/>
          <w:color w:val="auto"/>
        </w:rPr>
      </w:pPr>
    </w:p>
    <w:p>
      <w:pPr>
        <w:ind w:left="4" w:right="240" w:hanging="4"/>
        <w:spacing w:after="0" w:line="258" w:lineRule="auto"/>
        <w:tabs>
          <w:tab w:leader="none" w:pos="4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to the Company provided for herein shall be in writing and shall be deemed to have been duly given if delivered personally, sent by prepaid overnight courier (providing written proof of delivery) or sent by confirmed facsimile transmission or electronic mail and will be deemed given on the date so delivered (or, if such day is not a business day, on the first subsequent business day) to the following addresses, or in the case of the Investor, the address provided on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to the Exchange Agreement (or such other address as the Company or the Investor shall have specified by notice in writing to the other):</w:t>
      </w:r>
    </w:p>
    <w:p>
      <w:pPr>
        <w:sectPr>
          <w:pgSz w:w="11900" w:h="16838" w:orient="portrait"/>
          <w:cols w:equalWidth="0" w:num="1">
            <w:col w:w="11004"/>
          </w:cols>
          <w:pgMar w:left="436" w:top="270" w:right="459" w:bottom="1440" w:gutter="0" w:footer="0" w:header="0"/>
        </w:sectPr>
      </w:pP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5th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12" w:lineRule="exact"/>
        <w:rPr>
          <w:sz w:val="20"/>
          <w:szCs w:val="20"/>
          <w:color w:val="auto"/>
        </w:rPr>
      </w:pPr>
    </w:p>
    <w:p>
      <w:pPr>
        <w:sectPr>
          <w:pgSz w:w="11900" w:h="16838" w:orient="portrait"/>
          <w:cols w:equalWidth="0" w:num="2">
            <w:col w:w="4904" w:space="720"/>
            <w:col w:w="53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WilmerHale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State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Stuart Falber</w:t>
      </w:r>
    </w:p>
    <w:p>
      <w:pPr>
        <w:spacing w:after="0" w:line="200" w:lineRule="exact"/>
        <w:rPr>
          <w:sz w:val="20"/>
          <w:szCs w:val="20"/>
          <w:color w:val="auto"/>
        </w:rPr>
      </w:pPr>
    </w:p>
    <w:p>
      <w:pPr>
        <w:sectPr>
          <w:pgSz w:w="11900" w:h="16838" w:orient="portrait"/>
          <w:cols w:equalWidth="0" w:num="2">
            <w:col w:w="4904" w:space="720"/>
            <w:col w:w="5380"/>
          </w:cols>
          <w:pgMar w:left="436" w:top="270" w:right="459" w:bottom="1440" w:gutter="0" w:footer="0" w:header="0"/>
          <w:type w:val="continuous"/>
        </w:sectPr>
      </w:pPr>
    </w:p>
    <w:p>
      <w:pPr>
        <w:spacing w:after="0" w:line="20" w:lineRule="exact"/>
        <w:rPr>
          <w:sz w:val="20"/>
          <w:szCs w:val="20"/>
          <w:color w:val="auto"/>
        </w:rPr>
      </w:pPr>
    </w:p>
    <w:p>
      <w:pPr>
        <w:ind w:left="4" w:hanging="4"/>
        <w:spacing w:after="0" w:line="256" w:lineRule="auto"/>
        <w:tabs>
          <w:tab w:leader="none" w:pos="4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provisions of this Agreement shall be binding upon and accrue to the benefit of the Company, the Investor and the Exchanging Investors and their respective heirs, legal representatives, successors and assigns. This Agreement constitutes the entire agreement between the Company and the Investor with respect to the subject matters hereof. This Agreement may be executed by one or more of the parties hereto in any number of separate counterparts (including by facsimile or other electronic means, including telecopy, email or otherwise), and all of said counterparts taken together shall be deemed to constitute one and the same instrument. Delivery of an executed signature page of this Agreement by facsimile or other transmission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“pdf” or “tif” format) shall be effective as delivery of a manually executed counterpart hereof.</w:t>
      </w:r>
    </w:p>
    <w:p>
      <w:pPr>
        <w:spacing w:after="0" w:line="187" w:lineRule="exact"/>
        <w:rPr>
          <w:rFonts w:ascii="Times New Roman" w:cs="Times New Roman" w:eastAsia="Times New Roman" w:hAnsi="Times New Roman"/>
          <w:sz w:val="18"/>
          <w:szCs w:val="18"/>
          <w:color w:val="auto"/>
        </w:rPr>
      </w:pPr>
    </w:p>
    <w:p>
      <w:pPr>
        <w:ind w:left="4" w:right="180" w:hanging="4"/>
        <w:spacing w:after="0" w:line="266" w:lineRule="auto"/>
        <w:tabs>
          <w:tab w:leader="none" w:pos="4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Changes</w:t>
      </w:r>
      <w:r>
        <w:rPr>
          <w:rFonts w:ascii="Times New Roman" w:cs="Times New Roman" w:eastAsia="Times New Roman" w:hAnsi="Times New Roman"/>
          <w:sz w:val="18"/>
          <w:szCs w:val="18"/>
          <w:color w:val="auto"/>
        </w:rPr>
        <w:t>. After the date of this Agreement, each of the Company and the Investor hereby covenants and agrees to notify the other upon the occurrence of any event prior to the Closing of the Exchange pursuant to this Agreement that would cause any representation, warranty or covenant of the Company or the Investor, as the case may be, contained in this Agreement to be false or incorrect.</w:t>
      </w:r>
    </w:p>
    <w:p>
      <w:pPr>
        <w:spacing w:after="0" w:line="175" w:lineRule="exact"/>
        <w:rPr>
          <w:rFonts w:ascii="Times New Roman" w:cs="Times New Roman" w:eastAsia="Times New Roman" w:hAnsi="Times New Roman"/>
          <w:sz w:val="18"/>
          <w:szCs w:val="18"/>
          <w:color w:val="auto"/>
        </w:rPr>
      </w:pPr>
    </w:p>
    <w:p>
      <w:pPr>
        <w:ind w:left="4" w:right="220" w:hanging="4"/>
        <w:spacing w:after="0" w:line="266" w:lineRule="auto"/>
        <w:tabs>
          <w:tab w:leader="none" w:pos="4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the Placement Agent</w:t>
      </w:r>
      <w:r>
        <w:rPr>
          <w:rFonts w:ascii="Times New Roman" w:cs="Times New Roman" w:eastAsia="Times New Roman" w:hAnsi="Times New Roman"/>
          <w:sz w:val="18"/>
          <w:szCs w:val="18"/>
          <w:color w:val="auto"/>
        </w:rPr>
        <w:t>. The Placement Agent may rely on each representation and warranty of the Company and the Investor made herein or pursuant to the terms hereof with the same force and effect as if such representation or warranty were made directly to the Placement Agent. The Placement Agent shall be a third-party beneficiary of this Agreement to the extent provided in this Section 15.</w:t>
      </w:r>
    </w:p>
    <w:p>
      <w:pPr>
        <w:spacing w:after="0" w:line="175" w:lineRule="exact"/>
        <w:rPr>
          <w:rFonts w:ascii="Times New Roman" w:cs="Times New Roman" w:eastAsia="Times New Roman" w:hAnsi="Times New Roman"/>
          <w:sz w:val="18"/>
          <w:szCs w:val="18"/>
          <w:color w:val="auto"/>
        </w:rPr>
      </w:pPr>
    </w:p>
    <w:p>
      <w:pPr>
        <w:jc w:val="both"/>
        <w:ind w:left="4" w:right="40" w:hanging="4"/>
        <w:spacing w:after="0" w:line="266" w:lineRule="auto"/>
        <w:tabs>
          <w:tab w:leader="none" w:pos="4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Agreement (in whole or in part) is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type w:val="continuous"/>
        </w:sectPr>
      </w:pPr>
    </w:p>
    <w:bookmarkStart w:id="15" w:name="page16"/>
    <w:bookmarkEnd w:id="15"/>
    <w:p>
      <w:pPr>
        <w:ind w:left="4" w:right="680" w:hanging="4"/>
        <w:spacing w:after="0" w:line="282" w:lineRule="auto"/>
        <w:tabs>
          <w:tab w:leader="none" w:pos="40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Survival</w:t>
      </w:r>
      <w:r>
        <w:rPr>
          <w:rFonts w:ascii="Times New Roman" w:cs="Times New Roman" w:eastAsia="Times New Roman" w:hAnsi="Times New Roman"/>
          <w:sz w:val="18"/>
          <w:szCs w:val="18"/>
          <w:color w:val="auto"/>
        </w:rPr>
        <w:t>. The representations and warranties of the Company and the Investor contained in this Agreement or made by or on behalf of the Exchanging Investors pursuant to this Agreement shall survive the consummation of the transactions contemplated hereby.</w:t>
      </w:r>
    </w:p>
    <w:p>
      <w:pPr>
        <w:spacing w:after="0" w:line="161" w:lineRule="exact"/>
        <w:rPr>
          <w:rFonts w:ascii="Times New Roman" w:cs="Times New Roman" w:eastAsia="Times New Roman" w:hAnsi="Times New Roman"/>
          <w:sz w:val="18"/>
          <w:szCs w:val="18"/>
          <w:color w:val="auto"/>
        </w:rPr>
      </w:pPr>
    </w:p>
    <w:p>
      <w:pPr>
        <w:ind w:left="4" w:right="100" w:hanging="4"/>
        <w:spacing w:after="0" w:line="273" w:lineRule="auto"/>
        <w:tabs>
          <w:tab w:leader="none" w:pos="4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and the transactions contemplated hereby abandoned (a) by mutual agreement of the Company and the Investor in writing or (b) by either the Company or the Investor if the conditions to such party’s obligations set forth herein have not been satisfied (unless waived by the party entitled to the benefit thereof), and the Closing has not occurred on or before January 28, 2021 without liability of either the Company or the Investor or the Exchanging Investors, as the case may be; provided that neither the Company nor the Investor shall be released from liability hereunder if the Agreement is terminated and the transactions abandoned by reason of the failure of the Company or the Investor or the Exchanging Investors, as the case may be to have performed its obligations hereunder. Except as provided above, if this Agreement is terminated and the transactions contemplated hereby are not concluded as described above, the Agreement will become void and of no further force and effect.</w:t>
      </w:r>
    </w:p>
    <w:p>
      <w:pPr>
        <w:spacing w:after="0" w:line="171" w:lineRule="exact"/>
        <w:rPr>
          <w:rFonts w:ascii="Times New Roman" w:cs="Times New Roman" w:eastAsia="Times New Roman" w:hAnsi="Times New Roman"/>
          <w:sz w:val="17"/>
          <w:szCs w:val="17"/>
          <w:color w:val="auto"/>
        </w:rPr>
      </w:pPr>
    </w:p>
    <w:p>
      <w:pPr>
        <w:ind w:left="4" w:hanging="4"/>
        <w:spacing w:after="0" w:line="269" w:lineRule="auto"/>
        <w:tabs>
          <w:tab w:leader="none" w:pos="4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Taxation</w:t>
      </w:r>
      <w:r>
        <w:rPr>
          <w:rFonts w:ascii="Times New Roman" w:cs="Times New Roman" w:eastAsia="Times New Roman" w:hAnsi="Times New Roman"/>
          <w:sz w:val="17"/>
          <w:szCs w:val="17"/>
          <w:color w:val="auto"/>
        </w:rPr>
        <w:t>. The Investor acknowledges that, if an Exchanging Investor is a United States person for U.S. federal income tax purposes, either (i) the Company must be provided with a correct taxpayer identification number (“</w:t>
      </w:r>
      <w:r>
        <w:rPr>
          <w:rFonts w:ascii="Times New Roman" w:cs="Times New Roman" w:eastAsia="Times New Roman" w:hAnsi="Times New Roman"/>
          <w:sz w:val="17"/>
          <w:szCs w:val="17"/>
          <w:b w:val="1"/>
          <w:bCs w:val="1"/>
          <w:color w:val="auto"/>
        </w:rPr>
        <w:t>TIN</w:t>
      </w:r>
      <w:r>
        <w:rPr>
          <w:rFonts w:ascii="Times New Roman" w:cs="Times New Roman" w:eastAsia="Times New Roman" w:hAnsi="Times New Roman"/>
          <w:sz w:val="17"/>
          <w:szCs w:val="17"/>
          <w:color w:val="auto"/>
        </w:rPr>
        <w:t>,” generally a person’s social security or federal employer identification number) and certain other information on a properly completed and executed Internal Revenue Service (“</w:t>
      </w:r>
      <w:r>
        <w:rPr>
          <w:rFonts w:ascii="Times New Roman" w:cs="Times New Roman" w:eastAsia="Times New Roman" w:hAnsi="Times New Roman"/>
          <w:sz w:val="17"/>
          <w:szCs w:val="17"/>
          <w:b w:val="1"/>
          <w:bCs w:val="1"/>
          <w:color w:val="auto"/>
        </w:rPr>
        <w:t>IRS</w:t>
      </w:r>
      <w:r>
        <w:rPr>
          <w:rFonts w:ascii="Times New Roman" w:cs="Times New Roman" w:eastAsia="Times New Roman" w:hAnsi="Times New Roman"/>
          <w:sz w:val="17"/>
          <w:szCs w:val="17"/>
          <w:color w:val="auto"/>
        </w:rPr>
        <w:t>”) Form W-9, or (ii) another basis for exemption from backup withholding must be established. The Investor further acknowledges that, if an Exchanging Investor is not a United States person for U.S. federal income tax purposes, the Company must be provided with a properly completed and executed IRS Form W-8BEN, IRS Form W-8BEN-E, IRS Form W-8IMY (and all required attachments) or other applicable IRS Form W-8, attesting to that non-U.S. Exchanging Investor’s foreign status and certain other information, including information establishing an exemption from withholding under Sections 1471 through 1474 of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xml:space="preserve">”). The Investor further acknowledges that any Exchanging Investor may be subject to 30% U.S. federal withholding or 24% U.S. federal backup withholding on certain payments made to such Exchanging Investor unless such Exchanging Investor properly establishes an exemption from, or a reduced rate of, such withholding or backup withholding. See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for certain additional information. The Company and its agents shall be entitled to deduct and withhold from any consideration payable pursuant to this Agreement such amounts as are required to be deducted or withheld under applicable law. To the extent any such amounts are withheld and remitted to the appropriate taxing authority, such amounts shall be treated for all purposes as having been paid to the Exchanging Investor to whom such amounts otherwise would have been paid.</w:t>
      </w:r>
    </w:p>
    <w:p>
      <w:pPr>
        <w:spacing w:after="0" w:line="175" w:lineRule="exact"/>
        <w:rPr>
          <w:rFonts w:ascii="Times New Roman" w:cs="Times New Roman" w:eastAsia="Times New Roman" w:hAnsi="Times New Roman"/>
          <w:sz w:val="17"/>
          <w:szCs w:val="17"/>
          <w:color w:val="auto"/>
        </w:rPr>
      </w:pPr>
    </w:p>
    <w:p>
      <w:pPr>
        <w:ind w:left="4" w:right="520" w:hanging="4"/>
        <w:spacing w:after="0" w:line="282" w:lineRule="auto"/>
        <w:tabs>
          <w:tab w:leader="none" w:pos="40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and Other Headings</w:t>
      </w:r>
      <w:r>
        <w:rPr>
          <w:rFonts w:ascii="Times New Roman" w:cs="Times New Roman" w:eastAsia="Times New Roman" w:hAnsi="Times New Roman"/>
          <w:sz w:val="18"/>
          <w:szCs w:val="18"/>
          <w:color w:val="auto"/>
        </w:rPr>
        <w:t>. The section and other headings contained in Agreement are for reference purposes only and shall not affect the meaning or interpretation of this Agreement.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16" w:name="page17"/>
    <w:bookmarkEnd w:id="16"/>
    <w:p>
      <w:pPr>
        <w:ind w:left="67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color w:val="auto"/>
        </w:rPr>
        <w:t>APELLIS PHARMACEUTICALS, INC.</w:t>
      </w:r>
    </w:p>
    <w:p>
      <w:pPr>
        <w:spacing w:after="0" w:line="264"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0</wp:posOffset>
            </wp:positionV>
            <wp:extent cx="19202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Timothy Sullivan</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680"/>
          </w:cols>
          <w:pgMar w:left="1440" w:top="270" w:right="77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Please confirm that the foregoing correctly sets forth the agreement between the Company and the Investor by signing in the space provided below for that purpose.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6620"/>
        <w:spacing w:after="0"/>
        <w:tabs>
          <w:tab w:leader="none" w:pos="7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 its capacity as described in the first paragraph hereof</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20"/>
          </w:cols>
          <w:pgMar w:left="440" w:top="270" w:right="6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16"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588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Exchanging Investor Information</w:t>
            </w:r>
          </w:p>
        </w:tc>
        <w:tc>
          <w:tcPr>
            <w:tcW w:w="0" w:type="dxa"/>
            <w:vAlign w:val="bottom"/>
          </w:tcPr>
          <w:p>
            <w:pPr>
              <w:spacing w:after="0"/>
              <w:rPr>
                <w:sz w:val="1"/>
                <w:szCs w:val="1"/>
                <w:color w:val="auto"/>
              </w:rPr>
            </w:pPr>
          </w:p>
        </w:tc>
      </w:tr>
      <w:tr>
        <w:trPr>
          <w:trHeight w:val="389"/>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Exchanging Investor</w:t>
            </w:r>
          </w:p>
        </w:tc>
        <w:tc>
          <w:tcPr>
            <w:tcW w:w="92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2560" w:type="dxa"/>
            <w:vAlign w:val="bottom"/>
            <w:gridSpan w:val="2"/>
          </w:tcPr>
          <w:p>
            <w:pPr>
              <w:jc w:val="center"/>
              <w:ind w:left="648"/>
              <w:spacing w:after="0"/>
              <w:rPr>
                <w:sz w:val="20"/>
                <w:szCs w:val="20"/>
                <w:color w:val="auto"/>
              </w:rPr>
            </w:pPr>
            <w:r>
              <w:rPr>
                <w:rFonts w:ascii="Times New Roman" w:cs="Times New Roman" w:eastAsia="Times New Roman" w:hAnsi="Times New Roman"/>
                <w:sz w:val="14"/>
                <w:szCs w:val="14"/>
                <w:color w:val="auto"/>
              </w:rPr>
              <w:t>Aggregate Principal Amount of</w:t>
            </w: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vMerge w:val="continue"/>
          </w:tcPr>
          <w:p>
            <w:pPr>
              <w:spacing w:after="0"/>
              <w:rPr>
                <w:sz w:val="14"/>
                <w:szCs w:val="14"/>
                <w:color w:val="auto"/>
              </w:rPr>
            </w:pPr>
          </w:p>
        </w:tc>
        <w:tc>
          <w:tcPr>
            <w:tcW w:w="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Exchanged Notes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020"/>
          </w:cols>
          <w:pgMar w:left="1440" w:top="266" w:right="4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Exchanging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39173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428625</wp:posOffset>
            </wp:positionV>
            <wp:extent cx="39173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39173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173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420370</wp:posOffset>
            </wp:positionV>
            <wp:extent cx="39173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173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643255</wp:posOffset>
            </wp:positionV>
            <wp:extent cx="39173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-7620</wp:posOffset>
            </wp:positionV>
            <wp:extent cx="34848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48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of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39173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39173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 for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-7620</wp:posOffset>
            </wp:positionV>
            <wp:extent cx="3227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277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-19050</wp:posOffset>
            </wp:positionV>
            <wp:extent cx="33420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420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DTC Participant 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-19050</wp:posOffset>
            </wp:positionV>
            <wp:extent cx="28848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848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DTC Participant Contact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-19050</wp:posOffset>
            </wp:positionV>
            <wp:extent cx="2941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FFC 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-19050</wp:posOffset>
            </wp:positionV>
            <wp:extent cx="36849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849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 # at Bank/Broker: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-19050</wp:posOffset>
            </wp:positionV>
            <wp:extent cx="31991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 for Shares (if different from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-7620</wp:posOffset>
            </wp:positionV>
            <wp:extent cx="32277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277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-19050</wp:posOffset>
            </wp:positionV>
            <wp:extent cx="33420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420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DTC Participant 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-19050</wp:posOffset>
            </wp:positionV>
            <wp:extent cx="28848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848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DTC Participant Contact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-19050</wp:posOffset>
            </wp:positionV>
            <wp:extent cx="29419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4195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FFC 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-19050</wp:posOffset>
            </wp:positionV>
            <wp:extent cx="36849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849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 # at Bank/Broker: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-19050</wp:posOffset>
            </wp:positionV>
            <wp:extent cx="31991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Exchanging Investor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39173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428625</wp:posOffset>
            </wp:positionV>
            <wp:extent cx="39173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643255</wp:posOffset>
            </wp:positionV>
            <wp:extent cx="39173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-7620</wp:posOffset>
            </wp:positionV>
            <wp:extent cx="34848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848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of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39173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39173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020"/>
          </w:cols>
          <w:pgMar w:left="440" w:top="266"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Procedures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TO INVESTOR</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These are the Exchange Procedures for the settlement of the exchange of 3.500% Convertible Senior Notes due 2026, CUSIP 03753UAB2 (the </w:t>
      </w:r>
      <w:r>
        <w:rPr>
          <w:rFonts w:ascii="Times New Roman" w:cs="Times New Roman" w:eastAsia="Times New Roman" w:hAnsi="Times New Roman"/>
          <w:sz w:val="18"/>
          <w:szCs w:val="18"/>
          <w:b w:val="1"/>
          <w:bCs w:val="1"/>
          <w:color w:val="auto"/>
        </w:rPr>
        <w:t>“Exchanged Notes</w:t>
      </w:r>
      <w:r>
        <w:rPr>
          <w:rFonts w:ascii="Times New Roman" w:cs="Times New Roman" w:eastAsia="Times New Roman" w:hAnsi="Times New Roman"/>
          <w:sz w:val="18"/>
          <w:szCs w:val="18"/>
          <w:color w:val="auto"/>
        </w:rPr>
        <w:t>”) of,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the Shares to be issued as Exchange Consideration (as defined in and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Agreement between you and the Company), which is expected to occur on or about January 25, 2021. To ensure timely settlement for the Exchange Consideration, please follow the instructions as set forth below.</w:t>
      </w:r>
    </w:p>
    <w:p>
      <w:pPr>
        <w:spacing w:after="0" w:line="180"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These instructions supersede any prior instructions you received. Your failure to comply with these instructions may delay your receipt of the Exchange Consideration.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Yun Xie of J. Wood Capital Advisors LLC at 917-727-9869.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deliver Exchanged Notes:</w:t>
      </w:r>
    </w:p>
    <w:p>
      <w:pPr>
        <w:spacing w:after="0" w:line="11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t xml:space="preserve">You must direct the eligible DTC participant through which you hold a beneficial interest in the Exchanged Notes </w:t>
      </w:r>
      <w:r>
        <w:rPr>
          <w:rFonts w:ascii="Times New Roman" w:cs="Times New Roman" w:eastAsia="Times New Roman" w:hAnsi="Times New Roman"/>
          <w:sz w:val="18"/>
          <w:szCs w:val="18"/>
          <w:b w:val="1"/>
          <w:bCs w:val="1"/>
          <w:color w:val="auto"/>
        </w:rPr>
        <w:t>on January 25,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 later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9:00 a.m., New York City time</w:t>
      </w:r>
      <w:r>
        <w:rPr>
          <w:rFonts w:ascii="Times New Roman" w:cs="Times New Roman" w:eastAsia="Times New Roman" w:hAnsi="Times New Roman"/>
          <w:sz w:val="18"/>
          <w:szCs w:val="18"/>
          <w:color w:val="auto"/>
        </w:rPr>
        <w:t>, to perform a free delivery through DTC for the aggregate principal amount of Exchanged Notes set forth on 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to be exchanged for Shares.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receive Exchange Consideration:</w:t>
      </w:r>
    </w:p>
    <w:p>
      <w:pPr>
        <w:spacing w:after="0" w:line="113"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color w:val="auto"/>
        </w:rPr>
        <w:t xml:space="preserve">You must direct the eligible DTC participant </w:t>
      </w:r>
      <w:r>
        <w:rPr>
          <w:rFonts w:ascii="Times New Roman" w:cs="Times New Roman" w:eastAsia="Times New Roman" w:hAnsi="Times New Roman"/>
          <w:sz w:val="18"/>
          <w:szCs w:val="18"/>
          <w:b w:val="1"/>
          <w:bCs w:val="1"/>
          <w:color w:val="auto"/>
        </w:rPr>
        <w:t>on January 25,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 later than 9:00 a.m., New York City time</w:t>
      </w:r>
      <w:r>
        <w:rPr>
          <w:rFonts w:ascii="Times New Roman" w:cs="Times New Roman" w:eastAsia="Times New Roman" w:hAnsi="Times New Roman"/>
          <w:sz w:val="18"/>
          <w:szCs w:val="18"/>
          <w:color w:val="auto"/>
        </w:rPr>
        <w:t>, to perform a free delivery through DTC for the aggregate principal amount of Exchanged Notes set forth on Exhibit A of the Agreement to be exchanged for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Stock Transfer &amp; Trust Company is the Transfer Agent and Registrar for the Common Stock.</w:t>
      </w:r>
    </w:p>
    <w:p>
      <w:pPr>
        <w:spacing w:after="0" w:line="221"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January 25, 2021, after the Company receives your Exchanged Notes and your delivery instructions as set forth above, and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satisfaction of the conditions to Closing as set forth in your Exchange Agreement, the Company will deliver the Exchange Consideration in respect of the Exchanged Notes in accordance with the delivery instructions above.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020"/>
          </w:cols>
          <w:pgMar w:left="440" w:top="266" w:right="439" w:bottom="1440" w:gutter="0" w:footer="0" w:header="0"/>
        </w:sectPr>
      </w:pPr>
    </w:p>
    <w:bookmarkStart w:id="21" w:name="page22"/>
    <w:bookmarkEnd w:id="21"/>
    <w:p>
      <w:pPr>
        <w:ind w:left="100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U.S. federal income tax law, a holder who exchanges Notes for Shares generally must provide such holder’s correct TIN on a properly completed and executed IRS Form W-9 (available from the Company or at www.irs.gov/pub/irs-pdf/fw9.pdf) or otherwise establish a basis for exemption from backup withholding. A TIN is generally an individual holder’s social security number or a holder’s employer identification number. If the correct TIN is not provided, the holder may be subject to a $50 penalty imposed under Section 6723 of the Code. In addition, certain payments made to holders may be subject to U.S. backup withholding (currently set at 24% of the payment). If a holder is required to provide a TIN but does not have a TIN, the holder should consult its tax advisor regarding how to obtain a TIN. Certain holders (including corporations and non-U.S. holders) are not subject to these backup withholding and reporting requirements.</w:t>
      </w:r>
    </w:p>
    <w:p>
      <w:pPr>
        <w:spacing w:after="0" w:line="18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 non-U.S. holder (i) will be subject to 30% U.S. federal withholding unless such holder establishes an exemption from, or a reduced rate of, such withholding, and (ii) must establish its status as an exempt recipient from backup withholding and can do so by submitting a properly completed IRS Form W-8BEN, IRS Form W-8BEN-E, IRS Form W-8IMY (and all required attachments), or other applicable IRS Form W-8 (available from the Company or at www.irs.gov), signed, under penalties of perjury, attesting to such holder’s exempt foreign status. This form also may establish an exemption from withholding under Section 1471 through 1474 of the Code.</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U.S. backup withholding is not an additional tax. Rather, the U.S. federal income tax liability of persons subject to backup withholding will be reduced by the amount of tax withheld. If withholding results in an overpayment of taxes, a refund may be obtained provided that the required information is timely furnished to the IRS. Holders are urged to consult their tax advisors regarding how to complete the appropriate forms and to determine whether they are exempt from backup withholding or other withholding taxes.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66" w:right="439" w:bottom="1440" w:gutter="0" w:footer="0" w:header="0"/>
        </w:sectPr>
      </w:pPr>
    </w:p>
    <w:bookmarkStart w:id="22" w:name="page23"/>
    <w:bookmarkEnd w:id="22"/>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Apellis Announces Agreements to Exchange Approximately $107.5 Million in Principal Amount of Its 3.500% Convertible Senior Notes Due 2026 for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7, 2021</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WALTHAM, Mass., January 7, 2021 (GLOBE NEWSWIRE) — Apellis Pharmaceuticals, Inc. (Nasdaq:APLS), a global biopharmaceutical company and leader in targeted C3 therapies, today announced that it has entered into separate, privately negotiated exchange agreements with certain holders of its 3.500% Convertible Senior Notes due 2026 issued in September 2019 (the “Notes”). Under the terms of these exchange agreements, the holders have agreed to exchange with Apellis approximately $107.5 million in aggregate principal amount of Notes held by them for (i) 2,232,808 shares of Apellis’ common stock, which is equal to 20.7792 shares per $1,000 principal amount of Notes exchanged plus (ii) an additional number of shares of Apellis’ common stock per $1,000 principal amount of Notes exchanged equal to the quotient of (a) $544.07 divided by (b) the average of the daily volume-weighted average prices of Apellis’ common stock over the ten consecutive trading days commencing on January 7, 2021. The exchange transactions are expected to close on January 25, 2021, subject to the satisfaction of customary closing conditions.</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shares of Apellis’ common stock issuable in the exchanges have not been registered under the Securities Act of 1933, as amended, or the securities laws of any state or other jurisdiction, and may not be offered or sold in the United States absent registration or an applicable exemption from the registration requirements of the Securities Act and such other jurisdictions.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to buy any of the securities described herein, nor shall there be any sale of these securities in any state or jurisdiction in which such offer, solicitation or sale would be unlawful.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Apellis</w:t>
      </w:r>
    </w:p>
    <w:p>
      <w:pPr>
        <w:spacing w:after="0" w:line="121"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Apellis Pharmaceuticals, Inc. is a global biopharmaceutical company that is committed to leveraging courageous science, creativity, and compassion to deliver life-changing therapies. Leaders in targeted C3 therapies, we aim to develop transformative therapies for a broad range of debilitating diseases that are driven by excessive activation of the complement cascade, including those within hematology, ophthalmology, nephrology, and neurology.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These statements include, but are not limited to, statements in respect of the expected closing of the exchanges.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whether the conditions for the closing of the exchanges will be satisfied and other factors discussed in the “Risk Factors” section of Apellis’ Quarterly Report on Form 10-Q filed with the Securities and Exchange Commission on November 2, 2020 and the risks described in other filings that Apellis may make with the Securities and Exchange Commission. Any forward-looking statements contained in this press release speak only as of the date hereof, and Apellis specifically disclaims any obligation to update any forward-looking statement, whether as a result of new information, future events or otherwise.</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lvl w:ilvl="1">
      <w:lvlJc w:val="left"/>
      <w:lvlText w:val="(%2)"/>
      <w:numFmt w:val="lowerLetter"/>
      <w:start w:val="34"/>
    </w:lvl>
    <w:lvl w:ilvl="2">
      <w:lvlJc w:val="left"/>
      <w:lvlText w:val="(%3)"/>
      <w:numFmt w:val="lowerLetter"/>
      <w:start w:val="1"/>
    </w:lvl>
  </w:abstractNum>
  <w:abstractNum w:abstractNumId="2">
    <w:nsid w:val="1F16E9E8"/>
    <w:multiLevelType w:val="hybridMultilevel"/>
    <w:lvl w:ilvl="0">
      <w:lvlJc w:val="left"/>
      <w:lvlText w:val="(%1)"/>
      <w:numFmt w:val="lowerRoman"/>
      <w:start w:val="2"/>
    </w:lvl>
  </w:abstractNum>
  <w:abstractNum w:abstractNumId="3">
    <w:nsid w:val="1190CDE7"/>
    <w:multiLevelType w:val="hybridMultilevel"/>
    <w:lvl w:ilvl="0">
      <w:lvlJc w:val="left"/>
      <w:lvlText w:val="%1."/>
      <w:numFmt w:val="decimal"/>
      <w:start w:val="2"/>
    </w:lvl>
    <w:lvl w:ilvl="1">
      <w:lvlJc w:val="left"/>
      <w:lvlText w:val="(%2)"/>
      <w:numFmt w:val="lowerLetter"/>
      <w:start w:val="1"/>
    </w:lvl>
  </w:abstractNum>
  <w:abstractNum w:abstractNumId="4">
    <w:nsid w:val="66EF438D"/>
    <w:multiLevelType w:val="hybridMultilevel"/>
    <w:lvl w:ilvl="0">
      <w:lvlJc w:val="left"/>
      <w:lvlText w:val="(%1)"/>
      <w:numFmt w:val="lowerLetter"/>
      <w:start w:val="2"/>
    </w:lvl>
  </w:abstractNum>
  <w:abstractNum w:abstractNumId="5">
    <w:nsid w:val="140E0F76"/>
    <w:multiLevelType w:val="hybridMultilevel"/>
    <w:lvl w:ilvl="0">
      <w:lvlJc w:val="left"/>
      <w:lvlText w:val="(%1)"/>
      <w:numFmt w:val="lowerLetter"/>
      <w:start w:val="5"/>
    </w:lvl>
  </w:abstractNum>
  <w:abstractNum w:abstractNumId="6">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7">
    <w:nsid w:val="109CF92E"/>
    <w:multiLevelType w:val="hybridMultilevel"/>
    <w:lvl w:ilvl="0">
      <w:lvlJc w:val="left"/>
      <w:lvlText w:val="%1."/>
      <w:numFmt w:val="decimal"/>
      <w:start w:val="3"/>
    </w:lvl>
    <w:lvl w:ilvl="1">
      <w:lvlJc w:val="left"/>
      <w:lvlText w:val="(%2)"/>
      <w:numFmt w:val="lowerLetter"/>
    </w:lvl>
    <w:lvl w:ilvl="2">
      <w:lvlJc w:val="left"/>
      <w:lvlText w:val="(%3)"/>
      <w:numFmt w:val="lowerLetter"/>
      <w:start w:val="1"/>
    </w:lvl>
  </w:abstractNum>
  <w:abstractNum w:abstractNumId="8">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
    <w:nsid w:val="7FDCC233"/>
    <w:multiLevelType w:val="hybridMultilevel"/>
    <w:lvl w:ilvl="0">
      <w:lvlJc w:val="left"/>
      <w:lvlText w:val="%1"/>
      <w:numFmt w:val="upperLetter"/>
      <w:start w:val="1"/>
    </w:lvl>
    <w:lvl w:ilvl="1">
      <w:lvlJc w:val="left"/>
      <w:lvlText w:val="(%2)"/>
      <w:numFmt w:val="lowerLetter"/>
      <w:start w:val="4"/>
    </w:lvl>
  </w:abstractNum>
  <w:abstractNum w:abstractNumId="10">
    <w:nsid w:val="1BEFD79F"/>
    <w:multiLevelType w:val="hybridMultilevel"/>
    <w:lvl w:ilvl="0">
      <w:lvlJc w:val="left"/>
      <w:lvlText w:val="(%1)"/>
      <w:numFmt w:val="lowerLetter"/>
      <w:start w:val="8"/>
    </w:lvl>
  </w:abstractNum>
  <w:abstractNum w:abstractNumId="11">
    <w:nsid w:val="41A7C4C9"/>
    <w:multiLevelType w:val="hybridMultilevel"/>
    <w:lvl w:ilvl="0">
      <w:lvlJc w:val="left"/>
      <w:lvlText w:val="(%1)"/>
      <w:numFmt w:val="lowerLetter"/>
      <w:start w:val="15"/>
    </w:lvl>
  </w:abstractNum>
  <w:abstractNum w:abstractNumId="12">
    <w:nsid w:val="6B68079A"/>
    <w:multiLevelType w:val="hybridMultilevel"/>
    <w:lvl w:ilvl="0">
      <w:lvlJc w:val="left"/>
      <w:lvlText w:val="(%1)"/>
      <w:numFmt w:val="lowerLetter"/>
      <w:start w:val="22"/>
    </w:lvl>
  </w:abstractNum>
  <w:abstractNum w:abstractNumId="13">
    <w:nsid w:val="4E6AFB66"/>
    <w:multiLevelType w:val="hybridMultilevel"/>
    <w:lvl w:ilvl="0">
      <w:lvlJc w:val="left"/>
      <w:lvlText w:val="(%1)"/>
      <w:numFmt w:val="lowerLetter"/>
      <w:start w:val="26"/>
    </w:lvl>
  </w:abstractNum>
  <w:abstractNum w:abstractNumId="14">
    <w:nsid w:val="25E45D32"/>
    <w:multiLevelType w:val="hybridMultilevel"/>
    <w:lvl w:ilvl="0">
      <w:lvlJc w:val="left"/>
      <w:lvlText w:val="%1"/>
      <w:numFmt w:val="decimal"/>
      <w:start w:val="1"/>
    </w:lvl>
    <w:lvl w:ilvl="1">
      <w:lvlJc w:val="left"/>
      <w:lvlText w:val="(%2)"/>
      <w:numFmt w:val="lowerLetter"/>
      <w:start w:val="27"/>
    </w:lvl>
  </w:abstractNum>
  <w:abstractNum w:abstractNumId="15">
    <w:nsid w:val="519B500D"/>
    <w:multiLevelType w:val="hybridMultilevel"/>
    <w:lvl w:ilvl="0">
      <w:lvlJc w:val="left"/>
      <w:lvlText w:val="%1."/>
      <w:numFmt w:val="decimal"/>
      <w:start w:val="4"/>
    </w:lvl>
    <w:lvl w:ilvl="1">
      <w:lvlJc w:val="left"/>
      <w:lvlText w:val="%2"/>
      <w:numFmt w:val="lowerLetter"/>
      <w:start w:val="1"/>
    </w:lvl>
  </w:abstractNum>
  <w:abstractNum w:abstractNumId="16">
    <w:nsid w:val="431BD7B7"/>
    <w:multiLevelType w:val="hybridMultilevel"/>
    <w:lvl w:ilvl="0">
      <w:lvlJc w:val="left"/>
      <w:lvlText w:val="%1."/>
      <w:numFmt w:val="decimal"/>
      <w:start w:val="11"/>
    </w:lvl>
  </w:abstractNum>
  <w:abstractNum w:abstractNumId="17">
    <w:nsid w:val="3F2DBA31"/>
    <w:multiLevelType w:val="hybridMultilevel"/>
    <w:lvl w:ilvl="0">
      <w:lvlJc w:val="left"/>
      <w:lvlText w:val="%1."/>
      <w:numFmt w:val="decimal"/>
      <w:start w:val="13"/>
    </w:lvl>
  </w:abstractNum>
  <w:abstractNum w:abstractNumId="18">
    <w:nsid w:val="7C83E458"/>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2021-01-07T06:10:31Z</dcterms:created>
  <dcterms:modified xsi:type="dcterms:W3CDTF">2021-01-07T06:10:31Z</dcterms:modified>
</cp:coreProperties>
</file>