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67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676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2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Watson David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01/13/2026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60" w:lineRule="exact"/>
        <w:rPr>
          <w:sz w:val="24"/>
          <w:szCs w:val="24"/>
          <w:color w:val="auto"/>
        </w:rPr>
      </w:pPr>
    </w:p>
    <w:p>
      <w:pPr>
        <w:sectPr>
          <w:pgSz w:w="11900" w:h="16838" w:orient="portrait"/>
          <w:cols w:equalWidth="0" w:num="3">
            <w:col w:w="3280" w:space="640"/>
            <w:col w:w="3220" w:space="595"/>
            <w:col w:w="3265"/>
          </w:cols>
          <w:pgMar w:left="460" w:top="219" w:right="439" w:bottom="22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920" w:type="dxa"/>
            <w:vAlign w:val="bottom"/>
            <w:gridSpan w:val="6"/>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6"/>
          </w:tcPr>
          <w:p>
            <w:pPr>
              <w:ind w:left="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02451</w:t>
            </w: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2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2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20" w:type="dxa"/>
            <w:vAlign w:val="bottom"/>
            <w:gridSpan w:val="2"/>
          </w:tcPr>
          <w:p>
            <w:pPr>
              <w:ind w:left="9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20" w:type="dxa"/>
            <w:vAlign w:val="bottom"/>
            <w:gridSpan w:val="2"/>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20" w:type="dxa"/>
            <w:vAlign w:val="bottom"/>
            <w:gridSpan w:val="2"/>
          </w:tcPr>
          <w:p>
            <w:pPr>
              <w:ind w:left="9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Price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gridSpan w:val="2"/>
          </w:tcPr>
          <w:p>
            <w:pPr>
              <w:ind w:left="1060"/>
              <w:spacing w:after="0"/>
              <w:rPr>
                <w:sz w:val="20"/>
                <w:szCs w:val="20"/>
                <w:color w:val="auto"/>
              </w:rPr>
            </w:pPr>
            <w:r>
              <w:rPr>
                <w:rFonts w:ascii="Times New Roman" w:cs="Times New Roman" w:eastAsia="Times New Roman" w:hAnsi="Times New Roman"/>
                <w:sz w:val="17"/>
                <w:szCs w:val="17"/>
                <w:color w:val="0000FF"/>
              </w:rPr>
              <w:t>01/13/2026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5,780</w:t>
            </w:r>
          </w:p>
        </w:tc>
        <w:tc>
          <w:tcPr>
            <w:tcW w:w="1400" w:type="dxa"/>
            <w:vAlign w:val="bottom"/>
            <w:tcBorders>
              <w:bottom w:val="single" w:sz="8" w:color="2C2C2C"/>
            </w:tcBorders>
            <w:gridSpan w:val="4"/>
          </w:tcPr>
          <w:p>
            <w:pPr>
              <w:jc w:val="center"/>
              <w:ind w:left="51"/>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22.1872</w:t>
            </w:r>
          </w:p>
        </w:tc>
        <w:tc>
          <w:tcPr>
            <w:tcW w:w="10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98,838</w:t>
            </w:r>
          </w:p>
        </w:tc>
        <w:tc>
          <w:tcPr>
            <w:tcW w:w="9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10,000</w:t>
            </w:r>
          </w:p>
        </w:tc>
        <w:tc>
          <w:tcPr>
            <w:tcW w:w="900" w:type="dxa"/>
            <w:vAlign w:val="bottom"/>
            <w:vMerge w:val="restart"/>
          </w:tcPr>
          <w:p>
            <w:pPr>
              <w:ind w:left="36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for minor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David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50,136</w:t>
            </w:r>
          </w:p>
        </w:tc>
        <w:tc>
          <w:tcPr>
            <w:tcW w:w="900" w:type="dxa"/>
            <w:vAlign w:val="bottom"/>
          </w:tcPr>
          <w:p>
            <w:pPr>
              <w:ind w:left="36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 Watson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shares sold to cover tax withholding on the Restricted Stock Units released on January 12,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a custodial account held by the reporting person for the sole benefit of his minor children.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David O. Watson Irrevocable Trust of 2023. William Zorn is the trustee of The David O. Watson Irrevocable Trust of 2023. The reporting person disclaims beneficial ownership over the shares held by The David O. Watson Irrevocable Trust of 2023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David Watson</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7719"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2026-01-15T15:37:17Z</dcterms:created>
  <dcterms:modified xsi:type="dcterms:W3CDTF">2026-01-15T15:37:17Z</dcterms:modified>
</cp:coreProperties>
</file>