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377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920" w:type="dxa"/>
            <w:vAlign w:val="bottom"/>
            <w:gridSpan w:val="6"/>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6"/>
          </w:tcPr>
          <w:p>
            <w:pPr>
              <w:ind w:left="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gridSpan w:val="2"/>
          </w:tcPr>
          <w:p>
            <w:pPr>
              <w:ind w:left="1060"/>
              <w:spacing w:after="0"/>
              <w:rPr>
                <w:sz w:val="20"/>
                <w:szCs w:val="20"/>
                <w:color w:val="auto"/>
              </w:rPr>
            </w:pPr>
            <w:r>
              <w:rPr>
                <w:rFonts w:ascii="Times New Roman" w:cs="Times New Roman" w:eastAsia="Times New Roman" w:hAnsi="Times New Roman"/>
                <w:sz w:val="17"/>
                <w:szCs w:val="17"/>
                <w:color w:val="0000FF"/>
              </w:rPr>
              <w:t>01/22/2025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3,323</w:t>
            </w:r>
          </w:p>
        </w:tc>
        <w:tc>
          <w:tcPr>
            <w:tcW w:w="1400" w:type="dxa"/>
            <w:vAlign w:val="bottom"/>
            <w:tcBorders>
              <w:bottom w:val="single" w:sz="8" w:color="2C2C2C"/>
            </w:tcBorders>
            <w:gridSpan w:val="4"/>
          </w:tcPr>
          <w:p>
            <w:pPr>
              <w:jc w:val="center"/>
              <w:ind w:left="51"/>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30.4255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144,994</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3,333</w:t>
            </w:r>
          </w:p>
        </w:tc>
        <w:tc>
          <w:tcPr>
            <w:tcW w:w="900" w:type="dxa"/>
            <w:vAlign w:val="bottom"/>
          </w:tcPr>
          <w:p>
            <w:pPr>
              <w:ind w:left="3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70,136</w:t>
            </w:r>
          </w:p>
        </w:tc>
        <w:tc>
          <w:tcPr>
            <w:tcW w:w="900" w:type="dxa"/>
            <w:vAlign w:val="bottom"/>
          </w:tcPr>
          <w:p>
            <w:pPr>
              <w:ind w:left="3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6,667</w:t>
            </w:r>
          </w:p>
        </w:tc>
        <w:tc>
          <w:tcPr>
            <w:tcW w:w="900" w:type="dxa"/>
            <w:vAlign w:val="bottom"/>
          </w:tcPr>
          <w:p>
            <w:pPr>
              <w:ind w:left="360"/>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Watson</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Education</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shares sold to cover tax withholding on the Restricted Stock Units released on January 21,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Watson Education Trust (the "Trust"), for which the reporting person serves as trustee. The reporting person disclaims beneficial ownership over the shares held by the Trust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01/23/2025</w:t>
            </w:r>
          </w:p>
        </w:tc>
      </w:tr>
    </w:tbl>
    <w:p>
      <w:pPr>
        <w:spacing w:after="0" w:line="67"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2025-01-23T14:48:08Z</dcterms:created>
  <dcterms:modified xsi:type="dcterms:W3CDTF">2025-01-23T14:48:08Z</dcterms:modified>
</cp:coreProperties>
</file>