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207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2071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Dunlop A. Sinclair</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20"/>
        <w:spacing w:after="0" w:line="348" w:lineRule="auto"/>
        <w:rPr>
          <w:sz w:val="20"/>
          <w:szCs w:val="20"/>
          <w:color w:val="auto"/>
        </w:rPr>
      </w:pPr>
      <w:r>
        <w:rPr>
          <w:rFonts w:ascii="Times New Roman" w:cs="Times New Roman" w:eastAsia="Times New Roman" w:hAnsi="Times New Roman"/>
          <w:sz w:val="17"/>
          <w:szCs w:val="17"/>
          <w:color w:val="0000FF"/>
        </w:rPr>
        <w:t>C/O APELLIS PHARMACEUTICALS, INC. 100 FIFTH AVENUE, 3RD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3840" w:type="dxa"/>
            <w:vAlign w:val="bottom"/>
            <w:gridSpan w:val="4"/>
          </w:tcPr>
          <w:p>
            <w:pPr>
              <w:ind w:left="60"/>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Apellis Pharmaceuticals,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APLS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2300" w:type="dxa"/>
            <w:vAlign w:val="bottom"/>
            <w:tcBorders>
              <w:top w:val="single" w:sz="8" w:color="0000EE"/>
              <w:bottom w:val="single" w:sz="8" w:color="2C2C2C"/>
            </w:tcBorders>
          </w:tcPr>
          <w:p>
            <w:pPr>
              <w:spacing w:after="0"/>
              <w:rPr>
                <w:sz w:val="10"/>
                <w:szCs w:val="10"/>
                <w:color w:val="auto"/>
              </w:rPr>
            </w:pPr>
          </w:p>
        </w:tc>
        <w:tc>
          <w:tcPr>
            <w:tcW w:w="134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91"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1"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06/28/2024</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100"/>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58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10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jc w:val="right"/>
              <w:ind w:right="228"/>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0000FF"/>
              </w:rPr>
              <w:t>06/28/2024</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900</w:t>
            </w:r>
          </w:p>
        </w:tc>
        <w:tc>
          <w:tcPr>
            <w:tcW w:w="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right"/>
              <w:ind w:right="2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13.19</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134,418</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136,998</w:t>
            </w:r>
          </w:p>
        </w:tc>
        <w:tc>
          <w:tcPr>
            <w:tcW w:w="9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(Epidarex)</w:t>
            </w:r>
            <w:r>
              <w:rPr>
                <w:rFonts w:ascii="Times New Roman" w:cs="Times New Roman" w:eastAsia="Times New Roman" w:hAnsi="Times New Roman"/>
                <w:sz w:val="21"/>
                <w:szCs w:val="21"/>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31,855</w:t>
            </w:r>
          </w:p>
        </w:tc>
        <w:tc>
          <w:tcPr>
            <w:tcW w:w="9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(Masa)</w:t>
            </w:r>
            <w:r>
              <w:rPr>
                <w:rFonts w:ascii="Times New Roman" w:cs="Times New Roman" w:eastAsia="Times New Roman" w:hAnsi="Times New Roman"/>
                <w:sz w:val="21"/>
                <w:szCs w:val="21"/>
                <w:color w:val="008000"/>
                <w:vertAlign w:val="superscript"/>
              </w:rPr>
              <w:t>(2)</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13.19</w:t>
            </w:r>
          </w:p>
        </w:tc>
        <w:tc>
          <w:tcPr>
            <w:tcW w:w="1100" w:type="dxa"/>
            <w:vAlign w:val="bottom"/>
            <w:vMerge w:val="restart"/>
          </w:tcPr>
          <w:p>
            <w:pPr>
              <w:jc w:val="right"/>
              <w:ind w:right="200"/>
              <w:spacing w:after="0"/>
              <w:rPr>
                <w:sz w:val="20"/>
                <w:szCs w:val="20"/>
                <w:color w:val="auto"/>
              </w:rPr>
            </w:pPr>
            <w:r>
              <w:rPr>
                <w:rFonts w:ascii="Times New Roman" w:cs="Times New Roman" w:eastAsia="Times New Roman" w:hAnsi="Times New Roman"/>
                <w:sz w:val="13"/>
                <w:szCs w:val="13"/>
                <w:color w:val="0000FF"/>
              </w:rPr>
              <w:t>06/28/2024</w:t>
            </w:r>
          </w:p>
        </w:tc>
        <w:tc>
          <w:tcPr>
            <w:tcW w:w="108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900</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12/31/2028</w:t>
            </w: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900</w:t>
            </w:r>
          </w:p>
        </w:tc>
        <w:tc>
          <w:tcPr>
            <w:tcW w:w="70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4,600</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4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Epidarex and the reporting person, a general partner of Epidarex, may be deemed to have voting and dispositive power over the shares held by Epidarex. The reporting person disclaims beneficial ownership over the shares held by Epidarex except to the extent of his pecuniary interest therein.</w:t>
      </w:r>
    </w:p>
    <w:p>
      <w:pPr>
        <w:spacing w:after="0" w:line="15" w:lineRule="exact"/>
        <w:rPr>
          <w:rFonts w:ascii="Times New Roman" w:cs="Times New Roman" w:eastAsia="Times New Roman" w:hAnsi="Times New Roman"/>
          <w:sz w:val="13"/>
          <w:szCs w:val="13"/>
          <w:color w:val="008000"/>
        </w:rPr>
      </w:pPr>
    </w:p>
    <w:p>
      <w:pPr>
        <w:ind w:left="40" w:right="6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MASA and the reporting person, a managing partner of MASA, may be deemed to have voting and dispositive power over the shares held by MASA. The reporting person disclaims beneficial ownership over the shares held by MASA except to the extent of his pecuniary interest therein.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January 1, 2019 and fully vested.</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David Watson,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07/01/2024</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 for Sinclair Dunlop</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1108" TargetMode="External"/><Relationship Id="rId13"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2024-07-01T15:18:21Z</dcterms:created>
  <dcterms:modified xsi:type="dcterms:W3CDTF">2024-07-01T15:18:21Z</dcterms:modified>
</cp:coreProperties>
</file>