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69037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690372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240" w:type="dxa"/>
            <w:vAlign w:val="bottom"/>
            <w:gridSpan w:val="3"/>
            <w:vMerge w:val="restart"/>
          </w:tcPr>
          <w:p>
            <w:pPr>
              <w:ind w:left="20"/>
              <w:spacing w:after="0"/>
              <w:rPr>
                <w:rFonts w:ascii="Times New Roman" w:cs="Times New Roman" w:eastAsia="Times New Roman" w:hAnsi="Times New Roman"/>
                <w:sz w:val="21"/>
                <w:szCs w:val="21"/>
                <w:color w:val="0000EE"/>
                <w:w w:val="98"/>
              </w:rPr>
            </w:pPr>
            <w:hyperlink r:id="rId13">
              <w:r>
                <w:rPr>
                  <w:rFonts w:ascii="Times New Roman" w:cs="Times New Roman" w:eastAsia="Times New Roman" w:hAnsi="Times New Roman"/>
                  <w:sz w:val="21"/>
                  <w:szCs w:val="21"/>
                  <w:color w:val="0000EE"/>
                  <w:w w:val="98"/>
                </w:rPr>
                <w:t>Machiels Alec</w:t>
              </w:r>
            </w:hyperlink>
          </w:p>
        </w:tc>
        <w:tc>
          <w:tcPr>
            <w:tcW w:w="1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Apellis Pharmaceuticals,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APLS</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240" w:type="dxa"/>
            <w:vAlign w:val="bottom"/>
            <w:gridSpan w:val="3"/>
            <w:vMerge w:val="continue"/>
          </w:tcPr>
          <w:p>
            <w:pPr>
              <w:spacing w:after="0"/>
              <w:rPr>
                <w:sz w:val="6"/>
                <w:szCs w:val="6"/>
                <w:color w:val="auto"/>
              </w:rPr>
            </w:pPr>
          </w:p>
        </w:tc>
        <w:tc>
          <w:tcPr>
            <w:tcW w:w="1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0" w:type="dxa"/>
            <w:vAlign w:val="bottom"/>
            <w:tcBorders>
              <w:bottom w:val="single" w:sz="8" w:color="0000EE"/>
            </w:tcBorders>
          </w:tcPr>
          <w:p>
            <w:pPr>
              <w:spacing w:after="0"/>
              <w:rPr>
                <w:sz w:val="6"/>
                <w:szCs w:val="6"/>
                <w:color w:val="auto"/>
              </w:rPr>
            </w:pPr>
          </w:p>
        </w:tc>
        <w:tc>
          <w:tcPr>
            <w:tcW w:w="13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2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220" w:type="dxa"/>
            <w:vAlign w:val="bottom"/>
            <w:vMerge w:val="restart"/>
          </w:tcPr>
          <w:p>
            <w:pPr>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5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01/01/2025</w:t>
            </w:r>
          </w:p>
        </w:tc>
        <w:tc>
          <w:tcPr>
            <w:tcW w:w="13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APELLIS PHARMACEUTICALS, INC.</w:t>
            </w:r>
          </w:p>
        </w:tc>
        <w:tc>
          <w:tcPr>
            <w:tcW w:w="2560" w:type="dxa"/>
            <w:vAlign w:val="bottom"/>
            <w:gridSpan w:val="3"/>
            <w:vMerge w:val="continue"/>
          </w:tcPr>
          <w:p>
            <w:pPr>
              <w:spacing w:after="0"/>
              <w:rPr>
                <w:sz w:val="10"/>
                <w:szCs w:val="10"/>
                <w:color w:val="auto"/>
              </w:rPr>
            </w:pPr>
          </w:p>
        </w:tc>
        <w:tc>
          <w:tcPr>
            <w:tcW w:w="13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100 FIFTH AVENUE, 3RD FLOOR</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40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50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50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jc w:val="right"/>
              <w:ind w:right="169"/>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0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5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20" w:type="dxa"/>
            <w:vAlign w:val="bottom"/>
            <w:tcBorders>
              <w:bottom w:val="single" w:sz="8" w:color="2C2C2C"/>
            </w:tcBorders>
          </w:tcPr>
          <w:p>
            <w:pPr>
              <w:jc w:val="right"/>
              <w:ind w:right="96"/>
              <w:spacing w:after="0"/>
              <w:rPr>
                <w:sz w:val="20"/>
                <w:szCs w:val="20"/>
                <w:color w:val="auto"/>
              </w:rPr>
            </w:pPr>
            <w:r>
              <w:rPr>
                <w:rFonts w:ascii="Times New Roman" w:cs="Times New Roman" w:eastAsia="Times New Roman" w:hAnsi="Times New Roman"/>
                <w:sz w:val="17"/>
                <w:szCs w:val="17"/>
                <w:color w:val="0000FF"/>
              </w:rPr>
              <w:t>01/01/2025</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6,267</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right"/>
              <w:ind w:right="12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377,028</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5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Indirect</w:t>
            </w:r>
          </w:p>
        </w:tc>
        <w:tc>
          <w:tcPr>
            <w:tcW w:w="0" w:type="dxa"/>
            <w:vAlign w:val="bottom"/>
          </w:tcPr>
          <w:p>
            <w:pPr>
              <w:spacing w:after="0"/>
              <w:rPr>
                <w:sz w:val="1"/>
                <w:szCs w:val="1"/>
                <w:color w:val="auto"/>
              </w:rPr>
            </w:pPr>
          </w:p>
        </w:tc>
      </w:tr>
      <w:tr>
        <w:trPr>
          <w:trHeight w:val="206"/>
        </w:trPr>
        <w:tc>
          <w:tcPr>
            <w:tcW w:w="2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250,000</w:t>
            </w:r>
          </w:p>
        </w:tc>
        <w:tc>
          <w:tcPr>
            <w:tcW w:w="940" w:type="dxa"/>
            <w:vAlign w:val="bottom"/>
            <w:vMerge w:val="restart"/>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Owner</w:t>
            </w:r>
          </w:p>
        </w:tc>
        <w:tc>
          <w:tcPr>
            <w:tcW w:w="0" w:type="dxa"/>
            <w:vAlign w:val="bottom"/>
          </w:tcPr>
          <w:p>
            <w:pPr>
              <w:spacing w:after="0"/>
              <w:rPr>
                <w:sz w:val="1"/>
                <w:szCs w:val="1"/>
                <w:color w:val="auto"/>
              </w:rPr>
            </w:pPr>
          </w:p>
        </w:tc>
      </w:tr>
      <w:tr>
        <w:trPr>
          <w:trHeight w:val="114"/>
        </w:trPr>
        <w:tc>
          <w:tcPr>
            <w:tcW w:w="2500" w:type="dxa"/>
            <w:vAlign w:val="bottom"/>
            <w:vMerge w:val="continue"/>
          </w:tcPr>
          <w:p>
            <w:pPr>
              <w:spacing w:after="0"/>
              <w:rPr>
                <w:sz w:val="9"/>
                <w:szCs w:val="9"/>
                <w:color w:val="auto"/>
              </w:rPr>
            </w:pPr>
          </w:p>
        </w:tc>
        <w:tc>
          <w:tcPr>
            <w:tcW w:w="1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(Bauhaus</w:t>
            </w:r>
          </w:p>
        </w:tc>
        <w:tc>
          <w:tcPr>
            <w:tcW w:w="0" w:type="dxa"/>
            <w:vAlign w:val="bottom"/>
          </w:tcPr>
          <w:p>
            <w:pPr>
              <w:spacing w:after="0"/>
              <w:rPr>
                <w:sz w:val="1"/>
                <w:szCs w:val="1"/>
                <w:color w:val="auto"/>
              </w:rPr>
            </w:pPr>
          </w:p>
        </w:tc>
      </w:tr>
      <w:tr>
        <w:trPr>
          <w:trHeight w:val="92"/>
        </w:trPr>
        <w:tc>
          <w:tcPr>
            <w:tcW w:w="25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25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1 LLC)</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245"/>
        </w:trPr>
        <w:tc>
          <w:tcPr>
            <w:tcW w:w="25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Indirect</w:t>
            </w:r>
          </w:p>
        </w:tc>
        <w:tc>
          <w:tcPr>
            <w:tcW w:w="0" w:type="dxa"/>
            <w:vAlign w:val="bottom"/>
          </w:tcPr>
          <w:p>
            <w:pPr>
              <w:spacing w:after="0"/>
              <w:rPr>
                <w:sz w:val="1"/>
                <w:szCs w:val="1"/>
                <w:color w:val="auto"/>
              </w:rPr>
            </w:pPr>
          </w:p>
        </w:tc>
      </w:tr>
      <w:tr>
        <w:trPr>
          <w:trHeight w:val="206"/>
        </w:trPr>
        <w:tc>
          <w:tcPr>
            <w:tcW w:w="25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Owner</w:t>
            </w:r>
          </w:p>
        </w:tc>
        <w:tc>
          <w:tcPr>
            <w:tcW w:w="0" w:type="dxa"/>
            <w:vAlign w:val="bottom"/>
          </w:tcPr>
          <w:p>
            <w:pPr>
              <w:spacing w:after="0"/>
              <w:rPr>
                <w:sz w:val="1"/>
                <w:szCs w:val="1"/>
                <w:color w:val="auto"/>
              </w:rPr>
            </w:pPr>
          </w:p>
        </w:tc>
      </w:tr>
      <w:tr>
        <w:trPr>
          <w:trHeight w:val="206"/>
        </w:trPr>
        <w:tc>
          <w:tcPr>
            <w:tcW w:w="25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4"/>
              </w:rPr>
              <w:t>11,950</w:t>
            </w:r>
          </w:p>
        </w:tc>
        <w:tc>
          <w:tcPr>
            <w:tcW w:w="940" w:type="dxa"/>
            <w:vAlign w:val="bottom"/>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(Owned</w:t>
            </w:r>
          </w:p>
        </w:tc>
        <w:tc>
          <w:tcPr>
            <w:tcW w:w="0" w:type="dxa"/>
            <w:vAlign w:val="bottom"/>
          </w:tcPr>
          <w:p>
            <w:pPr>
              <w:spacing w:after="0"/>
              <w:rPr>
                <w:sz w:val="1"/>
                <w:szCs w:val="1"/>
                <w:color w:val="auto"/>
              </w:rPr>
            </w:pPr>
          </w:p>
        </w:tc>
      </w:tr>
      <w:tr>
        <w:trPr>
          <w:trHeight w:val="206"/>
        </w:trPr>
        <w:tc>
          <w:tcPr>
            <w:tcW w:w="25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76"/>
        </w:trPr>
        <w:tc>
          <w:tcPr>
            <w:tcW w:w="25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Spouse)</w:t>
            </w:r>
            <w:r>
              <w:rPr>
                <w:rFonts w:ascii="Times New Roman" w:cs="Times New Roman" w:eastAsia="Times New Roman" w:hAnsi="Times New Roman"/>
                <w:sz w:val="21"/>
                <w:szCs w:val="21"/>
                <w:color w:val="008000"/>
                <w:vertAlign w:val="superscript"/>
              </w:rPr>
              <w:t>(3)</w:t>
            </w:r>
          </w:p>
        </w:tc>
        <w:tc>
          <w:tcPr>
            <w:tcW w:w="0" w:type="dxa"/>
            <w:vAlign w:val="bottom"/>
          </w:tcPr>
          <w:p>
            <w:pPr>
              <w:spacing w:after="0"/>
              <w:rPr>
                <w:sz w:val="1"/>
                <w:szCs w:val="1"/>
                <w:color w:val="auto"/>
              </w:rPr>
            </w:pPr>
          </w:p>
        </w:tc>
      </w:tr>
      <w:tr>
        <w:trPr>
          <w:trHeight w:val="245"/>
        </w:trPr>
        <w:tc>
          <w:tcPr>
            <w:tcW w:w="25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Indirect</w:t>
            </w:r>
          </w:p>
        </w:tc>
        <w:tc>
          <w:tcPr>
            <w:tcW w:w="0" w:type="dxa"/>
            <w:vAlign w:val="bottom"/>
          </w:tcPr>
          <w:p>
            <w:pPr>
              <w:spacing w:after="0"/>
              <w:rPr>
                <w:sz w:val="1"/>
                <w:szCs w:val="1"/>
                <w:color w:val="auto"/>
              </w:rPr>
            </w:pPr>
          </w:p>
        </w:tc>
      </w:tr>
      <w:tr>
        <w:trPr>
          <w:trHeight w:val="206"/>
        </w:trPr>
        <w:tc>
          <w:tcPr>
            <w:tcW w:w="2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150,000</w:t>
            </w:r>
          </w:p>
        </w:tc>
        <w:tc>
          <w:tcPr>
            <w:tcW w:w="940" w:type="dxa"/>
            <w:vAlign w:val="bottom"/>
            <w:vMerge w:val="restart"/>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Owner</w:t>
            </w:r>
          </w:p>
        </w:tc>
        <w:tc>
          <w:tcPr>
            <w:tcW w:w="0" w:type="dxa"/>
            <w:vAlign w:val="bottom"/>
          </w:tcPr>
          <w:p>
            <w:pPr>
              <w:spacing w:after="0"/>
              <w:rPr>
                <w:sz w:val="1"/>
                <w:szCs w:val="1"/>
                <w:color w:val="auto"/>
              </w:rPr>
            </w:pPr>
          </w:p>
        </w:tc>
      </w:tr>
      <w:tr>
        <w:trPr>
          <w:trHeight w:val="114"/>
        </w:trPr>
        <w:tc>
          <w:tcPr>
            <w:tcW w:w="2500" w:type="dxa"/>
            <w:vAlign w:val="bottom"/>
            <w:vMerge w:val="continue"/>
          </w:tcPr>
          <w:p>
            <w:pPr>
              <w:spacing w:after="0"/>
              <w:rPr>
                <w:sz w:val="9"/>
                <w:szCs w:val="9"/>
                <w:color w:val="auto"/>
              </w:rPr>
            </w:pPr>
          </w:p>
        </w:tc>
        <w:tc>
          <w:tcPr>
            <w:tcW w:w="1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3"/>
        </w:trPr>
        <w:tc>
          <w:tcPr>
            <w:tcW w:w="25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ind w:left="102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(4)</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31.91</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01/01/2025</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11,199</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12/31/2032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11,199</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11,199</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6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restricted stock unit was granted on January 1, 2025. The restricted stock unit will fully vest on the first anniversary of the date of grant, subject to his continued service as a director, or upon later termination of his service as a director at his election.</w:t>
      </w:r>
    </w:p>
    <w:p>
      <w:pPr>
        <w:spacing w:after="0" w:line="17" w:lineRule="exact"/>
        <w:rPr>
          <w:rFonts w:ascii="Times New Roman" w:cs="Times New Roman" w:eastAsia="Times New Roman" w:hAnsi="Times New Roman"/>
          <w:sz w:val="13"/>
          <w:szCs w:val="13"/>
          <w:color w:val="008000"/>
        </w:rPr>
      </w:pPr>
    </w:p>
    <w:p>
      <w:pPr>
        <w:ind w:left="40" w:right="3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Bauhaus 1 LLC, which LLC is held by The Irrevocable Agreement of Trust of Alec Machiels (the "Trust"). The reporting person is the managing member of Bauhaus 1 LLC and the trustee of the Trust.</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spouse.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September 7, 2021, the reporting person's spouse transferred 150,000 shares of Apellis Pharmaceuticals, Inc. common stock to her trust, of which the reporting person is the trustee.</w:t>
      </w:r>
    </w:p>
    <w:p>
      <w:pPr>
        <w:spacing w:after="0" w:line="43" w:lineRule="exact"/>
        <w:rPr>
          <w:rFonts w:ascii="Times New Roman" w:cs="Times New Roman" w:eastAsia="Times New Roman" w:hAnsi="Times New Roman"/>
          <w:sz w:val="13"/>
          <w:szCs w:val="13"/>
          <w:color w:val="008000"/>
        </w:rPr>
      </w:pPr>
    </w:p>
    <w:p>
      <w:pPr>
        <w:ind w:left="40" w:right="2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January 1, 2025. The option vests quarterly on the last day of each quarter from the date of grant, subject to his continued service as a director and expires seven years after the date of grant.</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David Watson, attorney-in-</w:t>
            </w:r>
          </w:p>
        </w:tc>
        <w:tc>
          <w:tcPr>
            <w:tcW w:w="1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01/03/2025</w:t>
            </w:r>
          </w:p>
        </w:tc>
        <w:tc>
          <w:tcPr>
            <w:tcW w:w="0" w:type="dxa"/>
            <w:vAlign w:val="bottom"/>
          </w:tcPr>
          <w:p>
            <w:pPr>
              <w:spacing w:after="0"/>
              <w:rPr>
                <w:sz w:val="1"/>
                <w:szCs w:val="1"/>
                <w:color w:val="auto"/>
              </w:rPr>
            </w:pPr>
          </w:p>
        </w:tc>
      </w:tr>
      <w:tr>
        <w:trPr>
          <w:trHeight w:val="88"/>
        </w:trPr>
        <w:tc>
          <w:tcPr>
            <w:tcW w:w="150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7"/>
              </w:rPr>
              <w:t>fact for Alec Machiels</w:t>
            </w:r>
          </w:p>
        </w:tc>
        <w:tc>
          <w:tcPr>
            <w:tcW w:w="70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500" w:type="dxa"/>
            <w:vAlign w:val="bottom"/>
            <w:tcBorders>
              <w:bottom w:val="single" w:sz="8" w:color="auto"/>
            </w:tcBorders>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38" w:orient="portrait"/>
          <w:cols w:equalWidth="0" w:num="1">
            <w:col w:w="11080"/>
          </w:cols>
          <w:pgMar w:left="460" w:top="217" w:right="359" w:bottom="0" w:gutter="0" w:footer="0" w:header="0"/>
          <w:type w:val="continuous"/>
        </w:sectPr>
      </w:pPr>
    </w:p>
    <w:bookmarkStart w:id="1" w:name="page2"/>
    <w:bookmarkEnd w:id="1"/>
    <w:p>
      <w:pPr>
        <w:jc w:val="both"/>
        <w:ind w:right="2519" w:firstLine="2"/>
        <w:spacing w:after="0" w:line="335"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96687" TargetMode="External"/><Relationship Id="rId14" Type="http://schemas.openxmlformats.org/officeDocument/2006/relationships/hyperlink" Target="http://www.sec.gov/cgi-bin/browse-edgar?action=getcompany&amp;CIK=00014924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2025-01-03T15:31:38Z</dcterms:created>
  <dcterms:modified xsi:type="dcterms:W3CDTF">2025-01-03T15:31:38Z</dcterms:modified>
</cp:coreProperties>
</file>