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72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4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8"/>
        </w:trPr>
        <w:tc>
          <w:tcPr>
            <w:tcW w:w="272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640" w:type="dxa"/>
            <w:vAlign w:val="bottom"/>
          </w:tcPr>
          <w:p>
            <w:pPr>
              <w:jc w:val="center"/>
              <w:ind w:left="34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640" w:type="dxa"/>
            <w:vAlign w:val="bottom"/>
          </w:tcPr>
          <w:p>
            <w:pPr>
              <w:jc w:val="center"/>
              <w:ind w:left="34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72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4640" w:type="dxa"/>
            <w:vAlign w:val="bottom"/>
          </w:tcPr>
          <w:p>
            <w:pPr>
              <w:spacing w:after="0"/>
              <w:rPr>
                <w:sz w:val="24"/>
                <w:szCs w:val="24"/>
                <w:color w:val="auto"/>
              </w:rPr>
            </w:pPr>
          </w:p>
        </w:tc>
      </w:tr>
      <w:tr>
        <w:trPr>
          <w:trHeight w:val="227"/>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464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27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40" w:type="dxa"/>
            <w:vAlign w:val="bottom"/>
          </w:tcPr>
          <w:p>
            <w:pPr>
              <w:jc w:val="center"/>
              <w:ind w:left="34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720" w:type="dxa"/>
            <w:vAlign w:val="bottom"/>
          </w:tcPr>
          <w:p>
            <w:pPr>
              <w:spacing w:after="0"/>
              <w:rPr>
                <w:sz w:val="24"/>
                <w:szCs w:val="24"/>
                <w:color w:val="auto"/>
              </w:rPr>
            </w:pPr>
          </w:p>
        </w:tc>
        <w:tc>
          <w:tcPr>
            <w:tcW w:w="4640" w:type="dxa"/>
            <w:vAlign w:val="bottom"/>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2017 Stock Incentive Plan</w:t>
            </w:r>
          </w:p>
        </w:tc>
      </w:tr>
      <w:tr>
        <w:trPr>
          <w:trHeight w:val="190"/>
        </w:trPr>
        <w:tc>
          <w:tcPr>
            <w:tcW w:w="2720" w:type="dxa"/>
            <w:vAlign w:val="bottom"/>
          </w:tcPr>
          <w:p>
            <w:pPr>
              <w:spacing w:after="0"/>
              <w:rPr>
                <w:sz w:val="16"/>
                <w:szCs w:val="16"/>
                <w:color w:val="auto"/>
              </w:rPr>
            </w:pPr>
          </w:p>
        </w:tc>
        <w:tc>
          <w:tcPr>
            <w:tcW w:w="4640" w:type="dxa"/>
            <w:vAlign w:val="bottom"/>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r>
    </w:tbl>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Cedric Francois, M.D.,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Fifth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977-5700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Incorporation by Reference</w:t>
      </w:r>
    </w:p>
    <w:p>
      <w:pPr>
        <w:spacing w:after="0" w:line="229" w:lineRule="exact"/>
        <w:rPr>
          <w:sz w:val="20"/>
          <w:szCs w:val="20"/>
          <w:color w:val="auto"/>
        </w:rPr>
      </w:pPr>
    </w:p>
    <w:p>
      <w:pPr>
        <w:ind w:left="4" w:right="2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Registration Statement on Form S-8 is being filed by Apellis Pharmaceuticals, Inc., a Delaware corporation (the “registrant”), to register 4,219,409 additional shares of the registrant’s common stock, $0.0001 par value per share (“Common Stock”), issuable under the registrant’s 2017 Stock Incentive Plan (the “2017 Plan”). Pursuant to General Instruction E to Form S-8, this registration statement incorporates by reference the contents of (i) the registration statement on Form S-8, File No. 333-221528, filed by the registrant on </w:t>
      </w:r>
      <w:hyperlink r:id="rId17">
        <w:r>
          <w:rPr>
            <w:rFonts w:ascii="Times New Roman" w:cs="Times New Roman" w:eastAsia="Times New Roman" w:hAnsi="Times New Roman"/>
            <w:sz w:val="17"/>
            <w:szCs w:val="17"/>
            <w:u w:val="single" w:color="auto"/>
            <w:color w:val="0000EE"/>
          </w:rPr>
          <w:t>November 13, 2017</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relating to the 2017 Plan, (ii) the registration statement on Form S-8, File No. 333-229876, filed by the registrant on </w:t>
      </w:r>
      <w:hyperlink r:id="rId18">
        <w:r>
          <w:rPr>
            <w:rFonts w:ascii="Times New Roman" w:cs="Times New Roman" w:eastAsia="Times New Roman" w:hAnsi="Times New Roman"/>
            <w:sz w:val="17"/>
            <w:szCs w:val="17"/>
            <w:u w:val="single" w:color="auto"/>
            <w:color w:val="0000EE"/>
          </w:rPr>
          <w:t>February 26, 2019</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relating to the 2017 Plan, (iii) the registration statement on Form S-8, File No. 333-236708, filed by the registrant on </w:t>
      </w:r>
      <w:hyperlink r:id="rId19">
        <w:r>
          <w:rPr>
            <w:rFonts w:ascii="Times New Roman" w:cs="Times New Roman" w:eastAsia="Times New Roman" w:hAnsi="Times New Roman"/>
            <w:sz w:val="17"/>
            <w:szCs w:val="17"/>
            <w:u w:val="single" w:color="auto"/>
            <w:color w:val="0000EE"/>
          </w:rPr>
          <w:t>February 27, 2020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relating to the 2017 Plan, (iv) the registration statement on Form S-8, File No. 333-236710, filed by the registrant on </w:t>
      </w:r>
      <w:hyperlink r:id="rId20">
        <w:r>
          <w:rPr>
            <w:rFonts w:ascii="Times New Roman" w:cs="Times New Roman" w:eastAsia="Times New Roman" w:hAnsi="Times New Roman"/>
            <w:sz w:val="17"/>
            <w:szCs w:val="17"/>
            <w:u w:val="single" w:color="auto"/>
            <w:color w:val="0000EE"/>
          </w:rPr>
          <w:t>February 27, 2020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relating to the 2020 Inducement Stock Incentive Plan (the “2020 Plan”), (v) the registration statement on Form S-8, File No. 333-253518, filed by the registrant on </w:t>
      </w:r>
      <w:hyperlink r:id="rId21">
        <w:r>
          <w:rPr>
            <w:rFonts w:ascii="Times New Roman" w:cs="Times New Roman" w:eastAsia="Times New Roman" w:hAnsi="Times New Roman"/>
            <w:sz w:val="17"/>
            <w:szCs w:val="17"/>
            <w:u w:val="single" w:color="auto"/>
            <w:color w:val="0000EE"/>
          </w:rPr>
          <w:t>February 25, 2021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relating to the 2017 Plan and 2020 Plan, (vi) the registration statement on Form S-8, File No. 333-263100, filed by the registrant on </w:t>
      </w:r>
      <w:hyperlink r:id="rId22">
        <w:r>
          <w:rPr>
            <w:rFonts w:ascii="Times New Roman" w:cs="Times New Roman" w:eastAsia="Times New Roman" w:hAnsi="Times New Roman"/>
            <w:sz w:val="17"/>
            <w:szCs w:val="17"/>
            <w:u w:val="single" w:color="auto"/>
            <w:color w:val="0000EE"/>
          </w:rPr>
          <w:t>February 28, 2022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relating to the 2017 Plan and 2020 Plan, (vii) the registration statement on Form S-8, File No. 333-269888, filed by the registrant on </w:t>
      </w:r>
      <w:hyperlink r:id="rId23">
        <w:r>
          <w:rPr>
            <w:rFonts w:ascii="Times New Roman" w:cs="Times New Roman" w:eastAsia="Times New Roman" w:hAnsi="Times New Roman"/>
            <w:sz w:val="17"/>
            <w:szCs w:val="17"/>
            <w:u w:val="single" w:color="auto"/>
            <w:color w:val="0000EE"/>
          </w:rPr>
          <w:t>February 21, 2023</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relating to the 2017 Plan and 2020 Plan and</w:t>
      </w:r>
    </w:p>
    <w:p>
      <w:pPr>
        <w:spacing w:after="0" w:line="4" w:lineRule="exact"/>
        <w:rPr>
          <w:rFonts w:ascii="Times New Roman" w:cs="Times New Roman" w:eastAsia="Times New Roman" w:hAnsi="Times New Roman"/>
          <w:sz w:val="17"/>
          <w:szCs w:val="17"/>
          <w:color w:val="auto"/>
        </w:rPr>
      </w:pPr>
    </w:p>
    <w:p>
      <w:pPr>
        <w:ind w:left="4" w:hanging="4"/>
        <w:spacing w:after="0" w:line="255" w:lineRule="auto"/>
        <w:tabs>
          <w:tab w:leader="none" w:pos="4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on Form S-8, File No. 333-277381, filed by the registrant on </w:t>
      </w:r>
      <w:hyperlink r:id="rId24">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the 2017 Plan and 2020 Plan, except (x) to the extent superseded hereby and (y) for Item 8, Exhibits, with respect to which the Exhibit Index immediately preceding the exhibits attached hereto is incorporated herein by reference.</w:t>
      </w:r>
    </w:p>
    <w:p>
      <w:pPr>
        <w:sectPr>
          <w:pgSz w:w="11900" w:h="16838" w:orient="portrait"/>
          <w:cols w:equalWidth="0" w:num="1">
            <w:col w:w="10984"/>
          </w:cols>
          <w:pgMar w:left="436" w:top="266"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80" w:type="dxa"/>
            <w:vAlign w:val="bottom"/>
            <w:gridSpan w:val="6"/>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80" w:type="dxa"/>
            <w:vAlign w:val="bottom"/>
            <w:gridSpan w:val="6"/>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c>
          <w:tcPr>
            <w:tcW w:w="0" w:type="dxa"/>
            <w:vAlign w:val="bottom"/>
          </w:tcPr>
          <w:p>
            <w:pPr>
              <w:spacing w:after="0"/>
              <w:rPr>
                <w:sz w:val="1"/>
                <w:szCs w:val="1"/>
                <w:color w:val="auto"/>
              </w:rPr>
            </w:pPr>
          </w:p>
        </w:tc>
      </w:tr>
      <w:tr>
        <w:trPr>
          <w:trHeight w:val="459"/>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58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8"/>
          </w:tcPr>
          <w:p>
            <w:pPr>
              <w:ind w:left="220"/>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tc>
        <w:tc>
          <w:tcPr>
            <w:tcW w:w="0" w:type="dxa"/>
            <w:vAlign w:val="bottom"/>
          </w:tcPr>
          <w:p>
            <w:pPr>
              <w:spacing w:after="0"/>
              <w:rPr>
                <w:sz w:val="1"/>
                <w:szCs w:val="1"/>
                <w:color w:val="auto"/>
              </w:rPr>
            </w:pPr>
          </w:p>
        </w:tc>
      </w:tr>
      <w:tr>
        <w:trPr>
          <w:trHeight w:val="36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93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930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Restated Certificate of Incorporation of the registrant (filed as Exhibit 3.1 to the registrant’s Current Report on Form 8-K filed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November 13, 2017 and incorporated herein by reference)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Amended and Restated By-Laws of the registrant (filed as Exhibit 3.2 to the registrant’s Current Report on Form 8-K filed on</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300" w:type="dxa"/>
            <w:vAlign w:val="bottom"/>
            <w:gridSpan w:val="7"/>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November 13, 2017 and incorporated herein by reference)</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80" w:type="dxa"/>
            <w:vAlign w:val="bottom"/>
            <w:gridSpan w:val="2"/>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Opinion of Wilmer Cutler Pickering Hale and Dorr LLP, counsel to the registrant.</w:t>
            </w:r>
          </w:p>
        </w:tc>
        <w:tc>
          <w:tcPr>
            <w:tcW w:w="3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Consent of Wilmer Cutler Pickering Hale and Dorr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Deloitte &amp; Touche LLP, independent registered public accounting firm.</w:t>
            </w:r>
          </w:p>
        </w:tc>
        <w:tc>
          <w:tcPr>
            <w:tcW w:w="3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044" w:hanging="1044"/>
        <w:spacing w:after="0"/>
        <w:tabs>
          <w:tab w:leader="none" w:pos="10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(included on the signature page of this registration statement)</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99.1</w:t>
            </w:r>
          </w:p>
        </w:tc>
        <w:tc>
          <w:tcPr>
            <w:tcW w:w="93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2017 Stock Incentive Plan (filed as Exhibit 10.4 to the registrant’s Amendment No. 3 to the registrant’s Registration Statement on</w:t>
              </w:r>
            </w:hyperlink>
          </w:p>
        </w:tc>
      </w:tr>
      <w:tr>
        <w:trPr>
          <w:trHeight w:val="196"/>
        </w:trPr>
        <w:tc>
          <w:tcPr>
            <w:tcW w:w="1040" w:type="dxa"/>
            <w:vAlign w:val="bottom"/>
          </w:tcPr>
          <w:p>
            <w:pPr>
              <w:spacing w:after="0"/>
              <w:rPr>
                <w:sz w:val="17"/>
                <w:szCs w:val="17"/>
                <w:color w:val="auto"/>
              </w:rPr>
            </w:pPr>
          </w:p>
        </w:tc>
        <w:tc>
          <w:tcPr>
            <w:tcW w:w="9380" w:type="dxa"/>
            <w:vAlign w:val="bottom"/>
            <w:gridSpan w:val="2"/>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S-1 filed on October 30, 2017 (File No. 333-220941) and incorporated herein by reference)</w:t>
              </w:r>
            </w:hyperlink>
          </w:p>
        </w:tc>
      </w:tr>
      <w:tr>
        <w:trPr>
          <w:trHeight w:val="20"/>
        </w:trPr>
        <w:tc>
          <w:tcPr>
            <w:tcW w:w="1040" w:type="dxa"/>
            <w:vAlign w:val="bottom"/>
          </w:tcPr>
          <w:p>
            <w:pPr>
              <w:spacing w:after="0" w:line="20" w:lineRule="exact"/>
              <w:rPr>
                <w:sz w:val="1"/>
                <w:szCs w:val="1"/>
                <w:color w:val="auto"/>
              </w:rPr>
            </w:pPr>
          </w:p>
        </w:tc>
        <w:tc>
          <w:tcPr>
            <w:tcW w:w="704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44" w:hanging="1044"/>
        <w:spacing w:after="0"/>
        <w:tabs>
          <w:tab w:leader="none" w:pos="10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ectPr>
          <w:pgSz w:w="11900" w:h="16838" w:orient="portrait"/>
          <w:cols w:equalWidth="0" w:num="1">
            <w:col w:w="10424"/>
          </w:cols>
          <w:pgMar w:left="436" w:top="266" w:right="10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Waltham, Commonwealth of Massachusetts, on this 28th day of February,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Cedric Francois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Cedric Francois, M.D.,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0820"/>
          </w:cols>
          <w:pgMar w:left="440" w:top="266" w:right="6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POWER OF ATTORNEY AND SIGNATURES</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Apellis Pharmaceuticals, Inc., hereby severally constitute and appoint Cedric Francois, Timothy Sullivan and David O. Watson,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Apellis Pharmaceuticals,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5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Cedric Francois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Cedric Francois, M.D., Ph.D.</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Sullivan</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Jim Chopas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Vice President, Corporate Controller and Chief Accounting Officer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Jim Chopas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Gerald Chan, D. Sc.</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Gerald Chan, D.Sc.</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 Sinclair Dunlop</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 Sinclair Dunlop</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Fonteyne</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Alec Machiels</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Alec Machiels</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Stephanie Monaghan O’Brien</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Stephanie Monaghan O’Brien</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7"/>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Keli Walbert</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February 28, 2025</w:t>
            </w: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Keli Walbert</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5680710</wp:posOffset>
            </wp:positionH>
            <wp:positionV relativeFrom="paragraph">
              <wp:posOffset>173990</wp:posOffset>
            </wp:positionV>
            <wp:extent cx="131127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+1 617 526 6000 (t)</w:t>
      </w:r>
    </w:p>
    <w:p>
      <w:pPr>
        <w:spacing w:after="0" w:line="2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color w:val="auto"/>
        </w:rPr>
        <w:t>+1 617 526 5000 (f)</w:t>
      </w:r>
    </w:p>
    <w:p>
      <w:pPr>
        <w:spacing w:after="0" w:line="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wilmerhale.com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Apellis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tab/>
        <w:t>2017 Stock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an aggregate of 4,219,409 shares of common stock, $0.0001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Apellis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issuable under the Company’s 2017 Stock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examined the Certificate of Incorporation and Bylaws of the Company, each as amended and restated to date, and originals, or copies certified to our satisfaction, of all pertinent records of the meetings of the directors and stockholders of the Company, the Registration Statement, the Plan and such other documents relating to the Company as we have deemed material for the purposes of this opinion.</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assume that the appropriate action will be taken, prior to the offer and sale of the Shares in accordance with the Plan, as applicable, to register and qualify the Shares for sale under all applicable state securities or “blue sky” 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offer and sale of the Shares while the Registration Statement is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171450</wp:posOffset>
            </wp:positionV>
            <wp:extent cx="6180455" cy="351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6180455" cy="351790"/>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6174740</wp:posOffset>
            </wp:positionH>
            <wp:positionV relativeFrom="page">
              <wp:posOffset>182880</wp:posOffset>
            </wp:positionV>
            <wp:extent cx="1097280" cy="257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097280" cy="257175"/>
                    </a:xfrm>
                    <a:prstGeom prst="rect">
                      <a:avLst/>
                    </a:prstGeom>
                    <a:noFill/>
                  </pic:spPr>
                </pic:pic>
              </a:graphicData>
            </a:graphic>
          </wp:anchor>
        </w:drawing>
        <w:t>Apellis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Plan, as applicable, the Shares will be validly issued, fully paid and nonassessable.</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ectPr>
          <w:pgSz w:w="11900" w:h="16838" w:orient="portrait"/>
          <w:cols w:equalWidth="0" w:num="1">
            <w:col w:w="10960"/>
          </w:cols>
          <w:pgMar w:left="440" w:top="756" w:right="4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28, 2025, relating to the financial statements of Apellis Pharmaceuticals, Inc. and the effectiveness of Apellis Pharmaceuticals, Inc.’s internal control over financial reporting, appearing in the Annual Report on Form 10-K of Apellis Pharmaceuticals, Inc. for the year ended December 31,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54"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1280" w:type="dxa"/>
            <w:vAlign w:val="bottom"/>
            <w:tcBorders>
              <w:top w:val="single" w:sz="8" w:color="auto"/>
              <w:left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42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1280" w:type="dxa"/>
            <w:vAlign w:val="bottom"/>
            <w:tcBorders>
              <w:left w:val="single" w:sz="8" w:color="auto"/>
              <w:right w:val="single" w:sz="8" w:color="auto"/>
            </w:tcBorders>
          </w:tcPr>
          <w:p>
            <w:pPr>
              <w:spacing w:after="0"/>
              <w:rPr>
                <w:sz w:val="11"/>
                <w:szCs w:val="11"/>
                <w:color w:val="auto"/>
              </w:rPr>
            </w:pPr>
          </w:p>
        </w:tc>
        <w:tc>
          <w:tcPr>
            <w:tcW w:w="1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 Class</w:t>
            </w:r>
          </w:p>
        </w:tc>
        <w:tc>
          <w:tcPr>
            <w:tcW w:w="6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128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5"/>
              </w:rPr>
              <w:t>Security Type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1280" w:type="dxa"/>
            <w:vAlign w:val="bottom"/>
            <w:tcBorders>
              <w:left w:val="single" w:sz="8" w:color="auto"/>
              <w:right w:val="single" w:sz="8" w:color="auto"/>
            </w:tcBorders>
          </w:tcPr>
          <w:p>
            <w:pPr>
              <w:jc w:val="center"/>
              <w:ind w:left="8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3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Common Stock,</w:t>
            </w:r>
          </w:p>
        </w:tc>
        <w:tc>
          <w:tcPr>
            <w:tcW w:w="60" w:type="dxa"/>
            <w:vAlign w:val="bottom"/>
          </w:tcPr>
          <w:p>
            <w:pPr>
              <w:spacing w:after="0"/>
              <w:rPr>
                <w:sz w:val="17"/>
                <w:szCs w:val="17"/>
                <w:color w:val="auto"/>
              </w:rPr>
            </w:pPr>
          </w:p>
        </w:tc>
        <w:tc>
          <w:tcPr>
            <w:tcW w:w="6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7"/>
              </w:rPr>
              <w:t>Other</w:t>
            </w:r>
          </w:p>
        </w:tc>
        <w:tc>
          <w:tcPr>
            <w:tcW w:w="920" w:type="dxa"/>
            <w:vAlign w:val="bottom"/>
            <w:tcBorders>
              <w:right w:val="single" w:sz="8" w:color="auto"/>
            </w:tcBorders>
          </w:tcPr>
          <w:p>
            <w:pPr>
              <w:jc w:val="right"/>
              <w:ind w:right="4"/>
              <w:spacing w:after="0" w:line="206" w:lineRule="exact"/>
              <w:rPr>
                <w:sz w:val="20"/>
                <w:szCs w:val="20"/>
                <w:color w:val="auto"/>
              </w:rPr>
            </w:pPr>
            <w:r>
              <w:rPr>
                <w:rFonts w:ascii="Times New Roman" w:cs="Times New Roman" w:eastAsia="Times New Roman" w:hAnsi="Times New Roman"/>
                <w:sz w:val="18"/>
                <w:szCs w:val="18"/>
                <w:color w:val="auto"/>
              </w:rPr>
              <w:t>4,219,409</w:t>
            </w:r>
          </w:p>
        </w:tc>
        <w:tc>
          <w:tcPr>
            <w:tcW w:w="660" w:type="dxa"/>
            <w:vAlign w:val="bottom"/>
            <w:tcBorders>
              <w:right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$27.33</w:t>
            </w:r>
          </w:p>
        </w:tc>
        <w:tc>
          <w:tcPr>
            <w:tcW w:w="142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$115,316,448.00</w:t>
            </w:r>
          </w:p>
        </w:tc>
        <w:tc>
          <w:tcPr>
            <w:tcW w:w="98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$153.10 per</w:t>
            </w:r>
          </w:p>
        </w:tc>
        <w:tc>
          <w:tcPr>
            <w:tcW w:w="100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$17,654.95</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par</w:t>
            </w:r>
          </w:p>
        </w:tc>
        <w:tc>
          <w:tcPr>
            <w:tcW w:w="6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right"/>
              <w:ind w:right="264"/>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right w:val="single" w:sz="8" w:color="auto"/>
            </w:tcBorders>
          </w:tcPr>
          <w:p>
            <w:pPr>
              <w:jc w:val="right"/>
              <w:ind w:right="149"/>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w:t>
            </w: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280" w:type="dxa"/>
            <w:vAlign w:val="bottom"/>
            <w:tcBorders>
              <w:left w:val="single" w:sz="8" w:color="auto"/>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$115,316,448.00</w:t>
            </w: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$17,654.95</w:t>
            </w:r>
          </w:p>
        </w:tc>
        <w:tc>
          <w:tcPr>
            <w:tcW w:w="0" w:type="dxa"/>
            <w:vAlign w:val="bottom"/>
          </w:tcPr>
          <w:p>
            <w:pPr>
              <w:spacing w:after="0"/>
              <w:rPr>
                <w:sz w:val="1"/>
                <w:szCs w:val="1"/>
                <w:color w:val="auto"/>
              </w:rPr>
            </w:pPr>
          </w:p>
        </w:tc>
      </w:tr>
      <w:tr>
        <w:trPr>
          <w:trHeight w:val="236"/>
        </w:trPr>
        <w:tc>
          <w:tcPr>
            <w:tcW w:w="1280" w:type="dxa"/>
            <w:vAlign w:val="bottom"/>
            <w:tcBorders>
              <w:left w:val="single" w:sz="8" w:color="auto"/>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280" w:type="dxa"/>
            <w:vAlign w:val="bottom"/>
            <w:tcBorders>
              <w:left w:val="single" w:sz="8" w:color="auto"/>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left="357"/>
              <w:spacing w:after="0"/>
              <w:rPr>
                <w:sz w:val="20"/>
                <w:szCs w:val="20"/>
                <w:color w:val="auto"/>
              </w:rPr>
            </w:pPr>
            <w:r>
              <w:rPr>
                <w:rFonts w:ascii="Times New Roman" w:cs="Times New Roman" w:eastAsia="Times New Roman" w:hAnsi="Times New Roman"/>
                <w:sz w:val="18"/>
                <w:szCs w:val="18"/>
                <w:color w:val="auto"/>
              </w:rPr>
              <w:t>Net Fee Due</w:t>
            </w: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$17,654.95</w:t>
            </w:r>
          </w:p>
        </w:tc>
        <w:tc>
          <w:tcPr>
            <w:tcW w:w="0" w:type="dxa"/>
            <w:vAlign w:val="bottom"/>
          </w:tcPr>
          <w:p>
            <w:pPr>
              <w:spacing w:after="0"/>
              <w:rPr>
                <w:sz w:val="1"/>
                <w:szCs w:val="1"/>
                <w:color w:val="auto"/>
              </w:rPr>
            </w:pPr>
          </w:p>
        </w:tc>
      </w:tr>
    </w:tbl>
    <w:p>
      <w:pPr>
        <w:ind w:left="424" w:right="280" w:hanging="424"/>
        <w:spacing w:after="0" w:line="265" w:lineRule="auto"/>
        <w:tabs>
          <w:tab w:leader="none" w:pos="42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4,219,409 shares issuable under the 2017 Stock Incentive Plan.</w:t>
      </w:r>
    </w:p>
    <w:p>
      <w:pPr>
        <w:spacing w:after="0" w:line="9" w:lineRule="exact"/>
        <w:rPr>
          <w:rFonts w:ascii="Times New Roman" w:cs="Times New Roman" w:eastAsia="Times New Roman" w:hAnsi="Times New Roman"/>
          <w:sz w:val="18"/>
          <w:szCs w:val="18"/>
          <w:color w:val="auto"/>
        </w:rPr>
      </w:pPr>
    </w:p>
    <w:p>
      <w:pPr>
        <w:ind w:left="424" w:right="100"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of 1933, as amended, and based upon the average of the high and low prices of the Registrant’s Common Stock as reported on the Nasdaq Global Select Market on February 24,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8"/>
    </w:lvl>
  </w:abstractNum>
  <w:abstractNum w:abstractNumId="1">
    <w:nsid w:val="19495CFF"/>
    <w:multiLevelType w:val="hybridMultilevel"/>
    <w:lvl w:ilvl="0">
      <w:lvlJc w:val="left"/>
      <w:lvlText w:val="%1"/>
      <w:numFmt w:val="decimal"/>
      <w:start w:val="24"/>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jpeg"/><Relationship Id="rId33" Type="http://schemas.openxmlformats.org/officeDocument/2006/relationships/image" Target="media/image15.jpe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17" Type="http://schemas.openxmlformats.org/officeDocument/2006/relationships/hyperlink" Target="http://www.sec.gov/Archives/edgar/data/1492422/000119312517341060/d493934ds8.htm" TargetMode="External"/><Relationship Id="rId18" Type="http://schemas.openxmlformats.org/officeDocument/2006/relationships/hyperlink" Target="http://www.sec.gov/Archives/edgar/data/1492422/000119312519051915/d704317ds8.htm" TargetMode="External"/><Relationship Id="rId19" Type="http://schemas.openxmlformats.org/officeDocument/2006/relationships/hyperlink" Target="http://www.sec.gov/Archives/edgar/data/1492422/000119312520052855/d897456ds8.htm" TargetMode="External"/><Relationship Id="rId20" Type="http://schemas.openxmlformats.org/officeDocument/2006/relationships/hyperlink" Target="http://www.sec.gov/Archives/edgar/data/1492422/000119312520052867/d896625ds8.htm" TargetMode="External"/><Relationship Id="rId21" Type="http://schemas.openxmlformats.org/officeDocument/2006/relationships/hyperlink" Target="http://www.sec.gov/Archives/edgar/data/1492422/000119312521057085/d318679ds8.htm" TargetMode="External"/><Relationship Id="rId22" Type="http://schemas.openxmlformats.org/officeDocument/2006/relationships/hyperlink" Target="http://www.sec.gov/Archives/edgar/data/1492422/000119312522058209/d267162ds8.htm" TargetMode="External"/><Relationship Id="rId23" Type="http://schemas.openxmlformats.org/officeDocument/2006/relationships/hyperlink" Target="http://www.sec.gov/Archives/edgar/data/1492422/000119312523043528/d466322ds8.htm" TargetMode="External"/><Relationship Id="rId24" Type="http://schemas.openxmlformats.org/officeDocument/2006/relationships/hyperlink" Target="http://www.sec.gov/Archives/edgar/data/1492422/000119312524047076/d783393ds8.htm" TargetMode="External"/><Relationship Id="rId25" Type="http://schemas.openxmlformats.org/officeDocument/2006/relationships/hyperlink" Target="http://www.sec.gov/Archives/edgar/data/1492422/000119312517340923/d493537dex31.htm" TargetMode="External"/><Relationship Id="rId26" Type="http://schemas.openxmlformats.org/officeDocument/2006/relationships/hyperlink" Target="http://www.sec.gov/Archives/edgar/data/1492422/000119312517340923/d493537dex32.htm" TargetMode="External"/><Relationship Id="rId28" Type="http://schemas.openxmlformats.org/officeDocument/2006/relationships/hyperlink" Target="http://www.sec.gov/Archives/edgar/data/1492422/000119312517324222/d445089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2025-02-28T06:27:22Z</dcterms:created>
  <dcterms:modified xsi:type="dcterms:W3CDTF">2025-02-28T06:27:22Z</dcterms:modified>
</cp:coreProperties>
</file>