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100 Fifth Avenue</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jc w:val="both"/>
        <w:ind w:right="360"/>
        <w:spacing w:after="0" w:line="289" w:lineRule="auto"/>
        <w:rPr>
          <w:sz w:val="20"/>
          <w:szCs w:val="20"/>
          <w:color w:val="auto"/>
        </w:rPr>
      </w:pPr>
      <w:r>
        <w:rPr>
          <w:rFonts w:ascii="Times New Roman" w:cs="Times New Roman" w:eastAsia="Times New Roman" w:hAnsi="Times New Roman"/>
          <w:sz w:val="17"/>
          <w:szCs w:val="17"/>
          <w:color w:val="auto"/>
        </w:rPr>
        <w:t>On January 8, 2024, Apellis Pharmaceuticals, Inc. (the “Company”) issued a press release announcing preliminary unaudited total U.S. net product revenues and net product revenue for SYFOVRE and EMPAVELI for the fourth quarter and full year ended December 31, 2023. The full text of the press release issued by the Company in connection with the announcement is being furnished as Exhibit 99.1 to this Current Report on Form 8-K.</w:t>
      </w:r>
    </w:p>
    <w:p>
      <w:pPr>
        <w:spacing w:after="0" w:line="15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Company’s U.S. net product revenue figures are preliminary and unaudited, represent management’s estimate as of the date of this report and are subject to completion of the Company’s financial closing procedures. The Company’s independent registered public accounting firm has not conducted an audit or review of, and does not express an opinion or any other form of assurance with respect to, the Company’s net product revenue figures.</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8,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3157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15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Announces Preliminary Fourth Quarter and Full Year 2023 U.S. Net Product Revenues</w:t>
      </w:r>
    </w:p>
    <w:p>
      <w:pPr>
        <w:spacing w:after="0" w:line="254"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Approximately $114 million in preliminary fourth quarter SYFOVRE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revenue as strong launch continues</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Approximately $24 million in preliminary fourth quarter EMPAVELI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revenue</w:t>
      </w:r>
    </w:p>
    <w:p>
      <w:pPr>
        <w:spacing w:after="0" w:line="113" w:lineRule="exact"/>
        <w:rPr>
          <w:sz w:val="20"/>
          <w:szCs w:val="20"/>
          <w:color w:val="auto"/>
        </w:rPr>
      </w:pPr>
    </w:p>
    <w:p>
      <w:pPr>
        <w:ind w:right="180"/>
        <w:spacing w:after="0" w:line="209" w:lineRule="auto"/>
        <w:rPr>
          <w:sz w:val="20"/>
          <w:szCs w:val="20"/>
          <w:color w:val="auto"/>
        </w:rPr>
      </w:pPr>
      <w:r>
        <w:rPr>
          <w:rFonts w:ascii="Times New Roman" w:cs="Times New Roman" w:eastAsia="Times New Roman" w:hAnsi="Times New Roman"/>
          <w:sz w:val="18"/>
          <w:szCs w:val="18"/>
          <w:color w:val="auto"/>
        </w:rPr>
        <w:t>WALTHAM, Mass., January 8, 2024 (GLOBE NEWSWIRE) – Apellis Pharmaceuticals, Inc. (Nasdaq: APLS) today announced preliminary U.S. net product revenues of approximately $138 million for the fourth quarter and approximately $366 million for the full year 2023 for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for geographic atrophy (GA) secondary to age-related macular degeneration and for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for adults with paroxysmal nocturnal hemoglobinuria (PNH).</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SYFOVRE launch continues:</w:t>
      </w:r>
    </w:p>
    <w:p>
      <w:pPr>
        <w:spacing w:after="0" w:line="133" w:lineRule="exact"/>
        <w:rPr>
          <w:sz w:val="20"/>
          <w:szCs w:val="20"/>
          <w:color w:val="auto"/>
        </w:rPr>
      </w:pPr>
    </w:p>
    <w:p>
      <w:pPr>
        <w:ind w:left="960" w:right="160" w:hanging="424"/>
        <w:spacing w:after="0" w:line="27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$114 million and $275 million expected in preliminary U.S. net product revenues in the fourth quarter and full year 2023, respectively.</w:t>
      </w:r>
      <w:r>
        <w:rPr>
          <w:rFonts w:ascii="Times New Roman" w:cs="Times New Roman" w:eastAsia="Times New Roman" w:hAnsi="Times New Roman"/>
          <w:sz w:val="26"/>
          <w:szCs w:val="26"/>
          <w:color w:val="auto"/>
          <w:vertAlign w:val="superscript"/>
        </w:rPr>
        <w:t>i</w:t>
      </w:r>
    </w:p>
    <w:p>
      <w:pPr>
        <w:ind w:left="960" w:right="4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62,000 doses (commercial and sample vials) distributed to physician practices in the fourth quarter; approximately 160,000 total doses have been distributed in 2023.</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95% of treated GA patients are estimated to be using SYFOVRE.</w:t>
      </w:r>
      <w:r>
        <w:rPr>
          <w:rFonts w:ascii="Times New Roman" w:cs="Times New Roman" w:eastAsia="Times New Roman" w:hAnsi="Times New Roman"/>
          <w:sz w:val="26"/>
          <w:szCs w:val="26"/>
          <w:color w:val="auto"/>
          <w:vertAlign w:val="superscript"/>
        </w:rPr>
        <w:t>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momentum with EMPAVELI:</w:t>
      </w:r>
    </w:p>
    <w:p>
      <w:pPr>
        <w:spacing w:after="0" w:line="133" w:lineRule="exact"/>
        <w:rPr>
          <w:sz w:val="20"/>
          <w:szCs w:val="20"/>
          <w:color w:val="auto"/>
        </w:rPr>
      </w:pPr>
    </w:p>
    <w:p>
      <w:pPr>
        <w:ind w:left="960" w:right="340" w:hanging="424"/>
        <w:spacing w:after="0" w:line="27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$24 million and $91 million expected in preliminary U.S. net product revenues in the fourth quarter and full year 2023, respectively.</w:t>
      </w:r>
      <w:r>
        <w:rPr>
          <w:rFonts w:ascii="Times New Roman" w:cs="Times New Roman" w:eastAsia="Times New Roman" w:hAnsi="Times New Roman"/>
          <w:sz w:val="26"/>
          <w:szCs w:val="26"/>
          <w:color w:val="auto"/>
          <w:vertAlign w:val="superscript"/>
        </w:rPr>
        <w:t>i</w:t>
      </w: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patient compliance rate of 97%.</w:t>
      </w:r>
      <w:r>
        <w:rPr>
          <w:rFonts w:ascii="Times New Roman" w:cs="Times New Roman" w:eastAsia="Times New Roman" w:hAnsi="Times New Roman"/>
          <w:sz w:val="26"/>
          <w:szCs w:val="26"/>
          <w:color w:val="auto"/>
          <w:vertAlign w:val="superscript"/>
        </w:rPr>
        <w:t>iii</w:t>
      </w:r>
    </w:p>
    <w:p>
      <w:pPr>
        <w:spacing w:after="0" w:line="38" w:lineRule="exact"/>
        <w:rPr>
          <w:rFonts w:ascii="Times New Roman" w:cs="Times New Roman" w:eastAsia="Times New Roman" w:hAnsi="Times New Roman"/>
          <w:sz w:val="18"/>
          <w:szCs w:val="18"/>
          <w:color w:val="auto"/>
        </w:rPr>
      </w:pPr>
    </w:p>
    <w:p>
      <w:pPr>
        <w:ind w:left="960" w:right="220" w:hanging="424"/>
        <w:spacing w:after="0" w:line="280"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existing patients and more than 90% of new patients now use the EMPAVELI Injector, an on-body device designed to streamline self-administration, since the October Injector approval.</w:t>
      </w:r>
      <w:r>
        <w:rPr>
          <w:rFonts w:ascii="Times New Roman" w:cs="Times New Roman" w:eastAsia="Times New Roman" w:hAnsi="Times New Roman"/>
          <w:sz w:val="26"/>
          <w:szCs w:val="26"/>
          <w:color w:val="auto"/>
          <w:vertAlign w:val="superscript"/>
        </w:rPr>
        <w:t>iii</w:t>
      </w:r>
    </w:p>
    <w:p>
      <w:pPr>
        <w:spacing w:after="0" w:line="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“SYFOVRE is the market-leading treatment for GA, with approximately 160,000 doses distributed since launch. More patients than ever are benefiting from SYFOVRE, including the increasing treatment effects over time and flexible dosing, and we look forward to building on the momentum this year,” said Cedric Francois, M.D., Ph.D., co-founder and chief executive officer, Apellis. “Additionally, the high compliance observed with EMPAVELI speaks to the important impact of this medicine on patients’ lives. In addition to advancing our pipeline, we believe the tremendous commercial progress made in the past year has positioned us for an even stronger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J.P. Morgan Healthcare Conference Presentation and Webcast</w:t>
      </w:r>
    </w:p>
    <w:p>
      <w:pPr>
        <w:spacing w:after="0" w:line="121"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18"/>
          <w:szCs w:val="18"/>
          <w:color w:val="auto"/>
        </w:rPr>
        <w:t>Dr. Francois will discuss these updates in a corporate presentation at the 42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Annual J.P. Morgan Healthcare Conference today, Monday, January 8, 2024, at 9:45 a.m. PT. The event will be available via a live webcast from the “Events and Presentations” page of the “Investors and Media” section of the company’s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A replay of the webcast will be available for approximately 30 days following the event.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ind w:right="200"/>
        <w:spacing w:after="0" w:line="217" w:lineRule="auto"/>
        <w:rPr>
          <w:sz w:val="20"/>
          <w:szCs w:val="20"/>
          <w:color w:val="auto"/>
        </w:rPr>
      </w:pPr>
      <w:r>
        <w:rPr>
          <w:rFonts w:ascii="Times New Roman" w:cs="Times New Roman" w:eastAsia="Times New Roman" w:hAnsi="Times New Roman"/>
          <w:sz w:val="18"/>
          <w:szCs w:val="18"/>
          <w:color w:val="auto"/>
        </w:rPr>
        <w:t>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is the first and only approved therapy for geographic atrophy (GA). By targeting C3, SYFOVRE is designed to provide comprehensive control of the complement cascade, part of the body’s immune system. SYFOVRE is approved in the United States for the treatment of GA secondary to age-related macular degeneration.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/Aspaveli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ind w:right="500"/>
        <w:spacing w:after="0" w:line="204" w:lineRule="auto"/>
        <w:rPr>
          <w:sz w:val="20"/>
          <w:szCs w:val="20"/>
          <w:color w:val="auto"/>
        </w:rPr>
      </w:pPr>
      <w:r>
        <w:rPr>
          <w:rFonts w:ascii="Times New Roman" w:cs="Times New Roman" w:eastAsia="Times New Roman" w:hAnsi="Times New Roman"/>
          <w:sz w:val="18"/>
          <w:szCs w:val="18"/>
          <w:color w:val="auto"/>
        </w:rPr>
        <w:t>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/Aspaveli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is a targeted C3 therapy designed to regulate excessive activation of the complement cascade, part of the body’s immune system, which can lead to the onset and progression of many</w:t>
      </w:r>
    </w:p>
    <w:p>
      <w:pPr>
        <w:sectPr>
          <w:pgSz w:w="11900" w:h="16838" w:orient="portrait"/>
          <w:cols w:equalWidth="0" w:num="1">
            <w:col w:w="11020"/>
          </w:cols>
          <w:pgMar w:left="440" w:top="117" w:right="439" w:bottom="1440" w:gutter="0" w:footer="0" w:header="0"/>
        </w:sectPr>
      </w:pPr>
    </w:p>
    <w:bookmarkStart w:id="4" w:name="page5"/>
    <w:bookmarkEnd w:id="4"/>
    <w:p>
      <w:pPr>
        <w:ind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31570" cy="36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serious diseases. It is approved for the treatment of paroxysmal nocturnal hemoglobinuria (PNH) in the United States, European Union, and other countries globally. The therapy is also under investigation for several other rare diseases across hematology and nephrology.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SYFOVRE</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 injection)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11" w:lineRule="exact"/>
        <w:rPr>
          <w:sz w:val="20"/>
          <w:szCs w:val="20"/>
          <w:color w:val="auto"/>
        </w:rPr>
      </w:pPr>
    </w:p>
    <w:p>
      <w:pPr>
        <w:ind w:left="420" w:hanging="316"/>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SYFOVRE is contraindicated in patients with ocular or periocular infections, and in patients with active intraocular inflammation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35" w:lineRule="exact"/>
        <w:rPr>
          <w:sz w:val="20"/>
          <w:szCs w:val="20"/>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Endophthalmitis and Retinal Detachments</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61"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Intravitreal injections, including those with SYFOVRE, may be associated with endophthalmitis and retinal detachments. Proper aseptic injection technique must always be used when administering SYFOVRE to minimize the risk of endophthalmitis. Patients should be instructed to report any symptoms suggestive of endophthalmitis or retinal detachment without delay and should be managed appropriately.</w:t>
      </w:r>
    </w:p>
    <w:p>
      <w:pPr>
        <w:spacing w:after="0" w:line="85"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w:t>
      </w:r>
    </w:p>
    <w:p>
      <w:pPr>
        <w:spacing w:after="0" w:line="130"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Retinal vasculitis and/or retinal vascular occlusion, typically in the presence of intraocular inflammation, have been reported with the use of SYFOVRE. Cases may occur with the first dose of SYFOVRE and may result in severe vision loss. Discontinue treatment with SYFOVRE in patients who develop these events. Patients should be instructed to report any change in vision without delay.</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Neovascular AMD</w:t>
      </w:r>
    </w:p>
    <w:p>
      <w:pPr>
        <w:spacing w:after="0" w:line="130" w:lineRule="exact"/>
        <w:rPr>
          <w:rFonts w:ascii="Times New Roman" w:cs="Times New Roman" w:eastAsia="Times New Roman" w:hAnsi="Times New Roman"/>
          <w:sz w:val="18"/>
          <w:szCs w:val="18"/>
          <w:color w:val="auto"/>
        </w:rPr>
      </w:pPr>
    </w:p>
    <w:p>
      <w:pPr>
        <w:ind w:left="1420" w:right="200" w:hanging="331"/>
        <w:spacing w:after="0" w:line="261"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increased rates of neovascular (wet) AMD or choroidal neovascularization (12% when administered monthly, 7% when administered every other month and 3% in the control group) by Month 24. Patients receiving SYFOVRE should be monitored for signs of neovascular AMD. In case anti-Vascular Endothelial Growth Factor (anti-VEGF) is required, it should be given separately from SYFOVRE administration.</w:t>
      </w:r>
    </w:p>
    <w:p>
      <w:pPr>
        <w:spacing w:after="0" w:line="85"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Intraocular Inflammation</w:t>
      </w:r>
    </w:p>
    <w:p>
      <w:pPr>
        <w:spacing w:after="0" w:line="130" w:lineRule="exact"/>
        <w:rPr>
          <w:rFonts w:ascii="Times New Roman" w:cs="Times New Roman" w:eastAsia="Times New Roman" w:hAnsi="Times New Roman"/>
          <w:sz w:val="18"/>
          <w:szCs w:val="18"/>
          <w:color w:val="auto"/>
        </w:rPr>
      </w:pPr>
    </w:p>
    <w:p>
      <w:pPr>
        <w:ind w:left="1420" w:right="380" w:hanging="331"/>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clinical trials, use of SYFOVRE was associated with episodes of intraocular inflammation including: vitritis, vitreal cells, iridocyclitis, uveitis, anterior chamber cells, iritis, and anterior chamber flare. After inflammation resolves, patients may resume treatment with SYFOVRE.</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Intraocular Pressure</w:t>
      </w:r>
    </w:p>
    <w:p>
      <w:pPr>
        <w:spacing w:after="0" w:line="130" w:lineRule="exact"/>
        <w:rPr>
          <w:rFonts w:ascii="Times New Roman" w:cs="Times New Roman" w:eastAsia="Times New Roman" w:hAnsi="Times New Roman"/>
          <w:sz w:val="18"/>
          <w:szCs w:val="18"/>
          <w:color w:val="auto"/>
        </w:rPr>
      </w:pPr>
    </w:p>
    <w:p>
      <w:pPr>
        <w:ind w:left="1420" w:right="46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Acute increase in IOP may occur within minutes of any intravitreal injection, including with SYFOVRE. Perfusion of the optic nerve head should be monitored following the injection and managed as needed.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135" w:lineRule="exact"/>
        <w:rPr>
          <w:sz w:val="20"/>
          <w:szCs w:val="20"/>
          <w:color w:val="auto"/>
        </w:rPr>
      </w:pPr>
    </w:p>
    <w:p>
      <w:pPr>
        <w:ind w:left="420" w:right="740" w:hanging="316"/>
        <w:spacing w:after="0" w:line="282"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common adverse reactions (incidence ≥5%) are ocular discomfort, neovascular age-related macular degeneration, vitreous floaters, conjunctival hemorrhage.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accompanying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 xml:space="preserve"> for more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Important Safety Information for EMPAVELI</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(pegcetacoplan)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BOXED WARNING: SERIOUS INFECTIONS CAUSED BY ENCAPSULATED BACTERIA</w:t>
      </w:r>
    </w:p>
    <w:p>
      <w:pPr>
        <w:spacing w:after="0" w:line="107" w:lineRule="exact"/>
        <w:rPr>
          <w:sz w:val="20"/>
          <w:szCs w:val="20"/>
          <w:color w:val="auto"/>
        </w:rPr>
      </w:pPr>
    </w:p>
    <w:p>
      <w:pPr>
        <w:ind w:left="960" w:right="240" w:hanging="424"/>
        <w:spacing w:after="0" w:line="262" w:lineRule="auto"/>
        <w:tabs>
          <w:tab w:leader="none" w:pos="9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Meningococcal infections may occur in patients treated with EMPAVELI and may become rapidly life-threatening or fatal if not recognized and treated early. Use of EMPAVELI may predispose individuals to serious infections, especially those caused by encapsulated bacteria, such as </w:t>
      </w:r>
      <w:r>
        <w:rPr>
          <w:rFonts w:ascii="Times New Roman" w:cs="Times New Roman" w:eastAsia="Times New Roman" w:hAnsi="Times New Roman"/>
          <w:sz w:val="18"/>
          <w:szCs w:val="18"/>
          <w:b w:val="1"/>
          <w:bCs w:val="1"/>
          <w:i w:val="1"/>
          <w:iCs w:val="1"/>
          <w:color w:val="auto"/>
        </w:rPr>
        <w:t>Streptococcus pneumoniae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Neisseria meningitidis</w:t>
      </w:r>
      <w:r>
        <w:rPr>
          <w:rFonts w:ascii="Times New Roman" w:cs="Times New Roman" w:eastAsia="Times New Roman" w:hAnsi="Times New Roman"/>
          <w:sz w:val="18"/>
          <w:szCs w:val="18"/>
          <w:b w:val="1"/>
          <w:bCs w:val="1"/>
          <w:color w:val="auto"/>
        </w:rPr>
        <w:t xml:space="preserve"> types A, C, W, Y, and B, and </w:t>
      </w:r>
      <w:r>
        <w:rPr>
          <w:rFonts w:ascii="Times New Roman" w:cs="Times New Roman" w:eastAsia="Times New Roman" w:hAnsi="Times New Roman"/>
          <w:sz w:val="18"/>
          <w:szCs w:val="18"/>
          <w:b w:val="1"/>
          <w:bCs w:val="1"/>
          <w:i w:val="1"/>
          <w:iCs w:val="1"/>
          <w:color w:val="auto"/>
        </w:rPr>
        <w:t>Haemophilus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influenzae </w:t>
      </w:r>
      <w:r>
        <w:rPr>
          <w:rFonts w:ascii="Times New Roman" w:cs="Times New Roman" w:eastAsia="Times New Roman" w:hAnsi="Times New Roman"/>
          <w:sz w:val="18"/>
          <w:szCs w:val="18"/>
          <w:b w:val="1"/>
          <w:bCs w:val="1"/>
          <w:color w:val="auto"/>
        </w:rPr>
        <w:t>type B.</w:t>
      </w:r>
    </w:p>
    <w:p>
      <w:pPr>
        <w:sectPr>
          <w:pgSz w:w="11900" w:h="16838" w:orient="portrait"/>
          <w:cols w:equalWidth="0" w:num="1">
            <w:col w:w="11020"/>
          </w:cols>
          <w:pgMar w:left="440" w:top="999" w:right="439" w:bottom="1440" w:gutter="0" w:footer="0" w:header="0"/>
        </w:sectPr>
      </w:pPr>
    </w:p>
    <w:bookmarkStart w:id="5" w:name="page6"/>
    <w:bookmarkEnd w:id="5"/>
    <w:p>
      <w:pPr>
        <w:ind w:left="960" w:right="80" w:hanging="424"/>
        <w:spacing w:after="0" w:line="286" w:lineRule="auto"/>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Comply with the most current Advisory Committee on Immunization Practices (ACIP) recommendations for vaccinations against encapsulated bacteria.</w:t>
      </w:r>
    </w:p>
    <w:p>
      <w:pPr>
        <w:spacing w:after="0" w:line="60" w:lineRule="exact"/>
        <w:rPr>
          <w:rFonts w:ascii="Times New Roman" w:cs="Times New Roman" w:eastAsia="Times New Roman" w:hAnsi="Times New Roman"/>
          <w:sz w:val="18"/>
          <w:szCs w:val="18"/>
          <w:b w:val="1"/>
          <w:bCs w:val="1"/>
          <w:color w:val="auto"/>
        </w:rPr>
      </w:pPr>
    </w:p>
    <w:p>
      <w:pPr>
        <w:ind w:left="960" w:right="300" w:hanging="424"/>
        <w:spacing w:after="0" w:line="286" w:lineRule="auto"/>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Vaccinate patients at least 2 weeks prior to administering the first dose of EMPAVELI unless the risks of delaying therapy with EMPAVELI outweigh the risk of developing a serious infection.</w:t>
      </w:r>
    </w:p>
    <w:p>
      <w:pPr>
        <w:spacing w:after="0" w:line="60" w:lineRule="exact"/>
        <w:rPr>
          <w:rFonts w:ascii="Times New Roman" w:cs="Times New Roman" w:eastAsia="Times New Roman" w:hAnsi="Times New Roman"/>
          <w:sz w:val="18"/>
          <w:szCs w:val="18"/>
          <w:b w:val="1"/>
          <w:bCs w:val="1"/>
          <w:color w:val="auto"/>
        </w:rPr>
      </w:pPr>
    </w:p>
    <w:p>
      <w:pPr>
        <w:ind w:left="960" w:right="60" w:hanging="424"/>
        <w:spacing w:after="0" w:line="286" w:lineRule="auto"/>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Vaccination reduces, but does not eliminate, the risk of serious infections. Monitor patients for early signs of serious infections and evaluate immediately if infection is suspected.</w:t>
      </w:r>
    </w:p>
    <w:p>
      <w:pPr>
        <w:spacing w:after="0" w:line="60" w:lineRule="exact"/>
        <w:rPr>
          <w:rFonts w:ascii="Times New Roman" w:cs="Times New Roman" w:eastAsia="Times New Roman" w:hAnsi="Times New Roman"/>
          <w:sz w:val="18"/>
          <w:szCs w:val="18"/>
          <w:b w:val="1"/>
          <w:bCs w:val="1"/>
          <w:color w:val="auto"/>
        </w:rPr>
      </w:pPr>
    </w:p>
    <w:p>
      <w:pPr>
        <w:ind w:left="960" w:right="180" w:hanging="424"/>
        <w:spacing w:after="0" w:line="286" w:lineRule="auto"/>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EMPAVELI is available only through a restricted program under a Risk Evaluation and Mitigation Strategy (REMS). Under the EMPAVELI REMS, prescribers must enroll in the program.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35"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Hypersensitivity to pegcetacoplan or to any of the excipients</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currently vaccinated against certain encapsulated bacteria, unless the risks of delaying EMPAVELI treatment outweigh the risks of developing a bacterial infection with an encapsulated organism</w:t>
      </w:r>
    </w:p>
    <w:p>
      <w:pPr>
        <w:spacing w:after="0" w:line="65" w:lineRule="exact"/>
        <w:rPr>
          <w:rFonts w:ascii="Times New Roman" w:cs="Times New Roman" w:eastAsia="Times New Roman" w:hAnsi="Times New Roman"/>
          <w:sz w:val="18"/>
          <w:szCs w:val="18"/>
          <w:color w:val="auto"/>
        </w:rPr>
      </w:pPr>
    </w:p>
    <w:p>
      <w:pPr>
        <w:ind w:left="960" w:right="1160" w:hanging="424"/>
        <w:spacing w:after="0" w:line="28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Unresolved serious infection caused by encapsulated bacteria including </w:t>
      </w:r>
      <w:r>
        <w:rPr>
          <w:rFonts w:ascii="Times New Roman" w:cs="Times New Roman" w:eastAsia="Times New Roman" w:hAnsi="Times New Roman"/>
          <w:sz w:val="18"/>
          <w:szCs w:val="18"/>
          <w:i w:val="1"/>
          <w:iCs w:val="1"/>
          <w:color w:val="auto"/>
        </w:rPr>
        <w:t>Streptococcus pneumoniae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Neisseria meningitidis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Haemophilus influenzae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Serious Infections Caused by Encapsulated Bacteria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EMPAVELI may predispose individuals to serious, life-threatening, or fatal infections caused by encapsulated bacteria,</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i w:val="1"/>
          <w:iCs w:val="1"/>
          <w:color w:val="auto"/>
        </w:rPr>
        <w:t>Streptococcus pneumoniae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Neisseria meningitidis</w:t>
      </w:r>
      <w:r>
        <w:rPr>
          <w:rFonts w:ascii="Times New Roman" w:cs="Times New Roman" w:eastAsia="Times New Roman" w:hAnsi="Times New Roman"/>
          <w:sz w:val="18"/>
          <w:szCs w:val="18"/>
          <w:color w:val="auto"/>
        </w:rPr>
        <w:t xml:space="preserve"> types A, C, W, Y, and B, and </w:t>
      </w:r>
      <w:r>
        <w:rPr>
          <w:rFonts w:ascii="Times New Roman" w:cs="Times New Roman" w:eastAsia="Times New Roman" w:hAnsi="Times New Roman"/>
          <w:sz w:val="18"/>
          <w:szCs w:val="18"/>
          <w:i w:val="1"/>
          <w:iCs w:val="1"/>
          <w:color w:val="auto"/>
        </w:rPr>
        <w:t>Haemophilus influenzae</w:t>
      </w:r>
      <w:r>
        <w:rPr>
          <w:rFonts w:ascii="Times New Roman" w:cs="Times New Roman" w:eastAsia="Times New Roman" w:hAnsi="Times New Roman"/>
          <w:sz w:val="18"/>
          <w:szCs w:val="18"/>
          <w:color w:val="auto"/>
        </w:rPr>
        <w:t xml:space="preserve"> type B (Hib). To reduce the risk of infection, all patients must be vaccinated against these bacteria according to the most current ACIP recommendations for patients with altered immunocompetence associated with complement deficiencies. Revaccinate patients in accordance with ACIP recommendations considering the duration of therapy with EMPAVELI.</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patients without known history of vaccination, administer required vaccines at least 2 weeks prior to receiving the first dose of EMPAVELI. If immediate therapy with EMPAVELI is indicated, administer required vaccine as soon as possible and provide patients with 2 weeks of antibacterial drug prophylaxis.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Closely monitor patients for early signs and symptoms of serious infection and evaluate patients immediately if an infection is suspected. Promptly treat known infections. Serious infection may become rapidly life-threatening or fatal if not recognized and treated early. Consider discontinuation of EMPAVELI in patients who are undergoing treatment for serious infections.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EMPAVELI REMS</w:t>
      </w:r>
    </w:p>
    <w:p>
      <w:pPr>
        <w:spacing w:after="0" w:line="121"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7"/>
          <w:szCs w:val="17"/>
          <w:color w:val="auto"/>
        </w:rPr>
        <w:t>Because of the risk of serious infections, EMPAVELI is available only through a restricted program under a REMS. Under the EMPAVELI REMS, prescribers must enroll in the program and must counsel patients about the risk of serious infection, provide the patients with the REMS educational materials, and ensure patients are vaccinated against encapsulated bacteria. Enrollment and additional information are available by telephone: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1-888-343-7073 or at www.empavelirems.com.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Infusion-Related Reactions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Systemic hypersensitivity reactions (e.g., facial swelling, rash, urticaria) have occurred in patients treated with EMPAVELI. One patient (less than 1% in clinical studies) experienced a serious allergic reaction which resolved after treatment with antihistamines. If a severe hypersensitivity reaction (including anaphylaxis) occurs, discontinue EMPAVELI infusion immediately, institute appropriate treatment, per standard of care, and monitor until signs and symptoms are resolved.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Monitoring PNH Manifestations after Discontinuation of EMPAVELI</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After discontinuing treatment with EMPAVELI, closely monitor for signs and symptoms of hemolysis, identified by elevated LDH levels along with sudden decrease in PNH clone size or hemoglobin, or reappearance of symptoms such as fatigue, hemoglobinuria, abdominal pain, dyspnea, major adverse vascular events (including thrombosis),</w:t>
      </w:r>
    </w:p>
    <w:p>
      <w:pPr>
        <w:sectPr>
          <w:pgSz w:w="11900" w:h="16838" w:orient="portrait"/>
          <w:cols w:equalWidth="0" w:num="1">
            <w:col w:w="11000"/>
          </w:cols>
          <w:pgMar w:left="440" w:top="995" w:right="459" w:bottom="1440" w:gutter="0" w:footer="0" w:header="0"/>
        </w:sectPr>
      </w:pPr>
    </w:p>
    <w:bookmarkStart w:id="6" w:name="page7"/>
    <w:bookmarkEnd w:id="6"/>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dysphagia, or erectile dysfunction. Monitor any patient who discontinues EMPAVELI for at least 8 weeks to detect hemolysis and other reactions. If hemolysis, including elevated LDH, occurs after discontinuation of EMPAVELI, consider restarting treatment with EMPAVELI.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Interference with Laboratory Tests</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There may be interference between silica reagents in coagulation panels and EMPAVELI that results in artificially prolonged activated partial thromboplastin time (aPTT); therefore, avoid the use of silica reagents in coagulation panels.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Most common adverse reactions in patients with PNH (incidence ≥10%) were injection-site reactions, infections, diarrhea, abdominal pain, respiratory tract infection, pain in extremity, hypokalemia, fatigue, viral infection, cough, arthralgia, dizziness, headache, and rash.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IN SPECIFIC POPULATIONS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Females of Reproductive Potential</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EMPAVELI may cause embryo-fetal harm when administered to pregnant women. Pregnancy testing is recommended for females of reproductive potential prior to treatment with EMPAVELI. Advise female patients of reproductive potential to use effective contraception during treatment with EMPAVELI and for 40 days after the last dose.</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Please see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 xml:space="preserve">, including Boxed WARNING regarding serious infections caused by encapsulated bacteria, and </w:t>
      </w:r>
      <w:r>
        <w:rPr>
          <w:rFonts w:ascii="Times New Roman" w:cs="Times New Roman" w:eastAsia="Times New Roman" w:hAnsi="Times New Roman"/>
          <w:sz w:val="18"/>
          <w:szCs w:val="18"/>
          <w:u w:val="single" w:color="auto"/>
          <w:color w:val="auto"/>
        </w:rPr>
        <w:t>Medication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Guide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Apellis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Apellis Pharmaceuticals, Inc. is a global biopharmaceutical company that combines courageous science and compassion to develop life-changing therapies for some of the most challenging diseases patients face. We ushered in the first new class of complement medicine in 15 years and now have two approved medicines targeting C3. These include the first-ever therapy for geographic atrophy, a leading cause of blindness around the world. We believe we have only begun to unlock the potential of targeting C3 across serious retinal, rare, and neurological diseases. For more information, please visit </w:t>
      </w:r>
      <w:r>
        <w:rPr>
          <w:rFonts w:ascii="Times New Roman" w:cs="Times New Roman" w:eastAsia="Times New Roman" w:hAnsi="Times New Roman"/>
          <w:sz w:val="18"/>
          <w:szCs w:val="18"/>
          <w:u w:val="single" w:color="auto"/>
          <w:color w:val="auto"/>
        </w:rPr>
        <w:t>http://apellis.com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Apellis Forward-Looking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regarding preliminary financial information for the fourth quarter and full year ended December 31, 2023.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adjustments to Apellis’ preliminary revenue figures resulting from, among other things, the completion of financial closing and review procedures for the quarter and year ended December 31, 2023; and other factors discussed in the “Risk Factors” section of Apellis’ Annual Report on Form 10-K with the Securities and Exchange Commission on February 21, 2023 and Quarterly Report on Form 10-Q filed on November 1, 2023 and the risks described in other filings that Apellis may make with the Securities and Exchange Commission. Any forward-looking statements contained in this press release speak only as of the date hereof, and Apellis specifically disclaims any obligation to update any forward-looking statement, whether as a result of new information, future events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Lissa Pavluk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media@apellis.com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617.977.6764</w:t>
      </w:r>
    </w:p>
    <w:p>
      <w:pPr>
        <w:sectPr>
          <w:pgSz w:w="11900" w:h="16838" w:orient="portrait"/>
          <w:cols w:equalWidth="0" w:num="1">
            <w:col w:w="11000"/>
          </w:cols>
          <w:pgMar w:left="440" w:top="999"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31570"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Investor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Meredith Kaya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meredith.kaya@apellis.com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617.599.8178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line="208" w:lineRule="auto"/>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revenue figures presented in this press release are preliminary and based on management’s estimate as of the date of this press release and are subject to completion of the Company’s financial closing and review procedures.</w:t>
      </w:r>
    </w:p>
    <w:p>
      <w:pPr>
        <w:spacing w:after="0" w:line="2" w:lineRule="exact"/>
        <w:rPr>
          <w:sz w:val="20"/>
          <w:szCs w:val="20"/>
          <w:color w:val="auto"/>
        </w:rPr>
      </w:pPr>
    </w:p>
    <w:p>
      <w:pPr>
        <w:ind w:left="424" w:right="420" w:hanging="424"/>
        <w:spacing w:after="0" w:line="200" w:lineRule="auto"/>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is an estimation based on ECP injection demand data on file as of December 31, 2023. This dataset may not represent the entire patient population.</w:t>
      </w:r>
    </w:p>
    <w:p>
      <w:pPr>
        <w:ind w:left="424" w:hanging="424"/>
        <w:spacing w:after="0" w:line="180" w:lineRule="auto"/>
        <w:tabs>
          <w:tab w:leader="none" w:pos="424"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As of December 31, 2023.</w:t>
      </w:r>
    </w:p>
    <w:sectPr>
      <w:pgSz w:w="11900" w:h="16838" w:orient="portrait"/>
      <w:cols w:equalWidth="0" w:num="1">
        <w:col w:w="10944"/>
      </w:cols>
      <w:pgMar w:left="436" w:top="99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i"/>
      <w:numFmt w:val="bullet"/>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2024-01-08T08:13:52Z</dcterms:created>
  <dcterms:modified xsi:type="dcterms:W3CDTF">2024-01-08T08:13:52Z</dcterms:modified>
</cp:coreProperties>
</file>