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40" w:hanging="3899"/>
        <w:spacing w:after="0" w:line="310" w:lineRule="auto"/>
        <w:tabs>
          <w:tab w:leader="none" w:pos="4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1879600</wp:posOffset>
            </wp:positionH>
            <wp:positionV relativeFrom="paragraph">
              <wp:posOffset>-20320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APELLIS PHARMACEUTICALS,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20" w:type="dxa"/>
            <w:vAlign w:val="bottom"/>
          </w:tcPr>
          <w:p>
            <w:pPr>
              <w:spacing w:after="0"/>
              <w:rPr>
                <w:sz w:val="21"/>
                <w:szCs w:val="21"/>
                <w:color w:val="auto"/>
              </w:rPr>
            </w:pPr>
          </w:p>
        </w:tc>
      </w:t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20"/>
          </w:cols>
          <w:pgMar w:left="320" w:top="232" w:right="359" w:bottom="1440" w:gutter="0" w:footer="0" w:header="0"/>
        </w:sectPr>
      </w:pPr>
    </w:p>
    <w:p>
      <w:pPr>
        <w:spacing w:after="0" w:line="7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1" w:lineRule="exact"/>
        <w:rPr>
          <w:sz w:val="24"/>
          <w:szCs w:val="24"/>
          <w:color w:val="auto"/>
        </w:rPr>
      </w:pPr>
    </w:p>
    <w:p>
      <w:pPr>
        <w:sectPr>
          <w:pgSz w:w="11900" w:h="16838" w:orient="portrait"/>
          <w:cols w:equalWidth="0" w:num="3">
            <w:col w:w="4320" w:space="720"/>
            <w:col w:w="2040" w:space="720"/>
            <w:col w:w="3420"/>
          </w:cols>
          <w:pgMar w:left="320" w:top="232" w:right="359" w:bottom="1440" w:gutter="0" w:footer="0" w:header="0"/>
          <w:type w:val="continuous"/>
        </w:sectPr>
      </w:pPr>
    </w:p>
    <w:p>
      <w:pPr>
        <w:ind w:left="42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Common Stock, $0.0001 par value per share</w:t>
      </w:r>
      <w:r>
        <w:rPr>
          <w:sz w:val="20"/>
          <w:szCs w:val="20"/>
          <w:color w:val="auto"/>
        </w:rPr>
        <w:tab/>
      </w:r>
      <w:r>
        <w:rPr>
          <w:rFonts w:ascii="Times New Roman" w:cs="Times New Roman" w:eastAsia="Times New Roman" w:hAnsi="Times New Roman"/>
          <w:sz w:val="17"/>
          <w:szCs w:val="17"/>
          <w:b w:val="1"/>
          <w:bCs w:val="1"/>
          <w:color w:val="auto"/>
        </w:rPr>
        <w:t>APLS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p>
      <w:pPr>
        <w:spacing w:after="0" w:line="48" w:lineRule="exact"/>
        <w:rPr>
          <w:sz w:val="24"/>
          <w:szCs w:val="24"/>
          <w:color w:val="auto"/>
        </w:rPr>
      </w:pPr>
    </w:p>
    <w:p>
      <w:pPr>
        <w:sectPr>
          <w:pgSz w:w="11900" w:h="16838" w:orient="portrait"/>
          <w:cols w:equalWidth="0" w:num="2">
            <w:col w:w="7280" w:space="720"/>
            <w:col w:w="3220"/>
          </w:cols>
          <w:pgMar w:left="320" w:top="232"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right="166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Small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71"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28, 2024, the aggregate market value of the voting and non-voting common equity held by non-affiliates of the registrant, based on the closing price of the shares of common stock on the Nasdaq Global Select Stock Market on such date, was $4.2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$0.0001 per share outstanding as of February 19, 2025 was 125,515,813.</w:t>
      </w:r>
    </w:p>
    <w:p>
      <w:pPr>
        <w:spacing w:after="0" w:line="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registrant intends to file a definitive proxy statement pursuant to Regulation 14A in connection with its 2025 Annual Meeting of Stockholders within 120 days of the end of the registrant’s fiscal year ended December 31, 2024. Portions of such proxy statement are incorporated by reference into Part III of this Annual Report on Form 10-K</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838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5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7420" w:type="dxa"/>
            <w:vAlign w:val="bottom"/>
            <w:tcBorders>
              <w:top w:val="single" w:sz="8" w:color="0000EE"/>
            </w:tcBorders>
            <w:gridSpan w:val="16"/>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9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9"/>
          </w:tcPr>
          <w:p>
            <w:pPr>
              <w:spacing w:after="0"/>
              <w:rPr>
                <w:sz w:val="17"/>
                <w:szCs w:val="17"/>
                <w:color w:val="auto"/>
              </w:rPr>
            </w:pP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4"/>
          </w:tcPr>
          <w:p>
            <w:pPr>
              <w:spacing w:after="0"/>
              <w:rPr>
                <w:sz w:val="17"/>
                <w:szCs w:val="17"/>
                <w:color w:val="auto"/>
              </w:rPr>
            </w:pPr>
          </w:p>
        </w:tc>
        <w:tc>
          <w:tcPr>
            <w:tcW w:w="52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expectations regarding the anticipated results from these trials;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EMPAVELI, SYFOVRE and any future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current and future products or product candidates with significant clinical benefits and commercial potential;</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for current and future treatment indications in the U.S. and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our collaborations with Sobi and Beam Therapeutics,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and our expected revenues from sales of EMPAVELI and SYFOVRE to fund our projected operating expenses and capital expenditures to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or incorporated by reference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 The Apellis, EMPAVELI, SYFOVRE and Apellis Assist names and logos are our trademarks, trade names and service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40"/>
        <w:spacing w:after="0" w:line="461" w:lineRule="auto"/>
        <w:rPr>
          <w:sz w:val="20"/>
          <w:szCs w:val="20"/>
          <w:color w:val="auto"/>
        </w:rPr>
      </w:pPr>
      <w:r>
        <w:rPr>
          <w:rFonts w:ascii="Times New Roman" w:cs="Times New Roman" w:eastAsia="Times New Roman" w:hAnsi="Times New Roman"/>
          <w:sz w:val="18"/>
          <w:szCs w:val="18"/>
          <w:color w:val="auto"/>
        </w:rPr>
        <w:t xml:space="preserve">marks. The other trademarks, trade names and service marks appearing in this Annual Report on Form 10-K are the property of their respective owners. </w:t>
      </w:r>
      <w:r>
        <w:rPr>
          <w:rFonts w:ascii="Times New Roman" w:cs="Times New Roman" w:eastAsia="Times New Roman" w:hAnsi="Times New Roman"/>
          <w:sz w:val="18"/>
          <w:szCs w:val="18"/>
          <w:b w:val="1"/>
          <w:bCs w:val="1"/>
          <w:color w:val="auto"/>
        </w:rPr>
        <w:t>Note Regarding Certain References in this Annual Report on Form 10-K</w:t>
      </w:r>
    </w:p>
    <w:p>
      <w:pPr>
        <w:spacing w:after="0" w:line="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Annual Report on Form 10-K to “EMPAVELI (pegcetacoplan)” and “EMPAVELI” refer to systemic pegcetacoplan in the context of the commercially available product in the United States for the treatment of adults with paroxysmal nocturnal hemoglobinuria, or PNH, and references to Aspaveli refer to systemic pegcetacoplan in the context of the commercially available product in the European Union for the treatment of adults with PNH who are anemic after treatment with a C5 inhibitor for at least three months in each case, and references to IC-MPGN refer to primary immune complex membranoproliferative glomerulonephritis, as more fully described herein. Unless otherwise stated or the context indicates otherwise, all references in this Annual Report on Form 10-K to “SYFOVRE (pegcetacoplan injection)” and “SYFOVRE” refer to intravitreal pegcetacoplan in the context of the commercially available product for which we received approval from the U.S. Food and Drug Administration in February 2023 for the treatment of geographic atrophy secondary to age-related macular degeneration, or GA, and the Therapeutic Goods Administration in Australia in January 2025 for the every-other-month treatment of adult patients with GA with an intact fovea and when central vision is threatened by GA lesion growth.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Annual Report on Form 10-K are the property of their respective owners.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1020" w:right="10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may never achieve or maintain profitability. Our net losses were $197.9 million, $528.6 million, and $652.2 million for the years ended December 31, 2024, 2023 and 2022, respectively. We have obtained marketing approval for EMPAVELI for the treatment of paroxysmal nocturnal hemoglobinuria, or PNH, in multiple jurisdictions, and SYFOVRE for the treatment of geographic atrophy secondary to age-related macular degeneration, or GA, in the United States and Australia.</w:t>
      </w:r>
    </w:p>
    <w:p>
      <w:pPr>
        <w:spacing w:after="0" w:line="71" w:lineRule="exact"/>
        <w:rPr>
          <w:rFonts w:ascii="Times New Roman" w:cs="Times New Roman" w:eastAsia="Times New Roman" w:hAnsi="Times New Roman"/>
          <w:sz w:val="18"/>
          <w:szCs w:val="18"/>
          <w:color w:val="auto"/>
        </w:rPr>
      </w:pPr>
    </w:p>
    <w:p>
      <w:pPr>
        <w:ind w:left="1020" w:right="26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depend upon the commercial success of SYFOVRE and EMPAVELI. If we are unable to successfully commercialize SYFOVRE and EMPAVELI for their approved indications or develop and obtain marketing approval for or successfully commercialize pegcetacoplan for C3 glomerulopathy, or C3G, primary immune complex membranoproliferative glomerulonephritis, or IC-MPGN, and other indications, either alone or through a collaboration, or if we experience significant delays in doing so, our business could be harmed. SYFOVRE is currently only approved in the United States and Australia. We cannot be certain that we will be able to obtain regulatory approval for, and successfully commercialize, SYFOVRE in additional jurisdictions.</w:t>
      </w:r>
    </w:p>
    <w:p>
      <w:pPr>
        <w:spacing w:after="0" w:line="7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others may later discover that EMPAVELI or SYFOVRE is less effective than previously believed or causes safety issues that were not previously identified, which could compromise our ability, or that of our collaborators, to market the product. For example, a small number of patients treated with SYFOVRE in the real world have experienced retinal vasculitis, a severe form of intraocular inflammation. A change in the perception of the benefit/risk profile of SYFOVRE may reduce market acceptance of the product and our product revenues may be adversely affected.</w:t>
      </w:r>
    </w:p>
    <w:p>
      <w:pPr>
        <w:spacing w:after="0" w:line="75"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in the course of operating our business. If our cash and cash equivalents, and cash generated from sales of EMPAVELI and SYFOVRE, are not sufficient to fund our projected operating plans and capital expenditure requirements to profitability, we will need to obtain additional funding. If we are unable to raise capital when needed, we could be forced to delay, reduce or eliminate product development programs or delay or reduce our commercialization efforts.</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PNH who were previously untreated may not start treatment with EMPAVELI or patients who are being treated for PNH with eculizumab, ravulizumab, or iptacopan may not switch to treatment with EMPAVELI. Patients with GA may not be diagnosed or seek treatment with SYFOVRE, may elect to be treated with a competitor treatment, or may fail to comply with the treatment regimen over the progression of the disease.</w:t>
      </w:r>
    </w:p>
    <w:p>
      <w:pPr>
        <w:spacing w:after="0" w:line="71"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our agreements with wholesale distributors, specialty pharmacy providers, third party payors, pharmacy benefit managers and group purchasing organizations, or maintain our products on formularies, the market opportunity and revenue for our products may be adversely affected.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EMPAVELI, SYFOVRE, or any other products that we develop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 In GA, we face competition from avacincaptad pegol, which the FDA approved for the treatment of GA in August 2023. In PNH, we face competition from eculizumab, ravulizumab and iptacopcan. We also face potential competition in C3G from iptacopan, for which a supplemental new drug application, or sNDA, in C3G was submitted to the FDA in late 2024.</w:t>
      </w:r>
    </w:p>
    <w:p>
      <w:pPr>
        <w:spacing w:after="0" w:line="7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debt under our financing agreement with Sixth Street Lending Partners to buy out the SFJ Pharmaceuticals development liability. Our business may not generate cash flows from operations in the future that are sufficient to service our debt and support our growth strategies. If our cash and cash equivalents and cash generated from sales of EMPAVELI and SYFOVRE are not sufficient to fund our projected operating plans and capital expenditure requirements to profitability, we will need to obtain additional funding. If we are unable to raise capital when needed, we may be required to adopt one or more alternatives, such as obtaining additional capital on terms that may be onerous or highly dilutive, selling assets, or restructuring debt, and we could be forced to delay, reduce or eliminate product development programs, or delay or reduce our commercialization effort.</w:t>
      </w:r>
    </w:p>
    <w:p>
      <w:pPr>
        <w:spacing w:after="0" w:line="80"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expensive, time consuming and uncertain and may prevent us or our collaborators such as Sobi from obtaining marketing approvals for systemic pegcetacoplan in indications other than PNH, intravitreal pegcetacoplan for indications other than GA or in jurisdictions other than the United States and Australia, or any other product candidate that we develop in any jurisdiction. As a result, we cannot predict when or if, and in which jurisdictions,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we, or our collaborators, will obtain marketing approval for systemic pegcetacoplan in other indications, for intravitreal pegcetacoplan for GA in jurisdictions other than the United States and Australia or for any other product candidate that we develop in any jurisdiction.</w:t>
      </w:r>
    </w:p>
    <w:p>
      <w:pPr>
        <w:spacing w:after="0" w:line="54" w:lineRule="exact"/>
        <w:rPr>
          <w:sz w:val="20"/>
          <w:szCs w:val="20"/>
          <w:color w:val="auto"/>
        </w:rPr>
      </w:pPr>
    </w:p>
    <w:p>
      <w:pPr>
        <w:ind w:left="1020" w:right="2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any of our product candidates fail to satisfactorily demonstrate safety and efficacy to the FDA, the European Medicines Agency, or EMA, and other regulators, we may incur additional costs or experience delays in completing, or ultimately be unable to complete, the development and commercialization of these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storage and distribution of commercial and clinical supply of EMPAVELI and SYFOVRE and clinical supply for our product candidates and expect to continue to do so in connection with our development and commercialization efforts. This reliance on third parties increases the risk that we will not have sufficient quantities of EMPAVELI, SYFOVRE, or our product candidates or that such quantities may be acquired at an acceptable cost, which could delay, prevent or impair our development or commercialization efforts. If these third parties do not perform satisfactorily, our development or commercialization efforts could be delayed or impaired.</w:t>
      </w:r>
    </w:p>
    <w:p>
      <w:pPr>
        <w:spacing w:after="0" w:line="79"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the development and commercialization of systemic pegcetacoplan outside of the United States will depend in part on the success of our collaboration with Sobi.</w:t>
      </w:r>
    </w:p>
    <w:p>
      <w:pPr>
        <w:spacing w:after="0" w:line="5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we could lose license rights that are important to our business, including our patent license agreements with the University of Pennsylvania under which we license patents with claim that recite a class of compounds generically covering pegcetacoplan, and that specifically recite the active component.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that this approach has the potential to effectively control diseases with high unmet need and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intravitreal pegcetacoplan, we intend to focus our commercialization efforts in the U.S. and explore international expansion in select markets, including Australia, where we received marketing approval in January 2025. For the year ended December 31, 2024 and 2023, we generated $611.9 million and $275.2 million in U.S. net product revenue from sales of SYFOVRE. We are also developing a next-generation therapy by combining SYFOVRE treatment with APL-3007, which is a small interfering RNA, or siRNA, aimed at comprehensively blocking complement activity in the retina and the choroid. We plan to initiate a Phase 2 multi-dose trial in patients with GA in the second quarter of 2025.</w:t>
      </w:r>
    </w:p>
    <w:p>
      <w:pPr>
        <w:spacing w:after="0" w:line="14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 commercialization rights for EMPAVELI, and our collaboration partner, Swedish Orphan Biovitrum AB (Publ), or Sobi, has exclusive ex-U.S. commercialization rights for systemic pegcetacoplan outside of the United States. For the years ended December 31, 2024 and 2023, we generated $98.1 million and $91.0 million, respectively, in U.S. net product revenue from sales of EMPAVELI for PNH and received $18.4 million and $10.0 million, respectively, in royalties from our collaboration partner, Swedish Orphan Biovitrum AB (Publ), or Sobi, which has exclusive ex-U.S. commercialization rights for systemic pegcetacoplan outside of the United States.</w:t>
      </w:r>
    </w:p>
    <w:p>
      <w:pPr>
        <w:spacing w:after="0" w:line="187"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The next indications we are pursuing with EMPAVELI are C3 glomerulopathy, or C3G, and primary immune complex membranoproliferative glomerulonephritis, or IC-MPGN, which together affect an estimated 5,000 people in the United States. We submitted a supplemental new drug application, or sNDA, to the FDA in early 2025, following the positive results from the Phase 3 VALIANT trial investigating systemic pegcetacoplan in adolescent and adult patients with naive and post-transplant recurrence C3G and IC-MPGN that we reported in August 2024. Importantly, the VALIANT study demonstrated positive effects on the three key markers of disease at six months: a 68% reduction in proteinuria in C3G and IC-MPGN patients compared to placebo (p &lt; 0.0001), the primary endpoint. Results were consistent across all subgroups, including disease type, age, and transplant status. Additionally, pegcetacoplan-treated patients achieved stabilization of kidney function (nominal p=0.03), as measured by estimated glomerular filtration rate, and a substantial proportion of patients achieved a reduction in C3c staining intensity (nominal p&lt;0.0001). Data also demonstrated favorable safety and tolerability results, consistent with pegcetacoplan’s established profile. Additionally, in February 2025, Sobi received validation for its indication extension application for C3G and IC-MPGN from the European Medicines Agency, or EMA.</w:t>
      </w:r>
    </w:p>
    <w:p>
      <w:pPr>
        <w:spacing w:after="0" w:line="194"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We plan to initiate two new Phase 3 clinical trials with EMPAVELI in the second half of 2025 for the treatment of primary focal segmental glomerulosclerosis, or FSGS, and delayed graft function, or DGF. Both FSGS and DGF are both rare, severe nephrology conditions with no approved therapies and in which complement overactivation plays a significant role. Sobi is also leading the development of systemic pegcetacoplan for hematopoietic stem cell transplantation-associated thrombotic microangiopathy, or HSCT-TMA, in hematology under the collaboration.</w:t>
      </w:r>
    </w:p>
    <w:p>
      <w:pPr>
        <w:spacing w:after="0" w:line="180"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 treatment targeting the neonatal Fc receptor, orFcRn, which has the potential to be a first-in-class gene editing treatment for future target indications with one-time dosing. We are also developing other programs with our proprietary in-house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Scientific Approach</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 and others to depolarize or lose membrane potential and become dysfunctional.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figure depicts the complement system, its three principal activation pathways and its principal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154305</wp:posOffset>
            </wp:positionV>
            <wp:extent cx="3257550" cy="279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conditions of excessive or uncontrolled activation, the complement system is believed to play a key role in the incidence and progression of several autoimmune and inflammatory diseases. In these diseases, the complement system acts directly through cell dysregulation and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w:t>
      </w:r>
    </w:p>
    <w:p>
      <w:pPr>
        <w:spacing w:after="0" w:line="15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Complement activation and its effects can be inhibited in multiple ways. By targeting complement proteins upstream of C3, one of the three principal activation pathways can be inhibited. For example, inhibition of factor B or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cell opsonization by C3 fragments or C3a-mediated inflammation.</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designed pegcetacoplan to target complement proteins centrally at the level of C3 and its fragment C3b. We believe that this approach can result in broad inhibition of the complement pathways and has the potential to effectively control complement-dependent diseases. We believe that pegcetacoplan has the potential to be a best-in-class treatment and may address the limitations of existing treatment options or provide a treatment option where there is none.</w:t>
      </w:r>
    </w:p>
    <w:p>
      <w:pPr>
        <w:spacing w:after="0" w:line="13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leveraging our expertise in complement immunology to develop new pipeline candidates that may affect different components or pathways within the complement system, whether as independent treatments or as a supplement to the effects of pegcetacoplan.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aim to become a leading biopharmaceutical company focused on the discovery, development and commercialization of novel therapeutic compounds to treat diseases in areas such as ophthalmology, rare disease, and neurology through the inhibition of the complement system.</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our goals, we are pursuing the following strategies in 2025 with a continued focus on compassion and commitment to patients: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 the treatment of GA with SYFOVRE.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EMPAVELI’s impact in rare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innovative pipeline, leveraging our complement expertise.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Pegcetacoplan targets C3, the central protein of the complement cascade. Pegcetacoplan is a conjugate of a compstatin analogue, formulated both for intravitreal administration by injections directly into the eye, and systemic administration by subcutaneous injection, which is an injection into the tissue under the skin. We have developed and are developing pegcetacoplan and other product candidates through various routes of administration.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products and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172200" cy="3737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6172200" cy="2237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Ophthalmology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commercializing SYFOVRE as a monotherapy for patients with GA.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Atrophy</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GA is a type of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estimate that at least five million people worldwide, including approximately 1.5 million people in the United States, are living with GA.</w:t>
      </w:r>
    </w:p>
    <w:p>
      <w:pPr>
        <w:spacing w:after="0" w:line="1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 immune system that engulf and digest cells, debris and foreign substances. Macrophages also play an important role in modulating other parts of the immune system. Microglia are a type of tissue-residing macrophage located in the brain, spinal cord and retina.</w:t>
      </w:r>
    </w:p>
    <w:p>
      <w:pPr>
        <w:spacing w:after="0" w:line="14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Because pegcetacoplan both blocks the production of C3a and C5a and prevents the accumulation of C3 fragments on retinal cells through the inhibition of C3, we believe that pegcetacoplan may control complement activation in the retinal environment to return it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20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believe SYFOVRE, with its inhibition of complement activation at the level of C3 in the retinal environment, may provide the following benefits for patients with GA:</w:t>
      </w:r>
    </w:p>
    <w:p>
      <w:pPr>
        <w:spacing w:after="0" w:line="52" w:lineRule="exact"/>
        <w:rPr>
          <w:sz w:val="20"/>
          <w:szCs w:val="20"/>
          <w:color w:val="auto"/>
        </w:rPr>
      </w:pPr>
    </w:p>
    <w:p>
      <w:pPr>
        <w:ind w:left="1020" w:right="4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or reduction of the rate of retinal cell death, with increasing treatment effects over time</w:t>
      </w:r>
      <w:r>
        <w:rPr>
          <w:rFonts w:ascii="Times New Roman" w:cs="Times New Roman" w:eastAsia="Times New Roman" w:hAnsi="Times New Roman"/>
          <w:sz w:val="18"/>
          <w:szCs w:val="18"/>
          <w:color w:val="auto"/>
        </w:rPr>
        <w:t>. We believe SYFOVRE may mitigate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retinal cell death in GA, leading to a reduction in GA lesion growth over time. In our Phase 3 trials, SYFOVRE showed a slowing of GA progression, with evidence of treatment effects increasing over the 24-month period, and well-demonstrated safety profile following nearly 12,000 injections.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effects observed in two dosing regimens. </w:t>
      </w:r>
      <w:r>
        <w:rPr>
          <w:rFonts w:ascii="Times New Roman" w:cs="Times New Roman" w:eastAsia="Times New Roman" w:hAnsi="Times New Roman"/>
          <w:sz w:val="18"/>
          <w:szCs w:val="18"/>
          <w:color w:val="auto"/>
        </w:rPr>
        <w:t>In our Phase 3 trials, SYFOVRE showed a slowing of GA progression over 24 months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every-other-month and monthly dosing. The prescribing label for SYFOVRE indicates that the</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380"/>
        <w:spacing w:after="0" w:line="282" w:lineRule="auto"/>
        <w:rPr>
          <w:sz w:val="20"/>
          <w:szCs w:val="20"/>
          <w:color w:val="auto"/>
        </w:rPr>
      </w:pPr>
      <w:r>
        <w:rPr>
          <w:rFonts w:ascii="Times New Roman" w:cs="Times New Roman" w:eastAsia="Times New Roman" w:hAnsi="Times New Roman"/>
          <w:sz w:val="18"/>
          <w:szCs w:val="18"/>
          <w:color w:val="auto"/>
        </w:rPr>
        <w:t>recommended dose to be administered to each eye is once every 25 to 60 days. This provides physicians with flexibility to determine the appropriate dosing schedule for their individual patients.</w:t>
      </w:r>
    </w:p>
    <w:p>
      <w:pPr>
        <w:spacing w:after="0" w:line="52" w:lineRule="exact"/>
        <w:rPr>
          <w:sz w:val="20"/>
          <w:szCs w:val="20"/>
          <w:color w:val="auto"/>
        </w:rPr>
      </w:pPr>
    </w:p>
    <w:p>
      <w:pPr>
        <w:ind w:left="1020" w:right="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application to all patients with GA regardless of lesion location. </w:t>
      </w:r>
      <w:r>
        <w:rPr>
          <w:rFonts w:ascii="Times New Roman" w:cs="Times New Roman" w:eastAsia="Times New Roman" w:hAnsi="Times New Roman"/>
          <w:sz w:val="18"/>
          <w:szCs w:val="18"/>
          <w:color w:val="auto"/>
        </w:rPr>
        <w:t>SYFOVRE, by targeting C3, has been designed to inhibit all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complement activation pathways and may therefore be effective in a broad patient population. In our Phase 3 trials at 24 months, pegcetacoplan showed a slowing of GA progression in lesions with or without subfoveal involvement. DERBY and OAKS are the only clinical trials to-date that have shown a slowdown in the progression of GA regardless of lesion location.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In February 2023, the FDA approved intravitreal pegcetacoplan with the brand name SYFOVRE for the treatment of adult patients with GA secondary to AMD and, in January 2025, the Therapeutic Goods Administration, or TGA, in Australia, approved SYFOVRE for every-other-month treatment of adult patients with GA with an intact fovea where central vision is threatened by lesion growth.</w:t>
      </w:r>
    </w:p>
    <w:p>
      <w:pPr>
        <w:spacing w:after="0" w:line="14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evaluating our regulatory strategy for select jurisdictions outside the United States. In October 2024, we withdrew our marketing authorization application, or MAA, from the European Medicines Agency, or EMA, after the Committee for Medicinal Products for Human Use, or CHMP, adopted a negative opinion following the re-examination of the MAA, despite multiple dissenting votes by CHMP members. Despite our withdrawal, the European Commission issued a negative decision with respect to our MAA in December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Medical Activities for GA</w:t>
      </w:r>
    </w:p>
    <w:p>
      <w:pPr>
        <w:spacing w:after="0" w:line="22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launched SYFOVRE, the first approved treatment for GA, in the United States in March 2023. SYFOVRE is currently the market-leading treatment for GA, a disease that affects an estimated 1.5 million people in the United States.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U.S. field sales team has been engaging with eyecare professionals, or ECPs, focusing specifically on retina specialists and treating ophthalmologists. Field teams are focused on SYFOVRE brand messaging, highlighting key advantages such as increasing effects over time, its strong clinical profile, and dosing flexibility. We also have a thought leader liaison team, which is focused on building advocacy with key opinion leaders in the retina space, and a strategic account team, which identifies and develops working relationships with key decision makers within targeted private equity groups and large accounts. Our marketing efforts are designed to reach ECPs through digital and print media. We seek to reach patients through direct-to-consumer (TV, print and digital media) disease state education and branded SYFOVRE messaging encouraging them to see their eye doctor if they have symptoms or a previous diagnosis. Additionally, our efforts have focused on increasing awareness of GA and SYFOVRE with general ophthalmologists and optometrists to ensure GA patients are able to connect with a retina specialist or ophthalmologist who can treat them. We launched a practice finder tool to help physicians and patients identify practices near them that have recently treated GA.</w:t>
      </w:r>
    </w:p>
    <w:p>
      <w:pPr>
        <w:spacing w:after="0" w:line="148"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Our market access team has been engaging with primary and secondary payers representing a significant percentage of GA patients. We have also established a robust distribution network by partnering with key specialty distributors and specialty pharmacies to maximize product access by retina specialists. Finally, we have a field reimbursement team to educate practices and address access issues to fully support the reimbursement journey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SYFOVRE.</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ApellisAssist for SYFOVRE is designed to eliminate patient access barriers by providing enrolled individuals with insurance support, financial assistance for eligible patients, and education on the importance of maintaining treatment as prescribed. Additionally, prescribers have the option to enroll their patients in GAMyWay, our patient services program, for ongoing treatment support and continuous education.</w:t>
      </w:r>
    </w:p>
    <w:p>
      <w:pPr>
        <w:spacing w:after="0" w:line="13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medical affairs team is engaging with ECPs through our presence at medical meetings and other in-person engagements. Throughout 2024, we participated in key scientific meetings, including the American Academy of Ophthalmology, Retina Society, FLORETINA, and Macula Society.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currently conducting two post-marketing studies: GALE and GARLAND. Our registrational Phase 3 DERBY and OAKS trials evaluated the efficacy and safety of SYFOVRE in patients with GA secondary to AMD. The DERBY and OAKS were initiated in September 2018, and we presented reported 24-month results from our DERBY and OAKS trials in August 2022, following 18-month results presented in March 2022 and 12-month results presented in September 2021. Prior to DERBY and OAKS, we completed the Phase 2 FILLY trial in August 2017.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Post-Marketing Studies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conducting a 36-month, open-label extension study (GALE) to evaluate the long-term safety and efficacy of intravitreal pegcetacoplan in patients with GA secondary to AMD. The objectives of the study are to evaluate the long-term incidence and severity of ocular and systemic treatment emergent adverse events as well as change in the total area of GA lesions as measured by fundus autofluorescence. Approximately 800 patients enrolled into the GALE extension study.</w:t>
      </w:r>
    </w:p>
    <w:p>
      <w:pPr>
        <w:spacing w:after="0" w:line="180" w:lineRule="exact"/>
        <w:rPr>
          <w:sz w:val="20"/>
          <w:szCs w:val="20"/>
          <w:color w:val="auto"/>
        </w:rPr>
      </w:pPr>
    </w:p>
    <w:p>
      <w:pPr>
        <w:ind w:right="220" w:firstLine="554"/>
        <w:spacing w:after="0" w:line="282" w:lineRule="auto"/>
        <w:rPr>
          <w:sz w:val="20"/>
          <w:szCs w:val="20"/>
          <w:color w:val="auto"/>
        </w:rPr>
      </w:pPr>
      <w:r>
        <w:rPr>
          <w:rFonts w:ascii="Times New Roman" w:cs="Times New Roman" w:eastAsia="Times New Roman" w:hAnsi="Times New Roman"/>
          <w:sz w:val="18"/>
          <w:szCs w:val="18"/>
          <w:color w:val="auto"/>
        </w:rPr>
        <w:t>In February 2025, we presented data from GALE following four years of continuous treatment with SYFOVRE. Results showed that SYFOVRE continued to demonstrate increasing treatment effects over time.</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conducting a 36-month, open label, Phase 4 study (GARLAND) to evaluate the safety, tolerability and treatment patterns of SYFOVRE in patients over the age of 60 with GA in a clinical practice setting. Secondary endpoints include GA progression, changes in drusen over time and the ability of physicians to determine GA lesion location. Approximately 234 patients have been enrolled into the GARLAND study.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Phase 3 Clinical Trials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Phase 3 clinical program in GA consisted of two prospective, multicenter, randomized, double-masked, sham-injection controlled trials (DERBY and OAKS) conducted at more than 200 sites worldwide to assess the efficacy and safety of multiple intravitreal injections of pegcetacoplan in patients with GA. We enrolled 621 patients in DERBY and 637 patients in OAKS.</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Patients in each Phase 3 trial received a dose of 15 mg of pegcetacoplan injected intravitreally in a 0.1 cc volume, monthly or every other month for 24 months. In the sham-injection cohorts, patients received a simulated injection. As with our Phase 2 FILLY clinical trial, the primary endpoint of each trial was the change in total area of GA lesions in the study eye compared to sham. The measurements of change in lesion size were analyzed at 12 months, 18 months, and 24 months. Patients who develop new onset exudation in the study eye continued to be treated with pegcetacoplan along with anti-VEGF injections, the current standard of care for wet AMD.</w:t>
      </w:r>
    </w:p>
    <w:p>
      <w:pPr>
        <w:spacing w:after="0" w:line="183"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We completed the primary analysis for the 24-month treatment period in August 2022. Monthly and every-other-month, or EOM, treatment with SYFOVRE showed increased effects over time. In OAKS, monthly and EOM treatment with SYFOVRE reduced GA lesion growth by 22% (p&lt;0.0001) and 18% (p=0.0002), respectively. In DERBY, monthly and EOM treatment with SYFOVRE reduced GA lesion growth by 19% (p=0.0004) and 16% (p=0.0030), respectively. All p-values are nominal and were calculated using the same methodologies as the 12-month primary endpoint analysis.</w:t>
      </w:r>
    </w:p>
    <w:p>
      <w:pPr>
        <w:spacing w:after="0" w:line="164"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8"/>
          <w:szCs w:val="18"/>
          <w:color w:val="auto"/>
        </w:rPr>
        <w:t>Between months 18-24, the pegcetacoplan treatment effect accelerated compared to previous six-month periods, with robust reductions of GA lesion growth versus sham (all p-values are nominal). The increased effects were driven by a greater slowing of lesion growth by pegcetacoplan and not by an increase in the lesion growth rate in the sham group, which was highly consistent over each of the four six-month intervals (1.0+/-0.05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DERBY: 36% monthly, p&lt;0.0001; 29% EOM, p=0.0002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OAKS: 24% monthly, p=0.0080; 25% EOM, p=0.0007</w:t>
      </w:r>
    </w:p>
    <w:p>
      <w:pPr>
        <w:spacing w:after="0" w:line="22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Additionally, the reduction of GA lesion growth in lesions without subfoveal involvement (28% monthly; 28% EOM) was comparable to the reduction in lesions with subfoveal involvement (34% monthly; 28% EOM) in the combined studies between months 18-24.</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SYFOVRE was well-tolerated in both DERBY and OAKS, generally consistent with longer-term exposure to intravitreal injections. The most common adverse reactions (≥ 5%) reported in patients receiving SYFOVRE in these studies were ocular discomfort, neovascular AMD, vitreous floaters, and conjunctival hemorrhage. Rates of ischemic optic neuropathy events were higher in the monthly group as compared to the every-other-month and sham groups (1.7% of patients treated monthly, 0.2% of patients treated EOM and 0.0% of patients assigned to sham). Rates of endophthalmitis and intraocular inflammation were generally in line with those reported in studies of other intravitreal therapies. No events of occlusive or non-occlusive vasculitis or retinitis were observed over 24 months.</w:t>
      </w:r>
    </w:p>
    <w:p>
      <w:pPr>
        <w:spacing w:after="0" w:line="12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used a liquid formulation of pegcetacoplan in our Phase 3 trials instead of the freeze-dried formulation that we used in the Phase 2 FILLY trial, which we believe may reduce the incidence of endophthalmitis.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SYFOVRE and APL-3007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January 2025, we shared Phase 1 data with APL-3007, our siRNA, in healthy volunteers showing greater than 90% knockdown of C3 as measured by the remaining levels of protein in the blood. Based on the results of this study, we are now developing a next generation treatment for GA by combining SYFOVRE plus APL-3007, which we believe may comprehensively block complement activity in the retina and the choroid. We believe that with less C3 present in the eye following administration with APL-3007, there may be a greater degree of efficacy contribution from SYFOVRE. We expect to initiate a Phase 2 study with SYFOVRE and APL-3007 in GA patients in the second quarter of 2025.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developing a single package for SYFOVRE, or co-pack, that will contain SYFOVRE vials packaged with the necessary ancillaries for its administration. We expect that the co-pack will standardize administration of SYFOVRE and provide physicians with a more convenient way to store and handle the drug and ancillaries. The co-pack will also streamline both distribution operations and receipt by customers. We anticipate the supply of the co-pack to be available in the first half of 2026.</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also developing a single dose, sterilized prefilled syringe for SYFOVRE. We believe the prefilled syringe will provide physicians with a new way to administer SYFOVRE that requires fewer steps compared to the current administration.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Rare Diseases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EMPAVELI in PNH</w:t>
      </w:r>
    </w:p>
    <w:p>
      <w:pPr>
        <w:spacing w:after="0" w:line="20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launched EMPAVELI in the United States for patients with PNH following its approval by the FDA in May 2021. We believe that EMPAVELI elevated the standard of care for patients with PNH. We generated net product revenue from sales of EMPAVELI of $98.1 million during the year ended December 31, 2024.</w:t>
      </w:r>
    </w:p>
    <w:p>
      <w:pPr>
        <w:spacing w:after="0" w:line="13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Systemic pegcetacoplan was subsequently approved by the European Commission, the United Kingdom, Canada, Japan, Saudi Arabia and Australia.</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Paroxysmal Nocturnal Hemoglobinuria (PNH)</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 and approximately 15,000 patients with PNH worldwide.</w:t>
      </w:r>
    </w:p>
    <w:p>
      <w:pPr>
        <w:spacing w:after="0" w:line="1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sales efforts are focused on the health care professionals, or HCPs, and key treatment centers, who have patients that continue to experience breakthrough hemolysis, have persistently low hemoglobin, high fatigue, and require transfusions despite being on C5 inhibitors.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market access team is engaging with primary and secondary payers representing a significant percentage of PNH patients. Our discussions with primary and secondary payers have yielded positive feedback on the clinical profile of pegcetacoplan and resulted in EMPAVELI being added to several positive formulary positions. We implemented a limited distribution specialty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pharmacy model, which we believe provided patients with a consistent, positive experience at the time of treatment initiation and long-term assistance to the extent needed.</w:t>
      </w:r>
    </w:p>
    <w:p>
      <w:pPr>
        <w:spacing w:after="0" w:line="135"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also have Apellis Assist, a patient-focused program specifically designed to assist patients with onboarding, product training and ongoing support with pegcetacoplan treatment, and we have built a care educator team to connect directly with PNH patients and their caregivers to provide education and training on the use of pegcetacoplan.</w:t>
      </w:r>
    </w:p>
    <w:p>
      <w:pPr>
        <w:spacing w:after="0" w:line="13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medical affairs team is engaging with physicians through our presence at medical meetings and other in-person engagements. In December 2024, we participated in the American Hematology Society, or ASH, annual meeting. Sobi will conduct medical affairs activities for systemic pegcetacoplan outside the United States.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June 2018, we initiated the Phase 3 PEGASUS trial in patients. The PEGASUS trial was an 80-patient randomized head-to-head trial comparing systemic pegcetacoplan monotherapy to eculizumab monotherapy in patients with PNH currently on treatment with eculizumab who have a hemoglobin level of less than 10.5 g/dL, regardless of eculizumab dose or transfusion history. The primary efficacy endpoint of the trial was the change in hemoglobin level from baseline at week 16.</w:t>
      </w:r>
    </w:p>
    <w:p>
      <w:pPr>
        <w:spacing w:after="0" w:line="15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initiated the Phase 3 PRINCE trial in September 2019. The PRINCE trial was a 54-patient randomized, multicenter, open-label trial to evaluate the efficacy of systemic pegcetacoplan in treatment-naïve PNH patients. The primary endpoints were avoidance of a greater than 1 g/dL decrease in hemoglobin level from baseline in the absence of transfusion through week 26 and reduction in LDH level from baseline to week 26, in patients with PNH who are currently not being treated with complement inhibitors.</w:t>
      </w:r>
    </w:p>
    <w:p>
      <w:pPr>
        <w:spacing w:after="0" w:line="13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systemic pegcetacoplan met the primary efficacy endpoint, demonstrating superiority to eculizumab with a statistically significant improvement in adjusted means of 3.8 g/dL of hemoglobin at week 16 (p &lt; 0.0001). In May 2021, we reported top-line results from PRINCE demonstrating statistical superiority on the co-primary endpoints of hemoglobin stabilization and reduction in LDH compared to standard of care, which did not include complement inhibitors, at week 26. In both the PEGASUS and PRINCE trials, the safety profile of systemic pegcetacoplan was comparable to eculizumab and consistent with previously reported data.</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w:t>
      </w:r>
      <w:r>
        <w:rPr>
          <w:rFonts w:ascii="Times New Roman" w:cs="Times New Roman" w:eastAsia="Times New Roman" w:hAnsi="Times New Roman"/>
          <w:sz w:val="18"/>
          <w:szCs w:val="18"/>
          <w:color w:val="auto"/>
        </w:rPr>
        <w:t>in C5-deficient individuals and</w:t>
      </w:r>
      <w:r>
        <w:rPr>
          <w:rFonts w:ascii="Times New Roman" w:cs="Times New Roman" w:eastAsia="Times New Roman" w:hAnsi="Times New Roman"/>
          <w:sz w:val="18"/>
          <w:szCs w:val="18"/>
          <w:i w:val="1"/>
          <w:iCs w:val="1"/>
          <w:color w:val="auto"/>
        </w:rPr>
        <w:t xml:space="preserve"> Neisseria meningitidis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Streptococcus pneumoniae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in C3-deficient individuals.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we vaccinate patients in these trials against these three pathogens, which we believe minimizes the risk of infection. No unexpected safety concerns have been observed in patients in the clinical or post-marketing settings.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EMPAVELI in Nephrology</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C3G glomerulopathy, or C3G, and primary immune complex membranoproliferative glomerulonephritis, or IC-MPGN, are rare, debilitating kidney diseases that affect an estimated 5,000 people in the United States, for which no therapies are currently approved. Symptoms of these diseases include blood in the urine, dark foamy urine due to the presence of protein, swelling, and high blood pressure. Approximately 50% of people living with C3G and IC-MPGN ultimately suffer kidney failure within five to 10 years of diagnosis. Although IC-MPGN is considered a distinct disease from C3G, the underlying cause and progression of the two diseases are remarkably similar and include overactivation of the complement cascade, with excessive accumulation of C3 breakdown products in the kidney causing inflammation and damage to the organ. Since pegcetacoplan is designed to prevent C3 activation, we believe it has the potential to prevent further deposition of C3 activation products in the glomeruli, which may protect the kidney from further injury.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and Clinical Development</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submitted a sNDA to the FDA in early 2025 following the positive results from the Phase 3 VALIANT trial investigating EMPAVELI in adolescent and adult patients with naive and post-transplant recurrence C3G and IC-MPGN. EMPAVELI received orphan drug designation from the FDA for the treatment of C3G in December 2018. In February 2025, Sobi received EMA validation for its indication extension application for C3G and primary IC-MPGN in the European Union.</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August 2024, we announced positive results from our VALIANT study, a randomized, placebo-controlled, double-blinded, multi-center Phase 3 trial in 124 patients who are 12 years of age and older with C3G or primary IC-MPGN. The VALIANT study demonstrated positive effects on the three key markers of disease at Week 26: a 68% reduction in proteinuria in pegcetacoplan-treated patients compared to placebo (p&lt;0.0001), the primary endpoint. Results were consistent across all subgroups, including disease type, age, and transplant status. Additionally, pegcetacoplan-treated patients achieved stabilization of kidney function (nominal p=0.03), as</w:t>
      </w:r>
    </w:p>
    <w:p>
      <w:pPr>
        <w:sectPr>
          <w:pgSz w:w="11900" w:h="16838" w:orient="portrait"/>
          <w:cols w:equalWidth="0" w:num="1">
            <w:col w:w="11220"/>
          </w:cols>
          <w:pgMar w:left="320" w:top="124" w:right="359" w:bottom="1440" w:gutter="0" w:footer="0" w:header="0"/>
        </w:sectPr>
      </w:pP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measured by estimated glomerular filtration rate, and a substantial proportion of patients achieved a reduction in C3c staining intensity (nominal p&lt;0.0001).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Pegcetacoplan also demonstrated favorable safety and tolerability results, consistent with its established profile.</w:t>
      </w:r>
    </w:p>
    <w:p>
      <w:pPr>
        <w:spacing w:after="0" w:line="16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announced positive results from our NOBLE trial, a randomized, placebo-controlled Phase 2 trial in post-transplant recurrence of C3G and IC-MPGN. Specifically, at 12 weeks, 80% of patients showed a reduction in C3c staining by one or more orders of magnitude of intensity from baseline, the primary endpoint,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w:t>
      </w:r>
    </w:p>
    <w:p>
      <w:pPr>
        <w:spacing w:after="0" w:line="15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October 2020, we reported data from the DISCOVERY trial in five C3G patients treated with systemic pegcetacoplan for 48 weeks. In those patients, mean (SE) proteinuria decreased from 3.48 (0.82) mg/mg at baseline to 0.93 (0.27) mg/mg at week 48, a decrease of 73.3%, as measured by 24-hour uPCR. Importantly, this reduction in proteinuria was accompanied by a corresponding increase in mean serum albumin. Since albumin is the most abundant protein in serum, its level increases when urinary protein losses are reduced. Other biomarkers improved, including an observed increase in mean serum C3 and stabilization of renal function, as measured by mean serum creatinine. No serious or severe adverse events were reported, and pegcetacoplan was well tolerated overall.</w:t>
      </w:r>
    </w:p>
    <w:p>
      <w:pPr>
        <w:spacing w:after="0" w:line="14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plan to initiate two pivotal studies with EMPAVELI in FSGS and DGF in the second half of 2025. Complement plays a significant role in both diseases, and there are currently no FDA-approved therapies. FSGS is a rare kidney disease that causes scarring in the glomeruli and, similar to C3G and IC-MPGN, results in end stage kidney disease within 5-10 years for approximately half of patients. There are an estimated 13,000 primary FSGS patients in the United States. DGF is a complication in kidney transplantation where the transplanted kidney fails to function and typically requires dialysis within the first week of transplant. This negatively affects the long-term survival of the kidney and overall patient outcomes. In 2023, there were an estimated 21,000 transplants in the U.S. using deceased donor kidneys, of which DGF occurred in 30-35% of them.</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EMPAVELI in Other Indications</w:t>
      </w:r>
    </w:p>
    <w:p>
      <w:pPr>
        <w:spacing w:after="0" w:line="202"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Hematopoietic stem cell transplantation thrombotic microangiopathy, or HSCT-TMA, is rare blood disease that can be a fatal complication of a bone marrow transplant or HSCT. In HSCT-TMA, microscopic blood clots form in small blood vessels, leading to organ damage. The kidneys are commonly affected, although any organ may be involved. HSCT-TMA occurs in up to 40% of HSCT recipients; every year, there are approximately 9,000 allogeneic transplants in the United States. Excessive complement activation is a high-risk feature in patients with HSCT-TMA, and C3 is believed to play a critical role in TMA based on proinflammatory and procoagulant properties of C3a and C3b.</w:t>
      </w:r>
    </w:p>
    <w:p>
      <w:pPr>
        <w:spacing w:after="0" w:line="13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early 2022, Sobi dosed the first patient in the Phase 2 clinical trial of systemic pegcetacoplan in patients with HSCT-TMA. The Phase 2 trial is an open label, single arm, multicenter trial evaluating the pharmacokinetics, efficacy and safety and tolerability of pegcetacoplan in approximately 12 patients with HSCT-TMA. Sobi expects to report top-line on this study in mid-2025.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June 2021, we entered into an exclusive five-year research collaboration with Beam focused on the use of Beam’s proprietary base editing technology to discover new treatments for complement-driven diseases. Under the collaboration agreement, we are collaborating on up to six research programs focused on C3 and other complement targets in the eye, liver and brain. We have commenced pre-clinical studies for a FcRn treatment, which has the potential to be a first-in-class gene editing treatment for future target indications with one-time dosing.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Sobi</w:t>
      </w:r>
    </w:p>
    <w:p>
      <w:pPr>
        <w:spacing w:after="0" w:line="189"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On October 27, 2020, we and our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we granted Sobi an exclusive (subject to certain retained rights of the Company), sublicensable license of certain patent rights and know-how to develop and commercialize Licensed Products in all countries outside of the United States.</w:t>
      </w:r>
    </w:p>
    <w:p>
      <w:pPr>
        <w:spacing w:after="0" w:line="13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retain the right to commercialize Licensed Products in the United States and, subject to specified limitations, to develop Licensed Products worldwide for commercialization in the United States.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Under the Sobi collaboration agreement, we and Sobi agreed to collaborate to develop Licensed Products for certain indications, including PNH, C3G, IC-MPGN and HSCT-TMA, and any other indications subsequently agreed upon by the parties, for commercialization by or on behalf of us in the United States and by or on behalf of Sobi outside of the United States. If the parties do not agree to jointly pursue any development activities for the Licensed Products,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60" w:lineRule="exact"/>
        <w:rPr>
          <w:sz w:val="20"/>
          <w:szCs w:val="20"/>
          <w:color w:val="auto"/>
        </w:rPr>
      </w:pPr>
    </w:p>
    <w:p>
      <w:pPr>
        <w:ind w:right="1080" w:firstLine="509"/>
        <w:spacing w:after="0" w:line="282" w:lineRule="auto"/>
        <w:rPr>
          <w:sz w:val="20"/>
          <w:szCs w:val="20"/>
          <w:color w:val="auto"/>
        </w:rPr>
      </w:pPr>
      <w:r>
        <w:rPr>
          <w:rFonts w:ascii="Times New Roman" w:cs="Times New Roman" w:eastAsia="Times New Roman" w:hAnsi="Times New Roman"/>
          <w:sz w:val="18"/>
          <w:szCs w:val="18"/>
          <w:color w:val="auto"/>
        </w:rPr>
        <w:t>We and Sobi have formed several governance committees to oversee the development and manufacture, and to review and discuss the commercialization, of Licensed Products.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agreed to supply Licensed Products to Sobi for development and for commercialization outside of the United States in accordance with a supply agreement to be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3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we remain responsible for its license fee obligations (including royalty obligations) to the Trustees of the University of Pennsylvania (“Penn”), as a licensor of Apellis.</w:t>
      </w:r>
    </w:p>
    <w:p>
      <w:pPr>
        <w:spacing w:after="0" w:line="15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received $18.4 million in royalties from Sobi during the year ended December 31, 2024 and $10.0 million in royalties from Sobi in the year ended December 31, 2023.</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agreement will expire upon the expiration of the last royalty term for the last Licensed Product outside of the United States. The agreement may be terminated in its entirety by Sobi upon 90 days’ prior written notice at any time. Either party may, subject to specified cure periods, terminate the agreement in its entirety in the event of the other party’s uncured material breach. In addition, we may, subject to specified cure periods, terminate the agreement in any of China, Japan, Brazil, or Canada if Sobi materially breaches its obligation to use commercially reasonable efforts to develop, obtain regulatory approval for, and commercialize a Licensed Product for PNH in such country. Either party may also terminate the agreement under specified circumstances relating to the other party’s insolvency. We may terminate the agreement in the event Sobi or its specified affiliates or sublicensees challenges the validity, scope or enforceability of the licensed patent rights under specified circumstances.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with Beam</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2021, we entered into an exclusive five-year research collaboration (the “Beam collaboration agreement”) with Beam focused on the use of Beam’s proprietary base editing technology to discover new treatments for complement-driven diseases. We and Beam agreed to collaborate on up to six research programs focused on C3 and other complement targets in the eye, liver and brain. Under the terms of the Beam collaboration agreement, we are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We will have exclusive rights to license each of the six programs and will assume responsibility for subsequent development and commercialization. Beam may elect to enter a 50-50 co-development and U.S. co-commercialization agreement with us with respect to any one program licensed under the Beam collaboration agreement and upon such election any license agreement in place at that time, would be terminated.</w:t>
      </w:r>
    </w:p>
    <w:p>
      <w:pPr>
        <w:spacing w:after="0" w:line="1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Beam collaboration agreement, we paid $50.0 million up-front, non-refundable payment to Beam in July 2021 and $25.0 million in June 2022. We and Beam are each responsible for their own costs during the research collaboration. If and after the opt-in license rights are exercised for each of the up to six programs, Beam will be eligible to receive development, regulatory and sales milestones from us, as well as royalty payments on sales. The Beam collaboration agreement has an initial term of five years and may be extended up to two years on a per year program-by-program basis.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0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4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own a total of 27 U.S. patents and 35 pending U.S. patent applications, including original filings, continuations, and divisional applications, as well as numerous foreign counterparts of many of these patents and patent applications.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Pegcetacoplan is an analog of the cyclic peptide compstatin, based on technologies that we have developed internally or have exclusively licensed from Penn.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patents and patent applications include families of United States and foreign patent and patent applications relating, for example, to the composition of matter of certain compstatin analogs with a prolonged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half-life, including pegcetacoplan, and/or to methods of treatment and dosing regimens for treating particular complement-dependent diseases. Patents in these families would expire in 2032 or 2033. We have submitted applications for patent term extension for certain of these patents. Our patent applications also include families relating in part to particular doses and dosing regimens for intravitreally or subcutaneously administered pegcetacoplan that are granted or pending in the United States and a number of other jurisdictions. Patents in these families would expire between 2036 and 2038. Seven of our U.S. patents are listed for EMPAVELI in the FDA’s Orange Book. Our filings also include certain U.S. and foreign patents and patent applications relating to methods of treating eye disorders associated with complement activation. These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 Eight of our U.S. patents are listed for SYFOVRE in the FDA’s Orange Book. We also own a patent family relating in part to use of C3 inhibitors, including pegcetacoplan, to facilitate gene therapy with AAV vectors. Patents in this family would have terms extending into 2040. In addition, we own patent families relating to use of pegcetacoplan for the treatment of PNH or for the treatment of GA that have terms extending into 2041 through 2043.</w:t>
      </w:r>
    </w:p>
    <w:p>
      <w:pPr>
        <w:spacing w:after="0" w:line="16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technology that we developed internally relating to compstatin analogs, we hold exclusive licenses from Penn. The intellectual property in-licensed under our two license agreements with Penn includes four U.S. patents and numerous foreign counterparts, with claims granted in Europe, Japan and elsewhere. These licensed patent rights include issued patents with claims that recite a class of compounds generically covering pegcetacoplan, and that specifically recite the active component. These patents have terms that extend to 2026.</w:t>
      </w:r>
    </w:p>
    <w:p>
      <w:pPr>
        <w:spacing w:after="0" w:line="13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own or have exclusive rights to a number of patent applications relating to additional modalities and molecules for inhibiting complement, including nucleic acid, small molecule, and protein-based approaches. The filings cover, for example, the composition of matter of certain of our product candidates and methods of use for treating particular complement-mediated disorders. Patents issuing based on these applications would have terms extending into 2041 through 2044.</w:t>
      </w:r>
    </w:p>
    <w:p>
      <w:pPr>
        <w:spacing w:after="0" w:line="13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a non-exclusive license to intellectual property covering aspects of base editing technology, including CRISPR proteins and base editors, for use in the context of our collaboration with Beam, and have an exclusive license from Beam to this intellectual property to the extent it specifically covers therapeutic candidates developed under the collaboration.</w:t>
      </w:r>
    </w:p>
    <w:p>
      <w:pPr>
        <w:spacing w:after="0" w:line="1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and we have applied for and will continue to apply for such extensions in jurisdictions in which pegcetacoplan is approved.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143"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We granted worldwide rights to use and license the intellectual property that we hold with respect to pegcetacoplan to our wholly owned subsidiaries, APL DEL Holdings, LLC and Apellis International GmbH (f/k/a Apellis Switzerland GmbH). Certain of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wholly owned subsidiaries hold rights to use our intellectual property to manage our clinical trials in certain jurisdictions or territories and exclusive rights to distribute our product with respect to specific indications within certain jurisdictions or territories. We granted Sobi an exclusive (subject to certain retained rights), sublicensable license of certain patent rights and know-how to develop and commercialize pegcetacoplan for non-ophthalmological indications in all countries outside of the United States.</w:t>
      </w:r>
    </w:p>
    <w:p>
      <w:pPr>
        <w:spacing w:after="0" w:line="15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 with The Trustees of the University of Pennsylvania (Non-ophthalmic Fields of Use)</w:t>
      </w:r>
    </w:p>
    <w:p>
      <w:pPr>
        <w:spacing w:after="0" w:line="189"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agreement with Penn for an exclusive worldwide license, under specified patent rights controlled by Penn, to develop and commercialize products covered by the licensed patent rights for all fields except the treatment of ophthalmic indications. We have the right to grant sublicenses under this license.</w:t>
      </w:r>
    </w:p>
    <w:p>
      <w:pPr>
        <w:spacing w:after="0" w:line="135" w:lineRule="exact"/>
        <w:rPr>
          <w:sz w:val="20"/>
          <w:szCs w:val="20"/>
          <w:color w:val="auto"/>
        </w:rPr>
      </w:pPr>
    </w:p>
    <w:p>
      <w:pPr>
        <w:jc w:val="both"/>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patent rights licensed to us by Penn include patents with claims that recite a class of compounds generically covering pegcetacoplan, and specifically recite the active component. Three of these patents are listed for EMPAVELI in the FDA’s Orange Book.</w:t>
      </w:r>
    </w:p>
    <w:p>
      <w:pPr>
        <w:spacing w:after="0" w:line="13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we were obligated to make a $0.1 million annual license maintenance payment to Penn until the first commercial sale of a licensed product, some of which may become creditable against milestone payments under specified circumstances. We may also become obligated to make payments to Penn aggregating up to $1.7 million, based on achieving specified development and regulatory approval milestones and up to $2.5 million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4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 As of December 31, 2024 and 2023, respectively, we have incurred royalty expense of $6.4 million and $4.8 million on sales of EMPAVELI and Aspaveli.</w:t>
      </w:r>
    </w:p>
    <w:p>
      <w:pPr>
        <w:spacing w:after="0" w:line="13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4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2021, we paid $25.0 million for a sublicense fee owed to Penn related to the Sobi collaboration agreement and another licensing transaction. In August 2021, we paid $1.0 million to Penn upon the achievement of a development milestone, net of a credit for the annual license maintenance payment. In June 2022, we paid an additional $5.0 million to Penn upon the achievement of a development milestone. In January 2023, we paid $1.0 million to Penn upon the achievement of a sales milestone for EMPAVELI in 2022. In January 2024, we paid $0.5 million for a sublicense fee owed to Penn related to Sobi obtaining regulatory approval in Japan. Additionally, in January 2024, we paid $1.5 million as a result of the achievement of a sales milestone for EMPAVELI and Aspaveli.</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Patent License Agreement with The Trustees of the University of Pennsylvania (Ophthalmic Field of Use)</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agreement with Penn for an exclusive worldwide license, under specified patent rights controlled by Penn, to develop and commercialize products covered by the licensed patent rights for the treatment of ophthalmic indications. Three of the licensed patents are listed for SYFOVRE in the FDA’s orange book. We have the right to grant sublicenses under the license.</w:t>
      </w:r>
    </w:p>
    <w:p>
      <w:pPr>
        <w:spacing w:after="0" w:line="14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Under the license agreement, we were obligated to make a $0.1 million annual license maintenance payment to Penn until the first commercial sale of a licensed product. We also became obligated to make payments to Penn aggregating up to $3.2 million based on achieving specified development and regulatory approval milestones, including $2.3 million upon approval of an NDA, and up to $5.0 million based on achieving specified annual sales milestones with respect to each licensed product, and to pay low single-digit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to Penn based on net sales of each licensed product by us and our affiliates and sublicensees and specified minimum quarterly royalty thresholds.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obligated to pay Penn a specified portion of income we receive from sublicensees.</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3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respectively, we have incurred royalty expense of $19.8 million and $8.9 million as a result of sales of SYFOVRE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13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5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4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approved product competes, and if our product candidates are approved for the indications for which we are currently undertaking or planning clinical trials, they will compete, with the products and product candidates discussed below.</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 </w:t>
      </w:r>
      <w:r>
        <w:rPr>
          <w:rFonts w:ascii="Times New Roman" w:cs="Times New Roman" w:eastAsia="Times New Roman" w:hAnsi="Times New Roman"/>
          <w:sz w:val="18"/>
          <w:szCs w:val="18"/>
          <w:color w:val="auto"/>
        </w:rPr>
        <w:t>In August 2023, Astellas Pharma Inc. received FDA approval for avacincaptad pegol, a C5 inhibitor, for the treatment of GA. We are aware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companies that are actively developing product candidates for the treatment of GA, including the following product candidates that are in clinical development: ANX007, a C1q inhibitor being developed by Annexon Biosciences, Inc. in Phase 3 clinical trials; pozelimab, an anti-C5 antibody developed by Regeneron Pharmaceuticals Inc. in combination with cemdisiran, an RNAi therapeutic targeting C5 developed by Alnylam Pharmaceuticals, Inc., in Phase 3 clinical trials; JNJ1887 , an intravitreal gene therapy targeting CD59 being developed by The Janssen Pharmaceutical Companies of Johnson &amp; Johnson in Phase 2 clinical trials; AVD104, a glycan-coated nanoparticle targeting macrophage and complement factor H, being developed by Aviceda Therapeutics, Inc. in Phase 2 clinical trials; BI 771716, a C3 antibody fragment being developed by Boehringer Ingelheim Pharmaceuticals, Inc. in Phase 2 clinical trials; and other product candidates that do not target the complement system that are either in a single Phase 3 or in Phase 2 clinical trials, including but not limited to therapies being developed by Stealth BioTherapeutics, Inc., Belite Bio, Inc., Lineage Cell Therapeutics, Inc. (in collaboration with Roche/Genentech), Boehringer Ingelheim Pharmaceuticals, Inc., ONL Therapeutics, Inc., and Ocugen Inc. Novartis has initiated a Phase 2 trial of orally administered iptacopan, a factor B inhibitor, in patients with early or intermediate AMD.</w:t>
      </w:r>
    </w:p>
    <w:p>
      <w:pPr>
        <w:spacing w:after="0" w:line="155" w:lineRule="exact"/>
        <w:rPr>
          <w:sz w:val="20"/>
          <w:szCs w:val="20"/>
          <w:color w:val="auto"/>
        </w:rPr>
      </w:pPr>
    </w:p>
    <w:p>
      <w:pPr>
        <w:ind w:right="2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PNH. </w:t>
      </w:r>
      <w:r>
        <w:rPr>
          <w:rFonts w:ascii="Times New Roman" w:cs="Times New Roman" w:eastAsia="Times New Roman" w:hAnsi="Times New Roman"/>
          <w:sz w:val="18"/>
          <w:szCs w:val="18"/>
          <w:color w:val="auto"/>
        </w:rPr>
        <w:t>The principal competitors for EMPAVELI, and possibly other indications in our hematology and nephrology programs are eculizumab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(marketed as Soliris) and ravulizumab (marketed as Ultomiris), which are C5 inhibitors marketed by AstraZeneca. The FDA approved danicopan as an add-on treatment to eculizumab and ravulizumab in April 2024. In December 2023, the FDA approved iptacopan, which is marketed by Novartis AG, or Novartis, for the treatment of adults with PNH. Iptacopan is an oral, Factor B inhibitor of the alternative complement pathway. The FDA approved crovalimab, an anti-C5 antibody developed by Roche and Chugai Pharmaceutical Co, in the United States in June 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aware of several other companies that are actively developing product candidates using complement inhibition for the treatment of PNH in late-stage clinical development, including pozelimab + cemdisiran, currently in Phase 3 clinical trials, and as other products in early stages of development.</w:t>
      </w:r>
    </w:p>
    <w:p>
      <w:pPr>
        <w:spacing w:after="0" w:line="14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Amgen Inc. developed ABP959, a biosimilar for eculizumab, which has been approved in the European Union, as has Epysgli from Samsung Bioepis. Other non-U.S. entities are developing biosimilars for eculizumab in local markets .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35"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C3G. </w:t>
      </w:r>
      <w:r>
        <w:rPr>
          <w:rFonts w:ascii="Times New Roman" w:cs="Times New Roman" w:eastAsia="Times New Roman" w:hAnsi="Times New Roman"/>
          <w:sz w:val="18"/>
          <w:szCs w:val="18"/>
          <w:color w:val="auto"/>
        </w:rPr>
        <w:t>There are currently no approved drugs for C3 glomerulopathy. There are treatments in clinical development, including iptacopan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Novartis, which is currently under review with the FDA; OMS906, a MASP-3 inhibitor monoclonal antibody being developed by Omeros Corp., in a Phase 2 trial; KP104, an anti C5-Factor H bifunctional protein being developed by Kira Pharmaceuticals, currently in a Phase 2 renal basket trial; and ARO-C3, an RNAi to reduce C3 production developed by Arrowhead Pharmaceuticals, currently in a Phase 1/2 renal basket trial.</w:t>
      </w:r>
    </w:p>
    <w:p>
      <w:pPr>
        <w:spacing w:after="0" w:line="136"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IC-MPGN. </w:t>
      </w:r>
      <w:r>
        <w:rPr>
          <w:rFonts w:ascii="Times New Roman" w:cs="Times New Roman" w:eastAsia="Times New Roman" w:hAnsi="Times New Roman"/>
          <w:sz w:val="18"/>
          <w:szCs w:val="18"/>
          <w:color w:val="auto"/>
        </w:rPr>
        <w:t>There are currently no approved drugs for IC-MPGN. There are potential treatments in clinical development, including iptacopan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Novartis, currently in Phase 3 clinical trials, and OMS906, a MASP-3 inhibitor monoclonal antibody being developed by Omeros Corp., in a Phase 2 clinical trial.</w:t>
      </w:r>
    </w:p>
    <w:p>
      <w:pPr>
        <w:spacing w:after="0" w:line="144"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HSCT-TMA. </w:t>
      </w:r>
      <w:r>
        <w:rPr>
          <w:rFonts w:ascii="Times New Roman" w:cs="Times New Roman" w:eastAsia="Times New Roman" w:hAnsi="Times New Roman"/>
          <w:sz w:val="18"/>
          <w:szCs w:val="18"/>
          <w:color w:val="auto"/>
        </w:rPr>
        <w:t>Currently there are three treatments in late-stage clinical development: ravulizumab, developed by AstraZeneca, nomacopan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Akari, and narsoplimab, being developed by Omeros, are all in Phase 3 trials.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retain U.S. commercialization rights for systemic pegcetacoplan and worldwide commercialization rights for intravitreal pegcetacoplan. We are conducting commercialization efforts for EMPAVELI and SYFOVRE in the United States and plan to conduct commercial development for EMPAVELI in the United States if it is approved in other indications. Sobi has global co-development and exclusive ex-U.S. commercialization rights for Aspaveli. We plan to conduct commercial development for intravitreal pegcetacoplan in select countries outside of the U.S. We have developed focused capabilities to commercialize development programs for certain indications where we believe that the medical specialists for the indications are sufficiently concentrated to allow us to effectively promote the product with a targeted sales team.</w:t>
      </w:r>
    </w:p>
    <w:p>
      <w:pPr>
        <w:spacing w:after="0" w:line="14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EMPAVELI and SYFOVRE we have defined our marketing, disease education, patient support and distribution strategies, identified primary and secondary payers representing a significant percentage of patients with PNH and GA, have built our field market access team and our sales team.</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programs involving compounds other than pegcetacoplan, we plan to develop our own capabilities to commercialize our products worldwide.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rely on third-party contract manufacturers to produce our products, we have recruited personnel with experience to manage the third-party contract manufacturers producing our products, product candidates and other product candidates that we may develop in the future.</w:t>
      </w:r>
    </w:p>
    <w:p>
      <w:pPr>
        <w:spacing w:after="0" w:line="13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process for manufacturing our products and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believe the costs associated with manufacturing drug product for our products and product candidates is comparable to the current manufacturing costs for other similarly sized peptide-based components.</w:t>
      </w:r>
    </w:p>
    <w:p>
      <w:pPr>
        <w:spacing w:after="0" w:line="1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engaged a limited number of third-party manufacturers to provide all of our raw materials, drug substances and finished products for use in clinical trials and commercial sale. We have entered into a commercial supply agreement with Bachem Americas, Inc., or Bachem, agreeing to purchase a significant portion of our requirements for the pegcetacoplan drug substance, and a commercial supply agreement with NOF Corporation, or NOF, to purchase activated polyethylene glycol derivative, or PEG, which is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component of pegcetacoplan. We also have a separate supply agreement for the manufacture of the drug product for each of EMPAVELI and SYFOVRE.</w:t>
      </w:r>
    </w:p>
    <w:p>
      <w:pPr>
        <w:spacing w:after="0" w:line="1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and for commercial use are manufactured under current good manufacturing practices. Separate third-party manufacturers are for fill and finish services and for labeling and shipment of the final drug products to the clinical trial sites and for commercial use.</w:t>
      </w:r>
    </w:p>
    <w:p>
      <w:pPr>
        <w:spacing w:after="0" w:line="14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color w:val="111111"/>
        </w:rPr>
        <w:t>that our manufacturing arrangements are sufficient to supply pegcetacoplan at the scale and with the quality required for our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and planned clinical trials, our commercialization efforts and our collaboration with Sobi. </w:t>
      </w:r>
      <w:r>
        <w:rPr>
          <w:rFonts w:ascii="Times New Roman" w:cs="Times New Roman" w:eastAsia="Times New Roman" w:hAnsi="Times New Roman"/>
          <w:sz w:val="18"/>
          <w:szCs w:val="18"/>
          <w:color w:val="000000"/>
        </w:rPr>
        <w:t>We continuously review our supply chain risk, including with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respect to our manufacturing footprint, and update and implement risk mitigation plans.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 Supply Agreement with Bachem</w:t>
      </w:r>
    </w:p>
    <w:p>
      <w:pPr>
        <w:spacing w:after="0" w:line="189" w:lineRule="exact"/>
        <w:rPr>
          <w:sz w:val="20"/>
          <w:szCs w:val="20"/>
          <w:color w:val="auto"/>
        </w:rPr>
      </w:pPr>
    </w:p>
    <w:p>
      <w:pPr>
        <w:ind w:right="160" w:firstLine="562"/>
        <w:spacing w:after="0" w:line="282" w:lineRule="auto"/>
        <w:rPr>
          <w:sz w:val="20"/>
          <w:szCs w:val="20"/>
          <w:color w:val="auto"/>
        </w:rPr>
      </w:pPr>
      <w:r>
        <w:rPr>
          <w:rFonts w:ascii="Times New Roman" w:cs="Times New Roman" w:eastAsia="Times New Roman" w:hAnsi="Times New Roman"/>
          <w:sz w:val="18"/>
          <w:szCs w:val="18"/>
          <w:color w:val="auto"/>
        </w:rPr>
        <w:t>In December 2020, we entered into a commercial supply agreement, or the Bachem Agreement, with Bachem to supply the drug substance for the finished dosage form of systemic pegcetacoplan and intravitreal pegcetacoplan.</w:t>
      </w:r>
    </w:p>
    <w:p>
      <w:pPr>
        <w:spacing w:after="0" w:line="135"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Under the Bachem Agreement, we agreed to purchase from Bachem a significant portion of our requirements for the drug substance during the term of the agreement, and to purchase all of our requirements for drug substance for commercial sale, subject to certain exceptions, for a period after the effective date of the agreement.</w:t>
      </w:r>
    </w:p>
    <w:p>
      <w:pPr>
        <w:spacing w:after="0" w:line="135" w:lineRule="exact"/>
        <w:rPr>
          <w:sz w:val="20"/>
          <w:szCs w:val="20"/>
          <w:color w:val="auto"/>
        </w:rPr>
      </w:pPr>
    </w:p>
    <w:p>
      <w:pPr>
        <w:jc w:val="both"/>
        <w:ind w:right="220" w:firstLine="562"/>
        <w:spacing w:after="0" w:line="257" w:lineRule="auto"/>
        <w:rPr>
          <w:sz w:val="20"/>
          <w:szCs w:val="20"/>
          <w:color w:val="auto"/>
        </w:rPr>
      </w:pPr>
      <w:r>
        <w:rPr>
          <w:rFonts w:ascii="Times New Roman" w:cs="Times New Roman" w:eastAsia="Times New Roman" w:hAnsi="Times New Roman"/>
          <w:sz w:val="18"/>
          <w:szCs w:val="18"/>
          <w:color w:val="auto"/>
        </w:rPr>
        <w:t>The initial term of the Bachem Agreement continues until December 31, 2025. Thereafter, unless terminated earlier, the Bachem Agreement will automatically renew for an additional two-year term. We may terminate the Bachem Agreement in the event any required license, permit or certificate of Bachem related to the manufacturing facility or the drug substance is not approved or issued (or is withdrawn) by the relevant governmental authority.</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Additionally, each party may terminate the Bachem Agreement upon an uncured material breach of the Bachem Agreement by the other party or upon the other party’s insolvency or bankruptcy.</w:t>
      </w:r>
    </w:p>
    <w:p>
      <w:pPr>
        <w:spacing w:after="0" w:line="141"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The Bachem Agreement also includes customary provisions relating to, among others, delivery, inspection procedures, warranties, quality, storage, handling and transport, intellectual property, confidentiality and indemnification.</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Commercial Supply Agreement with NOF</w:t>
      </w:r>
    </w:p>
    <w:p>
      <w:pPr>
        <w:spacing w:after="0" w:line="189" w:lineRule="exact"/>
        <w:rPr>
          <w:sz w:val="20"/>
          <w:szCs w:val="20"/>
          <w:color w:val="auto"/>
        </w:rPr>
      </w:pPr>
    </w:p>
    <w:p>
      <w:pPr>
        <w:ind w:right="20" w:firstLine="562"/>
        <w:spacing w:after="0" w:line="282" w:lineRule="auto"/>
        <w:rPr>
          <w:sz w:val="20"/>
          <w:szCs w:val="20"/>
          <w:color w:val="auto"/>
        </w:rPr>
      </w:pPr>
      <w:r>
        <w:rPr>
          <w:rFonts w:ascii="Times New Roman" w:cs="Times New Roman" w:eastAsia="Times New Roman" w:hAnsi="Times New Roman"/>
          <w:sz w:val="18"/>
          <w:szCs w:val="18"/>
          <w:color w:val="auto"/>
        </w:rPr>
        <w:t>In March 2021, we entered into an amended and restated commercial supply agreement, or the NOF Agreement, with NOF to purchase PEG, which is a component of each of systemic pegcetacoplan and intravitreal pegcetacoplan.</w:t>
      </w:r>
    </w:p>
    <w:p>
      <w:pPr>
        <w:spacing w:after="0" w:line="121"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Under the NOF Agreement, NOF’s affiliate, NOF America Corporation, supplies PEG to us on a non-exclusive basis. NOF agreed to manufacture and deliver PEG to us in accordance with purchase orders issued by us pursuant to the NOF Agreement. We may purchase PEG or any polyethylene glycol derivative from other third-party suppliers. Notwithstanding the foregoing, we agreed to purchase at least a minimum purchase obligation, which will be based on our 24-month rolling forecasts as set forth in the NOF Agreement. In the event we fail to meet the minimum purchase obligation, we will pay NOF the amount equal to a specified percentage of the remaining quantity of the minimum purchase obligation for the relevant time period, in addition to any payments due for all outstanding firm orders. We may eliminate the minimum purchase obligation on or before October 1 of the preceding calendar year by paying a specified percentage of the then-applicable supply price of the remaining minimum purchase obligation for the remainder of the term. In September 2024, we terminated the minimum purchase obligation with NOF for 2025. As a result of this termination, we incurred an expense of $6.4 million, which is included in Cost of Sales on the consolidated statements of operations and comprehensive loss income. As the amount is not due until January 2026, it is included in Other Liabilities on the consolidated balance sheet as of December 31, 2024.</w:t>
      </w:r>
    </w:p>
    <w:p>
      <w:pPr>
        <w:spacing w:after="0" w:line="167"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Unless earlier terminated, the term of the NOF Agreement continues through December 31, 2025. Either party may terminate the NOF Agreement upon an uncured material breach by the other party, upon the other party’s insolvency or bankruptcy or for convenience upon twenty-four (24) months prior written notice. We may terminate the NOF Agreement for safety, efficacy or regulatory issues. If the NOF Agreement is terminated by NOF for convenience or by us for NOF’s breach, we have no minimum purchase obligations and any agreement to buy out such minimum purchase obligations shall be of no force or effect.</w:t>
      </w:r>
    </w:p>
    <w:p>
      <w:pPr>
        <w:spacing w:after="0" w:line="143" w:lineRule="exact"/>
        <w:rPr>
          <w:sz w:val="20"/>
          <w:szCs w:val="20"/>
          <w:color w:val="auto"/>
        </w:rPr>
      </w:pPr>
    </w:p>
    <w:p>
      <w:pPr>
        <w:ind w:right="300" w:firstLine="562"/>
        <w:spacing w:after="0" w:line="282" w:lineRule="auto"/>
        <w:rPr>
          <w:sz w:val="20"/>
          <w:szCs w:val="20"/>
          <w:color w:val="auto"/>
        </w:rPr>
      </w:pPr>
      <w:r>
        <w:rPr>
          <w:rFonts w:ascii="Times New Roman" w:cs="Times New Roman" w:eastAsia="Times New Roman" w:hAnsi="Times New Roman"/>
          <w:sz w:val="18"/>
          <w:szCs w:val="18"/>
          <w:color w:val="auto"/>
        </w:rPr>
        <w:t>The NOF Agreement also includes customary provisions relating to, among others, delivery, inspection procedures, warranties, quality, storage, handling and transport, intellectual property, confidentiality and indemnification.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20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drug product development, approval and marketing are subject to change, and regulations and administrative guidance often are revised or reinterpreted by the agencies in ways that may have a significant impact on our business.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and Regulation of Drug Products in the United States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4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FDA must approve our product candidates for therapeutic indications before they may be marketed in the United States. A company, institution or organization which takes responsibility for the initiation and management of a clinical development program for such products is referred to as a sponsor. A sponsor seeking approval to market and distribute a new drug or biologic product in the United States must typically secure the following:</w:t>
      </w:r>
    </w:p>
    <w:p>
      <w:pPr>
        <w:spacing w:after="0" w:line="68" w:lineRule="exact"/>
        <w:rPr>
          <w:sz w:val="20"/>
          <w:szCs w:val="20"/>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application, or IND, which must take effect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for a new drug product, or a sNDA for a change to a previously approved drug product, which includes not only the results of the clinical trials, but also, detailed information on the chemistry, manufacture and quality controls for the product candidate and proposed labeling for one or more proposed indication(s);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application and program fees pursuant to the Prescription Drug User Fee Act, or PDUFA;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FDA approval of the NDA or sNDA authorizing marketing of the drug product for particular indications in the United States;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0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 sponsor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These studies are generally referred to as IND-enabling studies. The conduct of the preclinical tests and formulation of the compounds for testing must comply with federal regulations and requirements, including GLP regulations and standards and the U.S. Department of Agriculture’s Animal Welfare Act, if applicable.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AEs and carcinogenicity, may continue after the IND is submitted.</w:t>
      </w:r>
    </w:p>
    <w:p>
      <w:pPr>
        <w:spacing w:after="0" w:line="1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20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assure the safety and rights of patients and to help assure that the quality of the investigation will be adequate to permit an evaluation of the proposed drug’s effectiveness and safety.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6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Once an IND application takes effect, the sponsor of the IND may amend the application as needed to ensure that the clinical trials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w:t>
      </w:r>
    </w:p>
    <w:p>
      <w:pPr>
        <w:spacing w:after="0" w:line="14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monitoring committee. This group provides authorization for whether or not a trial may move forward at designated check points based on access that only the group maintains to available data from the study. Suspension or termination of development during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Sponsors frequently conduct clinical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Reporting Clinical Trial Results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PHSA, sponsors of clinical trials of certain FDA-regulated products, including prescription drugs and biologics, are required to register and disclose certain clinical trial information on a public registry (clinicaltrials.gov) maintained by the U.S. National Institutes of Health, or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registration and reporting requirements for clinical trials became effective in 2017, and both the NIH and the FDA have recently signaled the government’s willingness to begin enforcing those requirements against non-compliant clinical trial sponsors.</w:t>
      </w:r>
    </w:p>
    <w:p>
      <w:pPr>
        <w:spacing w:after="0" w:line="14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PHSA grants the Secretary of Health and Human Services, or HHS, the authority to issue a notice of noncompliance to a responsible party for failure to submit clinical trial information as required. The responsible party, however, is allowed 30 days to correct the noncompliance and submit the required information. The failure to submit clinical trial information to clinicaltrials.gov, as required, is also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4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amendments to the FDCA included in the 21st Century Cures Act, or the Cures Act, passed in 2016, if a sponsor has a policy regarding how it responds to expanded access requests with respect to product candidates in development to treat serious diseases or conditions, it must make that policy publicly available. Sponsors are required to make such policies publicly available upon the earlier of initiation of a Phase 2 or Phase 3 study; or 15 days after the investigational drug or biologic receives designation from the FDA as a breakthrough therapy, fast track product, or regenerative medicine advanced therapy.</w:t>
      </w:r>
    </w:p>
    <w:p>
      <w:pPr>
        <w:spacing w:after="0" w:line="1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17" w:lineRule="exact"/>
        <w:rPr>
          <w:sz w:val="20"/>
          <w:szCs w:val="20"/>
          <w:color w:val="auto"/>
        </w:rPr>
      </w:pPr>
    </w:p>
    <w:p>
      <w:pPr>
        <w:ind w:left="1020" w:right="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67" w:lineRule="exact"/>
        <w:rPr>
          <w:rFonts w:ascii="Times New Roman" w:cs="Times New Roman" w:eastAsia="Times New Roman" w:hAnsi="Times New Roman"/>
          <w:sz w:val="18"/>
          <w:szCs w:val="18"/>
          <w:color w:val="auto"/>
        </w:rPr>
      </w:pPr>
    </w:p>
    <w:p>
      <w:pPr>
        <w:ind w:left="1020" w:right="62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1" w:lineRule="exact"/>
        <w:rPr>
          <w:rFonts w:ascii="Times New Roman" w:cs="Times New Roman" w:eastAsia="Times New Roman" w:hAnsi="Times New Roman"/>
          <w:sz w:val="17"/>
          <w:szCs w:val="17"/>
          <w:color w:val="auto"/>
        </w:rPr>
      </w:pPr>
    </w:p>
    <w:p>
      <w:pPr>
        <w:ind w:left="1020" w:right="6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These clinical trials are commonly referred to as “pivotal” studies, which denotes a study that presents the data that the FDA or other relevant regulatory agency will use to determine whether or not to approve a drug.</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FDA During the Clinical Development Program</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Following the clearance of an IND and the commencement of clinical trials, the sponsor will continue to have interactions with the FDA. A development safety update report detailing the results of the clinical trials must be submitted annually to the FDA.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ectPr>
          <w:pgSz w:w="11900" w:h="16838" w:orient="portrait"/>
          <w:cols w:equalWidth="0" w:num="1">
            <w:col w:w="11220"/>
          </w:cols>
          <w:pgMar w:left="320" w:top="124" w:right="359" w:bottom="1440" w:gutter="0" w:footer="0" w:header="0"/>
        </w:sectPr>
      </w:pP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is submitted (Pre-NDA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(should be limited to no more than 2 focused topics) and should not require input from more than 3 disciplines or divisions. Finally, INTERACT meetings are intended for novel products and development programs that present unique challenges in the early development of an investigational product.</w:t>
      </w:r>
    </w:p>
    <w:p>
      <w:pPr>
        <w:spacing w:after="0" w:line="18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These meetings provide an opportunity for the sponsor to share information about the data gathered to date with the FDA and for the FDA to provide advice on the next phase of development. For example, at an EOP2, a sponsor may discuss its Phase 2 clinical results and present its plans for the pivotal Phase 3 clinical trial(s) that it believes will support the approval of the new product. Such meetings may be conducted in person, via teleconference/videoconference or written response only with minutes reflecting the questions that the sponsor posed to the FDA and the agency’s responses.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Other Regulatory Requirements</w:t>
      </w:r>
    </w:p>
    <w:p>
      <w:pPr>
        <w:spacing w:after="0" w:line="18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6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20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the PREA, applications and certain types of supplements to applications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sponsor must submit an initial Pediatric Study Plan, or PSP, within 60 days of an end-of-phase 2 meeting or as may be agreed between the sponsor and the FDA. Those plans must contain an outline of the proposed pediatric study or studies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sponsor and the FDA must reach agreement on a final plan.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139"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the sponsor’s response.</w:t>
      </w:r>
    </w:p>
    <w:p>
      <w:pPr>
        <w:spacing w:after="0" w:line="14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Unless otherwise required by regulation, the pediatric data requirements do not apply to products with orphan designation intended for a non-cancer indication, although the FDA has recently taken steps to limit what it considers abuse of this statutory exemption in PREA by announcing that it does not intend to grant any additional orphan drug designations for rare pediatric subpopulations of what is otherwise a common disease. Further, Section 505B of the FDCA, as amended by the FDA Reauthorization Act of 2017, or FDARA, requires that any original NDA or BLA submitted on or after August 18, 2020, for a new active ingredient, must contain reports on the molecularly targeted pediatric cancer investigation, unless the requirement is waived or deferred, if the drug that is the subject of the application is: (i) intended for the treatment of an adult cancer, and (ii) directed at a molecular target that the Secretary of HHS determines to be substantially relevant to the growth or progression of a pediatric cancer in accordance with FDA guidance.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4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Fourth, 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4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 the passage of FDORA,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w:t>
      </w:r>
    </w:p>
    <w:p>
      <w:pPr>
        <w:spacing w:after="0" w:line="16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Acceptance and Review of NDAs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chemistry, manufacturing, controls, safety updates, patent information, abuse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 The fee required for the submission and review of an application under the PDUFA is substantial (for example, for federal fiscal year 2025 this application fee is $4,310,002), and the sponsor of an approved application is also subject to an annual program fee, currently set at $403,889 per eligible prescription product for federal fiscal year 2025.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16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and efficacy or provide adequate directions for use; or inadequate content, presentation, or organization of information such that substantive and meaningful review is precluded. The FDA may request additional information rather than accept an application for filing. In this event, the application must be resubmitted with the additional information. The resubmitted application is also subject to review before the FDA accepts it for filing.</w:t>
      </w:r>
    </w:p>
    <w:p>
      <w:pPr>
        <w:spacing w:after="0" w:line="1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goal date.</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its review of an application, the FDA will typically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 The FDA also may inspect the sponsor and one or more clinical trial sites to assure compliance with IND and GCP requirements and the integrity of the clinical data submitted to the FDA.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 To ensure cGMP and GCP compliance by its employees and third-party contractors, a sponsor may incur significant expenditure of time, money and effort in the areas of training, record keeping, production and quality control.</w:t>
      </w:r>
    </w:p>
    <w:p>
      <w:pPr>
        <w:spacing w:after="0" w:line="16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4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sponsor interprets the same data. The FDA may also re-analyze the clinical trial data, which could result in extensive discussions between the FDA and the sponsor during the review process.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a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application must submit a proposed REMS and the FDA will not approve the application without a REMS.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Decisions on NDAs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product involved, on the basis of which it could fairly and responsibly be concluded by such experts that the product will have the effect it purports or is represented to have under the conditions of use prescribed, recommended, or suggested in the labeling or proposed labeling thereof.”</w:t>
      </w:r>
    </w:p>
    <w:p>
      <w:pPr>
        <w:spacing w:after="0" w:line="14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 In December 2019, the FDA issued draft guidance further explaining the studies that are needed to establish substantial evidence of effectiveness. Although the FDA has not yet finalized that guidance, the agency did issue draft guidance in September 2023 that outlines considerations for relying on confirmatory evidence in lieu of a second clinical trial to demonstrate efficacy.</w:t>
      </w:r>
    </w:p>
    <w:p>
      <w:pPr>
        <w:spacing w:after="0" w:line="1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drug is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 In connection with this assessment, the FDA review team will assemble all individual reviews and other documents into an “action package,” which becomes the record for FDA review. The review team then issues a recommendation, and a senior FDA official makes a decision.</w:t>
      </w:r>
    </w:p>
    <w:p>
      <w:pPr>
        <w:spacing w:after="0" w:line="148"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w:t>
      </w:r>
    </w:p>
    <w:p>
      <w:pPr>
        <w:spacing w:after="0" w:line="14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FDA has committed to reviewing such resubmissions in two or six months depending on the type of information included. Even with the submission of this additional information, the FDA ultimately may decide that the application does not satisfy the regulatory criteria for approval. The FDA has taken the position that a CRL is not final agency action making the determination subject to judicial review.</w:t>
      </w:r>
    </w:p>
    <w:p>
      <w:pPr>
        <w:spacing w:after="0" w:line="14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Under the Ensuring Innovation Act, which was signed into law in April 2021, the FDA must publish action packages summarizing its decisions to approve new drugs within 30 days of approval of such products. CRLs are not publicly available documents.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 sponsor wishes to make a change to a product that has been approved under an NDA, the sponsor must submit an sNDA to the FDA. Such changes may include a revision of the labeling for the approved product, addition of a new indication, a change in the dosage, strength or formulation of the drug product, or a modification of the manner in which the drug is manufactured. Under the timelines established pursuant to PDUFA, the standard review time for an sNDA is generally 10 months from receipt of the application by the FDA.</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0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4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 outlining the agency’s non-binding policies governing the distribution of scientific information on unapproved uses to healthcare providers. This draft guidance calls for such communications to be truthful,</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non-misleading, factual, and unbiased and include all information necessary for healthcare providers to interpret the strengths and weaknesses and validity and utility of the information about the unapproved use.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4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4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the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more recently enacted the Drug Supply Chain Security Act, or the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200"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Section 505(b)(2)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Generic Drugs and Regulatory Exclusivity</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the sponsor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3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Upon approval of an abbreviated new drug application, or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or 505(b)(2) application until any applicable period of regulatory exclusivity for the RLD has expired. The FDCA provides a period of five years of regulatory data exclusivity for a new drug containing a new chemical entity. For the purposes of this provision, a new chemical entity, or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spacing w:after="0" w:line="14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must establish a priority review track for certain generic drugs, requiring the FDA to review a drug application within eight months for a drug that has three or fewer approved patents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0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patent listings were largely codified into law with enactment of the Orange Book Modernization Act in January 2021.When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sponsor must certify with respect to each patent that:</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sponsor is not seeking approval).</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ANDA until the earlier of 30 months after the receipt of the Paragraph IV notice, expiration of the patent, or a decision in the infringement case that is favorable to the ANDA sponsor.</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exclusivity to the term of any existing unexpired patent or regulatory exclusivity, including the orphan drug exclusivity, for drug products.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sponsor submitted a paragraph IV patent certification, unless the NDA sponsor or patent owner first obtains a court determination that the patent is valid and infringed by a proposed generic product.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4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1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0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Clearance or Approval of Medical Devices in the United States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6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4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PMA applications are subject to an application fee. For federal fiscal year 2025, the standard fee is $540,783 and the small business fee is $135,196.</w:t>
      </w:r>
    </w:p>
    <w:p>
      <w:pPr>
        <w:spacing w:after="0" w:line="1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16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w:t>
      </w:r>
    </w:p>
    <w:p>
      <w:pPr>
        <w:sectPr>
          <w:pgSz w:w="11900" w:h="16838" w:orient="portrait"/>
          <w:cols w:equalWidth="0" w:num="1">
            <w:col w:w="11240"/>
          </w:cols>
          <w:pgMar w:left="320" w:top="124" w:right="339" w:bottom="1440"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study. Non-significant risk devices are devices that do not pose a significant risk to the human subjects. A non-significant risk device study requires only IRB approval prior to initiation of a clinical study.</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Approval of Combination Products in the United States</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54" w:lineRule="exact"/>
        <w:rPr>
          <w:sz w:val="20"/>
          <w:szCs w:val="20"/>
          <w:color w:val="auto"/>
        </w:rPr>
      </w:pPr>
    </w:p>
    <w:p>
      <w:pPr>
        <w:ind w:left="1020" w:right="1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1" w:lineRule="exact"/>
        <w:rPr>
          <w:rFonts w:ascii="Times New Roman" w:cs="Times New Roman" w:eastAsia="Times New Roman" w:hAnsi="Times New Roman"/>
          <w:sz w:val="18"/>
          <w:szCs w:val="18"/>
          <w:color w:val="auto"/>
        </w:rPr>
      </w:pPr>
    </w:p>
    <w:p>
      <w:pPr>
        <w:ind w:left="1020" w:right="52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1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and State Data Privacy Laws</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business or trials or where we may do business in the future. These laws are evolving and may increase both our obligations and our regulatory risks in the future. In the health care industry generally, under the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6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California, several other states have passed comprehensive privacy laws similar to the CCPA and CPRA.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These laws may impact our business activities, including our identification of research subjects, relationships with business partners and ultimately the marketing and distribution of our products.</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We are subject to similar foreign laws to the extent our products are sold in foreign countries.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Review and Approval of Drug Products in the European Union</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27-member EU, before we may commence clinical trials or market products in those countries or areas. In the EU,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 are subject to significant regulatory controls.</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the exception of the EU/European Economic Area, or the EEA, applying the harmonized regulatory rules for medicinal products, the approval process and requirements governing the conduct of clinical trials, product licensing, pricing and reimbursement vary greatly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CTR aims at simplifying and streamlining the authorization, conduct and transparency of clinical trials in the European Union. Under the new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14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CTD, or (ii) between January 31, 2022 and January 31, 2023 and for which the sponsor has opted for the application of the CTD remain governed by said Directive until January 31, 2025. After this date, all clinical trials (including those which are ongoing) will become subject to the provisions of the CTR.</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 at the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Procedures Governing Approval of Drug Products in the European Union</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European Clinical Trials Directive, a system for the approval of clinical trials in the European Union has been implemented through national legislation of the member states. Under this system, a sponsor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5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 obtain marketing approval of a product under European Union regulatory systems, a sponsor must submit a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4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decentralized procedure is available to sponsors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 sponsor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4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Within this framework, manufacturers may seek approval of hybrid medicinal products under Article 10(3) of Directive 2001/83/EC. Hybrid applications rely, in part, on information and data from a reference product and new data from appropriate preclinical tests and clinical trials. Such applications are necessary when the proposed product does not meet the strict definition of a generic medicinal product, or bioavailability studies cannot be used to demonstrate bioequivalence, or there are changes in the active substance(s), therapeutic indications, strength, pharmaceutical form or route of administration of the generic product compared to the reference medicinal product. In such cases the results of tests and trials must be consistent with the data content standards required in the Annex to the Directive 2001/83/EC, as amended by Directive 2003/63/EC.</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Hybrid medicinal product applications have automatic access to the centralized procedure when the reference product was authorized for marketing via that procedure. Where the reference product was authorized via the decentralized procedure, a hybrid application may be accepted for consideration under the centralized procedure if the sponsor shows that the medicinal product constitutes a significant therapeutic, scientific or technical innovation, or the granting of a community authorization for the medicinal product is in the interest of patients at the community level.</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Conditional Approval</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particular circumstances, EU legislation (Article 14–a Regulation (EC) No 726/2004 (as amended by Regulation (EU) 2019/5 and Regulation (EC) No 507/2006 on Conditional Marketing Authorizations for Medicinal Products for Human Use)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close to the conditional marketing authorization as it is reserved to medicinal products to be approved for severe diseases or unmet medical needs and the applicant does not hold the complete data set legally required for the grant of marketing authorization. However, unlike the conditional marketing authorization, the applicant does not have to provide the missing data and will never have to. Although marketing authorization “under exceptional circumstances” is granted definitively, the risk-benefit balance of the medicinal product is reviewed annually and the marketing authorization is withdrawn in case the risk-benefit ratio is no longer favorable. Under these procedures, before granting the marketing authorization, EMA or the competent authorities of the member states make an assessment of the risk-benefit balance of the product on the basis of scientific criteria concerning its quality, safety, and efficacy. Except conditional marketing authorizations, marketing authorizations have an initial duration of five years. After these five years, the authorization may be renewed on the basis of a reevaluation of the risk-benefit balance.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in the EU</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PDCO may also grant waivers when development of a medicine in children is not needed or is not appropriate because (a) the product is likely to be ineffective or unsafe in part or all of the pediatric population; (b) the disease or condition occurs only in adult population; or (c) the product does not represent a significant therapeutic benefit over existing treatments for pediatric population. Before an MAA can be filed, or an existing marketing authorization can be amended, the EMA determines that companies actually comply with the agreed studies and measures listed in each relevant PIP.</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20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with respect to quality, safety and efficacy, including all variations introduced since the marketing authorization was granted, at least six months before the marketing authorization ceases to be valid. Once renewed, the marketing authorization is valid for an unlimited period, unless the EC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in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The holder of an EU marketing authorization for a medicinal product must, for example, comply with EU pharmacovigilance legislation and its related regulations and guidelines which entail many requirements for conducting pharmacovigilance, or the assessment and monitoring of the safety of medicinal products. The manufacturing process for medicinal products in the EU is also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including compliance with EU cGMP standards when manufacturing medicinal products and active pharmaceutical ingredients.</w:t>
      </w:r>
    </w:p>
    <w:p>
      <w:pPr>
        <w:spacing w:after="0" w:line="151"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In the EU, the advertising and promotion of approved products are subject to EU Member States’ laws governing promotion of medicinal products, interactions with clinicians,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orSmPC, as approved by the competent authorities. Promotion of a medicinal product that does not comply with the SmPC is considered to constitute off-label promotion, which is prohibited in the EU.</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could also market another version of the product if such company can complete a full MAA with a complete database of pharmaceutical tests, preclinical tests and clinical trials and obtain marketing approval of its product.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0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ten-year market exclusivity period, the EMA or the competent authorities of the Member States of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 in the EU</w:t>
      </w:r>
    </w:p>
    <w:p>
      <w:pPr>
        <w:spacing w:after="0" w:line="20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or alternatively a one year extension of the regulatory market exclusivity from ten to eleven years, as selected by the marketing authorization holder.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Extensions</w:t>
      </w:r>
    </w:p>
    <w:p>
      <w:pPr>
        <w:spacing w:after="0" w:line="187"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Although SPCs are available throughout the EU, sponsors must apply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Similar patent term extension rights exist in certain other foreign jurisdictions outside the EU.</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UK’s withdrawal from the EU, commonly referred to as Brexit, took place on January 31, 2020. The EU and the UK reached an agreement on their new partnership in the Trade and Cooperation Agreement, which entered into force on May 1, 2021.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as amended by the so called Windsor Framework agreed in February 2023. As of January 1, 2025, the changes introduced by the Windsor Framework resulted in the MHRA being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UK’s withdrawal from the EU.</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of January 1, 2024 on,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 Mutual Recognition/Decentralized Reliance Procedure positive end of procedure outcome is an RR authorization for the purposes of IRP.</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EEA, including personal health data, is subject to the GDPR, which became effective on May 25, 2018. In the United Kingdom, the GDPR is retained in domestic law as the UK GDPR and sits alongside an amended version of the UK Data Protection Act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of the respective group of companies,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63"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w:t>
      </w:r>
    </w:p>
    <w:p>
      <w:pPr>
        <w:spacing w:after="0" w:line="1"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health outcome studies in order to demonstrate the medical necessity, quality of life benefits, and cost-effectiveness of the product, in addition to the costs required to obtain FDA or other comparable regulatory approvals. Nonetheless, product candidates may not be considered medically necessary or cost effective in light of cost-benefit analysis.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6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studies that compare the cost effectiveness of our product candidates or products to other available therapies. The conduct of such studies could be expensive and result in delays in our commercialization efforts.</w:t>
      </w:r>
    </w:p>
    <w:p>
      <w:pPr>
        <w:spacing w:after="0" w:line="15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in order to obtain reimbursement.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and issue guidance to prescribers. The downward pressure on health care costs in general, particularly prescription drugs, has become intense. As a result, increasingly high barriers are being erected to the entry of new products. In addition, reference pricing and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72" w:lineRule="exact"/>
        <w:rPr>
          <w:sz w:val="20"/>
          <w:szCs w:val="20"/>
          <w:color w:val="auto"/>
        </w:rPr>
      </w:pPr>
    </w:p>
    <w:p>
      <w:pPr>
        <w:ind w:left="1020" w:right="4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right="34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31" w:lineRule="exact"/>
        <w:rPr>
          <w:rFonts w:ascii="Times New Roman" w:cs="Times New Roman" w:eastAsia="Times New Roman" w:hAnsi="Times New Roman"/>
          <w:sz w:val="17"/>
          <w:szCs w:val="17"/>
          <w:color w:val="auto"/>
        </w:rPr>
      </w:pPr>
    </w:p>
    <w:p>
      <w:pPr>
        <w:ind w:left="1020" w:right="8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71" w:lineRule="exact"/>
        <w:rPr>
          <w:rFonts w:ascii="Times New Roman" w:cs="Times New Roman" w:eastAsia="Times New Roman" w:hAnsi="Times New Roman"/>
          <w:sz w:val="18"/>
          <w:szCs w:val="18"/>
          <w:color w:val="auto"/>
        </w:rPr>
      </w:pPr>
    </w:p>
    <w:p>
      <w:pPr>
        <w:jc w:val="both"/>
        <w:ind w:left="1020" w:right="20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1020" w:right="40" w:hanging="503"/>
        <w:spacing w:after="0" w:line="25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HHS, information related to payments and other transfers of value to certain healthcare providers and teaching hospitals and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and Pharmaceutical Pricing</w:t>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On August 15, 2024, HHS published the results of the first Medicare drug price negotiations for ten selected drugs. On January 17, 2025, CMS announced its selection of 15 additional drugs covered by Part D for the second cycle of negotiations.</w:t>
      </w:r>
    </w:p>
    <w:p>
      <w:pPr>
        <w:spacing w:after="0" w:line="19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other parties also filed lawsuits in various courts with similar constitutional claims against HHS and CMS. HHS has generally won the substantive disputes in these cases. Certain of these cases are now on appeal. Litigation involving these and other provisions of the IRA will continue with unpredictable and uncertain results.</w:t>
      </w:r>
    </w:p>
    <w:p>
      <w:pPr>
        <w:spacing w:after="0" w:line="13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Resources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December 31, 2024, we had 705 full-time employees and five part-time employees. Of these employees, 603 were based in the United States, 107 were based in international locations and 93 held Ph.D., Pharm.D. or M.D. degrees. None of our employees are represented by a labor union or covered under a collective bargaining agreement. We also retain independent contractors to support the goals of our organization. We are committed to providing a positive employee experience and a culture that embodies our values.</w:t>
      </w:r>
    </w:p>
    <w:p>
      <w:pPr>
        <w:spacing w:after="0" w:line="7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Fostering a diverse and inclusive culture which invests in attracting, retaining, engaging and developing our people is critical to achieving our business objectives and bringing value to patients, shareholders and all stakeholders. We recognize that there is still important progress to be made, and this remains an area of continued emphasis for us.</w:t>
      </w:r>
    </w:p>
    <w:p>
      <w:pPr>
        <w:spacing w:after="0" w:line="68"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We care for the health, well-being, and futures of our employees and their families. To incentivize and reward strong performance, we have competitive compensation and benefits programs, including short-term and long-term incentives, health and wellness benefits along with vacation and leave programs. We offer an array of flexible working options that balances the needs of our employees with business needs.</w:t>
      </w:r>
    </w:p>
    <w:p>
      <w:pPr>
        <w:spacing w:after="0" w:line="6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offer equity incentives to all new employees and an annual equity award to all our employees in connection with our annual performance reviews and regular Total Rewards programs. Our equity and cash incentive plans are aimed to increase stockholder value and the success of our company by motivating our employees to perform to the best of their abilities and achieve our and their objectives. In addition, many of our employees are stockholders of our company through participation in our Employee Stock Purchase Plan, which aligns the interests of our employees with our stockholders by providing stock ownership on a tax-deferred basis. We also provide up to a 50% match on employee contributions (up to 5% of base salary) to our 401(k) retirement savings plan.</w:t>
      </w:r>
    </w:p>
    <w:p>
      <w:pPr>
        <w:spacing w:after="0" w:line="7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full-time U.S. employees are all eligible to participate in our health, vision, dental, life, and long-term disability insurance plans. To encourage employees to keep up with routine medical care and participate in our wellness program, we fund a health reimbursement account for participating employees and to help our employees cover medical expenses pre-tax, we also offer employees a flexible spending account. Our employees outside of the United States receive competitive compensation and benefits that are regularly benchmarked to ensure market norms and reflect our standards. All employees globally have access to complimentary virtual fitness programs, mental and emotional health support services, as well as support programs to assist working parents with childcare and tutoring. This benefit also extends to eldercare, pet care, and other needs facing our diverse global team.</w:t>
      </w:r>
    </w:p>
    <w:p>
      <w:pPr>
        <w:spacing w:after="0" w:line="8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regularly evaluate the effectiveness of our talent management practices through employee surveys and fostering a culture of ongoing feedback. In addition, we track important talent metrics such as turnover rate and employee engagement. Voluntary and involuntary turnover rates across all levels (executives/ senior managers, mid-level managers and professionals) are in alignment with, or lower than, the industry average.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8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We are highly committed to policies and practices focused on sustainability, positively impacting our community and maintaining and cultivating good corporate governance. By focusing on such policies and practices, we strive to bring transformative medicines to patients, provide an engaging and inclusive workplace for our employees, minimize our impact on the environment, and always demonstrate integrity in our actions.</w:t>
      </w:r>
    </w:p>
    <w:p>
      <w:pPr>
        <w:spacing w:after="0" w:line="68" w:lineRule="exact"/>
        <w:rPr>
          <w:sz w:val="20"/>
          <w:szCs w:val="20"/>
          <w:color w:val="auto"/>
        </w:rPr>
      </w:pPr>
    </w:p>
    <w:p>
      <w:pPr>
        <w:ind w:right="320" w:firstLine="794"/>
        <w:spacing w:after="0" w:line="282" w:lineRule="auto"/>
        <w:rPr>
          <w:sz w:val="20"/>
          <w:szCs w:val="20"/>
          <w:color w:val="auto"/>
        </w:rPr>
      </w:pPr>
      <w:r>
        <w:rPr>
          <w:rFonts w:ascii="Times New Roman" w:cs="Times New Roman" w:eastAsia="Times New Roman" w:hAnsi="Times New Roman"/>
          <w:sz w:val="18"/>
          <w:szCs w:val="18"/>
          <w:color w:val="auto"/>
        </w:rPr>
        <w:t>Information in any ESG Sustainability Report that we may publish is not incorporated by reference into this Form 10-K. We look forward to continuing our commitment to giving back to our local communities in 2025 and beyond.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principal executive office is located at 100 Fifth Avenue, Waltham, Massachusetts, and our telephone number is 617-977-5700.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We file reports and other information with the Securities and Exchange Commission, or the SEC, as required by the Securities Exchange Act of 1934, as amended, which we refer to as the Exchange Act. You can review our electronically filed reports and other information that we file with the SEC on the SEC’s web site at http://www.sec.gov.</w:t>
      </w:r>
    </w:p>
    <w:p>
      <w:pPr>
        <w:spacing w:after="0" w:line="135"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Our website address is www.apellis.com.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regarding our business, product development programs and governance, and we encourage investors to use our website, particularly the information in the section entitled “Investors &amp; Media,” as a source of information about us.</w:t>
      </w:r>
    </w:p>
    <w:p>
      <w:pPr>
        <w:spacing w:after="0" w:line="13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foregoing references to our website are not intended to, nor shall they be deemed to, incorporate information on our website into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on Form 10-K and in other documents that we file with the Securities and Exchange Commission, or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expenses, and may never achieve or maintain profitability.</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expect to continue to incur significant expenses for the foreseeable future. Our net losses were $197.9 million, $528.6 million and $652.2 million for the years ended December 31, 2024, 2023 and 2022 respectively. As of December 31, 2024, we had an accumulated deficit of $3.0 billion. While we are now generating substantial revenue from sales of SYFOVRE and EMPAVELI, we have primarily financed our operations to date through the sale of our common stock in our public offerings, the sale of convertible notes, private placements of our preferred stock prior to our initial public offering, the development funding agreement with SFJ Pharmaceuticals Group, or SFJ, the financing agreement with Sixth Street Lending Partners, or Sixth Street, and the collaboration agreement with Swedish Orphan Biovitrum AB (Publ), or Sobi. We have devoted substantially all of our financial resources and efforts to research and development, including preclinical studies and our clinical trials across several disease indications, and the commercialization of SYFOVRE and EMPAVELI. Our operating results may fluctuate significantly from quarter to quarter and year to year. Net losses and negative cash flows have had, and will continue to have, an adverse effect on our stockholders’ equity and working capital.</w:t>
      </w:r>
    </w:p>
    <w:p>
      <w:pPr>
        <w:spacing w:after="0" w:line="1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may incur operating losses for at least this year. We anticipate that we will continue to incur increasing expenses if and as we:</w:t>
      </w:r>
    </w:p>
    <w:p>
      <w:pPr>
        <w:spacing w:after="0" w:line="54" w:lineRule="exact"/>
        <w:rPr>
          <w:sz w:val="20"/>
          <w:szCs w:val="20"/>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EMPAVELI in the United States and commercialize SYFOVRE for the treatment of GA in the United States, Australia, and select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the ongoing development of systemic pegcetacoplan and focus our research initiatives on high potential opportunities;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continue to build sales, marketing, distribution and other commercial infrastructure for EMPAVELI and SYFOVRE and any other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to submit additional applications for regulatory approval for SYFOVRE outside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research and preclinical and clinical trials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commercial quantities of our approved products and to manufacture our product candidates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programs.</w:t>
      </w:r>
    </w:p>
    <w:p>
      <w:pPr>
        <w:spacing w:after="0" w:line="18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significant product revenue. Our ability to generate significant revenue will require us to successfully commercialize EMPAVELI and SYFOVRE in the approved indications. While we have generated product revenue from sales of EMPAVELI since May 2021 and SYFOVRE in March 2023, we have not generated sufficient revenue to achieve profitability and there can be no assurance that we will generate sufficient revenue to achieve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in the next several years, or at all. Even if we achieve profitability, there can be no assurance that we will be able to maintain profitability.</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successful commercialization of our approved products is subject to many risks. There are numerous examples of unsuccessful product launches and failures to meet expectations of market potential, including by pharmaceutical companies with more experience and resources than us. We do not anticipate our revenue from sales of EMPAVELI will be sufficient for us to become profitable for several years, if at all. Our prospects depend substantially upon the commercial success of SYFOVRE.</w:t>
      </w:r>
    </w:p>
    <w:p>
      <w:pPr>
        <w:spacing w:after="0" w:line="15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Successful commercialization will require manufacturing, marketing and selling our approved products,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1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devote significant resources to support our ongoing commercial activities related to product manufacturing, marketing, sales and distribution of EMPAVELI for PNH and SYFOVRE for GA, and if our cash, cash equivalents, and cash generated from sales of EMPAVELI and SYFOVRE are not sufficient to fund our planned expenditures, we will need to finance our cash needs through external sources of funds.</w:t>
      </w:r>
    </w:p>
    <w:p>
      <w:pPr>
        <w:spacing w:after="0" w:line="13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Developing and commercializing pharmaceutical products, including conducting preclinical studies and clinical trials and preparing for commercial launch, is a very time-consuming, expensive and uncertain process that takes years to complete. We have consumed substantial amounts of cash since our inception. For example, in the years ended December 31, 2024, 2023 and 2022, we used net cash of $87.9 million, $594.7 million and $513.7 million respectively, in our operating activities substantially all of which related to research, development and commercialization activities. As of December 31, 2024, our cash and cash equivalents were $411.3 million. We expect our expenses to continue, particularly as we continue to commercialize EMPAVELI and SYFOVRE, and prioritize the ongoing development of pegcetacoplan and focus our research initiatives on high potential opportunities. In addition, as we continue to commercialize EMPAVELI and SYFOVRE, and if we obtain marketing approval of pegcetacoplan in other indications or jurisdictions or for our other product candidates, we expect we will incur significant additional commercialization expenses related to product sales, marketing, manufacturing and distribution to the extent that such sales, marketing, manufacturing and distribution are not the responsibility of a collaborator.</w:t>
      </w:r>
    </w:p>
    <w:p>
      <w:pPr>
        <w:spacing w:after="0" w:line="14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2024,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5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We are devoting substantial resources to the commercialization of SYFOVRE for GA. We are also devoting substantial resources to the preparation for commercialization of EMPAVELI for the treatment of C3G and IC-MPGN, our planned Phase 3 clinical trials of EMPAVELI for the treatment of FSGS and DGF, and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in the United States and SYFOVRE in the United States, Australia and select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commercialization of EMPAVELI for PNH,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or any other product we commercialize;</w:t>
      </w:r>
    </w:p>
    <w:p>
      <w:pPr>
        <w:spacing w:after="0" w:line="185"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the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w:t>
      </w:r>
    </w:p>
    <w:p>
      <w:pPr>
        <w:spacing w:after="0" w:line="14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additional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4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indebtedness could adversely affect our operations and limit our ability to plan for or respond to changes in our business. If we are unable to comply with restrictions in our debt financing agreements, the repayment of our existing indebtedness could be accelerated.</w:t>
      </w:r>
    </w:p>
    <w:p>
      <w:pPr>
        <w:spacing w:after="0" w:line="159"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we had $375 million of indebtedness under our financing agreement with Sixth Street and approximately $93.9 million principal amount of the Convertible Notes outstanding and held by third parties as of December 31, 2024. We may also incur additional indebtedness to meet future financing needs.</w:t>
      </w:r>
    </w:p>
    <w:p>
      <w:pPr>
        <w:spacing w:after="0" w:line="17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Under our financing agreement, or the Sixth Street Financing Agreement, by and among us, certain of our subsidiaries, the lenders party thereto and Sixth Street, as the administrative agent for the lenders, we have incurred a substantial amount of debt, which could adversely affect our business. In May 2024, we drew down the senior secured term loan facility, or the Credit Facility, of $375.0 million. The Credit Facility also includes a potential additional $100.0 million draw at our option upon satisfaction of a $50.0 million minimum cash requirement and a requirement that our trailing three-month sales of SYFOVRE were at least $180.0 million prior to the $100.0 million draw.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92" w:lineRule="exact"/>
        <w:rPr>
          <w:sz w:val="20"/>
          <w:szCs w:val="20"/>
          <w:color w:val="auto"/>
        </w:rPr>
      </w:pPr>
    </w:p>
    <w:p>
      <w:pPr>
        <w:jc w:val="both"/>
        <w:ind w:right="40" w:firstLine="374"/>
        <w:spacing w:after="0" w:line="257" w:lineRule="auto"/>
        <w:rPr>
          <w:sz w:val="20"/>
          <w:szCs w:val="20"/>
          <w:color w:val="auto"/>
        </w:rPr>
      </w:pPr>
      <w:r>
        <w:rPr>
          <w:rFonts w:ascii="Times New Roman" w:cs="Times New Roman" w:eastAsia="Times New Roman" w:hAnsi="Times New Roman"/>
          <w:sz w:val="18"/>
          <w:szCs w:val="18"/>
          <w:color w:val="auto"/>
        </w:rPr>
        <w:t>The Sixth Street Financing Agreement requires us to make certain payments of interest over time and contains several other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Among other requirements of the Sixth Street Financing Agreement, we and our subsidiaries party to the Sixth Street Financing Agreement must maintain liquidity of at least $50.0 million if our market capitalization is below $3.0 billion. We are also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 These and other terms in the Sixth Street Financing Agreement could restrict our ability to grow our business or enter into transactions that we believe would be beneficial to our business.</w:t>
      </w:r>
    </w:p>
    <w:p>
      <w:pPr>
        <w:spacing w:after="0" w:line="146"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4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Furthermore, 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However, we may not have enough available cash or be able to obtain financing at the time we are required to make repurchases of Convertible Notes surrendered therefor or 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5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indebtedness could affect our business in the following ways, among other things: make it more difficult for us to satisfy our contractual and commercial commitments; require us to use a substantial portion of our cash flow from operations to pay interest and principal when due,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accounts receivable, and any delays in collecting accounts receivable or the failure to collect accounts receivable could have a material adverse effect on our cash flows and results of operations.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accounts receivable balance was $264.9 million as of December 31, 2024, which primarily consisted of EMPAVELI and SYFOVRE product sales receivable(s) and licensing and other revenue receivables from our collaboration with Sobi. While we monitor the financial performance and creditworthiness of our customers and provide reserves against trade receivables for expected credit losses that may result from a customer’s failure to pay, no assurances can be made that we will not experience delays in collecting payments, that we will collect the payments due to us. Sales to a small number of distributors account for substantially all our gross revenue related to SYFOVRE during the year ended December 31, 2024. Distributors require industry-standard payment terms, including an extended time period for distributors to make payments to Apellis. Any failures to receive cash payments could have a material adverse effect on our results of operations and cash flows. We do not have a reserve related to expected credit losses against our accounts receivable balance.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Product Development</w:t>
      </w:r>
    </w:p>
    <w:p>
      <w:pPr>
        <w:spacing w:after="0" w:line="22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are substantially dependent on the success of SYFOVRE and EMPAVELI and the successful development and commercialization of pegcetacoplan in other jurisdictions and disease indications, including C3G and IC-MPGN. If we are unable to continue to successfully commercialize SYFOVRE and EMPAVELI, or develop, obtain marketing approval for or successfully commercialize systemic pegcetacoplan in other indications and jurisdictions, either alone or through a collaboration, or if we experience significant delays in doing so, our business could be harmed.</w:t>
      </w:r>
    </w:p>
    <w:p>
      <w:pPr>
        <w:spacing w:after="0" w:line="14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investing a significant portion of our efforts and financial resources to fund the commercialization of SYFOVRE and EMPAVELI and development of systemic pegcetacoplan in other disease indications and jurisdictions. Our prospects are substantially dependent on our ability, or that of Sobi or any future collaborator, to successfully commercialize EMPAVELI in the United States and SYFOVRE worldwide and to develop, obtain marketing approval for and successfully commercialize systemic pegcetacoplan in additional disease indications. SYFOVRE is currently only approved in the United States and Australia. We did not obtain regulatory approval in the European Union, which has adversely affected our business and prospects. We cannot be certain that we will be able to obtain regulatory approval for, and successfully commercialize, SYFOVRE in any additional jurisdiction. Our prospects are dependent on the success of pegcetacoplan, including C3G and IC-MPGN, and our ability to obtain additional marketing approvals for pegcetacoplan in these or other indications. Pursuant to our agreement with Sobi, we have granted to Sobi the exclusive right to commercialize systemic pegcetacoplan outside the United States. All of our product candidates other than pegcetacoplan are in early stages of development</w:t>
      </w:r>
    </w:p>
    <w:p>
      <w:pPr>
        <w:spacing w:after="0" w:line="14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success of EMPAVELI in PNH, SYFOVRE in GA and pegcetacoplan in C3G and IC-MPGN and in other indications will depend on several factors, including the following:</w:t>
      </w:r>
    </w:p>
    <w:p>
      <w:pPr>
        <w:spacing w:after="0" w:line="54" w:lineRule="exact"/>
        <w:rPr>
          <w:sz w:val="20"/>
          <w:szCs w:val="20"/>
          <w:color w:val="auto"/>
        </w:rPr>
      </w:pPr>
    </w:p>
    <w:p>
      <w:pPr>
        <w:ind w:left="1260" w:right="32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in the United States and SYFOVRE in the United States, Australia and select other jurisdictions;</w:t>
      </w:r>
    </w:p>
    <w:p>
      <w:pPr>
        <w:spacing w:after="0" w:line="53" w:lineRule="exact"/>
        <w:rPr>
          <w:rFonts w:ascii="Times New Roman" w:cs="Times New Roman" w:eastAsia="Times New Roman" w:hAnsi="Times New Roman"/>
          <w:sz w:val="18"/>
          <w:szCs w:val="18"/>
          <w:color w:val="auto"/>
        </w:rPr>
      </w:pPr>
    </w:p>
    <w:p>
      <w:pPr>
        <w:ind w:left="1260" w:right="84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of EMPAVELI in PNH, SYFOVRE in GA, pegcetacoplan in C3G and IC-MPGN and in other indications, if approved, and other product candidates, if approved;</w:t>
      </w:r>
    </w:p>
    <w:p>
      <w:pPr>
        <w:spacing w:after="0" w:line="53" w:lineRule="exact"/>
        <w:rPr>
          <w:rFonts w:ascii="Times New Roman" w:cs="Times New Roman" w:eastAsia="Times New Roman" w:hAnsi="Times New Roman"/>
          <w:sz w:val="18"/>
          <w:szCs w:val="18"/>
          <w:color w:val="auto"/>
        </w:rPr>
      </w:pPr>
    </w:p>
    <w:p>
      <w:pPr>
        <w:ind w:left="1260" w:right="28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recruitment of patients, enrollment in and completion of our ongoing and planned clinical trials, including our planned Phase 3 clinical trials with systemic pegcetacoplan in the second half of 2025 for the treatment of FSGS and DGF;</w:t>
      </w:r>
    </w:p>
    <w:p>
      <w:pPr>
        <w:spacing w:after="0" w:line="53" w:lineRule="exact"/>
        <w:rPr>
          <w:rFonts w:ascii="Times New Roman" w:cs="Times New Roman" w:eastAsia="Times New Roman" w:hAnsi="Times New Roman"/>
          <w:sz w:val="18"/>
          <w:szCs w:val="18"/>
          <w:color w:val="auto"/>
        </w:rPr>
      </w:pPr>
    </w:p>
    <w:p>
      <w:pPr>
        <w:ind w:left="1260" w:right="66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EMA or any comparable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1260" w:right="20" w:hanging="368"/>
        <w:spacing w:after="0" w:line="266"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and obtain marketing approvals for SYFOVRE in additional jurisdictions;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260" w:right="10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suppliers and manufacturers for raw materials, drug intermediates, and finished products that are appropriately packaged for sale;</w:t>
      </w:r>
    </w:p>
    <w:p>
      <w:pPr>
        <w:spacing w:after="0" w:line="53" w:lineRule="exact"/>
        <w:rPr>
          <w:rFonts w:ascii="Times New Roman" w:cs="Times New Roman" w:eastAsia="Times New Roman" w:hAnsi="Times New Roman"/>
          <w:sz w:val="18"/>
          <w:szCs w:val="18"/>
          <w:color w:val="auto"/>
        </w:rPr>
      </w:pPr>
    </w:p>
    <w:p>
      <w:pPr>
        <w:ind w:left="1260" w:right="64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pegcetacoplan drug product from third-party manufacturers of sufficient quality to be used in our clinical trials and for commercial sale;</w:t>
      </w:r>
    </w:p>
    <w:p>
      <w:pPr>
        <w:spacing w:after="0" w:line="53" w:lineRule="exact"/>
        <w:rPr>
          <w:rFonts w:ascii="Times New Roman" w:cs="Times New Roman" w:eastAsia="Times New Roman" w:hAnsi="Times New Roman"/>
          <w:sz w:val="18"/>
          <w:szCs w:val="18"/>
          <w:color w:val="auto"/>
        </w:rPr>
      </w:pPr>
    </w:p>
    <w:p>
      <w:pPr>
        <w:ind w:left="1260" w:right="10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Sobi and any future collaborators;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development, the regulatory approval process, potential threats to our intellectual property rights and the manufacturing, marketing and sales efforts of our collaborators, including Sobi. If we are unable to successfully commercialize EMPAVELI in the United States for PNH, C3G and IC-MPGN, SYFOVRE in the United States and select other jurisdictions for GA, or to develop, receive marketing approval for and successfully commercialize pegcetacoplan in other indications or jurisdictions on our own or with a collaborator, or experience delays as a result of any of these factors or otherwise, our business could be substantially harmed.</w:t>
      </w:r>
    </w:p>
    <w:p>
      <w:pPr>
        <w:spacing w:after="0" w:line="179"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or others may later discover that EMPAVELI or SYFOVRE is less effective than previously believed or causes safety issues that were not identified in clinical trials, which could compromise our ability, or that of our collaborators, to market the product.</w:t>
      </w:r>
    </w:p>
    <w:p>
      <w:pPr>
        <w:spacing w:after="0" w:line="10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sets of patients who have agreed to enter into clinical trials. Consequently, it is possible that our clinical trials, or those of our collaborators, may indicate an apparent positive effect of a product candidate that is greater than the actual positive effect, if any, or alternatively fail to identify safety issues that may be observed once the product has been commercialized. If safety problems occur or are identified with EMPAVELI or SYFOVRE or with any other product of ours that reaches the market, if any, the FDA or comparable non-U.S. regulatory authorities may require that we amend the labeling of our product, recall our product, or even withdraw approval for our product.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small number of patients treated with SYFOVRE in the real world have experienced retinal vasculitis, a severe form of intraocular inflammation.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submit all adverse events reported to us to the FDA consistent with reporting guidelines for drug manufacturers.</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and the retinal community will believe that the expected benefits of SYFOVRE treatment outweigh its potential risks to patients in light of these reported events or other events that might arise or that our applications for marketing approval of SYFOVRE in other jurisdictions will not be adversely impacted by these events. A change in the perception of the benefit/risk profile of SYFOVRE may reduce market acceptance of the product and our product revenues may be adversely affected.</w:t>
      </w:r>
    </w:p>
    <w:p>
      <w:pPr>
        <w:spacing w:after="0" w:line="15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If we, or others, discover that a product is less effective than previously believed or causes safety issues that were not previously identified, such as the reported events of retinal vasculitis following SYFOVRE treatment, any of the following events could occur:</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patient population may be less willing to try, and physicians may be less willing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change the way the product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affect sales of our products and negatively impact our stock price.</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degree of market acceptance by physicians, patients, third-party payors and others in the medical community necessary for commercial success, of EMPAVELI or SYFOVRE, in which case we may not generate significant revenues or become profitable, and the market opportunity for these products may be smaller than we estimate.</w:t>
      </w:r>
    </w:p>
    <w:p>
      <w:pPr>
        <w:spacing w:after="0" w:line="13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may fail to gain sufficient market acceptance by physicians, patients, third-party payors and others in the medical community necessary for commercial success of EMPAVELI or SYFOVRE.</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commercial strategy for EMPAVELI for PNH is to maintain patients currently on treatment and drive growth by reinforcing EMPAVELI’s differentiated efficacy profile, long-term data and real-world experience.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they are required to switch therapies due to lack of reimbursement for existing therapies, or they are not responding well to their existing therapy. If patients decide to switch their therapy, many may prefer an orally administered therapy, such as iptacopan, for convenience reasons.</w:t>
      </w:r>
    </w:p>
    <w:p>
      <w:pPr>
        <w:spacing w:after="0" w:line="1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no current treatment options approved for C3G and IC-MPGN. We anticipate that a competitive product, iptacopan, may be approved and marketed prior to EMPAVELI. Our commercial strategy for EMPAVELI for C3G and IC-MPGN is to raise awareness on disease diagnosis, understand the important role of C3 as a driver of disease, recognize the limitations of symptom management, and drive understanding of EMPAVELI’s differentiated efficacy profile. If physicians and patients choose to initiate therapy, EMPAVELI is a self-administered subcutaneous injection and may not be the preferred route of administration.</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commercial strategy for SYFOVRE is to educate the ophthalmology and retina communities on the urgency to diagnose and treat GA, and to establish SYFOVRE as the preferred product due to its differentiated efficacy, flexible dosing options, and real-world utilization. The commercial efforts are also aimed at increasing the breadth of SYFOVRE utilization and experience among treating retina physicians and ensuring broad and sustained access with payors.</w:t>
      </w:r>
    </w:p>
    <w:p>
      <w:pPr>
        <w:spacing w:after="0" w:line="15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EMPAVELI, SYFOVRE, or any of our product candidates for which we obtain marketing approval do not achieve an adequate level of market acceptance, we may not generate significant revenues and we may not become profitable. The degree of market acceptance of EMPAVELI, SYFOVRE, or our other product candidates for which we obtain marketing approval,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product is offered for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8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potential market opportunity for EMPAVELI in PNH, SYFOVRE in GA, or in any other indication is difficult to precisely estimate. Our estimates of the potential market opportunity for EMPAVELI in PNH, C3G and IC-MPGN, FSGS and DGF, and SYFOVRE in GA, or in other indications include several key assumptions based on our industry knowledge, industry publications, scientific literature, third-party research reports and other surveys. However, no independent source has verified such assumptions. If any of these assumptions proves to be inaccurate, then the actual market for EMPAVELI in PNH and C3G and IC-MPGN, SYFOVRE in GA, or any other future indication could be smaller than our estimates of potential market opportunity. If the actual market for EMPAVELI in PNH, SYFOVRE in GA, in other future indications is smaller than we expect, our product revenue may be limited, and it may be more difficult for us to achieve or maintain profitability.</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as described in “Business - Competition,” above. We face significant competition with respect to each of EMPAVELI and SYFOVRE. We expect that we, and our collaborators, will face significant competition from major pharmaceutical companies, specialty pharmaceutical companies and biotechnology companies worldwide with respect to any of our product candidates that we, or our collaborators, may seek to develop or commercialize in the future, including from therapies that act through the complement system and therapies that use different approaches.</w:t>
      </w:r>
    </w:p>
    <w:p>
      <w:pPr>
        <w:spacing w:after="0" w:line="143"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technologies and products that are more effective, have fewer side effects or more tolerable side effects or are less costly than EMPAVELI, SYFOVRE, or any product candidates that we are currently developing or that we may develop, which could render EMPAVELI, SYFOVRE, or our product candidates obsolete and noncompetitive.</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EMPAVELI targets a market that is already served by a competitor with significantly greater financial resources than us. The principal competitors for EMPAVELI for the treatment of PNH, are eculizumab (marketed as Soliris) and ravulizumab (marketed as Ultomiris), C5 inhibitors developed and marketed by Alexion AstraZeneca Rare Disease, or AstraZeneca. Furthermore, in December 2023, the FDA approved iptacopan (marketed as Fabhalta), an orally administered factor B inhibitor developed by Novartis, for the treatment of PNH. This product may have a competitive advantage if prescribers and patients prefer to utilize an oral medication rather than an injected medication. Prior to the approval of EMPAVELI, eculizumab and ravulizumab were the only drugs approved for the treatment of PNH. These products have widespread acceptance among clinicians, patients and payors. Eculizumab and ravulizumab may also compete with EMPAVELI in other indications in our systemic programs. In 2022, AstraZeneca also obtained approval for a subcutaneous version of ravulizumab, currently in phase 3 clinical trial.</w:t>
      </w:r>
    </w:p>
    <w:p>
      <w:pPr>
        <w:spacing w:after="0" w:line="16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SYFOVRE was the first approved product in the United States for the treatment of GA. In August 2023, the FDA approved avacincaptad pegol, marketed as Izervay, a complement C5 inhibitor developed by Astellas Pharma Inc., for the treatment of GA.</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marketing approval for their products before we, or our collaborators, are able to obtain approval for ours, which could result in our competitors establishing a strong market position before we, or our collaborators, are able to enter the market.</w:t>
      </w:r>
    </w:p>
    <w:p>
      <w:pPr>
        <w:spacing w:after="0" w:line="13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for clinical trials, as well as in acquiring technologies complementary to, or necessary for, the development of our product candidates.</w:t>
      </w:r>
    </w:p>
    <w:p>
      <w:pPr>
        <w:spacing w:after="0" w:line="221"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satisfactorily demonstrate safety and efficacy to the FDA and other regulators, we, may incur additional costs or experience delays in completing, or ultimately be unable to complete, the development and commercialization of these product candidates.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have received approval for SYFOVRE for the treatment of patients with GA in the United States and Australia, but there is no assurance that we will receive regulatory approvals for SYFOVRE for the treatment of GA in other jurisdictions. For example, in 2024, the European Commission adopted a negative opinion on the MAA for SYFOVRE in the European Union, despite positive recommendations from the ad hoc expert groups convened by the EMA and a significant number of dissenting votes from European Union member states. Because regulators in other jurisdictions are influenced by decisions of the FDA and the EMA, negative opinion by the FDA or the EMA may adversely impact the prospects for approval in other jurisdictions. We have received approval for EMPAVELI for the treatment of patients with PNH in several jurisdictions, but there is no assurance that we will receive regulatory approvals for EMPAVELI in other indications, including C3G and IC-MPGN.</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47" w:lineRule="exact"/>
        <w:rPr>
          <w:sz w:val="20"/>
          <w:szCs w:val="20"/>
          <w:color w:val="auto"/>
        </w:rPr>
      </w:pPr>
    </w:p>
    <w:p>
      <w:pPr>
        <w:jc w:val="both"/>
        <w:ind w:right="100" w:firstLine="562"/>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Moreover, if we are required to conduct additional clinical trials or other testing of our product candidates beyond the trials and testing that we contemplate, if we are unable to successfully complete clinical trials of our product candidates or other testing or the results of these trials or tests are unfavorable, uncertain or are only modestly favorable, or there are unacceptable safety concerns associated with our product candidates, we may:</w:t>
      </w:r>
    </w:p>
    <w:p>
      <w:pPr>
        <w:spacing w:after="0" w:line="7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9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our collaboration with Sobi, we are relying on Sobi to conduct certain clinical trials of systemic pegcetacoplan and seek regulatory approval for systemic pegcetacoplan outside the United States. If Sobi or any future collaborator are unable to successfully complete clinical trials of our product candidates and obtain regulatory approvals on a timely basis, or at all, our ability to generate revenues from product sales, regulatory and commercialization milestones and royalties may be materially impaired.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investigators for our clinical trials and other service providers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any of our product candidates may be identified during clinical development that could delay or prevent their marketing approval or limit their use.</w:t>
      </w:r>
    </w:p>
    <w:p>
      <w:pPr>
        <w:spacing w:after="0" w:line="11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our product candidates could cause us, or any collaborator conducting clinical trials of our product candidates such as Sobi,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w:t>
      </w:r>
    </w:p>
    <w:p>
      <w:pPr>
        <w:spacing w:after="0" w:line="14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is associated with adverse events or undesirable side effects or has properties that are unexpected, we, or our collaborators, may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r>
        <w:rPr>
          <w:rFonts w:ascii="Times New Roman" w:cs="Times New Roman" w:eastAsia="Times New Roman" w:hAnsi="Times New Roman"/>
          <w:sz w:val="18"/>
          <w:szCs w:val="18"/>
          <w:i w:val="1"/>
          <w:iCs w:val="1"/>
          <w:color w:val="auto"/>
        </w:rPr>
        <w:t>.</w:t>
      </w:r>
    </w:p>
    <w:p>
      <w:pPr>
        <w:spacing w:after="0" w:line="15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3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during, or as a result of, clinical trials that could delay or prevent clinical development, marketing approval or commercialization of our product candidates,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or inconclusive results;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or regulators may require us or them,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or our collaborators, anticipate, patient enrollment in these clinical trials may be slower than we, or our collaborators, anticipate or participants may drop out of these clinical trials at a higher rate than we, or our collaborators, anticipate;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those of our collaborators, including those manufacturing our product candidates or components or ingredients thereof or conducting clinical trials on our behalf or on behalf of our collaborators, may deviate from the trial protocol, fail to comply with regulatory requirements or fail to meet their contractual obligations to us or our collaborators in a timely manner or at all;</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our collaborators or our or their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ectPr>
          <w:pgSz w:w="11900" w:h="16838" w:orient="portrait"/>
          <w:cols w:equalWidth="0" w:num="1">
            <w:col w:w="11240"/>
          </w:cols>
          <w:pgMar w:left="320" w:top="124"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6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clinical trial designs or our or their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or our collaborators,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our collaborators, may have the exclusive right to commercialize our product candidates or allow our competitors, or the competitors of our collaborators, to bring products to market before we, or our collaborators, do and impair our ability, or the ability of our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delays or difficulties in the enrollment of patients in clinical trials, our or their receipt of necessary regulatory approvals could be delayed or prevented.</w:t>
      </w:r>
    </w:p>
    <w:p>
      <w:pPr>
        <w:spacing w:after="0" w:line="13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example, in January 2024, we and Sobi agreed to cease clinical development of systemic pegcetacoplan for patients with cold agglutinin disease, or CAD, due to the decreased medical need in CAD and the limited number of patients eligible for the CASCADE trial.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the indications for which we are developing product candidates are rare diseases with small patient populations,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w:t>
      </w:r>
    </w:p>
    <w:p>
      <w:pPr>
        <w:spacing w:after="0" w:line="1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inability, or the inability of our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our collaborators’, ability to commence sales of and generate revenues from our product candidates, which could cause the value of our company to decline and limit our ability to obtain additional financing, if needed.</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Phase 1 and Phase 2 clinical trials may not be predictive of results of later clinical trials and preliminary or interim results of clinical trials do not necessarily predict final results.</w:t>
      </w:r>
    </w:p>
    <w:p>
      <w:pPr>
        <w:spacing w:after="0" w:line="11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 Similarly, the design of a clinical trial can determine whether its results will support approval of a product and flaws in the design of a clinical trial may not become apparent until the clinical trial is well advanced.</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5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Although the development and commercialization of pegcetacoplan is our primary focus, as part of our growth strategy, we are developing a pipeline of product candidates for the treatment of complement-dependent diseases, including APL-3007, which is a siRNA, and our FcRn gene editing treatment that we are developing through our collaboration with Beam. These product candidates utilize different mechanisms of action than EMPAVELI and SYFOVRE and we do not have experience conducting clinical trials of product candidates with such mechanisms of action.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commercial launch of EMPAVELI and SYFOVRE, for each of which we recruited a sales force and established marketing, market access and medical affairs teams and distribution capabilities is not successful for any reason, we could incur substantial</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our investment would be lost if we cannot retain or reposition our sales, marketing, market access and medical affairs personnel.</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To achieve commercial success for EMPAVELI and SYFOVRE, we have expended and anticipate that we will continue to expend significant resources to support our sales force, marketing, market access and medical affairs teams and distribution capabilities. There are risks involved with establishing our own sales, marketing, distribution, training and support capabilities. For example, recruiting and training sales and marketing personnel is expensive and time consuming and could delay our ability to focus on other priorities. If the commercial launch of EMPAVELI or SYFOVRE is not successful for any reason, this would be costly, and our investment would be lost if we cannot retain or reposition our sales, marketing, market access and medical affairs personnel or terminate on favorable terms any agreements entered into with third parties to support our commercialization efforts.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EMPAVELI or SYFOVRE on our own in the United States include:</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train and retain adequate numbers of effective sales, marketing, training and support personnel;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including key opinion leaders, or to educate an adequate number of physicians 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EMPAVELI or SYFOVRE over alternative treatment options;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or integrated product offerings; and</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establishing and maintaining an independent sales, marketing, training and support organization.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If our salesforce, marketing, market access and medical affairs teams and distribution capabilities fail, or are otherwise unsuccessful, it would materially adversely impact the commercial launch of EMPAVELI or SYFOVRE, impact our ability to generate revenue and harm our business.</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sales, marketing and distribution arrangements with third parties, we may not be successful in commercializing EMPAVELI and SYFOVRE. Similarly, if we are unable to establish sales, marketing and distribution capabilities or enter into sales, marketing and distribution arrangements with third parties, we may not be successful in commercializing EMPAVELI, SYFOVRE, pegcetacoplan in other indications or any of our other product candidates for which we obtain marketing approval.</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built a sales, marketing and distribution infrastructure in the United States to support commercialization of EMPAVELI and SYFOVRE.</w:t>
      </w:r>
    </w:p>
    <w:p>
      <w:pPr>
        <w:spacing w:after="0" w:line="19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building focused capabilities to commercialize SYFOVRE in GA and EMPAVELI in PNH, C3G and IC-MPGN where we believe that the medical specialists for such indications are sufficiently concentrated to allow us to effectively promote the product with a targeted sales team. The development of sales, marketing and distribution capabilities requires substantial resources, is time-consuming and could delay any product launch.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4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EMPAVELI, SYFOVRE, or our other product candidates that receive marketing approval.</w:t>
      </w:r>
    </w:p>
    <w:p>
      <w:pPr>
        <w:spacing w:after="0" w:line="13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granted exclusive commercialization rights for systemic pegcetacoplan outside of the United States to Sobi under our agreement with Sobi. If Sobi is unable to meet its contractual obligations, we may be forced to focus our efforts internally to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commercialize systemic pegcetacoplan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systemic pegcetacoplan sales outside of the United States, at least in the near term. We would also be forced to declare a breach of the agreement with Sobi and seek a termination of the agreement which could result in an extended and uncertain dispute with Sobi, including arbitration or litigation, any of which would be costly.</w:t>
      </w:r>
    </w:p>
    <w:p>
      <w:pPr>
        <w:spacing w:after="0" w:line="18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4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an abbreviated new drug application, or ANDA,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Pegcetacoplan received its first approval from the FDA in May 2021.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EMPAVELI, SYFOVRE, or any product candidate that we or any collaborator, such as Sobi, commercialize may become subject to unfavorable pricing regulations, third-party payor reimbursement practices or healthcare reform initiatives, any of which could harm our business.</w:t>
      </w:r>
    </w:p>
    <w:p>
      <w:pPr>
        <w:spacing w:after="0" w:line="13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commercial success of EMPAVELI, SYFOVRE, or any of our product candidates that we or any collaborator, such as Sobi, commercialize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our collaborators, may not be able to successfully commercialize EMPAVELI, SYFOVRE, or any other product candidates. Even if coverage is provided, the approved reimbursement amount may not be high enough to allow us, or our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4"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There is significant uncertainty related to third-party payor coverage and reimbursement of newly approved drugs. 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regulations that delay commercial launch of the product, possibly for lengthy time periods, which may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 therapies. Adverse pricing limitations may hinder our ability or the ability of our collaborators to recoup our or their investment in one or more products or product candidates, even if our product candidates obtain marketing approval.</w:t>
      </w:r>
    </w:p>
    <w:p>
      <w:pPr>
        <w:spacing w:after="0" w:line="15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and the ability of our collaborators, to commercialize EMPAVELI, SYFOVRE, or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our collaborators to sell EMPAVELI, SYFOVRE, or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commercial potential of our products depends in part on reimbursement by government health administration authorities, private health insurers and other organizations. If we, or any collaborator that is commercializing our product candidates such as Sobi are unable to obtain coverage or reimbursement for our products, as monotherapy or in combination with other therapies, including possible combinations with eculizumab or ravulizumab, at the levels anticipated, our financial condition could be harmed. Additionally, if new compounds currently in development by potential competitors, including biosimilars of eculizumab or ravulizumab, obtain marketing approval, there may be downward pressure on reimbursement levels for therapies in our target disease areas, which could have a negative impact on our ability to achieve and maintain profitability.</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such as EMPAVELI, SYFOVRE, and coverage may be more limited for EMPAVELI and SYFOVRE than the indication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including Sobi,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our collaborator, obtain marketing approval could significantly harm our operating results, our ability to raise capital needed to commercialize products and our overall financial condition.</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EMPAVELI, SYFOVRE, and any other products that we may develop.</w:t>
      </w:r>
    </w:p>
    <w:p>
      <w:pPr>
        <w:spacing w:after="0" w:line="11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commercial sale of EMPAVELI and SYFOVRE, and the clinical testing of our product candidates despite obtaining appropriate informed consents from our clinical trial participants.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EMPAVELI, SYFOVRE, and any other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EMPAVELI, SYFOVRE, or any other products that we may develop.</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and clinical trial insurance coverage in the amount of up to $50.0 million in the aggregate, this insurance may not fully cover potential liabilities that we may incur. The cost of any litigation or other proceeding, even if resolved in our favor, could be substantial. We may need to increase our insurance coverage as we continue to commercialize EMPAVELI, SYFOVRE, and commercialize any other product candidate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EMPAVELI, SYFOVRE, and our other product candidates, which could harm our business, financial condition, results of operations and prospects.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contractors, consultants, vendors, business partners or other third parties, may fail or suffer security breaches,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to operate our business. In the ordinary course of business, 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 It is critical that we, our vendors, collaborators or other contractors or consultants, do so in a secure manner to maintain the availability, security, confidentiality, privacy and integrity of such confidential information.</w:t>
      </w:r>
    </w:p>
    <w:p>
      <w:pPr>
        <w:spacing w:after="0" w:line="14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third parties are vulnerable to damage from computer viruses, malware, computer hackers, malicious code, employee error, theft or misuse, denial-of-service attacks, sophisticated nation-state supported actors,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guarantee that the measures we have taken to date, and actions we may take in the future, will be sufficient to prevent any future breaches.</w:t>
      </w:r>
    </w:p>
    <w:p>
      <w:pPr>
        <w:spacing w:after="0" w:line="14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or confidential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 the security of our information systems and comply with evolving laws and regulations pertaining to cybersecurity and related areas.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enrollment in our clinical trials could be negatively affected, our competitive position and reputation could be harmed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spacing w:after="0" w:line="1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20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4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4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and distribution of commercial supply for EMPAVELI, SYFOVRE, and clinical supply for our product candidates and expect to continue to do so in connection with our future development and commercialization efforts. This reliance on third parties increases the risk that we will not have sufficient quantities of</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pegcetacoplan or our other product candidates or such quantities at an acceptable cost, which could delay, prevent or impair our development or commercialization efforts.</w:t>
      </w:r>
    </w:p>
    <w:p>
      <w:pPr>
        <w:spacing w:after="0" w:line="11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also rely upon contract manufacturers, and potentially collaboration partners to manufacture commercial quantities of EMPAVELI, SYFOVRE, and any of our other product candidates, if approved. We may be unable to establish any agreements with contract manufacturers or to do so on acceptable terms, or to maintain such agreements as we may enter. Even if we are able to establish agreements with contract manufacturers, reliance on contract manufacturers entails additional risks, including:</w:t>
      </w:r>
    </w:p>
    <w:p>
      <w:pPr>
        <w:spacing w:after="0" w:line="160" w:lineRule="exact"/>
        <w:rPr>
          <w:sz w:val="20"/>
          <w:szCs w:val="20"/>
          <w:color w:val="auto"/>
        </w:rPr>
      </w:pPr>
    </w:p>
    <w:p>
      <w:pPr>
        <w:jc w:val="both"/>
        <w:ind w:left="1020" w:right="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give greater priority to the supply of other products over EMPAVELI, SYFOVRE, or our product candidates or otherwise do not satisfactorily perform according to the terms of the agreements between us and them, or if unforeseen events in the manufacturing process arise;</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the third-party contractors of our agreements with them;</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12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rely, and expect to continue to rely, on a small number of third-party contract manufacturers to supply most of our supply of active pharmaceutical ingredients and required finished product for our commercial supply of EMPAVELI and SYFOVRE and for our clinical supply of our product candidates. In particular, we have entered into commercial supply agreements with Bachem Americas, Inc., or Bachem, and NOF Corporation, or NOF, to purchase a significant portion of our requirements for the pegcetacoplan drug substance and drug intermediaries, respectively. We have also entered into long-term commercial supply agreements with other suppliers of raw materials, drug intermediaries, drug substance and drug product. We also have a separate supply agreement for the manufacture of the drug product for each of EMPAVELI and SYFOVRE.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If we experience other issues or delays in the future, our commercial success may be materially and adversely impacted and our development of pegcetacoplan may be materially delayed, and our business adversely affected.</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manufacturing problem, the loss of a contract manufacturer or any loss of storage could be disruptive to our operations, result in lost sales of EMPAVELI and/or SYFOVRE or delay our clinical trials. Accordingly, for example, if Bachem or NOF were to experience manufacturing and supply issues, we would have difficulty in procuring the drug substance or drug intermediates needed for the supply and manufacture of pegcetacoplan. Additionally, we rely on third parties to supply the raw materials needed to manufacture our product candidates.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For EMPAVELI, SYFOVRE, and any product candidates that are approved by any regulatory agency, we will need to maintain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6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4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the EMPAVELI injector, a custom, on-body drug delivery system that would enable patients to self-administer pegcetacoplan through subcutaneous infusion. If the EMPAVELI injector becomes unavailable, patients may need to rely upon commercially available ambulatory infusion pumps. Any reliance on third-party infusion pumps may involve several risks, including reduced control over costs, delivery schedules, reliability and quality.</w:t>
      </w:r>
    </w:p>
    <w:p>
      <w:pPr>
        <w:spacing w:after="0" w:line="139" w:lineRule="exact"/>
        <w:rPr>
          <w:sz w:val="20"/>
          <w:szCs w:val="20"/>
          <w:color w:val="auto"/>
        </w:rPr>
      </w:pPr>
    </w:p>
    <w:p>
      <w:pPr>
        <w:jc w:val="both"/>
        <w:ind w:right="100" w:firstLine="554"/>
        <w:spacing w:after="0" w:line="266" w:lineRule="auto"/>
        <w:rPr>
          <w:sz w:val="20"/>
          <w:szCs w:val="20"/>
          <w:color w:val="auto"/>
        </w:rPr>
      </w:pPr>
      <w:r>
        <w:rPr>
          <w:rFonts w:ascii="Times New Roman" w:cs="Times New Roman" w:eastAsia="Times New Roman" w:hAnsi="Times New Roman"/>
          <w:sz w:val="18"/>
          <w:szCs w:val="18"/>
          <w:color w:val="auto"/>
        </w:rPr>
        <w:t>We are developing a single dose, sterilized prefilled syringe for SYFOVRE that will provide physicians with a new way to administer SYFOVRE that requires fewer steps compared to the current administration. If the pre-filled syringe cannot be manufactured in accordance with applicable regulatory requirements or the availability of pre-filled syringe is delayed, physicians may need to rely upon the existing administration method.</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for the development and commercialization of our product candidates will depend in part on the success of our collaboration with Sobi and future collaborations.</w:t>
      </w:r>
    </w:p>
    <w:p>
      <w:pPr>
        <w:spacing w:after="0" w:line="13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entered into a collaboration with Sobi for the global co-development and commercialization outside of the United States of systemic pegcetacoplan and we may seek to enter into additional collaborations for the development and commercialization of certain of our products or product candidates. We may have limited control over the amount and timing of resources that our collaborators, including Sobi, will dedicate to the development or commercialization of our product candidates. Our ability to generate revenues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160"/>
        <w:spacing w:after="0" w:line="282" w:lineRule="auto"/>
        <w:rPr>
          <w:sz w:val="20"/>
          <w:szCs w:val="20"/>
          <w:color w:val="auto"/>
        </w:rPr>
      </w:pPr>
      <w:r>
        <w:rPr>
          <w:rFonts w:ascii="Times New Roman" w:cs="Times New Roman" w:eastAsia="Times New Roman" w:hAnsi="Times New Roman"/>
          <w:sz w:val="18"/>
          <w:szCs w:val="18"/>
          <w:color w:val="auto"/>
        </w:rPr>
        <w:t>candidates, might lead to additional responsibilities for us with respect to product candidates, or might result in litigation or arbitration, any of which would be time-consuming and expensive;</w:t>
      </w:r>
    </w:p>
    <w:p>
      <w:pPr>
        <w:spacing w:after="0" w:line="54" w:lineRule="exact"/>
        <w:rPr>
          <w:sz w:val="20"/>
          <w:szCs w:val="20"/>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our agreement with Sobi is subject to early termination in the event of any uncured material breach of the agreement or under specific circumstances relating to insolvency. If we do not maintain a productive collaborative relationship with Sobi or if Sobi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Sobi or we would need to seek an alternative collaborator.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systemic pegcetacoplan. It could also cause a delay in market penetration while we expand our commercial operations. Seeking and obtaining an alternative collaborator outside the United States could also adversely impact sales of systemic pegcetacoplan and market penetration outside of the United States.</w:t>
      </w:r>
    </w:p>
    <w:p>
      <w:pPr>
        <w:spacing w:after="0" w:line="16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at all. If our collaborators, including Sobi are involved in a business combination, it could decide to delay, diminish or terminate the development or commercialization of any product candidate licensed to it by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party to patent license agreements with The University of Pennsylvania, or Penn, under which we license patent rights relating to a family of compounds for use in all fields. The licensed patent rights include issued U.S. and foreign patents with claims that recite a class of compounds generically covering pegcetacoplan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4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4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or any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47"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31"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4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1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products or product candidates or relating to the use of complement inhibition that may cover our product candidates or approach to complement inhibition. For example, we are aware of a U.S. patent with claims that could be construed to cover 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products or product candidates or their methods of use or our approach to complement inhibition, we may not be free to manufacture or market our products or product candidates as planned without obtaining a license, which may not be available on commercially reasonable terms, or at all.</w:t>
      </w:r>
    </w:p>
    <w:p>
      <w:pPr>
        <w:spacing w:after="0" w:line="16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or products candidates, including interference proceedings before the USPTO.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54"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products or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may limit our exclusive rights, subject us to expenditure of resources with respect to reporting requirements and limit our ability to contract with foreign manufacturers.</w:t>
      </w:r>
    </w:p>
    <w:p>
      <w:pPr>
        <w:spacing w:after="0" w:line="1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in-licensed intellectual property with respect to our products and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The “march-in” provisions of the Bayh-Dole Act allow the U.S. government under strictly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Penn requested a waiver of the U.S. manufacturing requirement in early 2021, but there can be no assurance that such waiver will be granted.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United States for those applications filed after March 16, 2013.</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4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0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products or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where we do not have any issued or licensed patents and any future patent claims or other intellectual property rights may not be effective or sufficient to prevent them from so competing.</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For instance, under the Sobi collaboration, we retain the primary right to prosecute and defend its patent and other intellectual property rights, but Sobi has the primary right to enforce such rights against competitive infringement outside the United States.</w:t>
      </w:r>
    </w:p>
    <w:p>
      <w:pPr>
        <w:spacing w:after="0" w:line="13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or product candidates we may develop, our business may be materially harmed.</w:t>
      </w:r>
    </w:p>
    <w:p>
      <w:pPr>
        <w:spacing w:after="0" w:line="11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products or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products and product candidates, our competitive position would be adversely affected.</w:t>
      </w:r>
    </w:p>
    <w:p>
      <w:pPr>
        <w:spacing w:after="0" w:line="36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products or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6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or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may prevent us or our collaborators such as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spacing w:after="0" w:line="15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The FDA approved EMPAVELI for the treatment of PNH in May 2021 and the EMA approved ASPAVELI for the treatment of PNH in December 2021. EMPAVELI has also been approved in the United Kingdom, Canada, Japan, Saudi Arabia and Australia. The FDA approved SYFOVRE for the treatment of GA in February 2023 and the Therapeutic Goods Administration of Australia approved SYFOVRE for the treatment of GA in January 2025. We submitted an sNDA for EMPAVELI for the treatment of C3G and IC-MPGN in the first quarter of 2025.</w:t>
      </w:r>
    </w:p>
    <w:p>
      <w:pPr>
        <w:sectPr>
          <w:pgSz w:w="11900" w:h="16838" w:orient="portrait"/>
          <w:cols w:equalWidth="0" w:num="1">
            <w:col w:w="11220"/>
          </w:cols>
          <w:pgMar w:left="320" w:top="124" w:right="359" w:bottom="1440" w:gutter="0" w:footer="0" w:header="0"/>
        </w:sectPr>
      </w:pP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The implications of this action are not yet known.</w:t>
      </w:r>
    </w:p>
    <w:p>
      <w:pPr>
        <w:spacing w:after="0" w:line="14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will only be required to submit a single application for approval. The submission will be made through the Clinical Trials Information System, a clinical trials portal overseen by the EMA and available to clinical trial sponsors, competent authorities of the European Union Member States and the public.</w:t>
      </w:r>
    </w:p>
    <w:p>
      <w:pPr>
        <w:spacing w:after="0" w:line="14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biologics license application, or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8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4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our agreement with Sobi, Sobi is responsible for seeking regulatory approval outside the United States for systemic pegcetacoplan. A delay in obtaining or failure to obtain required approvals and clearances could negatively impact our ability or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of our collaborators, including Sobi, to generate revenue from the particular product candidate, which likely would result in significant harm to our financial position and adversely impact our stock price.</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and sell EMPAVELI, SYFOVRE, pegcetacoplan in other indications or any of our other products in the European Union and other foreign jurisdictions, we, and our collaborators, such as Sobi,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our collaborators, such as Sobi,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4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For example, in December 2024, the European Commission rejected the marketing authorization application, or MAA, for SYFOVRE in the European Union, after a negative recommendation of the Committee for Medicinal Products for Human Use, or CHMP. Because regulators in other jurisdictions are influenced by decisions of the FDA and the EMA, a negative opinion by the FDA or the EMA may adversely impact the prospects for approval in other jurisdictions.</w:t>
      </w:r>
    </w:p>
    <w:p>
      <w:pPr>
        <w:spacing w:after="0" w:line="13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At the same time, a new international recognition procedure, or IRP, will apply, which intends to facilitate approval of pharmaceutical products in the United Kingdom. The IRP is open to applicants that have already received an authorization for the same product from one of the MHRA’s specified Reference Regulators, or RRs. The RRs notably include EMA and regulators in the European Union/European Economic Area, or EEA, member states for approvals in the European Union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United Kingdom for our product candidates, which could significantly and materially harm our business.</w:t>
      </w:r>
    </w:p>
    <w:p>
      <w:pPr>
        <w:spacing w:after="0" w:line="1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4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certain of our clinical trials globally . However, the FDA and other foreign equivalents may not accept data from such trials, in which case our development plans will be delayed, which could materially harm our business.</w:t>
      </w:r>
    </w:p>
    <w:p>
      <w:pPr>
        <w:spacing w:after="0" w:line="13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conducted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or GCP, regulations; and (iii) the data may be considered valid without the need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an on-site inspection by the FDA, or if the FDA considers such inspection to be necessary, the FDA is able to validate the data through an on-site inspection or other appropriate means.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85" w:lineRule="exact"/>
        <w:rPr>
          <w:sz w:val="20"/>
          <w:szCs w:val="20"/>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98"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98"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certain designations for our product candidates, including Breakthrough Therapy, Fast Track and Priority Review in the United States, and PRIME (priority medicines) in the European Union, but we might not receive such designations, and even if we do, such designations may not lead to a faster development or regulatory review or approval process.</w:t>
      </w:r>
    </w:p>
    <w:p>
      <w:pPr>
        <w:spacing w:after="0" w:line="14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w:t>
      </w:r>
    </w:p>
    <w:p>
      <w:pPr>
        <w:spacing w:after="0" w:line="14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 may be available if the FDA determines, after preliminary evaluation of data submitted by the sponsor, that a Fast Track product may be effective.</w:t>
      </w:r>
    </w:p>
    <w:p>
      <w:pPr>
        <w:spacing w:after="0" w:line="1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w:t>
      </w:r>
    </w:p>
    <w:p>
      <w:pPr>
        <w:spacing w:after="0" w:line="15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4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pursue approval from the FDA, EMA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w:t>
      </w:r>
    </w:p>
    <w:p>
      <w:pPr>
        <w:sectPr>
          <w:pgSz w:w="11900" w:h="16838" w:orient="portrait"/>
          <w:cols w:equalWidth="0" w:num="1">
            <w:col w:w="11240"/>
          </w:cols>
          <w:pgMar w:left="320" w:top="124"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authorities, if our confirmatory trials do not verify clinical benefit, or if we do not comply with rigorous post-marketing requirements, the FDA, EMA or such other regulatory authorities may seek to withdraw accelerated approval.</w:t>
      </w:r>
    </w:p>
    <w:p>
      <w:pPr>
        <w:spacing w:after="0" w:line="13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57"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In addition, there can be no assurance that we will satisfy all FDA requirements, including new provisions, that govern accelerated approval. For example,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we will need to consider the FDA’s guidances if we seek accelerated approval for any of our products in the future.</w:t>
      </w:r>
    </w:p>
    <w:p>
      <w:pPr>
        <w:spacing w:after="0" w:line="16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(i.e., Fast Track designation, Breakthrough Therapy designation or orphan drug designation),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not be able to obtain orphan drug designation or orphan drug exclusivity for our product candidates and, even if we do, that exclusivity may not prevent the FDA or the EMA from approving other competing products.</w:t>
      </w:r>
    </w:p>
    <w:p>
      <w:pPr>
        <w:spacing w:after="0" w:line="11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 glomerulopathy. We, or our collaborators, may seek orphan drug designations for pegcetacoplan for other indications and for other product candidates and may be unable to obtain such designations.</w:t>
      </w:r>
    </w:p>
    <w:p>
      <w:pPr>
        <w:spacing w:after="0" w:line="1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or our collaborators, obtain orphan drug designation for a product candidate, such as is the case for pegcetacoplan for the treatment of PNH and C3G,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Even if we, or our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3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EMA and other regulatory authorities actively enforce the laws and regulations prohibiting the promotion of off-label uses.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EMA and other regulatory authorities strictly regulate the promotional claims that may be made about prescription products, such as our product candidates, if approved. In particular, a product may not be promoted in the United States for uses that are not approved by the FDA as reflected in the product’s approved labelling, or in other jurisdictions for uses that differ from the labelling or uses approved by the applicable regulatory authorities. While physicians may prescribe products for off-label uses, the FDA, EMA and other regulatory authorities actively enforce laws and regulations that prohibit the promotion of off-label uses by companies, including promotional communications made by companies’ sales force with respect to off-label uses that are not consistent with the approved labelling, and a company that is found to have improperly promoted off-label uses may be subject to significant civil, criminal and administrative penalties.</w:t>
      </w:r>
    </w:p>
    <w:p>
      <w:pPr>
        <w:spacing w:after="0" w:line="1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various regulations, guidance and policies, along with recently enacted legislation, to ensure compliance with restrictions governing promotion of our products.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will also need to observe the FDA’s various regulations, guidance and policies, along with recently enacted legislation, to ensure compliance with restrictions governing promotion of our products. In September 2021, the FDA published final regulations which describe the types of evidence that the Agency will consider in determining the intended use of a drug or biologic. 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obtain marketing approvals for our product candidates, the terms of approvals and ongoing regulation of our products may limit how we manufacture and market our products, which could impair our ability to generate revenue.</w:t>
      </w:r>
    </w:p>
    <w:p>
      <w:pPr>
        <w:spacing w:after="0" w:line="118"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our collaborators, must therefore comply with requirements concerning advertising and promotion for any of our product candidates which we or they market. Promotional communications with respect to prescription drugs are subject to a variety of legal and regulatory restrictions and must be consistent with the information in the product’s approved labeling. Thus, we and our collaborators will not be able to promote any products we develop for indications or uses for which they are not approved. We are limited to promoting EMPAVELI and SYFOVRE in accordance with their approved label in each jurisdiction and may not promote them for any indication other than as stated on the label. The label for Aspaveli in the European Union is more limited than the label for EMPAVELI in the United States.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EMPAVELI, SYFOVRE, and any other product candidates for which we, or our collaborators, obtain marketing approval in the future could be subject to post-marketing restrictions or withdrawal from the market and we, or our collaborators, may be subject to substantial penalties if we, or they, fail to comply with regulatory requirements or if we, or they, experience unanticipated problems with our products following approval.</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EMPAVELI, SYFOVRE, and any other product candidates for which we, or our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EMPAVELI, SYFOVRE, and any other product candidate that is granted marketing approval, the approval may be subject to limitations on the indicated uses for which the product may be marketed or to the conditions of approval, including the requirement to implement a Risk Evaluation and Mitigation Strategy.</w:t>
      </w:r>
    </w:p>
    <w:p>
      <w:pPr>
        <w:spacing w:after="0" w:line="1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collaborators and their contract manufacturers could be subject to periodic unannounced inspections by the FDA to monitor and ensure compliance with cGMPs.</w:t>
      </w:r>
    </w:p>
    <w:p>
      <w:pPr>
        <w:spacing w:after="0" w:line="1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our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ectPr>
          <w:pgSz w:w="11900" w:h="16838" w:orient="portrait"/>
          <w:cols w:equalWidth="0" w:num="1">
            <w:col w:w="11220"/>
          </w:cols>
          <w:pgMar w:left="320" w:top="124" w:right="359" w:bottom="1440" w:gutter="0" w:footer="0" w:header="0"/>
        </w:sectPr>
      </w:pP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and our collaborators, are not able to comply with post-approval regulatory requirements, we, and our collaborators, could have the marketing approvals for our products withdrawn by regulatory authorities and our, or our collaborators’, ability to market any future products for which we receive marketing approval could be limited, which could adversely affect our ability to achieve or sustain profitability. Further, the cost of compliance with post-approval regulations may have a negative effect on our operating results and financial condition.</w:t>
      </w:r>
    </w:p>
    <w:p>
      <w:pPr>
        <w:spacing w:after="0" w:line="15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is substantial uncertainty as to how, if at all, the Trump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7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disruptions may still result also from the recent COVID-19 pandemic or any similar event that may occur in the future. During the recent COVID-19 pandemic, a number of companies announced receipt of complete response letters due to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our collaborators to obtain reimbursement of and commercialize our product candidates and affect the prices we, or they, may obtain.</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our collaborators, to profitably sell EMPAVELI, SYFOVRE, or any other products for which we, or they,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 If reimbursement of our products is unavailable or limited in scope, our business could be materially harmed.</w:t>
      </w:r>
    </w:p>
    <w:p>
      <w:pPr>
        <w:spacing w:after="0" w:line="187"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August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On August 15, 2024, HHS published the results of the first Medicare drug price negotiations for ten selected drugs. On January 17, 2025, CMS announced its selection of 15 additional drugs covered by Part D for the second cycle of negotiations.</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other parties also filed lawsuits in various courts with similar constitutional claims against HHS and CMS. HHS has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generally won the substantive disputes in these cases. Certain of these cases are now on appeal. Litigation involving these and other provisions of the IRA will continue with unpredictable and uncertain results.</w:t>
      </w:r>
    </w:p>
    <w:p>
      <w:pPr>
        <w:spacing w:after="0" w:line="16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countries, including member states of the European Union,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4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5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4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3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56"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ectPr>
          <w:pgSz w:w="11900" w:h="16838" w:orient="portrait"/>
          <w:cols w:equalWidth="0" w:num="1">
            <w:col w:w="11240"/>
          </w:cols>
          <w:pgMar w:left="320" w:top="124" w:right="339" w:bottom="1440" w:gutter="0" w:footer="0" w:header="0"/>
        </w:sectPr>
      </w:pP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certain healthcare providers and teaching hospitals, as well as information regarding ownership and investment interests held by physicians and their immediate family members;</w:t>
      </w:r>
    </w:p>
    <w:p>
      <w:pPr>
        <w:spacing w:after="0" w:line="15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4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4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spacing w:after="0" w:line="153"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w:t>
      </w:r>
    </w:p>
    <w:p>
      <w:pPr>
        <w:spacing w:after="0" w:line="135" w:lineRule="exact"/>
        <w:rPr>
          <w:sz w:val="20"/>
          <w:szCs w:val="20"/>
          <w:color w:val="auto"/>
        </w:rPr>
      </w:pPr>
    </w:p>
    <w:p>
      <w:pPr>
        <w:jc w:val="both"/>
        <w:ind w:right="280" w:firstLine="509"/>
        <w:spacing w:after="0" w:line="312" w:lineRule="auto"/>
        <w:rPr>
          <w:sz w:val="20"/>
          <w:szCs w:val="20"/>
          <w:color w:val="auto"/>
        </w:rPr>
      </w:pPr>
      <w:r>
        <w:rPr>
          <w:rFonts w:ascii="Times New Roman" w:cs="Times New Roman" w:eastAsia="Times New Roman" w:hAnsi="Times New Roman"/>
          <w:sz w:val="17"/>
          <w:szCs w:val="17"/>
          <w:color w:val="auto"/>
        </w:rPr>
        <w:t>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9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8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and 505(b)(2) applications.</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2019, President Trump signed legislation intended to facilitate the development of generic and biosimilar products. The bill, previously known as the CREATES Act, authorizes sponsors of abbreviated new drug applications, or ANDAs, and 505(b)(2) applications to file lawsuits against companies holding NDAs that decline to provide sufficient quantities of an approved reference drug on commercially reasonable, market-based terms. Drug products on FDA’s drug shortage list are exempt from these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new provisions unless the product has been on the list for more than six continuous months, or the FDA determines that the supply of the product will help alleviate or prevent a shortage.</w:t>
      </w:r>
    </w:p>
    <w:p>
      <w:pPr>
        <w:spacing w:after="0" w:line="13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To bring an action under the statute, an ANDA or 505(b)(2) sponsor must take certain steps to request the reference product, which, in the case of products covered by a Risk Evaluation and Mitigation Strategy with elements to assure safe use, include obtaining authorization from the FDA for the acquisition of the reference product. If the sponsor does bring an action for failure to provide a reference product, there are certain affirmative defenses available to the NDA holder, which must be shown by a preponderance of evidence. If the sponsor prevails in litigation, it is entitled to a court order directing the NDA holder to provide, without delay, sufficient quantities of the applicable product on commercially reasonable, market-based terms, plus reasonable attorney fees and costs.</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the new statutory provisions authorize a federal court to award the product developer an amount “sufficient to deter” the NDA holder from refusing to provide sufficient product quantities on commercially reasonable, market-based terms if the court finds, by a preponderance of the evidence, that the NDA holder did not have a legitimate business justification to delay providing the product or failed to comply with the court’s order. For the purposes of the statute, the term “commercially reasonable, 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1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intend to comply fully with the terms of these new statutory provisions, we are still exposed to potential litigation and damages by competitors who may claim that we are not providing sufficient quantities of our approved products on commercially reasonable, market-based terms for testing in support of ANDAs and 505(b)(2) applications. Such litigation would subject us to additional litigation costs, damages and reputational harm, which could lead to lower revenues. The CREATES Act may enable generic competition with EMPAVELI, SYFOVRE, and any of our product candidates, if approved, which could impact our ability to maximize product revenue.</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4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4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4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w:t>
      </w:r>
    </w:p>
    <w:p>
      <w:pPr>
        <w:sectPr>
          <w:pgSz w:w="11900" w:h="16838" w:orient="portrait"/>
          <w:cols w:equalWidth="0" w:num="1">
            <w:col w:w="11240"/>
          </w:cols>
          <w:pgMar w:left="320" w:top="124"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4% of the total worldwide annual turnover of the preceding financial year, whichever is higher, as well as compensation claims by affected individuals, negative publicity, reputational harm and a potential loss of business and goodwill.</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European Union to countries that have not been found by the EC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3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engage in significant cross-border and international activities, we will be subject to risks related to international operations, including:</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initiating clinical trials and maintaining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open conflict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multiple payor reimbursement regimes, government payers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of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substance legislation differs between countries and legislation in certain countries may restrict, limit, or delay our ability to manufacture and/or transport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import, export and re-export control and sanctions laws and regulations, which likelihood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data protection, and more burdensome obligations associated with the collection, use and retention of data, including clinical data and genetic material, may apply in jurisdictions outside of North America;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312"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terrorism, and civil and political unrest (such as the ongoing conflicts in the Middle East and between Russia and Ukraine), or natural disasters including earthquakes, typhoons, floods and fires; and</w:t>
      </w:r>
    </w:p>
    <w:p>
      <w:pPr>
        <w:spacing w:after="0" w:line="31" w:lineRule="exact"/>
        <w:rPr>
          <w:rFonts w:ascii="Times New Roman" w:cs="Times New Roman" w:eastAsia="Times New Roman" w:hAnsi="Times New Roman"/>
          <w:sz w:val="17"/>
          <w:szCs w:val="17"/>
          <w:color w:val="auto"/>
        </w:rPr>
      </w:pPr>
    </w:p>
    <w:p>
      <w:pPr>
        <w:ind w:left="1020" w:right="4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including the COVID-19 pandemic, on our strategic partners, third-party manufacturers, suppliers and other third parties upon which we rely.</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our international operations may preclude us from developing, manufacturing, and selling certain products outside of the United States and require us to develop and implement costly compliance programs.</w:t>
      </w:r>
    </w:p>
    <w:p>
      <w:pPr>
        <w:spacing w:after="0" w:line="11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FCPA is enforced by the Department of Justice and the SEC.</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 clinics, universities and similar institutions are operated by the government, and doctors and other hospital employees are considered foreign officials. Certain payments to hospitals in connection with clinical trials, regulatory approvals, sales and marketing and other work have been deemed to be improper payments to government officials and have led to FCPA enforcement actions. Because the FCPA applies to indirect payments, the use of third parties and other collaborators can increase potential FCPA risk, as we could be held liable for the acts of third parties that do not comply with the FCPA’s requirements.</w:t>
      </w:r>
    </w:p>
    <w:p>
      <w:pPr>
        <w:spacing w:after="0" w:line="14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4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Like the FCPA, the UK Bribery Act and other anti-corruption laws throughout the world similarly prohibit offers and payments made to obtain improper business advantages, including offers or payments to healthcare professionals and other government and non-government officials. These other anti-corruption laws also can result in substantial financial penalties and other collateral consequences.</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or our collaborators' ability to compete in international markets due to licensing requirements and subject us or them to liability if we or they are not in compliance with applicable laws.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products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products outside of the United States must be made in compliance with these laws and regulations. If we or our collaborators fail to comply with these laws and regulations, we or they and certain of our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their employees could be subject to substantial civil or criminal penalties, including the possible loss of export or import privileges; fines, which may be imposed on us or our collaborators and the respective responsible employees or managers; and, in extreme cases, the incarceration of responsible employees or managers.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conducted, and continue to conduct, clinical trials in various jurisdictions, including Russia and other Eastern European countries. In response to the conflict between Russia and Ukraine, the United States, the European Union, and other jurisdictions have imposed economic sanctions and other restrictions against certain officials, individuals, entities, regions, and industries in Russia, Ukraine, and Belarus. Such sanctions, and any further restrictions that may be promulgated, could adversely impact our ability to conduct our clinical program in certain jurisdictions. We will continue to closely monitor the geopolitical situation in Ukraine and its impact on our clinical trial operations.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may adversely impact our business and operating results.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recently made statements and taken, or has contemplated taking, certain actions that may lead to potential changes to U.S. and international trade policies, including imposing tariffs and export control restrictions affecting products manufactured outside the United States. Some of our manufacturers and suppliers are located outside the United States. 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import or export of raw materials and finished product candidate used in our and our collaborators’ preclinical studies and clinical trials, particularly with respect to any product candidates and materials that we import. If any new tariffs, export controls, legislation and/or regulations are implemented, or if existing trade agreements are renegotiated or, in particular, if either the U.S. or any foreign government takes retaliatory trade actions, such changes could have an adverse effect on our business, financial condition and results of operations.</w:t>
      </w:r>
    </w:p>
    <w:p>
      <w:pPr>
        <w:spacing w:after="0" w:line="188"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Moreover, trade tensions and conflicts between the United States and China in particular have been escalating in recent years and, as such, we are exposed to the possibility of product supply disruption and increased costs and expenses in the event of changes to the laws, rules, regulations and policies of the governments of the U.S.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The recently proposed BIOSECURE Act introduced in the House of Representatives, as well as a substantially similar bill in the Senate, targets certain Chinese biotechnology companies. If these bills become law, or similar laws are passed, they would have the potential to severely restrict the ability of companies to contract with certain Chinese biotechnology companies of concern without losing the ability to contract with, or otherwise received funding from, the U.S. government. Such disruptions could have adverse effects on the development of our product candidates and our business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3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consultants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or consultant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It is not always possible to identify and deter employee or consultant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the pharmaceutical research and development and business development expertise of our executive team, including Cedric Francois, M.D., Ph.D., our President and Chief Executive Officer. The members of our executive team are employed “at will,” meaning any of them may terminate his or her employment with us at any time with or without notice and for any reason or no reason. In the future, we may be dependent on other members of our management, scientific and development team.</w:t>
      </w:r>
    </w:p>
    <w:p>
      <w:pPr>
        <w:spacing w:after="0" w:line="15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34"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These risks may be particularly acute given the rapid growth in the size of our company.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stockholders or reduce our financial resources.</w:t>
      </w:r>
    </w:p>
    <w:p>
      <w:pPr>
        <w:spacing w:after="0" w:line="20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11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shares began trading on the Nasdaq Global Select Market on November 9, 2017.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our stockholders.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5" w:lineRule="exact"/>
        <w:rPr>
          <w:sz w:val="20"/>
          <w:szCs w:val="20"/>
          <w:color w:val="auto"/>
        </w:rPr>
      </w:pPr>
    </w:p>
    <w:p>
      <w:pPr>
        <w:ind w:left="1400" w:right="20" w:hanging="374"/>
        <w:spacing w:after="0" w:line="282" w:lineRule="auto"/>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EMPAVELI and SYFOVRE and obtaining regulatory approval of EMPAVELI in additional indications and jurisdictions and SYFOVRE in additional jurisdictions;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pegcetacoplan and any other product candidates;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400" w:right="480" w:hanging="374"/>
        <w:spacing w:after="0" w:line="282" w:lineRule="auto"/>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discussions with regulatory authorities and regulatory actions with respect to our product candidates or our competitors’ products and product candidates;</w:t>
      </w:r>
    </w:p>
    <w:p>
      <w:pPr>
        <w:spacing w:after="0" w:line="53" w:lineRule="exact"/>
        <w:rPr>
          <w:rFonts w:ascii="Times New Roman" w:cs="Times New Roman" w:eastAsia="Times New Roman" w:hAnsi="Times New Roman"/>
          <w:sz w:val="18"/>
          <w:szCs w:val="18"/>
          <w:color w:val="auto"/>
        </w:rPr>
      </w:pPr>
    </w:p>
    <w:p>
      <w:pPr>
        <w:ind w:left="1400" w:right="460" w:hanging="374"/>
        <w:spacing w:after="0" w:line="282" w:lineRule="auto"/>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 or development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hedging or other transactions in our securities in connection with our Convertible Notes;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example, the trading price of our common stock experienced significant volatility in 2024. On January 9, 2024, the closing price of our common stock on the Nasdaq Global Select Market was $72.47 and on October 10, 2024, the closing price of our common stock on the Nasdaq Global Select Market was $27.14.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chief executive officer have been named as defendants in lawsuits that could result in substantial costs and divert management’s attention.</w:t>
      </w:r>
    </w:p>
    <w:p>
      <w:pPr>
        <w:spacing w:after="0" w:line="202" w:lineRule="exact"/>
        <w:rPr>
          <w:sz w:val="20"/>
          <w:szCs w:val="20"/>
          <w:color w:val="auto"/>
        </w:rPr>
      </w:pPr>
    </w:p>
    <w:p>
      <w:pPr>
        <w:ind w:right="180" w:firstLine="509"/>
        <w:spacing w:after="0" w:line="252" w:lineRule="auto"/>
        <w:rPr>
          <w:sz w:val="20"/>
          <w:szCs w:val="20"/>
          <w:color w:val="auto"/>
        </w:rPr>
      </w:pPr>
      <w:r>
        <w:rPr>
          <w:rFonts w:ascii="Times New Roman" w:cs="Times New Roman" w:eastAsia="Times New Roman" w:hAnsi="Times New Roman"/>
          <w:sz w:val="18"/>
          <w:szCs w:val="18"/>
          <w:color w:val="auto"/>
        </w:rPr>
        <w:t>We, our chief executive officer, and our directors have been named as defendants in a purported class action lawsuit initiated in 2023 that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plaintiffs seek, among other relief, compensatory damages and equitable relief in favor of the alleged class of plaintiffs against all defendants, including interest, and reasonable costs and expenses incurred by plaintiffs, including attorneys’ and expert fees. We, our chief executive officer, and our directors have also been named as defendants in a purported stockholder derivative lawsuit initiated in 2024 that alleges, among other things that the defendants breached fiduciary duties, were unjustly enriched, committed corporate waste, and violated Section 14(a) of the Exchange Act based on the same facts. The plaintiffs seek, among other relief, monetary and punitive damages, and costs, including attorneys’ fees. The outcome of the matter described above cannot be predicted with certainty. However, we intend to vigorously defend against the litigation.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attention and resources from other priorities, including the execution of business plans and strategies that are important to our ability to grow our business, any of which could have a material adverse effect on our business. Additional similar lawsuits might be filed. See “Part II, Item 1-Legal Proceedings”.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funds and may not use them effectively.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and cash equivalents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34"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spacing w:after="0" w:line="160"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could cause the market price of our common stock to decline significantly, even if our business is doing well.</w:t>
      </w:r>
    </w:p>
    <w:p>
      <w:pPr>
        <w:spacing w:after="0" w:line="11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registered all shares of common stock that we may issue under our equity compensation plans. As of December 31, 2023, we had options to purchase an aggregate of 8,048,307shares of our common stock outstanding, of which options to purchase 6,713,203 shares were vested and 3,061,810 outstanding unvested restricted stock units that upon vesting would result in the issuance of 3,961,810 shares of our common stock. We also have pre-funded warrants to purchase 80,956 shares of our common stock outstanding. The shares issuable upon exercise or vesting can be freely sold in the public market upon issuance, subject to volume limitations applicable to affiliates. Moreover, holders of an aggregate of 10,778,303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interpretation could adversely affect our business and financial condition.</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Changes in tax law could adversely affect our business or financial condition. For example, on December 22, 2017, the U.S. government enacted legislation, commonly referred to as the Tax Cuts and Jobs Act, or the TCJA, that significantly revised the Internal Revenue Code of 1986, as amended, or the Code. The TCJA, as amended by the Coronavirus Aid, Relief, and Economic Security Act, or CARES Act, among other things, contained significant changes to corporate taxation, including reduction of the corporate tax rate from a top marginal rate of 35% to a flat rate of 21% for taxable years beginning after December 31, 2020 and limitation of the deduction for net operating losses to 80% of current year taxable income for losses arising in taxable years beginning after December 31, 2017 (though any such net operating losses may be carried forward indefinitely). In addition, beginning in 2022, the TCJA eliminates the option to deduct research and development expenditures currently and generally requires corporations to capitalize and amortize them over five years or 15 years (for expenditures attributable to foreign research).</w:t>
      </w:r>
    </w:p>
    <w:p>
      <w:pPr>
        <w:spacing w:after="0" w:line="1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part of Congress’ response to the COVID-19 pandemic, in addition to the CARES Act, economic relief legislation was enacted in 2020 and 2021 containing tax provisions. The IRA, which was signed into law in August 2022, also introduced new tax provisions, including a one percent excise tax imposed on certain stock repurchases by publicly traded corporations.</w:t>
      </w:r>
    </w:p>
    <w:p>
      <w:pPr>
        <w:spacing w:after="0" w:line="13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TCJA, the IRA, and additional legislation is and continues to be forthcoming, and such guidance could ultimately increase or lessen the impact of these laws on our business and financial condition. Congress may enact additional legislations, some of which could have an impact on our company. In addition, it is uncertain if and to what extent various states will conform to such legislation.</w:t>
      </w:r>
    </w:p>
    <w:p>
      <w:pPr>
        <w:spacing w:after="0" w:line="14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enactment of some or all of the recommendations set forth or that may be forthcoming in the Organization for Economic Cooperation and Development’s, or OECD, project on “Base Erosion and Profit Shifting” by tax authorities in the countries in which we operate, could unfavorably impact our effective tax rate. These initiatives focus on common international principles for the entitlement to tax global corporate profits and enactment of minimum global tax rate of 15%. Many countries have or are in the process of enacting legislation intended to implement the OECD Global Anti-Base Erosion, or GloBEModel Rules effective on January 01, 2024. The impact on the Company will depend on the timing of implementation, the exact nature of each country’s GloBE legislation, guidance, and regulations thereon and their application by the tax authorities either prospectively or retrospectively.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20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both federal and state net operating loss carryforwards of $422.5 million and $621.8 million, respectively, and federal and state research and development tax credit carryforwards of $107.8 million and $26.4 million, respectively. Federal net operating loss carryforward generated post-2017 in the amount of $420.9 million may be carried forward indefinitely. The remaining net operating loss and research and development tax credit carryforward will begin to expire in 2025. These net operating loss and tax credit carryforwards could expire unused and be unavailable to offset future income tax liabilities. Under the TCJA, as modified by the CARES Act, federal net operating losses incurred in 2018 and in future years may be carried forward indefinitely, but the deductibility of such federal net operating losses in 2021 and future years is limited. Certain states have also enacted temporary suspension or limitation of the utilization of net operating loss carryforwards.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 Refer to Note 13, “Income Taxes,” of the consolidated financial statements included in this Annual Report on Form 10-K for additional information related to our accounting for income taxes.</w:t>
      </w:r>
    </w:p>
    <w:p>
      <w:pPr>
        <w:spacing w:after="0" w:line="15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could challenge our historical and future tax positions or our allocation of taxable income among our subsidiaries, and tax laws to which we are subject could change in a manner adverse to us.</w:t>
      </w:r>
    </w:p>
    <w:p>
      <w:pPr>
        <w:spacing w:after="0" w:line="11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1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or accounting position may adversely affect our reported financial results or the way we conduct our business.</w:t>
      </w:r>
    </w:p>
    <w:p>
      <w:pPr>
        <w:spacing w:after="0" w:line="13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3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never declared nor paid cash dividends on our capital stock. We currently plan to retain all of our future earnings, if any, to finance the operation, development and growth of our business. In addition, the terms of the Sixth Street Financing Agreement precludes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13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and directors, entities associated with our executive officers and directors and our largest stockholders may allow these stockholders to significantly influence matters submitted to our stockholders for approval, as well as our management and affairs.</w:t>
      </w:r>
    </w:p>
    <w:p>
      <w:pPr>
        <w:spacing w:after="0" w:line="13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of February 28, 2025, our executive officers and directors, and entities associated or affiliated with our executive officers and directors, in the aggregate, beneficially owned shares representing approximately 16.4% of our outstanding common stock, including one of our largest stockholders, Morningside Venture Investments Ltd., which beneficially owned approximately 10.3%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1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1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w:t>
      </w:r>
    </w:p>
    <w:p>
      <w:pPr>
        <w:sectPr>
          <w:pgSz w:w="11900" w:h="16838" w:orient="portrait"/>
          <w:cols w:equalWidth="0" w:num="1">
            <w:col w:w="11240"/>
          </w:cols>
          <w:pgMar w:left="320" w:top="124" w:right="339" w:bottom="1440" w:gutter="0" w:footer="0" w:header="0"/>
        </w:sectPr>
      </w:pP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 actions and proceedings that may be initiated by our stockholders, which could discourage lawsuits against our company and our directors, officers and employees.</w:t>
      </w:r>
    </w:p>
    <w:p>
      <w:pPr>
        <w:spacing w:after="0" w:line="1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will not apply to actions arising under the Securities Act of 1933, as amended, or the Securities Exchange Act of 1934, as amended.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and employee, health care professionals, or HCPs, and patient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improve our practices. We engage certain external parties, including consultants, independent privacy assessors, and computer security firms to enhance our cybersecurity oversight. We consider the internal risk oversight programs of third-party service providers before engaging them in order to help protect us from any related vulnerabilities.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there are currently any known risks from cybersecurity threats that are reasonably likely to materially affect us or our business strategy, results of operations or financial condition.</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The Audit Committee of the Board of Directors provides direct oversight over cybersecurity risk. The Audit Committee receives quarterly updates from management regarding cybersecurity matters, and is notified between such updates regarding significant new cybersecurity threats or incidents.</w:t>
      </w:r>
    </w:p>
    <w:p>
      <w:pPr>
        <w:spacing w:after="0" w:line="9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Head of Information Technology leads the operational oversight of company-wide cybersecurity strategy, policy, standards and processes and works across relevant departments to assess and help prepare us and our employees, HCPs and patients to address cybersecurity risks. The Head of Information Technology cybersecurity function brings security credentials and expertise, with broad global cybersecurity and compliance experience in life science, healthcare, and federal government. In addition to our cybersecurity team, a managed security service provider provides us with additional coverage to monitor, detect and respond to threats and vulnerabilities.</w:t>
      </w:r>
    </w:p>
    <w:p>
      <w:pPr>
        <w:spacing w:after="0" w:line="1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provide all employees, including part-time and temporary employees, with cybersecurity information and training, which covers timely and relevant topics, including social engineering, phishing, password protection, confidential data protection, asset use and mobile security, and educates employees on the importance of reporting all incidents immediately. Our third-party risk management program is integrated with global sourcing and procurement, and requires vendor risk assessments, incident reporting, and data protection controls. We also use technology-based tools to mitigate cybersecurity risks and to bolster our employee-based cybersecurity programs.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Details of our principal properties as of December 31, 2024, are provided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60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20" w:type="dxa"/>
            <w:vAlign w:val="bottom"/>
          </w:tcPr>
          <w:p>
            <w:pPr>
              <w:spacing w:after="0"/>
              <w:rPr>
                <w:sz w:val="13"/>
                <w:szCs w:val="13"/>
                <w:color w:val="auto"/>
              </w:rPr>
            </w:pPr>
          </w:p>
        </w:tc>
        <w:tc>
          <w:tcPr>
            <w:tcW w:w="1860" w:type="dxa"/>
            <w:vAlign w:val="bottom"/>
            <w:vMerge w:val="restart"/>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Size</w:t>
            </w:r>
          </w:p>
        </w:tc>
        <w:tc>
          <w:tcPr>
            <w:tcW w:w="140" w:type="dxa"/>
            <w:vAlign w:val="bottom"/>
          </w:tcPr>
          <w:p>
            <w:pPr>
              <w:spacing w:after="0"/>
              <w:rPr>
                <w:sz w:val="13"/>
                <w:szCs w:val="13"/>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Waltham, MA, USA</w:t>
            </w:r>
          </w:p>
        </w:tc>
        <w:tc>
          <w:tcPr>
            <w:tcW w:w="3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Corporate Headquarters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77,818 sq. ft.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USA</w:t>
            </w:r>
          </w:p>
        </w:tc>
        <w:tc>
          <w:tcPr>
            <w:tcW w:w="36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 sq. ft.</w:t>
            </w: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Zug, Switzerland</w:t>
            </w:r>
          </w:p>
        </w:tc>
        <w:tc>
          <w:tcPr>
            <w:tcW w:w="3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sq. 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Munich, Germany</w:t>
            </w:r>
          </w:p>
        </w:tc>
        <w:tc>
          <w:tcPr>
            <w:tcW w:w="36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sq. m.</w:t>
            </w: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Subleased</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Watertown, MA, USA</w:t>
            </w:r>
          </w:p>
        </w:tc>
        <w:tc>
          <w:tcPr>
            <w:tcW w:w="3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Lab space</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 sq. ft.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540"/>
        </w:trPr>
        <w:tc>
          <w:tcPr>
            <w:tcW w:w="4080" w:type="dxa"/>
            <w:vAlign w:val="bottom"/>
          </w:tcPr>
          <w:p>
            <w:pPr>
              <w:spacing w:after="0"/>
              <w:rPr>
                <w:sz w:val="24"/>
                <w:szCs w:val="24"/>
                <w:color w:val="auto"/>
              </w:rPr>
            </w:pP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 On May 17, 2024, the United States District Court for the District of Delaware approved the motion to transfer to the United States District Court for the District of Massachusetts. The defendants moved to dismiss the Complaint on June 12, 2024, and the Court held oral argument on this motion for November 14, 2024. The Court has not yet ruled on this motion to dismiss.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December 19, 2024, purported stockholder Patrick Campbell, and on December 30, 2024, purported stockholder Kenneth Olson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The complaints seek monetary and punitive damages, and costs, including attorneys’ fees. On January 21, 2025, the cases were consolidated under the caption </w:t>
      </w:r>
      <w:r>
        <w:rPr>
          <w:rFonts w:ascii="Times New Roman" w:cs="Times New Roman" w:eastAsia="Times New Roman" w:hAnsi="Times New Roman"/>
          <w:sz w:val="18"/>
          <w:szCs w:val="18"/>
          <w:i w:val="1"/>
          <w:iCs w:val="1"/>
          <w:color w:val="auto"/>
        </w:rPr>
        <w:t>In re Apellis Pharmaceuticals, Inc.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No. 1:24-cv-13128-JEK. By the same order, the Court stayed the stockholder derivative litigation pending the Court’s ruling on the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 to dismiss in the securities class action.</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other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example, in August 2024, an individual filed a civil action against the Company in the United States District Court in the Northern District of Texas, alleging personal injury claims in connection with the use of SYFOVRE. We moved to dismiss this civil action in September 2024. The Court has not yet ruled on this motion to dismiss, as of the date of issuance of these consolidated financial statements.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 matters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these matters.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47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“APLS” since November 9, 2017. Prior to that date, there was no public trading market for our common stock.</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February 19, 2025, we had 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In addition, the Sixth Street Financing Agreement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Item 12 of Part III of this Annual Report on Form 10-K.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between December 30, 2018 and December 31, 2024, with the cumulative total return of (a) the Nasdaq Composite Index and (b) the Nasdaq Biotechnology Index over the same period. The graph assumes the investment of $100 after the market close on December 31, 2018 in our common stock and each of the other indices described above. The comparisons are not intended to forecast or be indicative of future performance of our common stock. All amounts shown are based on the closing price of our common stock. Data for the Nasdaq Composite Index and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359410</wp:posOffset>
            </wp:positionV>
            <wp:extent cx="5452110" cy="39173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that this approach has the potential to effectively control diseases with high unmet need and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intravitreal pegcetacoplan, we intend to focus our commercialization efforts in the U.S. and explore international expansion in select markets, including Australia, where we received marketing approval in January 2025. For the year ended December 31, 2024, and 2023, we generated $611.9 million and $275.2 million in U.S. net product revenue from sales of SYFOVRE. We are also developing a next-generation therapy by combining SYFOVRE treatment with APL-3007, which is a small interfering RNA, or siRNA, aimed at comprehensively blocking complement activity in the retina and the choroid. We plan to initiate a Phase 2 multi-dose trial in patients with GA in the second quarter of 2025.</w:t>
      </w:r>
    </w:p>
    <w:p>
      <w:pPr>
        <w:spacing w:after="0" w:line="148" w:lineRule="exact"/>
        <w:rPr>
          <w:sz w:val="20"/>
          <w:szCs w:val="20"/>
          <w:color w:val="auto"/>
        </w:rPr>
      </w:pPr>
    </w:p>
    <w:p>
      <w:pPr>
        <w:ind w:right="240" w:firstLine="509"/>
        <w:spacing w:after="0" w:line="274" w:lineRule="auto"/>
        <w:rPr>
          <w:sz w:val="20"/>
          <w:szCs w:val="20"/>
          <w:color w:val="auto"/>
        </w:rPr>
      </w:pPr>
      <w:r>
        <w:rPr>
          <w:rFonts w:ascii="Times New Roman" w:cs="Times New Roman" w:eastAsia="Times New Roman" w:hAnsi="Times New Roman"/>
          <w:sz w:val="17"/>
          <w:szCs w:val="17"/>
          <w:color w:val="auto"/>
        </w:rPr>
        <w:t>We believe that EMPAVELI has the potential to be a best-in-class treatment for a range of indications with high unmet needs. We have exclusive U.S. commercialization rights for EMPAVELI, and our collaboration partner, Swedish Orphan Biovitrum AB (Publ), or Sobi, has exclusive ex-U.S. commercialization rights for systemic pegcetacoplan outside of the United States. For the years ended December 31, 2024 and 2023, we generated $98.1 million and $91.0 million, respectively, in U.S. net product revenue from sales of EMPAVELI for PNH and received $18.4 million and $10.0 million, respectively, in royalties from our collaboration partner, Swedish Orphan Biovitrum AB (Publ), or Sobi, which has exclusive ex-U.S. commercialization rights for systemic pegcetacoplan outside of the United States. We have commercialization rights for systemic pegcetacoplan in the United States.</w:t>
      </w:r>
    </w:p>
    <w:p>
      <w:pPr>
        <w:spacing w:after="0" w:line="173"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The next indications we are pursuing with EMPAVELI are C3 glomerulopathy, or C3G, and primary immune complex membranoproliferative glomerulonephritis, or IC-MPGN, which together affect an estimated 5,000 people in the United States. We submitted a supplemental new drug application, or sNDA, to the FDA in early 2025, following the positive results from the Phase 3 VALIANT trial investigating systemic pegcetacoplan in adolescent and adult patients with naive and post-transplant recurrence C3G and IC-MPGN that we reported in August 2024. Importantly, the VALIANT study demonstrated positive effects on the three key markers of disease at six months: a 68% reduction in proteinuria in C3G and IC-MPGN patients compared to placebo (p &lt; 0.0001), the primary endpoint. Results were consistent across all subgroups, including disease type, age, and transplant status. Additionally, pegcetacoplan-treated patients achieved stabilization of kidney function (nominal p=0.03), as measured by estimated glomerular filtration rate, and a substantial proportion of patients achieved a reduction in C3c staining intensity (nominal p&lt;0.0001). Data also demonstrated favorable safety and tolerability results, consistent with pegcetacoplan’s established profile. Additionally, in February 2025, Sobi received validation for its indication extension application for C3G and IC-MPGN from the European Medicines Agency, or EMA.</w:t>
      </w:r>
    </w:p>
    <w:p>
      <w:pPr>
        <w:spacing w:after="0" w:line="194"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We plan to initiate two new Phase 3 clinical trials with EMPAVELI in the second half of 2025 for the treatment of primary focal segmental glomerulosclerosis, or FSGS, and delayed graft function, or DGF. Both FSGS and DGF are both rare, severe nephrology conditions with no approved therapies and in which complement overactivation plays a significant role. Sobi is also leading the development of systemic pegcetacoplan for hematopoietic stem cell transplantation-associated thrombotic microangiopathy, or HSCT-TMA, in hematology under the collaboration.</w:t>
      </w:r>
    </w:p>
    <w:p>
      <w:pPr>
        <w:spacing w:after="0" w:line="139"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 treatment targeting the neonatal Fc receptor, orFcRn, which has the potential to be a first-in-class gene editing treatment for future target indications with one-time dosing. We are also developing other programs with our proprietary in-house capabilities.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$401.5 million in payments and royalties from Sobi pursuant to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collaboration agreement,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 Our non-dilutive financing activities, which include the Sixth Street Financing Agreement (as defined below), the repayment of our remaining obligations to SFJ and the partial unwinding of our capped call transactions, increased the amount of cash available to us through 2025 by approximately $270.0 million, with the potential for us to access additional short-term liquidity through a second draw of $100.0 million under the Credit Facility (as defined below).</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each year since our inception and expect to continue to incur net operating losses for at least this year. Our net losses were $197.9 million, $528.6 million, and $652.2 million for the years ended December 31, 2024, 2023 and 2022, respectively. As of December 31, 2024, we had an accumulated deficit of $3.0 billion.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other indications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can exercise the option for the additional $100.0 million draw through September 30, 2025, assuming such requirements are met.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(i) in the case of SOFR Loans, an annual rate equal to 3-month Term SOFR (subject to 1.00% floor), plus 5.75%, and (ii) in the case of Base Rate Loans, an annual rate equal to the base rate as defined in the agreement (subject to 2.00% floor), plus 4.75%. Certain additional commitment and undrawn amount fees are also payable in connection with the Credit Facility.</w:t>
      </w:r>
    </w:p>
    <w:p>
      <w:pPr>
        <w:spacing w:after="0" w:line="180"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We used the majority of the proceeds of the $375.0 million draw at closing to buy out our remaining obligations to SFJ, in the amount of approximately $326.5 million.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2019, we entered into a development funding agreement (as amended, the “SFJ agreement”) with SFJ Pharmaceuticals Group (“SFJ”), under which SFJ agreed to provide funding to us to support the development of pegcetacoplan for the treatment of patients with PNH. Under the SFJ agreement, SFJ paid us an aggregate of $140.0 million between June 2019 and January 2020.</w:t>
      </w:r>
    </w:p>
    <w:p>
      <w:pPr>
        <w:spacing w:after="0" w:line="14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Following regulatory approval for the use of systemic pegcetacoplan as a treatment for PNH by the FDA in May 2021 and by the EMA in December 2021, we became obligated to pay SFJ an aggregate of $460.0 million in payments between 2021 and 2027. We paid SFJ an aggregate of $94.0 million through March 31, 2024.</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May 13, 2024, we used proceeds from the Sixth Street Financing Agreement to buy out our remaining obligations owed to SFJ, in the amount of approximately $326.5 million. The buyout of the SFJ development liability eliminated the remaining $366.0 million in payments to SFJ, including a total of approximately $200.0 million payable in 2024 and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ind w:right="8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w:t>
      </w:r>
      <w:r>
        <w:rPr>
          <w:rFonts w:ascii="Times New Roman" w:cs="Times New Roman" w:eastAsia="Times New Roman" w:hAnsi="Times New Roman"/>
          <w:sz w:val="18"/>
          <w:szCs w:val="18"/>
          <w:color w:val="auto"/>
        </w:rPr>
        <w:t xml:space="preserve"> we issued convertible notes, or the 2020 Convertible Notes, with an aggregate principal amount of $300.0 million. The net proceeds 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5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3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 governing the Convertible Notes, or the Indenture.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0" w:hanging="503"/>
        <w:spacing w:after="0" w:line="266" w:lineRule="auto"/>
        <w:tabs>
          <w:tab w:leader="none" w:pos="1020" w:val="left"/>
        </w:tabs>
        <w:numPr>
          <w:ilvl w:val="0"/>
          <w:numId w:val="4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December 31, 2024.</w:t>
      </w:r>
    </w:p>
    <w:p>
      <w:pPr>
        <w:spacing w:after="0" w:line="19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December 31, 2024.</w:t>
      </w:r>
    </w:p>
    <w:p>
      <w:pPr>
        <w:spacing w:after="0" w:line="1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our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FASB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December 31,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held in treasury Convertible Notes in principal amount of $425.4 million which notes had not been cancelled.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12529"/>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$63.14, the cap price of the</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12529"/>
        </w:rPr>
        <w:t>capped call transactions, there would nevertheless be dilution and/or there would not be an offset of such potential cash payments, in each case, to the extent that such market price exceeds the cap price of the capped call transactions.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October 27, 2020, we entered into the Sobi collaboration agreement, concerning the development and commercialization of pegcetacoplan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 Since contract inception, we have recognized $65.0 million in contra-research and development expenses and waived the remaining $15.0 million in connection with the decision to discontinue the CAD program.</w:t>
      </w:r>
    </w:p>
    <w:p>
      <w:pPr>
        <w:spacing w:after="0" w:line="1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arrangement with Sobi.</w:t>
      </w:r>
    </w:p>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r>
        <w:rPr>
          <w:rFonts w:ascii="Times New Roman" w:cs="Times New Roman" w:eastAsia="Times New Roman" w:hAnsi="Times New Roman"/>
          <w:sz w:val="18"/>
          <w:szCs w:val="18"/>
          <w:color w:val="212529"/>
        </w:rPr>
        <w:t>.</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18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royalties owed to our licensor for such sales, and certain period costs.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1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8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by program.</w:t>
      </w:r>
    </w:p>
    <w:p>
      <w:pPr>
        <w:spacing w:after="0" w:line="15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pegcetacoplan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8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200" w:firstLine="55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bonuses, benefits and share-based compensation, consulting and professional fees, marketing and advertising costs, medical affairs and regulatory costs associated with our commercial products, facility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4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research and development activities, potential commercialization of our product candidates and costs of operating as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w:t>
      </w:r>
    </w:p>
    <w:p>
      <w:pPr>
        <w:sectPr>
          <w:pgSz w:w="11900" w:h="16838" w:orient="portrait"/>
          <w:cols w:equalWidth="0" w:num="1">
            <w:col w:w="11240"/>
          </w:cols>
          <w:pgMar w:left="320" w:top="124"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product sales at the net sales price which includes estimates of variable consideration for which reserves are established and reflects each of these as a reduction to the revenue. Overall, these reserves reflect our best estimates of the amount of consideration to which we are entitled based on the terms of the contract. The amount of variable consideration that is included in the transaction price may be constrained. Actual amounts of consideration ultimately received may differ from our estimates. If actual results in the future vary from estimates, we may need to adjust its estimates, which would affect net revenue in the period of adjustment. The following are the variable considerations with critical accounting estimates:</w:t>
      </w:r>
    </w:p>
    <w:p>
      <w:pPr>
        <w:spacing w:after="0" w:line="18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Consistent with industry practice, we offer SPs and SDs limited product return rights for shipment errors or expiring or defective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the return is within a specified period around the product expiration date as set forth in the applicable individual distribution agreement. We do not allow product returns for product that has been dispensed to a patient. As we receive inventory reports from SPs and SDs and have visibility into the inventory distribution channel, we are able to make a reasonable estimate of future potential product returns based on this on-hand channel inventory data and sell-through data obtained from SPs and SDs. In arriving at our estimate for product returns, we also consider historical product returns (to the extent available) and the underlying product demand.</w:t>
      </w:r>
    </w:p>
    <w:p>
      <w:pPr>
        <w:spacing w:after="0" w:line="182"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GPO Rebates</w:t>
      </w:r>
      <w:r>
        <w:rPr>
          <w:rFonts w:ascii="Times New Roman" w:cs="Times New Roman" w:eastAsia="Times New Roman" w:hAnsi="Times New Roman"/>
          <w:sz w:val="18"/>
          <w:szCs w:val="18"/>
          <w:color w:val="auto"/>
        </w:rPr>
        <w:t>: Commercial rebates are based on (i) our estimates of end-user purchases through a GPO, (ii) the corresponding contractual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tier we expect each GPO to achieve, and (iii) our estimates of the impact of any prospective rebate program changes made by us.</w:t>
      </w:r>
    </w:p>
    <w:p>
      <w:pPr>
        <w:spacing w:after="0" w:line="7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Card </w:t>
      </w:r>
      <w:r>
        <w:rPr>
          <w:rFonts w:ascii="Times New Roman" w:cs="Times New Roman" w:eastAsia="Times New Roman" w:hAnsi="Times New Roman"/>
          <w:sz w:val="18"/>
          <w:szCs w:val="18"/>
          <w:color w:val="auto"/>
        </w:rPr>
        <w:t>Fees: SDs will sell downstream to customers who may pay for product via credit card. The Company will reimburse its SDs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card fees incurred as a result of SDs accepting credit cards as a form of payment from the downstream customers. Credit card fees are recorded as an offset to revenue based on the average aggregate credit card rate as a percentage of SD sales at the time revenue from the sale is recognized.</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labor, overhead, and freight. We perform an assessment of the recoverability of capitalized inventory during each reporting period, and write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Provisions for potentially obsolete or slow-moving inventory, are made based on the Company’s analysis of product dating, inventory levels, historical obsolescence and future sales forecasts. If actual market conditions are less favorable than projected by management, additional write-downs of inventory may be required which would be recorded as a cost of sales in the consolidated statements of operations and comprehensive loss.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contract manufacturing organizations, or CMOs, in connection with research and development activities for which we have not yet been invoiced.</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together with the dollar increase or decrease and percentage change in those items: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6"/>
        </w:trPr>
        <w:tc>
          <w:tcPr>
            <w:tcW w:w="4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2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343,673</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94 %</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41,103</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136 %</w:t>
            </w: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781,367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384,776</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59,213</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(26,817 )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501,053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500,815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(164,979 )</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(517,121 )</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352,142</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(1,949 )</w:t>
            </w:r>
          </w:p>
        </w:tc>
        <w:tc>
          <w:tcPr>
            <w:tcW w:w="3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(8,160 )</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(40,391 )</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(29,581 )</w:t>
            </w: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(10,810 )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(2,170 )</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(727 )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(1,443 )</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198 %</w:t>
            </w:r>
          </w:p>
        </w:tc>
      </w:tr>
      <w:tr>
        <w:trPr>
          <w:trHeight w:val="20"/>
        </w:trPr>
        <w:tc>
          <w:tcPr>
            <w:tcW w:w="4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(196,716 )</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(526,496 )</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329,780</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(970 )</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4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(197,878 )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(528,628 )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330,750</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4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-1285240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-1285240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-1285240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-453390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-453390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-453390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product revenue, net is derived from sales of EMPAVELI and SYFOVRE sales in the United States. We recognized $710.0 million and $366.3 million of net product revenue as of December 31, 2024 and 2023, respectively. The net product revenue of $710.0 million for the year ended December 31, 2024, consists of $98.1 million in net product revenue from sales of EMPAVELI and $611.9 million in net product revenue from sales of SYFOVRE. The net product revenue of $366.3 million for the year ended December 31, 2023, consists of $91.0 million in net product revenue from sales of EMPAVELI and $275.2 million in net product revenue from sales of SYFOVRE.</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Licensing and other revenue was $71.4 million and $30.3 million for the year ended December 31, 2024 and 2023, respectively. Licensing and other revenue of $71.4 million for the year ended December 31, 2024 consisted of $53.0 million in revenue from product supplied to Sobi, and $18.4 million in royalty revenue from Sobi. Licensing and other revenue of $30.3 million for the year ended December 31, 2023 consisted of $10.0 million in revenue from product supplied to Sobi, $15.3 million in royalty revenue from Sobi and $5.0 million from collaboration with Sobi.</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Cost of sales was $117.7 million and $58.5 million for the year ended December 31, 2024 and 2023, respectively. The increase in cost of sales was primarily driven by a $6.1 million increase due to higher volume from commercial sales and product provided under our patient assistance programs, a $27.4 million increase due to higher volume of product supplied to Sobi, a $6.0 million increase in royalty expense, a $11.7 million increase in expenses incurred related to excess, obsolete or scrapped inventory, and $8.0 million incurred in connection with the termination of minimum purchase obligations.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prior to receiving FDA approval for EMPAVELI on May 14, 2021, the costs associated with the manufacture of EMPAVELI inventory were expensed as incurred as research and development expense. This resulted in inventory being sold during the years ended December 31, 2024 and 2023 for which a portion of the costs had been previously expensed prior to FDA approval. We expect this to continue to impact the cost of sales as the remaining pre-FDA inventory is sold to customers. As of December 31, 2024 and 2023, respectively, the remaining pre-FDA approved inventory was $19.5 million and $26.3 million, which primarily consisted of raw materials.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2024 and 2023, together with the dollar increase or decrease and percentage change in those items: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r>
      <w:tr>
        <w:trPr>
          <w:trHeight w:val="210"/>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(1,625 )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C3G &amp; IC-MPGN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34,507</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(1,653 )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(8,554 )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196 %</w:t>
            </w: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(230 )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59,134</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52,078</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(1,270 )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5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187,456</w:t>
            </w:r>
          </w:p>
        </w:tc>
        <w:tc>
          <w:tcPr>
            <w:tcW w:w="3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3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(34,486 )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5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(34,427 )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3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327,570</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(26,817 )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-864870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-864870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-864870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-307975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-307975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-307975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$26.8 million to $327.6 million for the year ended December 31, 2024 from $354.4 million for the year ended December 31, 2023, a decrease of 8%. The decrease in research and development expenses was primarily attributable to a $34.5 million decrease in compensation and related personnel costs, which was partially offset by a $7.6 million increase in program specific external costs.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increase in our program-specific external costs of $7.6 million was driven by an increase of $13.9 million as a result of a $15.0 million one-time expense related to the discontinuation of the CAD program and an increase of $7.1 million in GA costs related to development and pre-clinical programs. These increases were partially offset by a $1.7 million decrease related to C3G and IC-MPGN costs, a $1.6 million decrease in PNH, a $8.6 million decrease in ALS costs due to the discontinuation of the Phase 2 MERIDIAN study, and a $1.3 million decrease in other development and discovery program costs.</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decrease in compensation and related personnel costs of $34.5 million was driven by a $32.8 million decrease in salaries and benefits due to lower headcount compared to the prior year and a $1.7 million decrease in share-based compensation expense.</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$0.3 million to $501.1 million for the year ended December 31, 2024, from $500.8 million for the year ended December 31, 2023. The increase was primarily attributable to an increase of $2.1 million in office expenses, an increase of $1.7 million in factoring fees, an increase of $1.2 million in travel expenses, and an increase of $1.5 million in insurance expenses, which were partially offset by a decrease of $4.6 million in professional and consulting fees and a decrease in personnel related costs of $1.7 million. The decrease in personnel related costs of $1.7 million consisted of a $0.7 million decrease in recruiting expenses and a $10.6 million decrease in salaries and benefits, partially offset by a $9.7 million increase in share-based compensation expense.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December 31, 2024.</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$12.8 million for the year ended December 31, 2024, a decrease of $8.1 million, compared to $20.9 million for the year ended December 31, 2023. The decrease in interest income was primarily attributable to decreased investments and a decline in money market rates during the year ended December 31, 2024.</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$40.4 million for the year ended December 31, 2024, an increase of $10.8 million, compared to $29.6 million for the year ended December 31, 2023. The increase is primarily due to the interest incurred under the Credit Facility and was partially offset by a decrease in the balance of the development liability.</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expense was $2.2 million for the year ended December 31, 2024 as compared to other expense of $0.7 million for the year ended December 31, 2023. The increase was primarily due to foreign currency revaluation losses.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was $1.2 million for the year ended December 31, 2024 as compared to $2.1 million for the year ended December 31, 2023. The decrease is primarily due to state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89"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2023 compared to the year ended December 31, 2022 has been omitted from this Annual Report on Form 10-K but may be found in “Item 7. Management’s Discussion and Analysis of Financial Condition and Results of Operations” in our Annual Report on Form 10-K for the year ended December 31, 2023, filed with the SEC on February 27, 2024, as amended by Amendment No. 1 thereto filed with the SEC on February 29, 2024 (the “2023 Form 10-K”), which discussion is incorporated herein by reference, and which is available free of charge on the SECs website at www.sec.gov.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$401.5 million in payments and royalties from Sobi pursuant to our collaboration agreement, $532.5 million under various credit arrangements, including with Sixth Street and SFJ, and $98.8 million relating to the unwinding of the capped call transactions in March 2024, as well as from the proceeds of our operations.</w:t>
      </w:r>
    </w:p>
    <w:p>
      <w:pPr>
        <w:spacing w:after="0" w:line="13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Credit Facility matures on May 13, 2030 and bears interest at an annual rate equal to the 3-month Secured Overnight Financing Rate (SOFR) + 5.75% (subject to 1.00% floor). Certain additional commitment and undrawn amount fees are also payable in connection with the Credit Facility. We used the majority of the proceeds of the $375.0 million draw at closing to buy out our remaining obligations owed to SFJ, in the amount of approximately $326.5 million.</w:t>
      </w:r>
    </w:p>
    <w:p>
      <w:pPr>
        <w:spacing w:after="0" w:line="16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capitalization thresholds, and to have outstanding convertible unsecured notes in an amount equal to the greater of $400.0 million and 10% of our market capitalization, but not to exceed $600.0 million.</w:t>
      </w:r>
    </w:p>
    <w:p>
      <w:pPr>
        <w:spacing w:after="0" w:line="13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an agreement (the "Factoring Agreement") to sell certain accounts receivable to a third-party financial institution at a discount to the face value of the accounts receivable. Under the Factoring Agreement, the maximum amount of outstanding accounts receivables sold at any time is $100.0 million.</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year ended December 31, 2024.</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 For the period ended December 31, 2024 2,299,991 shares of common stocks were issued from the exercise of pre-funded warrants. As of December 31, 2024, pre-funded warrants to purchase 80,956 shares of our common stock were still outstanding.</w:t>
      </w:r>
    </w:p>
    <w:p>
      <w:pPr>
        <w:spacing w:after="0" w:line="165"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2024 or have been previously converted. The unwind transactions were settled at volume-weighted average price per share of $64.11, which resulted in cash proceeds to us of $98.8 million. As of December 31, 2024, the remaining capped call transactions had a notional amount corresponding to $93.9 million principal amount of Convertible Notes.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 2023:</w:t>
      </w:r>
    </w:p>
    <w:p>
      <w:pPr>
        <w:sectPr>
          <w:pgSz w:w="11900" w:h="16838" w:orient="portrait"/>
          <w:cols w:equalWidth="0" w:num="1">
            <w:col w:w="11220"/>
          </w:cols>
          <w:pgMar w:left="320" w:top="124" w:right="359" w:bottom="1440" w:gutter="0" w:footer="0" w:header="0"/>
        </w:sectPr>
      </w:pPr>
    </w:p>
    <w:p>
      <w:pPr>
        <w:spacing w:after="0" w:line="2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700" w:right="460"/>
        <w:spacing w:after="0" w:line="260"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-9525</wp:posOffset>
            </wp:positionV>
            <wp:extent cx="498919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3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(87,866</w:t>
            </w:r>
          </w:p>
        </w:tc>
        <w:tc>
          <w:tcPr>
            <w:tcW w:w="200" w:type="dxa"/>
            <w:vAlign w:val="bottom"/>
            <w:vMerge w:val="continue"/>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(594,735</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(403 )</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(659 )</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(200,775</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8" w:lineRule="exact"/>
        <w:rPr>
          <w:sz w:val="20"/>
          <w:szCs w:val="20"/>
          <w:color w:val="auto"/>
        </w:rPr>
      </w:pPr>
    </w:p>
    <w:p>
      <w:pPr>
        <w:sectPr>
          <w:pgSz w:w="11900" w:h="16838" w:orient="portrait"/>
          <w:cols w:equalWidth="0" w:num="2">
            <w:col w:w="6640" w:space="340"/>
            <w:col w:w="4240"/>
          </w:cols>
          <w:pgMar w:left="320" w:top="124" w:right="35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$87.9 million for the year ended December 31, 2024 and consisted primarily of a net loss of $197.9 million adjusted for $128.4 million of non-cash items, including share-based compensation expense of $114.1 million, depreciation expense of $1.8 million, loss on extinguishment of development liability of $1.9 million and accretion of discount to the development liability of $8.9 million. Further, it included a net increase in operating assets and liabilities of $18.4 million, which was driven by an increases in accounts receivable of $58.5 million, an increase in inventory of $10.8 million, a decrease in prepaid assets of $20.4 million, a decrease in other current assets of $10.8 million, an increase in accounts payable of $1.1 million, and an increase in accrued expenses of $18.2 million. The change in accounts receivable was primarily driven by the derecognition of certain accounts receivable under our Factoring Agreement.</w:t>
      </w:r>
    </w:p>
    <w:p>
      <w:pPr>
        <w:spacing w:after="0" w:line="148"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$594.7 million for the year ended December 31, 2023 and consisted primarily of a net loss of $528.6 million adjusted for $134.1 million of non-cash items, including share-based compensation expense of $105.9 million, depreciation expense of $1.8 million, accretion of discount to the development liability of $26.0 million and accretion of discounts for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convertible debt of $0.3 million. Further, it included a net increase in operating assets of $200.2 million, which was driven by increases in accounts receivable of $198.7 million, an increase in inventory of $60.6 million, and an increase in prepaid assets of $1.9 million, which was partially offset by an increase in accounts payable and accrued expenses of $35.1 million and a decrease in other assets of $25.9 million.</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$0.4 million due primarily to purchases of fixed assets.</w:t>
      </w:r>
    </w:p>
    <w:p>
      <w:pPr>
        <w:spacing w:after="0" w:line="18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$0.7 million due primarily to purchases of fixed assets and partially offset by proceeds from the sale of fixed assets.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$149.2 million during the year ended December 31, 2024 and consisted primarily of net proceeds from the initial draw of the Credit Facility of $358.2 million, the settlement of capped call unwind transactions of $98.8 million, $14.3 million of proceeds from the exercise of stock options and $4.5 million of proceeds from the issuance of our common stock under the employee stock purchase plan, partially offset by repayment of $326.5 million for the development liability.</w:t>
      </w:r>
    </w:p>
    <w:p>
      <w:pPr>
        <w:spacing w:after="0" w:line="13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$394.5 million during the year ended December 31, 2023 and consisted primarily of proceeds from the follow-on common stock and pre-funded warrant offering in March 2023 of $384.4 million, $71.3 million proceeds upon the exercise of stock options and $5.4 million proceeds from the issuance of our common stock under the employee stock purchase plan, partially offset by payments of $55.5 million for the development liability as well as the payments of employee tax withholding related to equity-based compensation of $11.0 million.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Together with the cash that we anticipate will be generated from sales of EMPAVELI and SYFOVRE, we expect that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595,778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Non-cancellable purchase commitments (3)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770,085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191,257</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68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8" w:lineRule="exact"/>
        <w:rPr>
          <w:sz w:val="20"/>
          <w:szCs w:val="20"/>
          <w:color w:val="auto"/>
        </w:rPr>
      </w:pPr>
    </w:p>
    <w:p>
      <w:pPr>
        <w:ind w:left="520" w:right="44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the credit facility outstanding as of December 31, 2024, applying contractual interest rate and assuming scheduled payments are paid as contractually required through maturity.</w:t>
      </w:r>
    </w:p>
    <w:p>
      <w:pPr>
        <w:ind w:left="520" w:right="60" w:hanging="512"/>
        <w:spacing w:after="0" w:line="26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long-term debt obligations under the debt outstanding as of December 31, 2024, applying contractual fixed interest rate and assuming scheduled payments are paid as contractually required through maturity.</w:t>
      </w:r>
    </w:p>
    <w:p>
      <w:pPr>
        <w:ind w:left="520" w:right="82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our obligations under supply agreements with Bachem and NOF as of December 31, 2024 and obligations under supply agreements with other vendors.</w:t>
      </w:r>
    </w:p>
    <w:p>
      <w:pPr>
        <w:ind w:left="520" w:right="400" w:hanging="512"/>
        <w:spacing w:after="0" w:line="26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5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contracts to conduct research and development activities with third parties which commit us to pay future milestone payments or to pay royalty fees if any of the research results in regulatory approval or commercial revenue for a product. The scope of the services under the research and development contracts can be modified and the contracts cancelled by us upon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written notice. In some instances, the contracts may be cancelled by the third party upon written notice. If we were to cancel these contracts, we would be required only to pay for activities incurred through termination date.</w:t>
      </w:r>
    </w:p>
    <w:p>
      <w:pPr>
        <w:spacing w:after="0" w:line="13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a license agreement with Penn for an exclusive, worldwide license to specified patent rights in the ophthalmic field of use. We are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we are obligated to pay a specified portion of income we receive from sublicensees.</w:t>
      </w:r>
    </w:p>
    <w:p>
      <w:pPr>
        <w:spacing w:after="0" w:line="14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April 2023, we paid $2.3 million for the achievement of a regulatory milestone as a result of the FDA approval of SYFOVRE in February 2023. In 2023, we incurred $5.0 million as a result of the achievement of sales milestones for SYFOVRE of which we paid $2.0 million in October 2023 and the remaining $3.0 million in January 2024.</w:t>
      </w:r>
    </w:p>
    <w:p>
      <w:pPr>
        <w:spacing w:after="0" w:line="135"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respectively, we have incurred royalty expense of $19.8 million and $8.9 million on sales of SYFOVRE, which is included in cost of sales on the consolidated statements of operations and comprehensive loss.</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a party to a license agreement with Penn for an exclusive, worldwide license to specified patent rights for the development and commercialization of products in nonophthalmic fields of use, as defined therein. We are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us to pay low single digit royalties based on net sales of each licensed product, subject to minimum quarterly royalty thresholds. In addition, we are obligated to pay a specified portion of income we receive from sublicensees.</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2021, we paid $25.0 million for a sublicense fee owed to Penn related to the Sobi collaboration agreement and another licensing transaction. In August 2021, we paid $1.0 million to Penn upon the achievement of a development milestone, net of a credit for the annual license maintenance payment. In June 2022, we paid an additional $5.0 million to Penn as a sublicense fee upon the achievement of a development milestone under the Sobi collaboration. In January 2023, we paid $1.0 million to Penn upon the achievement of a sales milestone for EMPAVELI in 2022. In January 2024, we paid $0.5 million for a sublicense fee owed to Penn related to Sobi obtaining regulatory approval in Japan. Additionally, in January 2024, we paid $1.5 million as a result of the achievement of a sales milestone for EMPAVELI and Aspaveli.</w:t>
      </w:r>
    </w:p>
    <w:p>
      <w:pPr>
        <w:spacing w:after="0" w:line="14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we have incurred royalty expense of $6.4 million, $4.8 million and $2.7 million, respectively, on sales of EMPAVELI and Aspaveli, which is included in cost of sales on the consolidated statements of operations and comprehensive loss.</w:t>
      </w:r>
    </w:p>
    <w:p>
      <w:pPr>
        <w:spacing w:after="0" w:line="13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 been satisfied.</w:t>
      </w:r>
    </w:p>
    <w:p>
      <w:pPr>
        <w:spacing w:after="0" w:line="13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certain non-cancelable purchase obligations related to the manufacturing of drug substance and drug product. We have agreed to purchase from Bachem Americas, Inc. a significant portion of its requirements for the pegcetacoplan drug substance. Under a commercial supply agreement with NOF Corporation ("NOF"), we have agreed to purchase activated polyethylene glycol derivative, or PEG, which is a component of pegcetacoplan. In September 2024, we terminated the minimum purchase obligation with NOF for 2025. Under these agreements, as of December 31, 2024 we are obligated to pay up to an aggregate of $45.7 million to these vendors. As a result of this termination, the Company incurred an expense of $6.4 million, which is included in cost of sales on the consolidated statements of operations and comprehensive loss. As the amount is not due until January 2026, it is included in other liabilities on the consolidated balance sheet as of December 31, 2024.</w:t>
      </w:r>
    </w:p>
    <w:p>
      <w:pPr>
        <w:spacing w:after="0" w:line="18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December 31, 2024, under which it is obligated to pay up to an aggregate of $10.7 million to vendors.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we had cash and cash equivalents of $411.3 million, consisting primarily of money market funds and U.S. treasury securities.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540" w:type="dxa"/>
            <w:vAlign w:val="bottom"/>
            <w:gridSpan w:val="6"/>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TABLE OF CONTENTS FOR FINANCIAL STATEMENTS</w:t>
            </w:r>
          </w:p>
        </w:tc>
        <w:tc>
          <w:tcPr>
            <w:tcW w:w="540" w:type="dxa"/>
            <w:vAlign w:val="bottom"/>
          </w:tcPr>
          <w:p>
            <w:pPr>
              <w:spacing w:after="0"/>
              <w:rPr>
                <w:sz w:val="24"/>
                <w:szCs w:val="24"/>
                <w:color w:val="auto"/>
              </w:rPr>
            </w:pPr>
          </w:p>
        </w:tc>
      </w:tr>
      <w:tr>
        <w:trPr>
          <w:trHeight w:val="391"/>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2024 and 2023 and for each of the three years in the period ended</w:t>
            </w:r>
          </w:p>
        </w:tc>
        <w:tc>
          <w:tcPr>
            <w:tcW w:w="540" w:type="dxa"/>
            <w:vAlign w:val="bottom"/>
          </w:tcPr>
          <w:p>
            <w:pPr>
              <w:spacing w:after="0"/>
              <w:rPr>
                <w:sz w:val="18"/>
                <w:szCs w:val="18"/>
                <w:color w:val="auto"/>
              </w:rPr>
            </w:pPr>
          </w:p>
        </w:tc>
      </w:tr>
      <w:tr>
        <w:trPr>
          <w:trHeight w:val="216"/>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40" w:type="dxa"/>
            <w:vAlign w:val="bottom"/>
          </w:tcPr>
          <w:p>
            <w:pPr>
              <w:spacing w:after="0"/>
              <w:rPr>
                <w:sz w:val="18"/>
                <w:szCs w:val="18"/>
                <w:color w:val="auto"/>
              </w:rPr>
            </w:pPr>
          </w:p>
        </w:tc>
      </w:tr>
      <w:tr>
        <w:trPr>
          <w:trHeight w:val="194"/>
        </w:trPr>
        <w:tc>
          <w:tcPr>
            <w:tcW w:w="4760" w:type="dxa"/>
            <w:vAlign w:val="bottom"/>
            <w:tcBorders>
              <w:bottom w:val="single" w:sz="8" w:color="0000EE"/>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940" w:type="dxa"/>
            <w:vAlign w:val="bottom"/>
            <w:gridSpan w:val="4"/>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874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2023 and 2022</w:t>
            </w:r>
          </w:p>
        </w:tc>
        <w:tc>
          <w:tcPr>
            <w:tcW w:w="19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868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period from January 1, 2022 to December 31, 2024</w:t>
            </w:r>
          </w:p>
        </w:tc>
        <w:tc>
          <w:tcPr>
            <w:tcW w:w="20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07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6920" w:type="dxa"/>
            <w:vAlign w:val="bottom"/>
            <w:tcBorders>
              <w:top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7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560"/>
        </w:trPr>
        <w:tc>
          <w:tcPr>
            <w:tcW w:w="3160" w:type="dxa"/>
            <w:vAlign w:val="bottom"/>
            <w:tcBorders>
              <w:top w:val="single" w:sz="8" w:color="0000FF"/>
            </w:tcBorders>
          </w:tcPr>
          <w:p>
            <w:pPr>
              <w:spacing w:after="0"/>
              <w:rPr>
                <w:sz w:val="24"/>
                <w:szCs w:val="24"/>
                <w:color w:val="auto"/>
              </w:rPr>
            </w:pPr>
          </w:p>
        </w:tc>
        <w:tc>
          <w:tcPr>
            <w:tcW w:w="376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108</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Apellis Pharmaceuticals,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Apellis Pharmaceuticals, Inc. and subsidiaries (the “Company”) as of December 31, 2024 and 2023, the related consolidated statements of operations and comprehensive loss, changes in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February 28,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Refer to Notes 2 and 4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inventory is valued at the lower of cost or net realizable value, which requires the Company to eliminate any intercompany profit in inventory. In addition, the Company performs an assessment of the recoverability of capitalized inventory during each reporting period and writes down any excess or obsolete inventories to their estimated realizable value. The determination of whether inventory costs will be realizable requires estimates by management. Provisions for slow-moving, excess or obsolete inventories are made based on the Company’s analysis of product dating, inventory levels, historical obsolescence and future sales forecasts.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identified the valuation of inventory as a critical audit matter due the extent of effort required by the Company to eliminate intercompany profit in inventory and the significant estimates and assumptions used by management to determine excess and obsolescence write downs, including the determination of expected future sales. This required a high degree of auditor judgment and an increased extent of effort when performing audit procedures to evaluate the methodology and the reasonableness of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valuation of inventory included the following, among others:</w:t>
      </w:r>
    </w:p>
    <w:p>
      <w:pPr>
        <w:sectPr>
          <w:pgSz w:w="11900" w:h="16838" w:orient="portrait"/>
          <w:cols w:equalWidth="0" w:num="1">
            <w:col w:w="11240"/>
          </w:cols>
          <w:pgMar w:left="320" w:top="124"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1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procedures to evaluate the reasonableness and consistency of management’s methods used to eliminate intercompany profit, which included testing the accuracy and completeness of underlying data used in management’s calculation;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independently recalculated the value of inventory to ensure the accuracy and completeness of intercompany profit eliminations;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estimate for excess and obsolete inventory by performing the following:</w:t>
      </w:r>
    </w:p>
    <w:p>
      <w:pPr>
        <w:spacing w:after="0" w:line="117"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reasonableness of management’s methods, assumptions, and judgments used in developing their estimate, which included consideration of expected future sales, product dating and historical obsolescence experience, and information obtained from the supply chain personnel regarding inventory at risk for excess and obsolescence.</w:t>
      </w:r>
    </w:p>
    <w:p>
      <w:pPr>
        <w:spacing w:after="0" w:line="67" w:lineRule="exact"/>
        <w:rPr>
          <w:rFonts w:ascii="Times New Roman" w:cs="Times New Roman" w:eastAsia="Times New Roman" w:hAnsi="Times New Roman"/>
          <w:sz w:val="18"/>
          <w:szCs w:val="18"/>
          <w:color w:val="auto"/>
        </w:rPr>
      </w:pPr>
    </w:p>
    <w:p>
      <w:pPr>
        <w:ind w:left="1540" w:right="3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the calculation of the excess and obsolete provision pursuant to the Company’s policy, on a sample basis, including the accuracy and completeness of the underlying data used in the Company’s calculation.</w:t>
      </w:r>
    </w:p>
    <w:p>
      <w:pPr>
        <w:spacing w:after="0" w:line="53" w:lineRule="exact"/>
        <w:rPr>
          <w:rFonts w:ascii="Times New Roman" w:cs="Times New Roman" w:eastAsia="Times New Roman" w:hAnsi="Times New Roman"/>
          <w:sz w:val="18"/>
          <w:szCs w:val="18"/>
          <w:color w:val="auto"/>
        </w:rPr>
      </w:pPr>
    </w:p>
    <w:p>
      <w:pPr>
        <w:ind w:left="1540" w:right="4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performed a retrospective review by comparing management’s prior year estimates of product revenues with actual product revenues in the current year to identify any potential bias.</w:t>
      </w:r>
    </w:p>
    <w:p>
      <w:pPr>
        <w:spacing w:after="0" w:line="53" w:lineRule="exact"/>
        <w:rPr>
          <w:rFonts w:ascii="Times New Roman" w:cs="Times New Roman" w:eastAsia="Times New Roman" w:hAnsi="Times New Roman"/>
          <w:sz w:val="18"/>
          <w:szCs w:val="18"/>
          <w:color w:val="auto"/>
        </w:rPr>
      </w:pPr>
    </w:p>
    <w:p>
      <w:pPr>
        <w:ind w:left="1540" w:right="8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held discussions with financial and operational management to determine whether any strategic, regulatory, or operational changes in the business were consistent with the projections of future demand that were utilized in estimating the provision recorded.</w:t>
      </w:r>
    </w:p>
    <w:p>
      <w:pPr>
        <w:spacing w:after="0" w:line="3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inventory valuation, including those over the estimation of provisions for excess and obsolete inventory and controls over the completeness and accuracy of the intercompany profit elimination.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788,954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inventory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credit facility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656,512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zero shares issued and outstanding at December 31, 2024 and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 at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2024 and 2023; 124,495 and 119,556 shares issued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outstanding at December 31, 2024 and 2023,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(3,308 )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(3,035,366 )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(2,837,488 )</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-2802255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709,954</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501,053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500,815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913,712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(164,979 )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(517,121 )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(594,613 )</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conversion of debt</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(32,890 )</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(1,949 )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(40,391 )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(29,581 )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(32,626 )</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(196,716 )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(526,496 )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(651,503 )</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(197,878 )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(528,628 )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(652,172 )</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(loss)/gain on marketable securities</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(loss)/gain on pension plans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(2,618 )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(2,667 )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(197,644 )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(531,295 )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(650,957 )</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2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Borders>
              <w:bottom w:val="single" w:sz="8" w:color="CFF0FC"/>
            </w:tcBorders>
            <w:shd w:val="clear" w:color="auto" w:fill="CFF0FC"/>
          </w:tcPr>
          <w:p>
            <w:pPr>
              <w:ind w:left="300"/>
              <w:spacing w:after="0" w:line="194" w:lineRule="exact"/>
              <w:rPr>
                <w:sz w:val="20"/>
                <w:szCs w:val="20"/>
                <w:color w:val="auto"/>
              </w:rPr>
            </w:pPr>
            <w:r>
              <w:rPr>
                <w:rFonts w:ascii="Times New Roman" w:cs="Times New Roman" w:eastAsia="Times New Roman" w:hAnsi="Times New Roman"/>
                <w:sz w:val="18"/>
                <w:szCs w:val="18"/>
                <w:color w:val="auto"/>
              </w:rPr>
              <w:t>loss per common share, basic and diluted</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-2682240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-2682240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-1276350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-1276350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-719455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-719455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-427990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-427990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96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980" w:type="dxa"/>
            <w:vAlign w:val="bottom"/>
          </w:tcPr>
          <w:p>
            <w:pPr>
              <w:jc w:val="right"/>
              <w:ind w:right="2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148"/>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20" w:type="dxa"/>
            <w:vAlign w:val="bottom"/>
            <w:gridSpan w:val="2"/>
          </w:tcPr>
          <w:p>
            <w:pPr>
              <w:jc w:val="right"/>
              <w:ind w:right="22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97,524</w:t>
            </w:r>
          </w:p>
        </w:tc>
        <w:tc>
          <w:tcPr>
            <w:tcW w:w="980" w:type="dxa"/>
            <w:vAlign w:val="bottom"/>
            <w:gridSpan w:val="2"/>
            <w:shd w:val="clear" w:color="auto" w:fill="CFF0FC"/>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1,857,430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(2,090 )</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(1,656,688 )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198,662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common stock in follow-on offering, net of offering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380,119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380,120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8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shares in exchange of Convertible Notes, including</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129,636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129,636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Forfeiture of accrued interest in exchange of Convertible Notes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(5,682 )</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(5,682 )</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91,085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91,085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pension benefit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(652,172 )</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(652,172 )</w:t>
            </w: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(430 )</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(430 )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110,772</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2,479,596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(875 )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(2,308,860 )</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in common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384,386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offering</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(11,040 )</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(11,040 )</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pension benefit plan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(2,618 )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(2,618 )</w:t>
            </w:r>
          </w:p>
        </w:tc>
        <w:tc>
          <w:tcPr>
            <w:tcW w:w="0" w:type="dxa"/>
            <w:vAlign w:val="bottom"/>
          </w:tcPr>
          <w:p>
            <w:pPr>
              <w:spacing w:after="0"/>
              <w:rPr>
                <w:sz w:val="1"/>
                <w:szCs w:val="1"/>
                <w:color w:val="auto"/>
              </w:rPr>
            </w:pPr>
          </w:p>
        </w:tc>
      </w:tr>
      <w:tr>
        <w:trPr>
          <w:trHeight w:val="149"/>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(528,628 )</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(528,628 )</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119,556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3,035,539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(3,542 )</w:t>
            </w:r>
          </w:p>
        </w:tc>
        <w:tc>
          <w:tcPr>
            <w:tcW w:w="80" w:type="dxa"/>
            <w:vAlign w:val="bottom"/>
          </w:tcPr>
          <w:p>
            <w:pPr>
              <w:spacing w:after="0"/>
              <w:rPr>
                <w:sz w:val="12"/>
                <w:szCs w:val="12"/>
                <w:color w:val="auto"/>
              </w:rPr>
            </w:pPr>
          </w:p>
        </w:tc>
        <w:tc>
          <w:tcPr>
            <w:tcW w:w="112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(2,837,488 )</w:t>
            </w: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settlement of capped call</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pension benefit plan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(197,878 )</w:t>
            </w:r>
          </w:p>
        </w:tc>
        <w:tc>
          <w:tcPr>
            <w:tcW w:w="1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(197,878 )</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(357 )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42"/>
        </w:trPr>
        <w:tc>
          <w:tcPr>
            <w:tcW w:w="408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124,495</w:t>
            </w:r>
          </w:p>
        </w:tc>
        <w:tc>
          <w:tcPr>
            <w:tcW w:w="220" w:type="dxa"/>
            <w:vAlign w:val="bottom"/>
            <w:tcBorders>
              <w:top w:val="single" w:sz="8" w:color="CFF0FC"/>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3,267,201</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(3,308</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(3,035,366</w:t>
            </w:r>
          </w:p>
        </w:tc>
        <w:tc>
          <w:tcPr>
            <w:tcW w:w="22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228,539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-1079500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-1079500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-1079500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-1079500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-1079500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-128270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-128270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-128270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tbl>
      <w:tblPr>
        <w:tblLayout w:type="fixed"/>
        <w:tblInd w:w="58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(197,878 )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(528,628 )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(652,172 )</w:t>
            </w: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91,085</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conversion of debt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32,890</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development liability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Forfeiture of accrued interest in exchange of convertible notes</w:t>
            </w:r>
          </w:p>
        </w:tc>
        <w:tc>
          <w:tcPr>
            <w:tcW w:w="280" w:type="dxa"/>
            <w:vAlign w:val="bottom"/>
          </w:tcPr>
          <w:p>
            <w:pPr>
              <w:spacing w:after="0"/>
              <w:rPr>
                <w:sz w:val="17"/>
                <w:szCs w:val="17"/>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discounts for credit facility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discounts for convertible notes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to development liability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26,917</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(58,484 )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(198,715 )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(10,755 )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(60,647 )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(69,397 )</w:t>
            </w:r>
          </w:p>
        </w:tc>
      </w:tr>
      <w:tr>
        <w:trPr>
          <w:trHeight w:val="203"/>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(1,870 )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(11,479 )</w:t>
            </w:r>
          </w:p>
        </w:tc>
      </w:tr>
      <w:tr>
        <w:trPr>
          <w:trHeight w:val="203"/>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32,936</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17,490</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Right-of-use assets and lease liabilities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(277 )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r>
      <w:tr>
        <w:trPr>
          <w:trHeight w:val="203"/>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34,950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(6,312 )</w:t>
            </w:r>
          </w:p>
        </w:tc>
      </w:tr>
      <w:tr>
        <w:trPr>
          <w:trHeight w:val="20"/>
        </w:trPr>
        <w:tc>
          <w:tcPr>
            <w:tcW w:w="5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Pr>
          <w:p>
            <w:pPr>
              <w:spacing w:after="0"/>
              <w:rPr>
                <w:sz w:val="17"/>
                <w:szCs w:val="17"/>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(87,866 )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(594,735 )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(513,745 )</w:t>
            </w: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tcPr>
          <w:p>
            <w:pPr>
              <w:spacing w:after="0"/>
              <w:rPr>
                <w:sz w:val="17"/>
                <w:szCs w:val="17"/>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(403 )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(773 )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(1,524 )</w:t>
            </w: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available-for-sale securities</w:t>
            </w:r>
          </w:p>
        </w:tc>
        <w:tc>
          <w:tcPr>
            <w:tcW w:w="280" w:type="dxa"/>
            <w:vAlign w:val="bottom"/>
          </w:tcPr>
          <w:p>
            <w:pPr>
              <w:spacing w:after="0"/>
              <w:rPr>
                <w:sz w:val="17"/>
                <w:szCs w:val="17"/>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(331,863 )</w:t>
            </w:r>
          </w:p>
        </w:tc>
      </w:tr>
      <w:tr>
        <w:trPr>
          <w:trHeight w:val="203"/>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maturity of available-for-sale securities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393,280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Pr>
          <w:p>
            <w:pPr>
              <w:spacing w:after="0"/>
              <w:rPr>
                <w:sz w:val="17"/>
                <w:szCs w:val="17"/>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(403 )</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59,893</w:t>
            </w:r>
          </w:p>
        </w:tc>
        <w:tc>
          <w:tcPr>
            <w:tcW w:w="100" w:type="dxa"/>
            <w:vAlign w:val="bottom"/>
          </w:tcPr>
          <w:p>
            <w:pPr>
              <w:spacing w:after="0"/>
              <w:rPr>
                <w:sz w:val="17"/>
                <w:szCs w:val="17"/>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of issuance cost for credit facility</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(7,214 )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development liability</w:t>
            </w:r>
          </w:p>
        </w:tc>
        <w:tc>
          <w:tcPr>
            <w:tcW w:w="280" w:type="dxa"/>
            <w:vAlign w:val="bottom"/>
          </w:tcPr>
          <w:p>
            <w:pPr>
              <w:spacing w:after="0"/>
              <w:rPr>
                <w:sz w:val="17"/>
                <w:szCs w:val="17"/>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(326,533 )</w:t>
            </w: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settlement of capped call</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98,763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80" w:type="dxa"/>
            <w:vAlign w:val="bottom"/>
          </w:tcPr>
          <w:p>
            <w:pPr>
              <w:spacing w:after="0"/>
              <w:rPr>
                <w:sz w:val="17"/>
                <w:szCs w:val="17"/>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380,120</w:t>
            </w:r>
          </w:p>
        </w:tc>
        <w:tc>
          <w:tcPr>
            <w:tcW w:w="100" w:type="dxa"/>
            <w:vAlign w:val="bottom"/>
          </w:tcPr>
          <w:p>
            <w:pPr>
              <w:spacing w:after="0"/>
              <w:rPr>
                <w:sz w:val="17"/>
                <w:szCs w:val="17"/>
                <w:color w:val="auto"/>
              </w:rPr>
            </w:pPr>
          </w:p>
        </w:tc>
      </w:tr>
      <w:tr>
        <w:trPr>
          <w:trHeight w:val="18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pre-funded warrant offering,</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of issuance costs</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development liability</w:t>
            </w:r>
          </w:p>
        </w:tc>
        <w:tc>
          <w:tcPr>
            <w:tcW w:w="280" w:type="dxa"/>
            <w:vAlign w:val="bottom"/>
          </w:tcPr>
          <w:p>
            <w:pPr>
              <w:spacing w:after="0"/>
              <w:rPr>
                <w:sz w:val="17"/>
                <w:szCs w:val="17"/>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(55,500 )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(34,500 )</w:t>
            </w: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71,274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21,483</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share purchase plan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Payments of employee tax withholding related to equity-based compensation</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(57 )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(11,040 )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(5,682 )</w:t>
            </w:r>
          </w:p>
        </w:tc>
      </w:tr>
      <w:tr>
        <w:trPr>
          <w:trHeight w:val="196"/>
        </w:trPr>
        <w:tc>
          <w:tcPr>
            <w:tcW w:w="59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149,241</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394,499</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365,659</w:t>
            </w:r>
          </w:p>
        </w:tc>
        <w:tc>
          <w:tcPr>
            <w:tcW w:w="100" w:type="dxa"/>
            <w:vAlign w:val="bottom"/>
            <w:tcBorders>
              <w:top w:val="single" w:sz="8" w:color="CFF0FC"/>
            </w:tcBorders>
          </w:tcPr>
          <w:p>
            <w:pPr>
              <w:spacing w:after="0"/>
              <w:rPr>
                <w:sz w:val="17"/>
                <w:szCs w:val="17"/>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(659 )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(488 )</w:t>
            </w: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(200,775 )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(88,681 )</w:t>
            </w:r>
          </w:p>
        </w:tc>
      </w:tr>
      <w:tr>
        <w:trPr>
          <w:trHeight w:val="20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352,299</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553,074</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641,755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412,612</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352,299</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553,074</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-3171190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-3171190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-3171190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-2382520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-2382520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-2382520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-693420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-693420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-161925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-161925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4" w:right="8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664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38"/>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411,290</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351,185</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551,801</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412,612</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352,299</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553,074</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5,003</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4,915</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income tax refunds net of 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Notes exchanged for common stock</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98,086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-856615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-856615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3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3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Company’s operations since inception have included organizing and staffing the Company, acquiring rights to product candidates, business planning, raising capital, developing its product candidates, commercializing EMPAVELI (pegcetacoplan) for the treatment of paroxysmal nocturnal hemoglobinuria (“PNH”) and commercializing SYFOVRE (pegcetacoplan injection) for the treatment of geographic atrophy secondary to age-related macular degeneration (“GA”).</w:t>
      </w:r>
    </w:p>
    <w:p>
      <w:pPr>
        <w:spacing w:after="0" w:line="13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22, 2023, the Company issued and sold 4,007,936 shares of common stock and, in lieu of common stock to investor who so chose, pre-funded warrants to purchase 2,380,956 shares of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The Company received total net proceeds of $384.4 million, after deducting underwriting discounts and commissions of $18.8 million and offering costs of $0.3 million. For the period ended December 31, 2024, 2,299,991 shares of common stock were issued from the exercise of pre-funded warrants. As of December 31, 2024, the Company has pre-funded warrants to purchase 80,956 shares of our common stock outstanding.</w:t>
      </w:r>
    </w:p>
    <w:p>
      <w:pPr>
        <w:spacing w:after="0" w:line="1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28, 2022, the Company issued and sold 8,563,830 shares of its common stock at a price per share to the public of $47.00 in a follow-on public offering including an additional 1,117,021 shares of its common stock that were sold at the follow-on public offering price of $47.00 per share pursuant to the underwriters’ agreement in full exercise of their option to purchase additional shares of common stock. The Company received net proceeds of approximately $380.1 million after deducting underwriting discounts and commissions of approximately $22.1 million and offering costs of $0.3 million for these transactions.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From inception to December 31, 2024, the Company has incurred cash outflows from operations, losses from operations, and had an accumulated deficit of $3.0 billion, primarily as a result of expenses incurred through a combination of research and development activities related to the Company’s various product candidates and expenses supporting those activities and expenses incurred in connection with product launches and commercialization costs.</w:t>
      </w:r>
    </w:p>
    <w:p>
      <w:pPr>
        <w:spacing w:after="0" w:line="15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its cash and cash equivalents of $411.3 million at December 31, 2024 combined with cash anticipated to be generated from sales of EMPAVELI and from SYFOVRE will be sufficient to fund its operations and capital expenditure requirements for at least twelve months from the date of issuance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balances and transactions have been eliminated in consolidation. The consolidated financial statements have been prepared in conformity with accounting principles generally accepted in the United States (“U.S. GAAP”) and following the requirements of the Securities and Exchange Commission (the “SEC”).</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revenues consist of product sales of EMPAVELI and SYFOVRE and revenue derived from its collaboration arrangement with Sobi.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License and Collaboration Agreements for further discussion related to the Sobi Collaboration and License Agreement.</w:t>
      </w:r>
    </w:p>
    <w:p>
      <w:pPr>
        <w:spacing w:after="0" w:line="164" w:lineRule="exact"/>
        <w:rPr>
          <w:sz w:val="20"/>
          <w:szCs w:val="20"/>
          <w:color w:val="auto"/>
        </w:rPr>
      </w:pPr>
    </w:p>
    <w:p>
      <w:pPr>
        <w:ind w:right="80" w:firstLine="4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contracts with its customers in accordance with ASC Topic 606,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58" w:lineRule="exact"/>
        <w:rPr>
          <w:sz w:val="20"/>
          <w:szCs w:val="20"/>
          <w:color w:val="auto"/>
        </w:rPr>
      </w:pPr>
    </w:p>
    <w:p>
      <w:pPr>
        <w:ind w:right="20" w:firstLine="424"/>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89" w:lineRule="exact"/>
        <w:rPr>
          <w:sz w:val="20"/>
          <w:szCs w:val="20"/>
          <w:color w:val="auto"/>
        </w:rPr>
      </w:pPr>
    </w:p>
    <w:p>
      <w:pPr>
        <w:ind w:right="100" w:firstLine="433"/>
        <w:spacing w:after="0" w:line="258" w:lineRule="auto"/>
        <w:rPr>
          <w:sz w:val="20"/>
          <w:szCs w:val="20"/>
          <w:color w:val="auto"/>
        </w:rPr>
      </w:pPr>
      <w:r>
        <w:rPr>
          <w:rFonts w:ascii="Times New Roman" w:cs="Times New Roman" w:eastAsia="Times New Roman" w:hAnsi="Times New Roman"/>
          <w:sz w:val="18"/>
          <w:szCs w:val="18"/>
          <w:color w:val="auto"/>
        </w:rPr>
        <w:t>The Company’s revenue from net product sales was generated in the United States following the FDA’s approval for marketing of EMPAVELI for the treatment of PNH in May 2021 and SYFOVRE in February 2023. The Company sells EMPAVELI and SYFOVRE principally through arrangements with specialty pharmacies (“SPs”) and specialty distributors (“SDs”), who are the Company’s customers. The customers subsequently resell the product to patients and health care providers. The Company applies the ASC 606 five step process discussed above to the contracts with SPs and SDs. Product revenues are recognized when the customers take control of the product, which typically occurs upon delivery to the customers.</w:t>
      </w:r>
    </w:p>
    <w:p>
      <w:pPr>
        <w:spacing w:after="0" w:line="156" w:lineRule="exact"/>
        <w:rPr>
          <w:sz w:val="20"/>
          <w:szCs w:val="20"/>
          <w:color w:val="auto"/>
        </w:rPr>
      </w:pPr>
    </w:p>
    <w:p>
      <w:pPr>
        <w:ind w:right="60" w:firstLine="433"/>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Fees</w:t>
      </w:r>
    </w:p>
    <w:p>
      <w:pPr>
        <w:spacing w:after="0" w:line="187" w:lineRule="exact"/>
        <w:rPr>
          <w:sz w:val="20"/>
          <w:szCs w:val="20"/>
          <w:color w:val="auto"/>
        </w:rPr>
      </w:pPr>
    </w:p>
    <w:p>
      <w:pPr>
        <w:ind w:right="40" w:firstLine="433"/>
        <w:spacing w:after="0" w:line="266" w:lineRule="auto"/>
        <w:rPr>
          <w:sz w:val="20"/>
          <w:szCs w:val="20"/>
          <w:color w:val="auto"/>
        </w:rPr>
      </w:pPr>
      <w:r>
        <w:rPr>
          <w:rFonts w:ascii="Times New Roman" w:cs="Times New Roman" w:eastAsia="Times New Roman" w:hAnsi="Times New Roman"/>
          <w:sz w:val="18"/>
          <w:szCs w:val="18"/>
          <w:color w:val="auto"/>
        </w:rPr>
        <w:t>Distribution Fees: Distribution fees include distribution service fees paid to SDs based on a contractually fixed percentage of the wholesale acquisition cost (WAC). These fees are directly related to the storage, handling and distribution of product to customers, and are therefore inseparable from the product. Distribution fees are recorded as an offset to revenue based on contractual terms at the time revenue from the sale is recognized.</w:t>
      </w:r>
    </w:p>
    <w:p>
      <w:pPr>
        <w:spacing w:after="0" w:line="149"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8"/>
          <w:szCs w:val="18"/>
          <w:color w:val="auto"/>
        </w:rPr>
        <w:t>Credit Card Fees: SDs will sell downstream to customers who may pay for product via credit card. The Company will reimburse its SDs for the credit card fees incurred as a result of SDs accepting credit cards as a form of payment from the downstream customers. Credit card fees are recorded as an offset to revenue based on the average aggregate credit card rate as a percentage of SD sales at the time revenue from the sale is recognized.</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Patient Assistance</w:t>
      </w:r>
    </w:p>
    <w:p>
      <w:pPr>
        <w:spacing w:after="0" w:line="187" w:lineRule="exact"/>
        <w:rPr>
          <w:sz w:val="20"/>
          <w:szCs w:val="20"/>
          <w:color w:val="auto"/>
        </w:rPr>
      </w:pPr>
    </w:p>
    <w:p>
      <w:pPr>
        <w:ind w:right="400" w:firstLine="433"/>
        <w:spacing w:after="0" w:line="282" w:lineRule="auto"/>
        <w:rPr>
          <w:sz w:val="20"/>
          <w:szCs w:val="20"/>
          <w:color w:val="auto"/>
        </w:rPr>
      </w:pPr>
      <w:r>
        <w:rPr>
          <w:rFonts w:ascii="Times New Roman" w:cs="Times New Roman" w:eastAsia="Times New Roman" w:hAnsi="Times New Roman"/>
          <w:sz w:val="18"/>
          <w:szCs w:val="18"/>
          <w:color w:val="auto"/>
        </w:rPr>
        <w:t>Copay: Other incentives include voluntary patient assistance programs, such as the Company's co-pay assistance program, which are intended to provide financial assistance to qualified commercially-insured patients with prescription drug co-payments required by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payors. The adjustments are recorded in the same period the related revenue is recognized, resulting in a reduction of product revenue and the establishment of a current liability.</w:t>
      </w:r>
    </w:p>
    <w:p>
      <w:pPr>
        <w:spacing w:after="0" w:line="135" w:lineRule="exact"/>
        <w:rPr>
          <w:sz w:val="20"/>
          <w:szCs w:val="20"/>
          <w:color w:val="auto"/>
        </w:rPr>
      </w:pPr>
    </w:p>
    <w:p>
      <w:pPr>
        <w:ind w:right="300" w:firstLine="433"/>
        <w:spacing w:after="0" w:line="282" w:lineRule="auto"/>
        <w:rPr>
          <w:sz w:val="20"/>
          <w:szCs w:val="20"/>
          <w:color w:val="auto"/>
        </w:rPr>
      </w:pPr>
      <w:r>
        <w:rPr>
          <w:rFonts w:ascii="Times New Roman" w:cs="Times New Roman" w:eastAsia="Times New Roman" w:hAnsi="Times New Roman"/>
          <w:sz w:val="18"/>
          <w:szCs w:val="18"/>
          <w:color w:val="auto"/>
        </w:rPr>
        <w:t>The Company also estimates the number of patients in the prescription drug coverage gap for whom the Company will owe an additional liability under the Medicare Part D program.</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87"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8"/>
          <w:szCs w:val="18"/>
          <w:color w:val="auto"/>
        </w:rPr>
        <w:t>Government Rebates: The Company’s products are subject to pricing limits under certain federal government programs. Qualifying entities (i.e., end-users) purchase products from the Company’s customers at their qualifying discounted price. The chargeback amount the Company incurs represents the difference between the Company’s contractual sales price to the customer, and the end-user’s applicable discounted purchase price under the government program.</w:t>
      </w:r>
    </w:p>
    <w:p>
      <w:pPr>
        <w:spacing w:after="0" w:line="153" w:lineRule="exact"/>
        <w:rPr>
          <w:sz w:val="20"/>
          <w:szCs w:val="20"/>
          <w:color w:val="auto"/>
        </w:rPr>
      </w:pPr>
    </w:p>
    <w:p>
      <w:pPr>
        <w:ind w:right="160" w:firstLine="433"/>
        <w:spacing w:after="0" w:line="289" w:lineRule="auto"/>
        <w:rPr>
          <w:sz w:val="20"/>
          <w:szCs w:val="20"/>
          <w:color w:val="auto"/>
        </w:rPr>
      </w:pPr>
      <w:r>
        <w:rPr>
          <w:rFonts w:ascii="Times New Roman" w:cs="Times New Roman" w:eastAsia="Times New Roman" w:hAnsi="Times New Roman"/>
          <w:sz w:val="17"/>
          <w:szCs w:val="17"/>
          <w:color w:val="auto"/>
        </w:rPr>
        <w:t>Other Rebates: The Company contracts with certain payor organizations, primarily group purchasing organizations ("GPOs") and pharmacy benefit managers, for the payment of rebates with respect to utilization of the Company's products. The Company estimates these rebates and records such estimates in the same period the related revenue is recognized, resulting in a reduction of product revenue and the establishment of a current liability.</w:t>
      </w:r>
    </w:p>
    <w:p>
      <w:pPr>
        <w:spacing w:after="0" w:line="117" w:lineRule="exact"/>
        <w:rPr>
          <w:sz w:val="20"/>
          <w:szCs w:val="20"/>
          <w:color w:val="auto"/>
        </w:rPr>
      </w:pPr>
    </w:p>
    <w:p>
      <w:pPr>
        <w:ind w:right="60" w:firstLine="433"/>
        <w:spacing w:after="0" w:line="282" w:lineRule="auto"/>
        <w:rPr>
          <w:sz w:val="20"/>
          <w:szCs w:val="20"/>
          <w:color w:val="auto"/>
        </w:rPr>
      </w:pPr>
      <w:r>
        <w:rPr>
          <w:rFonts w:ascii="Times New Roman" w:cs="Times New Roman" w:eastAsia="Times New Roman" w:hAnsi="Times New Roman"/>
          <w:sz w:val="18"/>
          <w:szCs w:val="18"/>
          <w:color w:val="auto"/>
        </w:rPr>
        <w:t>Group purchasing organizations purchase from SDs at a discounted price. SDs charge back to the Company the difference between the price initially paid by SDs and the discounted price paid to SDs by the GPOs. The Company issues credit notes for the chargeback which are applied to future sales.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00" w:lineRule="exact"/>
        <w:rPr>
          <w:sz w:val="20"/>
          <w:szCs w:val="20"/>
          <w:color w:val="auto"/>
        </w:rPr>
      </w:pPr>
    </w:p>
    <w:p>
      <w:pPr>
        <w:ind w:right="80" w:firstLine="433"/>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offers SPs and SDs limited product return rights for shipment errors or expiring or defective products;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SPs and SDs and has visibility into the inventory distribution channel, it is able to make a reasonable estimate of future potential product returns based on this on-hand channel inventory data and sell-through data obtained from SPs and SDs. In arriving at its estimate for product returns, the Company also considers historical product returns (to the extent available) and the underlying product demand.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187" w:lineRule="exact"/>
        <w:rPr>
          <w:sz w:val="20"/>
          <w:szCs w:val="20"/>
          <w:color w:val="auto"/>
        </w:rPr>
      </w:pPr>
    </w:p>
    <w:p>
      <w:pPr>
        <w:ind w:right="80" w:firstLine="499"/>
        <w:spacing w:after="0" w:line="256" w:lineRule="auto"/>
        <w:rPr>
          <w:sz w:val="20"/>
          <w:szCs w:val="20"/>
          <w:color w:val="auto"/>
        </w:rPr>
      </w:pPr>
      <w:r>
        <w:rPr>
          <w:rFonts w:ascii="Times New Roman" w:cs="Times New Roman" w:eastAsia="Times New Roman" w:hAnsi="Times New Roman"/>
          <w:sz w:val="18"/>
          <w:szCs w:val="18"/>
          <w:color w:val="auto"/>
        </w:rPr>
        <w:t xml:space="preserve">The Company analyzes license and collaboration arrangements pursuant to FASB ASC Topic 808, </w:t>
      </w:r>
      <w:r>
        <w:rPr>
          <w:rFonts w:ascii="Times New Roman" w:cs="Times New Roman" w:eastAsia="Times New Roman" w:hAnsi="Times New Roman"/>
          <w:sz w:val="18"/>
          <w:szCs w:val="18"/>
          <w:i w:val="1"/>
          <w:iCs w:val="1"/>
          <w:color w:val="auto"/>
        </w:rPr>
        <w:t>Collaborative Arrangement Guidance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Considerations, </w:t>
      </w:r>
      <w:r>
        <w:rPr>
          <w:rFonts w:ascii="Times New Roman" w:cs="Times New Roman" w:eastAsia="Times New Roman" w:hAnsi="Times New Roman"/>
          <w:sz w:val="18"/>
          <w:szCs w:val="18"/>
          <w:color w:val="auto"/>
        </w:rPr>
        <w:t>(“ASC 808”) to assess whether such arrangements, or transactions between arrangement participants, involve joint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guidance or if they are more reflective of a vendor-customer relationship and, therefore, within the scope of ASC 606. This assessment is performed throughout the life of the arrangement based on changes in the responsibilities of all parties in the arrangement.</w:t>
      </w:r>
    </w:p>
    <w:p>
      <w:pPr>
        <w:spacing w:after="0" w:line="158" w:lineRule="exact"/>
        <w:rPr>
          <w:sz w:val="20"/>
          <w:szCs w:val="20"/>
          <w:color w:val="auto"/>
        </w:rPr>
      </w:pPr>
    </w:p>
    <w:p>
      <w:pPr>
        <w:ind w:right="160" w:firstLine="499"/>
        <w:spacing w:after="0" w:line="261"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guidance in ASC 606,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in a separate line item from revenue recognized from contracts with customers, if any, in the consolidated statements of operations.</w:t>
      </w:r>
    </w:p>
    <w:p>
      <w:pPr>
        <w:spacing w:after="0" w:line="139" w:lineRule="exact"/>
        <w:rPr>
          <w:sz w:val="20"/>
          <w:szCs w:val="20"/>
          <w:color w:val="auto"/>
        </w:rPr>
      </w:pPr>
    </w:p>
    <w:p>
      <w:pPr>
        <w:ind w:right="140" w:firstLine="499"/>
        <w:spacing w:after="0" w:line="266" w:lineRule="auto"/>
        <w:rPr>
          <w:sz w:val="20"/>
          <w:szCs w:val="20"/>
          <w:color w:val="auto"/>
        </w:rPr>
      </w:pPr>
      <w:r>
        <w:rPr>
          <w:rFonts w:ascii="Times New Roman" w:cs="Times New Roman" w:eastAsia="Times New Roman" w:hAnsi="Times New Roman"/>
          <w:sz w:val="18"/>
          <w:szCs w:val="18"/>
          <w:color w:val="auto"/>
        </w:rPr>
        <w:t>Pursuant to ASC 606, for arrangements or transactions between arrangement participants determined to be within the scope of the contracts with customers guidance, the Company performs the five-step process discussed above to determine the appropriate amount of revenue to be recognized as the Company fulfills its obligations.</w:t>
      </w:r>
    </w:p>
    <w:p>
      <w:pPr>
        <w:spacing w:after="0" w:line="135" w:lineRule="exact"/>
        <w:rPr>
          <w:sz w:val="20"/>
          <w:szCs w:val="20"/>
          <w:color w:val="auto"/>
        </w:rPr>
      </w:pPr>
    </w:p>
    <w:p>
      <w:pPr>
        <w:ind w:firstLine="499"/>
        <w:spacing w:after="0" w:line="255" w:lineRule="auto"/>
        <w:rPr>
          <w:sz w:val="20"/>
          <w:szCs w:val="20"/>
          <w:color w:val="auto"/>
        </w:rPr>
      </w:pPr>
      <w:r>
        <w:rPr>
          <w:rFonts w:ascii="Times New Roman" w:cs="Times New Roman" w:eastAsia="Times New Roman" w:hAnsi="Times New Roman"/>
          <w:sz w:val="18"/>
          <w:szCs w:val="18"/>
          <w:color w:val="auto"/>
        </w:rPr>
        <w:t>We evaluate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The Company utilizes either the most likely amount method or expected value method to estimate the amount expected to be received based on which method best predicts the amount expected to be received. The amount of variable consideration that is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transaction price may be constrained and is included in the transaction price only to the extent that it is probable that a significant reversal in the amount of the cumulative revenue recognized will not occur in a future period.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Company has not currently identified any such material rights.</w:t>
      </w:r>
    </w:p>
    <w:p>
      <w:pPr>
        <w:spacing w:after="0" w:line="153"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135" w:lineRule="exact"/>
        <w:rPr>
          <w:sz w:val="20"/>
          <w:szCs w:val="20"/>
          <w:color w:val="auto"/>
        </w:rPr>
      </w:pPr>
    </w:p>
    <w:p>
      <w:pPr>
        <w:ind w:right="120" w:firstLine="499"/>
        <w:spacing w:after="0" w:line="282" w:lineRule="auto"/>
        <w:rPr>
          <w:sz w:val="20"/>
          <w:szCs w:val="20"/>
          <w:color w:val="auto"/>
        </w:rPr>
      </w:pPr>
      <w:r>
        <w:rPr>
          <w:rFonts w:ascii="Times New Roman" w:cs="Times New Roman" w:eastAsia="Times New Roman" w:hAnsi="Times New Roman"/>
          <w:sz w:val="18"/>
          <w:szCs w:val="18"/>
          <w:color w:val="auto"/>
        </w:rPr>
        <w:t>After contract inception, the transaction price is reassessed at every period end and updated for changes such as resolution of uncertain events. Any change in the overall transaction price is allocated to the performance obligations on the same methodology as at contract inception.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in assessing performance. The Company’s chief operating decision maker (“CODM”) is the chief executive officer (“CEO”). The Company manages its operations as a single operating segment. See Note 17, Segment Information, for additional information.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accrued research and development expenses, reserves for variable consideration and reserves for excess or obsolete inventories.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prioritize valuation inputs based upon the observable nature of those inputs as follows: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left="1420" w:right="40" w:hanging="935"/>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 addition to those presented in Note 8, Long-term Debt, and Note 10, Fair Value Measurements, include cash and cash equivalents, accounts payable and accrued liabilities. Management believes that the carrying amounts of cash and cash equivalents, accounts payable and accrued expenses approximate the fair value due to the short-term nature of those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and cash equivalents are defined as cash in banks and investment instruments having maturities of three months or less from their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primarily arise from product sales. They are generally stated at the invoiced amount and do not bear interest. The accounts receivable from product sales represents receivables due from the Company’s SPs or SDs. The Company has had no historical write offs of its accounts receivable as of December 31, 2024 and 2023, and its payment terms are generally 30-65 days for EMPAVELI and 60-150 days for SYFOVRE. The Company monitors the financial performance and creditworthiness of its customers and provides reserves against trade receivables for expected credit losses that may result from a customer’s inability to pay. Amounts determined to be uncollectible are written-off against the established reserve. As of December 31, 2024 and December 31, 2023, the credit profiles for the Company’s customers were deemed to be in good standing and an allowance for credit losses was not considered necessary.</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an agreement (the “Factoring Agreement”) to sell certain trade accounts receivable to a third-party financial institution at a discount to the invoiced amount. Under the Factoring Agreement, the maximum amount of outstanding accounts receivables sold at any time is $100.0 million. The Company accounts for the transfer of trade accounts receivable under the Factoring Agreement as a sale in accordance with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because effective control and risk associated with the transferred accounts receivable is passed to the third-party.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derecognizes the sold trade accounts receivable from the consolidated balance sheets. Cash proceeds related to the accounts receivable sold are included in cash from operating activities in the consolidated statements of cash flows. Any discounts or fees incurred in connection with the sales are recorded within “Selling, general and administrative expenses" in the consolidated statements of operations and comprehensive loss. Pursuant to the Factoring Agreement, the Company performs certain collection and administrative functions for the receivable sold. The fair value of these administrative services is not material and therefore, the Company has not recorded any servicing assets or liabilities associated with the Factoring Agreement. See Note 3, Product Revenues, Accounts Receivable, and Reserves for Product Sales, for additional information.</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labor, overhead and freight. The Company performs an assessment of the recoverability of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Provisions for potentially obsolete or slow-moving inventory, are made based on the Company’s analysis of product dating, inventory levels, historical obsolescence and future sales forecasts. If actual market conditions are less favorable than projected by management, additional write-downs of inventory may be required which would be recorded as a cost of sales in the consolidated statements of operations and comprehensive loss.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not expected to be sold within the Company’s normal operating cycle is classified as long-term inventory on the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w:t>
      </w:r>
    </w:p>
    <w:p>
      <w:pPr>
        <w:spacing w:after="0" w:line="20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Prior to regulatory approval of its product candidates, the Company expensed costs associated with the manufacturing of its product candidates to research and development expense unless the Company was reasonably certain such costs have future commercial use and net realizable value. When the Company believes regulatory approval and subsequent commercialization of its product candidates is probable, and the Company also expects future economic benefit from the sales of the product candidates to be realized, the Company will then capitalize the costs of production as inventory. Inventory that can be used in either the production of clinical or commercial product is expensed as research and development expense when selected for use in a clinical manufacturing campaign.</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Shipping and handling costs for product shipments are recorded as incurred in cost of sales along with costs associated with manufacturing the product and any inventory write-downs.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12529"/>
        </w:rPr>
        <w:t>The functional currency of each of the Company’s subsidiaries is its local currency, except for the wholly owned subsidiaries Apellis Europe B.V. and Apellis International GmbH where the functional currency is the U.S. dollar. Revenues and expenses of the subsidiaries have been translated into U.S. dollars at average exchange rates prevailing during the respective periods. Assets and liabilities have been translated at the rates of exchange on the balance sheet date. The resulting translation gain and loss adjustments are recorded directly as a separate component of stockholders’ equity.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expenses include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expenses, including salaries, benefits, travel and share-based compensation expense; (ii)</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w:t>
      </w:r>
    </w:p>
    <w:p>
      <w:pPr>
        <w:spacing w:after="0" w:line="14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14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selling, general and administrative activities are expensed as incurred. Selling, general and administrative expenses consist primarily of employee-related expenses including salaries, bonuses, benefits and share-based compensation, consulting and professional fees, marketing and advertising costs, medical affairs and regulatory costs associated with our commercial products, facility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5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incurred advertising costs of $83.3 million, $86.5 million, and $56.5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3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 likely than not threshold for recognizing and resolving uncertain tax positions. The determination as to whether the tax benefit will more likely than not be realized is based upon the technical merits of the tax position, as well as consideration of the available facts and circumstances. As of December 31, 2024 and 2023, the Company did not have any significant uncertain tax positions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and restricted stock units.</w:t>
      </w:r>
    </w:p>
    <w:p>
      <w:pPr>
        <w:spacing w:after="0" w:line="185"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compensation cost at the grant date based on the fair value of the option and restricted stock units and recognizes the expense related to awards on a straight-line basis over the requisite service period of the option, which is typically the vesting period. Forfeitures are recognized as they occur.</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option using the Black-Scholes option pricing model that considers the fair value of its common stock, the exercise price, the expected life of the option, the expected volatility of its common stock, expected dividends on its common stock, and the risk-free interest rate over the expected life of the option. The Company uses the simplified method described in the SEC's Staff Accounting Bulletin No. 107, Share-Based Payment, to determine the expected life of the option grants. The estimate of expected volatility is based on the Company's historical volatility over a period commensurate with the option's expected term. The Company has never declared or paid any cash dividends on its common stock and does not expect to do so in the foreseeable future. Accordingly, it uses an expected dividend yield of zero. The risk-free interest rate is based on the U.S. Treasury yield curve in effect at the time of grant valuation for a period commensurate with the option's expected term.</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cash and cash equivalents and accounts receivable.</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risk in the event of default by the financial institutions holding its cash and the issuers of its cash equivalents. The Company maintains its cash and cash equivalents with highly-rated, federally-insured financial institutions. At times, such amounts may exceed federally-insured limits. The Company has not experienced any losses on its deposits since inception, and management believes that minimal credit risk exists with respect to these financial institutions.</w:t>
      </w:r>
    </w:p>
    <w:p>
      <w:pPr>
        <w:spacing w:after="0" w:line="72" w:lineRule="exact"/>
        <w:rPr>
          <w:sz w:val="20"/>
          <w:szCs w:val="20"/>
          <w:color w:val="auto"/>
        </w:rPr>
      </w:pPr>
    </w:p>
    <w:p>
      <w:pPr>
        <w:ind w:right="200" w:firstLine="576"/>
        <w:spacing w:after="0" w:line="266" w:lineRule="auto"/>
        <w:rPr>
          <w:sz w:val="20"/>
          <w:szCs w:val="20"/>
          <w:color w:val="auto"/>
        </w:rPr>
      </w:pPr>
      <w:r>
        <w:rPr>
          <w:rFonts w:ascii="Times New Roman" w:cs="Times New Roman" w:eastAsia="Times New Roman" w:hAnsi="Times New Roman"/>
          <w:sz w:val="18"/>
          <w:szCs w:val="18"/>
          <w:color w:val="auto"/>
        </w:rPr>
        <w:t>Billings to large specialty pharmacies and specialty distributors account for the majority of the Company’s accounts receivables, and collateral is generally not required from these customers. To mitigate credit risk, the Company monitors the financial performance and credit-worthiness of its customers. See Note 3, Product Revenues, Accounts Receivable, and Reserves for Product Sales for additional information.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by the weighted-average shares outstanding during the period. The issuance of common stock in connection with the pre-funded warrants are included in weighted-average shares outstanding and therefore, are included in the calculation of basic net loss per common share. For purposes of the diluted net loss per share calculation, convertible notes, common stock options and restricted stock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20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w:t>
      </w:r>
      <w:r>
        <w:rPr>
          <w:rFonts w:ascii="Times New Roman" w:cs="Times New Roman" w:eastAsia="Times New Roman" w:hAnsi="Times New Roman"/>
          <w:sz w:val="17"/>
          <w:szCs w:val="17"/>
          <w:color w:val="auto"/>
        </w:rPr>
        <w:t>This ASU is effective for fiscal years beginning after December 15, 2026, and 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spacing w:after="0" w:line="15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standard is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We are currently evaluating the impact that the adoption of this guidance will have on our disclosures.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 2024. Retrospective application is required, and early adoption is permitted. The Company adopted the accounting guidance on segment reporting during the year ended December 31, 2024. See Note 17 Segment Information in the accompanying notes to the consolidated financial statements for further detail.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received FDA approval for the sale of EMPAVELI in the United States in May 2021 and approval for the sale of SYFOVRE in the United States in February 2023. The Company’s product revenues, net of sales discounts and allowances and reserves as of December 31, 2024, 2023 and 2022 totaled $710.0 million, $366.3 million and $65.1 million. The Company’s product revenues consist of sales of EMPAVELI and SYFOVRE to specialty pharmacies and specialty distributors.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reflects net product revenue by major source for the following periods (in thousands):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EMPAVELI</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98,091</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100" w:type="dxa"/>
            <w:vAlign w:val="bottom"/>
          </w:tcPr>
          <w:p>
            <w:pPr>
              <w:spacing w:after="0"/>
              <w:rPr>
                <w:sz w:val="18"/>
                <w:szCs w:val="18"/>
                <w:color w:val="auto"/>
              </w:rPr>
            </w:pPr>
          </w:p>
        </w:tc>
      </w:tr>
      <w:tr>
        <w:trPr>
          <w:trHeight w:val="203"/>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SYFOVRE</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611,863</w:t>
            </w: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275,248</w:t>
            </w: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709,954</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balance of $264.9 million as of December 31, 2024 and $206.4 million as of December 31, 2023 primarily consisted of EMPAVELI and SYFOVRE product sales receivable and licensing and other revenue receivables from its collaboration with Sobi. The Company does not have a reserve related to expected credit losses against its accounts receivable balance and expects to collect its accounts receivable in the ordinary course of business.</w:t>
      </w:r>
    </w:p>
    <w:p>
      <w:pPr>
        <w:spacing w:after="0" w:line="13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 sales reserves totaled $45.1 million and $16.6 million as of December 31, 2024 and 2023. respectively. These amounts are included in accrued expenses on the Company’s consolidated balance sheet as of December 31, 2024.</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as of December 31,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140" w:type="dxa"/>
            <w:vAlign w:val="bottom"/>
          </w:tcPr>
          <w:p>
            <w:pPr>
              <w:spacing w:after="0"/>
              <w:rPr>
                <w:sz w:val="13"/>
                <w:szCs w:val="13"/>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Government and</w:t>
            </w:r>
          </w:p>
        </w:tc>
        <w:tc>
          <w:tcPr>
            <w:tcW w:w="280" w:type="dxa"/>
            <w:vAlign w:val="bottom"/>
          </w:tcPr>
          <w:p>
            <w:pPr>
              <w:spacing w:after="0"/>
              <w:rPr>
                <w:sz w:val="13"/>
                <w:szCs w:val="13"/>
                <w:color w:val="auto"/>
              </w:rPr>
            </w:pPr>
          </w:p>
        </w:tc>
        <w:tc>
          <w:tcPr>
            <w:tcW w:w="14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14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other rebates</w:t>
            </w:r>
          </w:p>
        </w:tc>
        <w:tc>
          <w:tcPr>
            <w:tcW w:w="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(1,223 )</w:t>
            </w: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(2,481 )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(3,817 )</w:t>
            </w: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(12,068 )</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(18,476 )</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(30,960 )</w:t>
            </w:r>
          </w:p>
        </w:tc>
        <w:tc>
          <w:tcPr>
            <w:tcW w:w="0" w:type="dxa"/>
            <w:vAlign w:val="bottom"/>
          </w:tcPr>
          <w:p>
            <w:pPr>
              <w:spacing w:after="0"/>
              <w:rPr>
                <w:sz w:val="1"/>
                <w:szCs w:val="1"/>
                <w:color w:val="auto"/>
              </w:rPr>
            </w:pPr>
          </w:p>
        </w:tc>
      </w:tr>
      <w:tr>
        <w:trPr>
          <w:trHeight w:val="291"/>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300" w:type="dxa"/>
            <w:vAlign w:val="bottom"/>
            <w:shd w:val="clear" w:color="auto" w:fill="CFF0FC"/>
          </w:tcPr>
          <w:p>
            <w:pPr>
              <w:spacing w:after="0"/>
              <w:rPr>
                <w:sz w:val="24"/>
                <w:szCs w:val="2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300" w:type="dxa"/>
            <w:vAlign w:val="bottom"/>
            <w:shd w:val="clear" w:color="auto" w:fill="CFF0FC"/>
          </w:tcPr>
          <w:p>
            <w:pPr>
              <w:spacing w:after="0"/>
              <w:rPr>
                <w:sz w:val="24"/>
                <w:szCs w:val="24"/>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320" w:type="dxa"/>
            <w:vAlign w:val="bottom"/>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(96 )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(42,052 )</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(66,440 )</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(3,870 )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(112,362 )</w:t>
            </w:r>
          </w:p>
        </w:tc>
        <w:tc>
          <w:tcPr>
            <w:tcW w:w="0" w:type="dxa"/>
            <w:vAlign w:val="bottom"/>
          </w:tcPr>
          <w:p>
            <w:pPr>
              <w:spacing w:after="0"/>
              <w:rPr>
                <w:sz w:val="1"/>
                <w:szCs w:val="1"/>
                <w:color w:val="auto"/>
              </w:rPr>
            </w:pPr>
          </w:p>
        </w:tc>
      </w:tr>
      <w:tr>
        <w:trPr>
          <w:trHeight w:val="290"/>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6"/>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80" w:type="dxa"/>
            <w:vAlign w:val="bottom"/>
            <w:tcBorders>
              <w:bottom w:val="single" w:sz="8" w:color="auto"/>
            </w:tcBorders>
          </w:tcPr>
          <w:p>
            <w:pPr>
              <w:jc w:val="center"/>
              <w:ind w:lef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center"/>
              <w:ind w:left="3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9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r>
      <w:tr>
        <w:trPr>
          <w:trHeight w:val="209"/>
        </w:trPr>
        <w:tc>
          <w:tcPr>
            <w:tcW w:w="4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1080" w:type="dxa"/>
            <w:vAlign w:val="bottom"/>
            <w:shd w:val="clear" w:color="auto" w:fill="CFF0FC"/>
          </w:tcPr>
          <w:p>
            <w:pPr>
              <w:jc w:val="center"/>
              <w:ind w:left="455"/>
              <w:spacing w:after="0"/>
              <w:rPr>
                <w:sz w:val="20"/>
                <w:szCs w:val="20"/>
                <w:color w:val="auto"/>
              </w:rPr>
            </w:pPr>
            <w:r>
              <w:rPr>
                <w:rFonts w:ascii="Times New Roman" w:cs="Times New Roman" w:eastAsia="Times New Roman" w:hAnsi="Times New Roman"/>
                <w:sz w:val="18"/>
                <w:szCs w:val="18"/>
                <w:color w:val="auto"/>
              </w:rPr>
              <w:t>13%</w:t>
            </w:r>
          </w:p>
        </w:tc>
        <w:tc>
          <w:tcPr>
            <w:tcW w:w="1960" w:type="dxa"/>
            <w:vAlign w:val="bottom"/>
            <w:gridSpan w:val="3"/>
            <w:shd w:val="clear" w:color="auto" w:fill="CFF0FC"/>
          </w:tcPr>
          <w:p>
            <w:pPr>
              <w:jc w:val="center"/>
              <w:ind w:left="1118"/>
              <w:spacing w:after="0"/>
              <w:rPr>
                <w:sz w:val="20"/>
                <w:szCs w:val="20"/>
                <w:color w:val="auto"/>
              </w:rPr>
            </w:pPr>
            <w:r>
              <w:rPr>
                <w:rFonts w:ascii="Times New Roman" w:cs="Times New Roman" w:eastAsia="Times New Roman" w:hAnsi="Times New Roman"/>
                <w:sz w:val="18"/>
                <w:szCs w:val="18"/>
                <w:color w:val="auto"/>
                <w:w w:val="96"/>
              </w:rPr>
              <w:t>24%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center"/>
              <w:ind w:right="298"/>
              <w:spacing w:after="0"/>
              <w:rPr>
                <w:sz w:val="20"/>
                <w:szCs w:val="20"/>
                <w:color w:val="auto"/>
              </w:rPr>
            </w:pPr>
            <w:r>
              <w:rPr>
                <w:rFonts w:ascii="Times New Roman" w:cs="Times New Roman" w:eastAsia="Times New Roman" w:hAnsi="Times New Roman"/>
                <w:sz w:val="18"/>
                <w:szCs w:val="18"/>
                <w:color w:val="auto"/>
                <w:w w:val="96"/>
              </w:rPr>
              <w:t>99%</w:t>
            </w:r>
          </w:p>
        </w:tc>
        <w:tc>
          <w:tcPr>
            <w:tcW w:w="6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108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rPr>
              <w:t>19%</w:t>
            </w:r>
          </w:p>
        </w:tc>
        <w:tc>
          <w:tcPr>
            <w:tcW w:w="1960" w:type="dxa"/>
            <w:vAlign w:val="bottom"/>
            <w:gridSpan w:val="3"/>
          </w:tcPr>
          <w:p>
            <w:pPr>
              <w:jc w:val="center"/>
              <w:ind w:left="1118"/>
              <w:spacing w:after="0"/>
              <w:rPr>
                <w:sz w:val="20"/>
                <w:szCs w:val="20"/>
                <w:color w:val="auto"/>
              </w:rPr>
            </w:pPr>
            <w:r>
              <w:rPr>
                <w:rFonts w:ascii="Times New Roman" w:cs="Times New Roman" w:eastAsia="Times New Roman" w:hAnsi="Times New Roman"/>
                <w:sz w:val="18"/>
                <w:szCs w:val="18"/>
                <w:color w:val="auto"/>
                <w:w w:val="96"/>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1080" w:type="dxa"/>
            <w:vAlign w:val="bottom"/>
            <w:shd w:val="clear" w:color="auto" w:fill="CFF0FC"/>
          </w:tcPr>
          <w:p>
            <w:pPr>
              <w:jc w:val="center"/>
              <w:ind w:left="455"/>
              <w:spacing w:after="0"/>
              <w:rPr>
                <w:sz w:val="20"/>
                <w:szCs w:val="20"/>
                <w:color w:val="auto"/>
              </w:rPr>
            </w:pPr>
            <w:r>
              <w:rPr>
                <w:rFonts w:ascii="Times New Roman" w:cs="Times New Roman" w:eastAsia="Times New Roman" w:hAnsi="Times New Roman"/>
                <w:sz w:val="18"/>
                <w:szCs w:val="18"/>
                <w:color w:val="auto"/>
              </w:rPr>
              <w:t>59%</w:t>
            </w:r>
          </w:p>
        </w:tc>
        <w:tc>
          <w:tcPr>
            <w:tcW w:w="1960" w:type="dxa"/>
            <w:vAlign w:val="bottom"/>
            <w:gridSpan w:val="3"/>
            <w:shd w:val="clear" w:color="auto" w:fill="CFF0FC"/>
          </w:tcPr>
          <w:p>
            <w:pPr>
              <w:jc w:val="center"/>
              <w:ind w:left="1118"/>
              <w:spacing w:after="0"/>
              <w:rPr>
                <w:sz w:val="20"/>
                <w:szCs w:val="20"/>
                <w:color w:val="auto"/>
              </w:rPr>
            </w:pPr>
            <w:r>
              <w:rPr>
                <w:rFonts w:ascii="Times New Roman" w:cs="Times New Roman" w:eastAsia="Times New Roman" w:hAnsi="Times New Roman"/>
                <w:sz w:val="18"/>
                <w:szCs w:val="18"/>
                <w:color w:val="auto"/>
                <w:w w:val="96"/>
              </w:rPr>
              <w:t>54%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center"/>
              <w:ind w:right="298"/>
              <w:spacing w:after="0"/>
              <w:rPr>
                <w:sz w:val="20"/>
                <w:szCs w:val="20"/>
                <w:color w:val="auto"/>
              </w:rPr>
            </w:pPr>
            <w:r>
              <w:rPr>
                <w:rFonts w:ascii="Times New Roman" w:cs="Times New Roman" w:eastAsia="Times New Roman" w:hAnsi="Times New Roman"/>
                <w:sz w:val="18"/>
                <w:szCs w:val="18"/>
                <w:color w:val="auto"/>
                <w:w w:val="99"/>
              </w:rPr>
              <w:t>1%</w:t>
            </w:r>
          </w:p>
        </w:tc>
        <w:tc>
          <w:tcPr>
            <w:tcW w:w="60" w:type="dxa"/>
            <w:vAlign w:val="bottom"/>
            <w:shd w:val="clear" w:color="auto" w:fill="CFF0FC"/>
          </w:tcPr>
          <w:p>
            <w:pPr>
              <w:spacing w:after="0"/>
              <w:rPr>
                <w:sz w:val="18"/>
                <w:szCs w:val="18"/>
                <w:color w:val="auto"/>
              </w:rPr>
            </w:pPr>
          </w:p>
        </w:tc>
      </w:tr>
      <w:tr>
        <w:trPr>
          <w:trHeight w:val="445"/>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7"/>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42"/>
        </w:trPr>
        <w:tc>
          <w:tcPr>
            <w:tcW w:w="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5"/>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6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96"/>
        </w:trPr>
        <w:tc>
          <w:tcPr>
            <w:tcW w:w="60" w:type="dxa"/>
            <w:vAlign w:val="bottom"/>
          </w:tcPr>
          <w:p>
            <w:pPr>
              <w:spacing w:after="0"/>
              <w:rPr>
                <w:sz w:val="17"/>
                <w:szCs w:val="17"/>
                <w:color w:val="auto"/>
              </w:rPr>
            </w:pPr>
          </w:p>
        </w:tc>
        <w:tc>
          <w:tcPr>
            <w:tcW w:w="4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108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jc w:val="center"/>
              <w:ind w:right="638"/>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1080" w:type="dxa"/>
            <w:vAlign w:val="bottom"/>
          </w:tcPr>
          <w:p>
            <w:pPr>
              <w:spacing w:after="0"/>
              <w:rPr>
                <w:sz w:val="17"/>
                <w:szCs w:val="17"/>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108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jc w:val="center"/>
              <w:ind w:right="638"/>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7"/>
                <w:szCs w:val="17"/>
                <w:color w:val="auto"/>
              </w:rPr>
            </w:pPr>
          </w:p>
        </w:tc>
      </w:tr>
    </w:tbl>
    <w:p>
      <w:pPr>
        <w:spacing w:after="0" w:line="3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Factoring of accounts receivable and associated fees for the years ended December 31, 2024 and 2023 were as follows (in thousands):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4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5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 sold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142,698</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factoring fees</w:t>
            </w:r>
          </w:p>
        </w:tc>
        <w:tc>
          <w:tcPr>
            <w:tcW w:w="2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(1,700 )</w:t>
            </w:r>
          </w:p>
        </w:tc>
        <w:tc>
          <w:tcPr>
            <w:tcW w:w="260" w:type="dxa"/>
            <w:vAlign w:val="bottom"/>
          </w:tcPr>
          <w:p>
            <w:pPr>
              <w:spacing w:after="0"/>
              <w:rPr>
                <w:sz w:val="19"/>
                <w:szCs w:val="19"/>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proceeds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accounts receivable sold that remained outstanding as of December 31, 2024 and 2023 was $86.1 million and zero,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inventory of EMPAVELI and SYFOVRE consisted of the following as of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3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9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82,924</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157,117</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long-term inventory balance consists of raw materials and semi-finished goods that are not expected to be sold within the Company's normal operating cycle.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For the years ended December 31, 2024 and 2023, the Company recognized write-downs of $19.0 million and $6.4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assets and other current assets consisted of the following as of December 31, 2024, and 2023 (in thousands):</w:t>
      </w:r>
    </w:p>
    <w:p>
      <w:pPr>
        <w:spacing w:after="0" w:line="300"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assets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prepaid assets</w:t>
            </w: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3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receivable</w:t>
            </w:r>
          </w:p>
        </w:tc>
        <w:tc>
          <w:tcPr>
            <w:tcW w:w="100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8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collaboration agreement (1)</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3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-1002030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-985520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-1002030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-985520</wp:posOffset>
            </wp:positionV>
            <wp:extent cx="596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1120" w:hanging="513"/>
        <w:spacing w:after="0" w:line="261"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waived the remaining reimbursement payment of $15.0 million in connection with the decision to discontinue the cold agglutinin disease (“CAD”) program. As the reimbursement was related to development costs under the Sobi collaboration agreement, this amount was recorded to research and development expense in the consolidated statements of operations for the period ended December 31,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Development Liability</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2019, the Company entered into a development funding agreement (as amended, the “SFJ agreement”) with SFJ Pharmaceuticals Group (“SFJ”), under which SFJ agreed to provide funding to the Company to support the development of pegcetacoplan for the treatment of patients with PNH. Under the SFJ agreement, SFJ paid the Company an aggregate of $140.0 million between June 2019 and January 2020.</w:t>
      </w:r>
    </w:p>
    <w:p>
      <w:pPr>
        <w:spacing w:after="0" w:line="14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the SFJ agreement,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3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Following regulatory approval for the use of systemic pegcetacoplan as a treatment for PNH by the FDA in May 2021 and by the European Medicines Agency in December 2021, the Company became obligated to pay SFJ an aggregate of $460.0 million in payments over the period from the time of each regulatory approval until the sixth anniversary of each regulatory approval. The Company paid SFJ a total of $94.0 million through March 31, 2024.</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December 15, 2021 to the final annual payment due in December 2027, the development liability was accreted from its initial carrying amount to the total payment amount using the effective interest rate method over the remaining life of the SFJ agreement. The difference between the carrying amount and the total payment amount is presented as a discount to the development liability. The accretion is recorded as interest expense in the consolidated statement of operations and comprehensive loss.</w:t>
      </w:r>
    </w:p>
    <w:p>
      <w:pPr>
        <w:spacing w:after="0" w:line="153"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 May 2024, the Company paid its remaining obligations under the SFJ agreement in full with $326.5 million of proceeds from the Sixth Street Financing Agreement (as defined below) (see Note 8). Upon such payment, SFJ released its security interest in the Company’s assets at that time. The Company concluded that the development liability was extinguished as of the payoff date, and the difference of $1.9 million between the reacquisition price of $326.5 million and the net carrying value of the development liability of $324.6 million was recorded as a loss on the extinguishment of the development liability in the consolidated statement of operations and comprehensive loss for the period ended December 31,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development liability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6"/>
        </w:trPr>
        <w:tc>
          <w:tcPr>
            <w:tcW w:w="6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Effective</w:t>
            </w:r>
          </w:p>
        </w:tc>
      </w:tr>
      <w:tr>
        <w:trPr>
          <w:trHeight w:val="203"/>
        </w:trPr>
        <w:tc>
          <w:tcPr>
            <w:tcW w:w="6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18"/>
        </w:trPr>
        <w:tc>
          <w:tcPr>
            <w:tcW w:w="6920" w:type="dxa"/>
            <w:vAlign w:val="bottom"/>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Rate</w:t>
            </w:r>
          </w:p>
        </w:tc>
      </w:tr>
      <w:tr>
        <w:trPr>
          <w:trHeight w:val="210"/>
        </w:trPr>
        <w:tc>
          <w:tcPr>
            <w:tcW w:w="6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 liability</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366,000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7.91 %</w:t>
            </w:r>
          </w:p>
        </w:tc>
      </w:tr>
      <w:tr>
        <w:trPr>
          <w:trHeight w:val="216"/>
        </w:trPr>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Unamortized discount to development liability</w:t>
            </w:r>
          </w:p>
        </w:tc>
        <w:tc>
          <w:tcPr>
            <w:tcW w:w="94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(50,353 )</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of development liability, net of discount</w:t>
            </w: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(75,830 )</w:t>
            </w: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r>
      <w:tr>
        <w:trPr>
          <w:trHeight w:val="210"/>
        </w:trPr>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long term development liability</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239,817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-170815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93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interest expense of $8.9 million, $26.0 million and $26.9 million, respectively was recorded for the accretion of the development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costs</w:t>
            </w:r>
          </w:p>
        </w:tc>
        <w:tc>
          <w:tcPr>
            <w:tcW w:w="2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316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113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-864870</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-847725</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-864870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-847725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the 2019 Convertible Notes with an aggregate principal amount of $220.0 million issued pursuant to an indenture (the “Indenture”) with U.S. Bank National Association, as trustee (the “Trustee”).</w:t>
      </w:r>
    </w:p>
    <w:p>
      <w:pPr>
        <w:spacing w:after="0" w:line="13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Convertible Notes to pay the cost of the capped call transactions described below.</w:t>
      </w:r>
    </w:p>
    <w:p>
      <w:pPr>
        <w:spacing w:after="0" w:line="149" w:lineRule="exact"/>
        <w:rPr>
          <w:sz w:val="20"/>
          <w:szCs w:val="20"/>
          <w:color w:val="auto"/>
        </w:rPr>
      </w:pPr>
    </w:p>
    <w:p>
      <w:pPr>
        <w:ind w:right="220" w:firstLine="554"/>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to pay the cost of the additional capped call transactions in May 2020 described below.</w:t>
      </w:r>
    </w:p>
    <w:p>
      <w:pPr>
        <w:spacing w:after="0" w:line="13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5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Prior to March 15, 2026, the Convertible Notes are convertible only upon the occurrence of certain events:</w:t>
      </w:r>
    </w:p>
    <w:p>
      <w:pPr>
        <w:spacing w:after="0" w:line="225" w:lineRule="exact"/>
        <w:rPr>
          <w:sz w:val="20"/>
          <w:szCs w:val="20"/>
          <w:color w:val="auto"/>
        </w:rPr>
      </w:pPr>
    </w:p>
    <w:p>
      <w:pPr>
        <w:ind w:left="760" w:right="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during the five-business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14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if the Company calls any or all of the Convertible Notes for redemption, at any time prior to the close of business on the second scheduled trading day immediately preceding the redemption date; or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upon the occurrence of corporate events specified in the Indenture.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December 31, 2024.</w:t>
      </w:r>
    </w:p>
    <w:p>
      <w:pPr>
        <w:spacing w:after="0" w:line="198"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212529"/>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3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12529"/>
        </w:rPr>
        <w:t>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increased in certain circumstances. The Company has not called for redemption or redeemed any of the Convertible Notes as of December 31, 2024.</w:t>
      </w:r>
    </w:p>
    <w:p>
      <w:pPr>
        <w:spacing w:after="0" w:line="19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12529"/>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12529"/>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$98.1 million of 2020 Convertible Notes, respectively, in aggregate principal amount held by them for an aggregate of 3,906,869 shares, 5,992,217 shares and 3,027,018 shares, respectively, of common stock issued by the Company. The Company accounted for the exchange as an induced conversion based on the short period of time the conversion offer was open and the substantive conversion feature offer, which resulted in the expensing of the fair value of the shares that were issued in excess of the original terms of the Convertible Notes.</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held in treasury Convertible Notes in principal amount of $425.4 million which have not been cancelled.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December 31, 2024 and 2023 consisted of the following (in thousands):</w:t>
      </w:r>
    </w:p>
    <w:p>
      <w:pPr>
        <w:spacing w:after="0" w:line="27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16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09"/>
        </w:trPr>
        <w:tc>
          <w:tcPr>
            <w:tcW w:w="6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(556 )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(864 )</w:t>
            </w: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08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-25400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-8255</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3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years ended December 31, 2024, 2023 and 2022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-612140</wp:posOffset>
            </wp:positionV>
            <wp:extent cx="9398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-612140</wp:posOffset>
            </wp:positionV>
            <wp:extent cx="9398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-612140</wp:posOffset>
            </wp:positionV>
            <wp:extent cx="9398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September 11, 2019 and May 6, 2020, concurrently with the pricings of the Convertible Notes, the Company entered into capped call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4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holds remaining capped call transactions in a notional amount corresponding to $93.9 million principal amount of Convertible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3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 SYFOVRE is at least $180.0 million prior to the $100.0 million draw. The Company can exercise the option for the $100.0 million draw through September 30, 2025, assuming such requirements are met.</w:t>
      </w:r>
    </w:p>
    <w:p>
      <w:pPr>
        <w:spacing w:after="0" w:line="13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(i) in the case of SOFR Loans, an annual rate equal to 3-month Term SOFR (subject to 1.00% floor), plus 5.75%, and (ii) in the case of Base Rate Loans, an annual rate equal to the base rate as defined in the agreement (subject to 2.00% floor), plus 4.75%. Certain additional commitment and undrawn amount fees are also payable in connection with the Credit Facility.</w:t>
      </w:r>
    </w:p>
    <w:p>
      <w:pPr>
        <w:spacing w:after="0" w:line="1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The buyout of the SFJ development liability eliminated $366.0 million in payments to SFJ between 2024 and 2027, including approximately $200.0 million payable through 2025 (See Note 6).</w:t>
      </w:r>
    </w:p>
    <w:p>
      <w:pPr>
        <w:spacing w:after="0" w:line="153"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Credit Facility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2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outstand</w:t>
      </w:r>
      <w:r>
        <w:rPr>
          <w:rFonts w:ascii="Times New Roman" w:cs="Times New Roman" w:eastAsia="Times New Roman" w:hAnsi="Times New Roman"/>
          <w:sz w:val="18"/>
          <w:szCs w:val="18"/>
          <w:color w:val="212529"/>
        </w:rPr>
        <w:t>ing balance of the Credit Facility as of December 31, 2024 and 2023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0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3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(15,511 )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w:t>
      </w:r>
      <w:r>
        <w:rPr>
          <w:rFonts w:ascii="Times New Roman" w:cs="Times New Roman" w:eastAsia="Times New Roman" w:hAnsi="Times New Roman"/>
          <w:sz w:val="18"/>
          <w:szCs w:val="18"/>
          <w:color w:val="212529"/>
        </w:rPr>
        <w:t>le sets forth total interest expense recognized related to the Credit Facility as of December 31,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261620</wp:posOffset>
            </wp:positionV>
            <wp:extent cx="268732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87320" cy="1625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26,082</w:t>
            </w:r>
          </w:p>
        </w:tc>
        <w:tc>
          <w:tcPr>
            <w:tcW w:w="3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right="500" w:firstLine="554"/>
        <w:spacing w:after="0" w:line="282"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but also include some equipment leases. The Company determines if an arrangement qualifies as a lease at its inception.</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all leases were classified as operating leases. Additional information related to the operating leases is as follows (in thousands):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16,083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16,745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16,954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17,895</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2.83</w:t>
            </w: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r>
    </w:tbl>
    <w:p>
      <w:pPr>
        <w:spacing w:after="0" w:line="37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total lease cost for operating leases was approximately $10.2 million, $7.0 million, and $6.2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years ended December 31, 2024, 2023 and 2022 is as follows (in thousands):</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80" w:type="dxa"/>
            <w:vAlign w:val="bottom"/>
            <w:shd w:val="clear" w:color="auto" w:fill="CFF0FC"/>
          </w:tcPr>
          <w:p>
            <w:pPr>
              <w:spacing w:after="0"/>
              <w:rPr>
                <w:sz w:val="18"/>
                <w:szCs w:val="18"/>
                <w:color w:val="auto"/>
              </w:rPr>
            </w:pP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assets obtained in exchange for lease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2024 are as follows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7,468</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7,076</w:t>
            </w: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8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80" w:type="dxa"/>
            <w:vAlign w:val="bottom"/>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18,307</w:t>
            </w:r>
          </w:p>
        </w:tc>
      </w:tr>
      <w:tr>
        <w:trPr>
          <w:trHeight w:val="209"/>
        </w:trPr>
        <w:tc>
          <w:tcPr>
            <w:tcW w:w="4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18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(1,353 )</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16,954</w:t>
            </w:r>
          </w:p>
        </w:tc>
      </w:tr>
      <w:tr>
        <w:trPr>
          <w:trHeight w:val="20"/>
        </w:trPr>
        <w:tc>
          <w:tcPr>
            <w:tcW w:w="4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at fair value measurement on a recurring basis as of December 31, 2024 and 2023 (in thousands):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Type of Instrument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276,868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276,868</w:t>
            </w:r>
          </w:p>
        </w:tc>
        <w:tc>
          <w:tcPr>
            <w:tcW w:w="0" w:type="dxa"/>
            <w:vAlign w:val="bottom"/>
          </w:tcPr>
          <w:p>
            <w:pPr>
              <w:spacing w:after="0"/>
              <w:rPr>
                <w:sz w:val="1"/>
                <w:szCs w:val="1"/>
                <w:color w:val="auto"/>
              </w:rPr>
            </w:pPr>
          </w:p>
        </w:tc>
      </w:tr>
      <w:tr>
        <w:trPr>
          <w:trHeight w:val="249"/>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276,868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276,868</w:t>
            </w:r>
          </w:p>
        </w:tc>
        <w:tc>
          <w:tcPr>
            <w:tcW w:w="0" w:type="dxa"/>
            <w:vAlign w:val="bottom"/>
          </w:tcPr>
          <w:p>
            <w:pPr>
              <w:spacing w:after="0"/>
              <w:rPr>
                <w:sz w:val="1"/>
                <w:szCs w:val="1"/>
                <w:color w:val="auto"/>
              </w:rPr>
            </w:pPr>
          </w:p>
        </w:tc>
      </w:tr>
      <w:tr>
        <w:trPr>
          <w:trHeight w:val="39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Type of Instrument</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276,391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276,391</w:t>
            </w:r>
          </w:p>
        </w:tc>
        <w:tc>
          <w:tcPr>
            <w:tcW w:w="0" w:type="dxa"/>
            <w:vAlign w:val="bottom"/>
          </w:tcPr>
          <w:p>
            <w:pPr>
              <w:spacing w:after="0"/>
              <w:rPr>
                <w:sz w:val="1"/>
                <w:szCs w:val="1"/>
                <w:color w:val="auto"/>
              </w:rPr>
            </w:pPr>
          </w:p>
        </w:tc>
      </w:tr>
      <w:tr>
        <w:trPr>
          <w:trHeight w:val="249"/>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276,391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276,391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-890905</wp:posOffset>
            </wp:positionV>
            <wp:extent cx="93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-873760</wp:posOffset>
            </wp:positionV>
            <wp:extent cx="93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-890905</wp:posOffset>
            </wp:positionV>
            <wp:extent cx="93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-873760</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-890905</wp:posOffset>
            </wp:positionV>
            <wp:extent cx="93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-873760</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93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93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Convertible Notes and development liability are financial instruments that are reported in the consolidated financial statements at historical cost. The Convertible Notes are Level 1 within the fair value level hierarchy as of December 31, 2024 and 2023. The fair value of the Convertible Notes was $102.3 million as of December 31, 2024 and $140.8 million as of December 31, 2023. The Convertible Notes accrue a semi-annual coupon at an annual rate of 3.5%, which was included in accrued expenses in the consolidated balance sheets as of December 31, 2024 and 2023.</w:t>
      </w:r>
    </w:p>
    <w:p>
      <w:pPr>
        <w:spacing w:after="0" w:line="180" w:lineRule="exact"/>
        <w:rPr>
          <w:sz w:val="20"/>
          <w:szCs w:val="20"/>
          <w:color w:val="auto"/>
        </w:rPr>
      </w:pPr>
    </w:p>
    <w:p>
      <w:pPr>
        <w:ind w:right="160" w:firstLine="554"/>
        <w:spacing w:after="0" w:line="282" w:lineRule="auto"/>
        <w:rPr>
          <w:sz w:val="20"/>
          <w:szCs w:val="20"/>
          <w:color w:val="auto"/>
        </w:rPr>
      </w:pPr>
      <w:r>
        <w:rPr>
          <w:rFonts w:ascii="Times New Roman" w:cs="Times New Roman" w:eastAsia="Times New Roman" w:hAnsi="Times New Roman"/>
          <w:sz w:val="18"/>
          <w:szCs w:val="18"/>
          <w:color w:val="auto"/>
        </w:rPr>
        <w:t>The fair value of the development liability was $306.9 million as of December 31, 2023. The development liability is Level 2 within the fair value hierarchy based on the discounting of fixed cash flows using an observed bond yield for borrowers with similar credit rating.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and Collaboration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October 2020, the Company and its subsidiaries,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 For the period ended December 31, 2024 and 2023,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recognized revenue of $53.0 million and $15.3 million, respectively, for the supply of Licensed Products to Sobi, which is included in License and other revenue on the consolidated statements of operations and comprehensive loss income.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a total of $65.0 million through January 2023 and waived the remaining payment of $15.0 million in January, 2024.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1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as of December 31, 2024, 2023 and 2022, the Company recognized $18.4 million, $10.0 million and $3.0 million, respectively, of royalty revenue from sales of Aspaveli, which was sold by Sobi outside of the United States.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did not recognize any contra-research and development expense in the consolidated statement of operations and comprehensive loss related to the $80.0 million reimbursement commitment from Sobi. Since contract inception, the Company has recognized $65.0 million in contra-research and development expenses and waived the remaining $15.0 million in connection with the decision to discontinue the CAD program.</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recorded $15.0 million in other current assets, which represented the receivable for contra-research and development expenses incurred but not yet reimbursed from Sobi. In January 2024, the Company waived the remaining reimbursement payment of $15.0 million in connection with the decision to discontinue the CAD program.</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9"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The Company is a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3"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76" w:lineRule="exact"/>
        <w:rPr>
          <w:sz w:val="20"/>
          <w:szCs w:val="20"/>
          <w:color w:val="auto"/>
        </w:rPr>
      </w:pPr>
    </w:p>
    <w:p>
      <w:pPr>
        <w:ind w:right="860" w:firstLine="46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respectively, the Company has incurred royalty expense of $19.8 million and $8.9 million on sales of SYFOVRE, which is included in cost of sales on the consolidated statements of operations and comprehensive loss income.</w:t>
      </w:r>
    </w:p>
    <w:p>
      <w:pPr>
        <w:spacing w:after="0" w:line="16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7"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Company has incurred royalty expense of $6.4 million, $4.8 million and $2.7 million, respectively, on sales of EMPAVELI and Aspaveli, which is included in cost of sales on the consolidated statements of operations and comprehensive loss.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229"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In June 2021, the Company entered into an exclusive five-year research collaboration (the “Beam collaboration agreement”)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Beam collaboration agreement, the Company is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Beam collaboration agreement and upon such election any license agreement in place at that time, would be terminated.</w:t>
      </w:r>
    </w:p>
    <w:p>
      <w:pPr>
        <w:spacing w:after="0" w:line="192"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As part of the Beam collaboration agreement, the Company agreed to pay a $50.0 million up-front, non-refundable payment to Beam, which the Company paid in July 2021. The Company paid an additional $25.0 million on the first anniversary of the Beam collaboration agreement in June 2022. The Company and Beam are each responsible for their own costs during the research collaboration. If and after the opt-in license rights are exercised for each of the up to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spacing w:after="0" w:line="183"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The Company analyzed the Beam collaboration agreement pursuant to ASC 808 to assess whether the agreement involved joint operating activities performed by parties that are both active participants in the activities and exposed to significant risks and rewards dependent on the commercial success of such activities. Since each party is actively participating in this activity and exposed to significant risks and rewards related to the activity through each party’s costs will be accounted for under ASC 808.</w:t>
      </w:r>
    </w:p>
    <w:p>
      <w:pPr>
        <w:spacing w:after="0" w:line="153"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Since ASC 808 does not provide recognition guidance, the Company referred to the guidance under FASB ASC Topic 730, Research and Development (“ASC 730”), to arrangements involving payments by the Company. ASC 730 requires the Company to recognize research and developments costs as expense as incurred since the payment was made for the use of Beam’s intellectual property and research and development services and there is no alternative use.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Retirement Plans</w:t>
      </w:r>
    </w:p>
    <w:p>
      <w:pPr>
        <w:spacing w:after="0" w:line="18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In 2024, 2023 and 2022, the Company recorded $5.1 million, $5.7 million, and $4.3 million respectively, for employer contributions made to the 401(k) Plan.</w:t>
      </w:r>
    </w:p>
    <w:p>
      <w:pPr>
        <w:spacing w:after="0" w:line="14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Apellis International GmbH (f/k/a Apellis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16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Swiss Plan was underfunded by $1.6 million as the fair value of the plan assets of $16.7 million was less than the projected benefit obligation of $18.3 million. The accumulated benefit obligation at December 31, 2024 was $0.6 million. The Company’s net periodic benefit cost for the year ended December 31, 2024 was $1.2 million. The contributions to the Swiss Plan for the year ended December 31, 2024 were not material.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Swiss Plan was underfunded by $2.2 million as the fair value of the plan assets of $16.2 million was less than the projected benefit obligation of $18.4 million. The accumulated benefit obligation at December 31, 2023 was $2.6 million. The Company’s net periodic benefit cost for the year ended December 31, 2023 was $0.9 million. The contributions to the Swiss Plan for the year ended December 31, 2023 were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loss from continuing operations before provision for income taxes are as follows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(22,701 )</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(48,495 )</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(82,815 )</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(174,015 )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(478,001 )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(568,688 )</w:t>
            </w:r>
          </w:p>
        </w:tc>
      </w:tr>
      <w:tr>
        <w:trPr>
          <w:trHeight w:val="249"/>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(196,716 )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(526,496 )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for the years ended December 31, 2024, 2023, and 2022 are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0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60" w:type="dxa"/>
            <w:vAlign w:val="bottom"/>
            <w:gridSpan w:val="2"/>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60" w:type="dxa"/>
            <w:vAlign w:val="bottom"/>
            <w:gridSpan w:val="2"/>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60" w:type="dxa"/>
            <w:vAlign w:val="bottom"/>
            <w:gridSpan w:val="2"/>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1,162</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-1002030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-1002030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U.S. federal statutory tax rate and the Company's effective tax rate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4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40" w:type="dxa"/>
            <w:vAlign w:val="bottom"/>
          </w:tcPr>
          <w:p>
            <w:pPr>
              <w:spacing w:after="0"/>
              <w:rPr>
                <w:sz w:val="12"/>
                <w:szCs w:val="12"/>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(41,310 )</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(110,564 )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(136,816 )</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(18,218 )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(13,438 )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94,668</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(22,100 )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(11,566 )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(19,966 )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 Inclusion Income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(30.3 )</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(8,688 )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(26,881 )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apportionment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conversion</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and other</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(3,078 )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Effective income tax provision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120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1200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1200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1200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for the year ended December 31, 2024 compared to the year ended December 31, 2023 increased primarily as a result of operations in state jurisdictions.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principal components of the Company’s deferred tax assets and liabilities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312,672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329,135</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Orphan drug credits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28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UNICAP</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726,404</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756,060</w:t>
            </w:r>
          </w:p>
        </w:tc>
        <w:tc>
          <w:tcPr>
            <w:tcW w:w="100" w:type="dxa"/>
            <w:vAlign w:val="bottom"/>
          </w:tcPr>
          <w:p>
            <w:pPr>
              <w:spacing w:after="0"/>
              <w:rPr>
                <w:sz w:val="18"/>
                <w:szCs w:val="18"/>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(2,821 )</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(2,672 )</w:t>
            </w:r>
          </w:p>
        </w:tc>
      </w:tr>
      <w:tr>
        <w:trPr>
          <w:trHeight w:val="20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before allowance:</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723,583</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(723,583 )</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(753,388 )</w:t>
            </w:r>
          </w:p>
        </w:tc>
      </w:tr>
      <w:tr>
        <w:trPr>
          <w:trHeight w:val="25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-1173480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-1173480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-620395</wp:posOffset>
            </wp:positionV>
            <wp:extent cx="85725"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-620395</wp:posOffset>
            </wp:positionV>
            <wp:extent cx="8572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-316230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$723.6 million and $753.4 million has been established at December 31, 2024 and 2023, respectively. The decrease in the valuation allowance of $29.8 million was primarily driven by the utilization of federal and foreign net operating losses and pay-down of the development liability with SFJ.</w:t>
      </w:r>
    </w:p>
    <w:p>
      <w:pPr>
        <w:spacing w:after="0" w:line="180"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7"/>
          <w:szCs w:val="17"/>
          <w:color w:val="auto"/>
        </w:rPr>
        <w:t>The Tax Cuts and Jobs Act (TCJA) requires taxpayers to capitalize and amortize research and development (R&amp;D) expenditures under IRC Section 174 for tax years beginning after December 31, 2021. This rule became effective for the Company on January 1, 2022 and resulted in the capitalization of R&amp;D costs of approximately $42.4 million and $42.3 million for tax year ending December 31, 2024 and 2023, respectively. The Company will amortize these costs for tax purposes over 5 years if the R&amp;D was performed in the U.S. and over 15 years if the R&amp;D was performed outside the U.S.</w:t>
      </w:r>
    </w:p>
    <w:p>
      <w:pPr>
        <w:spacing w:after="0" w:line="12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December 31, 2024, the Company had approximately $422.5 million, $621.8 million and $1,515.7 million of federal, state and foreign net operating loss carryforward, respectively. On December 31, 2023, the Company had approximately $494.1 million, $524.0 million and $1,663.3 million of federal, state and foreign net operating loss carryforward, respectively. The Company also had federal and state research and development tax credit carryforwards $107.8 million and $26.4 million, respectively of as of December 31, 2024. Federal net operating loss carryforward in the amount of $420.9 million may be carried forward indefinitely. The remaining federal and state net operating loss, research and development tax credit carryforwards begin to expire in 2025. The Company’s foreign net operating loss carryforwards will begin to expire in 2027.</w:t>
      </w:r>
    </w:p>
    <w:p>
      <w:pPr>
        <w:spacing w:after="0" w:line="16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(“IRC”), the net operating loss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The amount of the annual limitation is determined based on the value of the Company immediately prior to the ownership change. The Company may have experienced such ownership changes in the past and may experience ownership changes in the future, as a result of shifts in its stock ownership, some of which are outside the Company’s control. Such ownership changes could limit the amount of tax attributes that can be utilized annually to offset future tax liability.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firstLine="554"/>
        <w:spacing w:after="0" w:line="266" w:lineRule="auto"/>
        <w:rPr>
          <w:sz w:val="20"/>
          <w:szCs w:val="20"/>
          <w:color w:val="auto"/>
        </w:rPr>
      </w:pPr>
      <w:r>
        <w:rPr>
          <w:rFonts w:ascii="Times New Roman" w:cs="Times New Roman" w:eastAsia="Times New Roman" w:hAnsi="Times New Roman"/>
          <w:sz w:val="18"/>
          <w:szCs w:val="18"/>
          <w:color w:val="auto"/>
        </w:rPr>
        <w:t>The Company does not have any unrecognized tax benefits during any periods presented and does not expect this to significantly change in the next twelve months. There were no interest and penalties recorded in the statement of operations during any period and no amounts accrued for interest and penalties on December 31, 2024 or 2023.</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as well as various state and foreign jurisdictions. Generally, the tax years 2021 through 2023 remain open and subject to examination by the major taxing jurisdictions to which the Company is subject. To the extent the Company has tax attribute carryforwards, the tax years in which the attribute was generated may still be adjusted upon examination by the Internal Revenue Service, or state or foreign tax authorities, to the extent utilized in a future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In September 2024, the Company terminated the minimum purchase obligation with NOF for 2025. Under these agreements, as of December 31, 2024, the Company is obligated to pay up to an aggregate of $45.7 million to these vendors. As a result of this termination, the Company incurred an expense of $6.4 million, which is included in cost of sales on the consolidated statements of operations and comprehensive loss. As the amount is not due until January 2026, it is included in other liabilities on the consolidated balance sheet as of December 31, 2024.</w:t>
      </w:r>
    </w:p>
    <w:p>
      <w:pPr>
        <w:spacing w:after="0" w:line="18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December 31, 2024, under which it is obligated to pay up to an aggregate of $10.7 million to vendors.</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w:t>
      </w:r>
    </w:p>
    <w:p>
      <w:pPr>
        <w:spacing w:after="0" w:line="19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 On May 17, 2024, the United States District Court for the District of Delaware approved the motion to transfer to the United States District Court for the District of Massachusetts. The defendants moved to dismiss the Complaint on June 12, 2024, and the Court held oral argument on this motion for November 14, 2024. The Court has not yet ruled on this motion to dismiss.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December 19, 2024, purported stockholder Patrick Campbell, and on December 30, 2024, purported stockholder Kenneth Olson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The complaints seek monetary and punitive damages, and costs, including attorneys’ fees. On January 21, 2025, the cases were consolidated under the caption </w:t>
      </w:r>
      <w:r>
        <w:rPr>
          <w:rFonts w:ascii="Times New Roman" w:cs="Times New Roman" w:eastAsia="Times New Roman" w:hAnsi="Times New Roman"/>
          <w:sz w:val="18"/>
          <w:szCs w:val="18"/>
          <w:i w:val="1"/>
          <w:iCs w:val="1"/>
          <w:color w:val="auto"/>
        </w:rPr>
        <w:t>In re Apellis Pharmaceuticals, Inc.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No. 1:24-cv-13128-JEK. By the same order, the Court stayed the stockholder derivative litigation pending the Court’s ruling on the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 to dismiss in the securities class action.</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other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13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example, in August 2024, an individual filed a civil action against the Company in the United States District Court in the Northern District of Texas, alleging personal injury claims in connection with the use of SYFOVRE. We moved to dismiss this civil action in September 2024. The Court has not yet ruled on this motion to dismiss, as of the date of issuance of these consolidated financial statements.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 matters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these matters.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the 2017 Stock Incentive Plan, the Company no longer grants stock options or other awards under the 2010 Plan.</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its stockholders approved, the 2017 Stock Incentive Plan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 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common stock, 4.0% of the number of shares of common stock outstanding on the first day of the fiscal year and an amount determined by the board of directors. On January 1, 2024, the shares available for future issuance under the 2017 plan were increased by 4,219,409 shares pursuant to the annual increase described above. As of December 31, 2024, there were 9,726,725 shares available for future grants under the 2017 Plan. In January 2025, the shares available for future issuance under the 2017 plan were increased by an additional 4,219,409 shares.</w:t>
      </w:r>
    </w:p>
    <w:p>
      <w:pPr>
        <w:spacing w:after="0" w:line="14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Additionally, since 2019, the Company has granted equity awards as equity inducement awards material to entry into employment with the Company to certain newly hired employees outside of the Company’s existing plans in accordance with Nasdaq listing rule 5635(c)(4). In February 2020, the Board of Directors adopted the 2020 Inducement Stock Incentive Plan (the “2020 Plan”), which permitted the Company to grant equity awards to newly hired employees in accordance with Nasdaq listing rule 5635(c)(4). The aggregate number of shares reserved for issuance under the 2020 Plan was initially 750,000 shares. The Board of Directors amended the 2020 Plan to add 200,000 shares on January 1, 2024, which increased the total number of shares reserved for issuance to 1,950,000 shares as of January 1, 2024. As of December 31, 2024, there were 528,595 shares available for future grants under the 2020 Plan. No additional shares have been reserved under the 2020 Plan in 2025.</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the Company’s stockholders approved the 2017 Employee Stock Purchase Plan (“ESPP”), which became effective upon the IPO and provides participating employees with the opportunity to purchase up to an aggregate of 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ESPP in October 2019. On December 31, 2024, 410,940 shares of common stock remained available for issuance pursuant to the ESPP. No additional shares were reserved to the ESPP in 2024 or 2025.</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(in thousands):</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shd w:val="clear" w:color="auto" w:fill="CFF0FC"/>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16"/>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under 2020</w:t>
            </w:r>
          </w:p>
        </w:tc>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-170815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share-based compensation expense related to the various plans during the years ended was as follows (in thousands):</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0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45,644</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42,052</w:t>
            </w:r>
          </w:p>
        </w:tc>
        <w:tc>
          <w:tcPr>
            <w:tcW w:w="80" w:type="dxa"/>
            <w:vAlign w:val="bottom"/>
            <w:shd w:val="clear" w:color="auto" w:fill="CFF0FC"/>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80" w:type="dxa"/>
            <w:vAlign w:val="bottom"/>
          </w:tcPr>
          <w:p>
            <w:pPr>
              <w:spacing w:after="0"/>
              <w:rPr>
                <w:sz w:val="18"/>
                <w:szCs w:val="18"/>
                <w:color w:val="auto"/>
              </w:rPr>
            </w:pPr>
          </w:p>
        </w:tc>
      </w:tr>
      <w:tr>
        <w:trPr>
          <w:trHeight w:val="250"/>
        </w:trPr>
        <w:tc>
          <w:tcPr>
            <w:tcW w:w="3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1"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Options granted to employees vest over 48 months in installments of (i) 25% at the one-year anniversary and (ii) in either 36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or 12 equal quarterly installments beginning in the thirteenth month after the initial vesting commencement date (as defined) subject to the employee’s continuous service with the Company.</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senior employee is terminated without cause or resigns for good reason within 12 months after such change in control.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20" w:type="dxa"/>
            <w:vAlign w:val="bottom"/>
          </w:tcPr>
          <w:p>
            <w:pPr>
              <w:spacing w:after="0"/>
              <w:rPr>
                <w:sz w:val="13"/>
                <w:szCs w:val="13"/>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6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8,664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30.65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253,933</w:t>
            </w: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64.54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8,048</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2024</w:t>
            </w:r>
          </w:p>
        </w:tc>
        <w:tc>
          <w:tcPr>
            <w:tcW w:w="136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6,713</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31.39</w:t>
            </w:r>
          </w:p>
        </w:tc>
        <w:tc>
          <w:tcPr>
            <w:tcW w:w="96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48,477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to vest, December 31, 2024</w:t>
            </w:r>
          </w:p>
        </w:tc>
        <w:tc>
          <w:tcPr>
            <w:tcW w:w="13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1,335</w:t>
            </w:r>
          </w:p>
        </w:tc>
        <w:tc>
          <w:tcPr>
            <w:tcW w:w="32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55.36</w:t>
            </w:r>
          </w:p>
        </w:tc>
        <w:tc>
          <w:tcPr>
            <w:tcW w:w="96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-350520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-333375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857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values were calculated as the difference between the exercise price of the options and the fair value of the common stock.</w:t>
      </w:r>
    </w:p>
    <w:p>
      <w:pPr>
        <w:spacing w:after="0" w:line="18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stock options to purchase an aggregate of 0.7 million, 0.8 million and 1.3 million shares of its common stock, respectively with weighted average grant date fair values of $42.61, $34.26 and $23.62,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2024, 2023 and 2022 were $46.0 million, $181.0 million, and $44.8 million, respectively, calculated as the difference between the exercise price of the options and the fair value of the common stock on the respective date of exercise.</w:t>
      </w:r>
    </w:p>
    <w:p>
      <w:pPr>
        <w:spacing w:after="0" w:line="14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compensation expense related to unvested options, was $37.3 million, which the Company expects to recognize over an estimated weighted-average period of 2.3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model to estimate the grant date fair value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- 4.36%</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3.50 - 4.01%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1.15 - 3.37%</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spacing w:after="0"/>
              <w:rPr>
                <w:sz w:val="18"/>
                <w:szCs w:val="18"/>
                <w:color w:val="auto"/>
              </w:rPr>
            </w:pPr>
          </w:p>
        </w:tc>
        <w:tc>
          <w:tcPr>
            <w:tcW w:w="900" w:type="dxa"/>
            <w:vAlign w:val="bottom"/>
          </w:tcPr>
          <w:p>
            <w:pPr>
              <w:jc w:val="center"/>
              <w:ind w:right="535"/>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- 77.01%</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68.4 - 71.0%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68.3 - 70.4%</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3.81 - 6.08</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3.81 - 6.08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3.81 - 6.08</w:t>
            </w:r>
          </w:p>
        </w:tc>
      </w:tr>
    </w:tbl>
    <w:p>
      <w:pPr>
        <w:spacing w:after="0" w:line="285"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fair value of RSU’s is estimated based upon the closing market price of the Company’s common stock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RSUs generally vest annually over a four-year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RSU's activity:</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0" w:type="dxa"/>
            <w:vAlign w:val="bottom"/>
          </w:tcPr>
          <w:p>
            <w:pPr>
              <w:spacing w:after="0"/>
              <w:rPr>
                <w:sz w:val="13"/>
                <w:szCs w:val="13"/>
                <w:color w:val="auto"/>
              </w:rPr>
            </w:pPr>
          </w:p>
        </w:tc>
        <w:tc>
          <w:tcPr>
            <w:tcW w:w="136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6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62.77</w:t>
            </w: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3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-170815</wp:posOffset>
            </wp:positionV>
            <wp:extent cx="85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vested during the year ended December 31, 2024, 2023 and 2022, respectively, were $65.5 million, $42.2 million and $15.3 million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$145.9 million of related unrecognized compensation cost which the Company expects to recognize over a remaining weighted average period of 2.4 years.</w:t>
      </w:r>
    </w:p>
    <w:p>
      <w:pPr>
        <w:spacing w:after="0" w:line="13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Eligible employees who elect to participate in an offering under the ESPP may have up to 15 percent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withheld, subject to certain limitations, to purchase shares of common stock pursuant to the ESPP. The price of common stock purchased under the ESPP is equal to 85 percent of the lower of the fair market value of the common stock at the commencement date of each offering period or the relevant purchase date. During the year ended December 31, 2024, a total of 141,941 shares of common stock were issued under the ESPP at average per share price of $31.77. During the year ended December 31, 2024, the Company recorded cash received from the issuance of stock to the ESPP of $4.5 million and recorded $2.0 million of stock-based compensation expense related to the ESPP.</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Common Share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common share (amounts in thousands except per share amounts):</w:t>
      </w:r>
    </w:p>
    <w:p>
      <w:pPr>
        <w:spacing w:after="0" w:line="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(197,878 )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(528,628 )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(652,172 )</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net loss per common share - basic and diluted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loss per share, prior to the use of the if-converted-method and treasury stock method, as their effect is anti-dilutive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c>
          <w:tcPr>
            <w:tcW w:w="1860" w:type="dxa"/>
            <w:vAlign w:val="bottom"/>
            <w:gridSpan w:val="2"/>
          </w:tcPr>
          <w:p>
            <w:pPr>
              <w:jc w:val="right"/>
              <w:ind w:right="6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740" w:type="dxa"/>
            <w:vAlign w:val="bottom"/>
            <w:gridSpan w:val="2"/>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Pr>
          <w:p>
            <w:pPr>
              <w:spacing w:after="0"/>
              <w:rPr>
                <w:sz w:val="18"/>
                <w:szCs w:val="18"/>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8,048</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8,664</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12,295</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3,962</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49"/>
        </w:trPr>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14,389</w:t>
            </w:r>
          </w:p>
        </w:tc>
        <w:tc>
          <w:tcPr>
            <w:tcW w:w="14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15,344</w:t>
            </w:r>
          </w:p>
        </w:tc>
        <w:tc>
          <w:tcPr>
            <w:tcW w:w="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7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operating segment, which is the development and commercialization of treatments across a broad range of diseases driven by complement. The Company defines its segment on the basis in which internally reported financial information is regularly reviewed by CODM to analyze financial performance, make decisions, and allocate resources. The Company’s CODM reviews consolidated net loss for purposes of assessing performance, making operating decisions, allocating resources, and planning and forecasting for future periods.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loss, and significant segment expenses as provided to the CODM with respect to the Company’s single operating segment for the years ended December 31, 2024,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02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69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210"/>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781,367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121,931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116,525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selling, general and administrative costs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99,750</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commercial costs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229,991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103,229</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228,659</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general and administrative costs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25,151</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segment items (1)</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(12,773 )</w:t>
            </w: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(20,933 )</w:t>
            </w: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(8,914 )</w:t>
            </w: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32,626</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(197,878 )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(528,629 )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(652,172 )</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80" w:right="3740" w:hanging="4963"/>
        <w:spacing w:after="0" w:line="407" w:lineRule="auto"/>
        <w:tabs>
          <w:tab w:leader="none" w:pos="10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cost of sales, loss on conversion of debt, and other expenses.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as of December 31, 2024.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2024, the Company’s chief executive officer and chief financial officer concluded that, as of such date, the Company’s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500" w:right="420" w:hanging="369"/>
        <w:spacing w:after="0" w:line="282"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1500" w:right="180" w:hanging="369"/>
        <w:spacing w:after="0" w:line="266"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1500" w:right="840" w:hanging="369"/>
        <w:spacing w:after="0" w:line="282"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2024. In making this assessment, our management used the criteria set forth by the Committee of Sponsoring Organizations of the Treadway Commission in Internal Control-Integrated Framework (2013).</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2024, our internal control over financial reporting is effective based on those criteria.</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Deloitte &amp; Touche LLP, our independent auditors have issued an audit report on our assessment of the company’s internal control over financial reporting, which is included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ectPr>
          <w:pgSz w:w="11900" w:h="16838" w:orient="portrait"/>
          <w:cols w:equalWidth="0" w:num="1">
            <w:col w:w="11240"/>
          </w:cols>
          <w:pgMar w:left="320" w:top="124"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our management, including our principal executive officer and our principal financial officer, conducted an evaluation of the internal control over financial reporting to determine whether any changes occurred during the year ended December 31, 2024 that have materially affected, or are reasonably likely to materially affect, our internal control over financial reporting. Based on that evaluation, our principal executive officer and principal financial officer concluded no such changes during the year ended December 31, 2024 materially affected, or were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Apellis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Apellis Pharmaceuticals,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28,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r>
        <w:rPr>
          <w:rFonts w:ascii="Verdana" w:cs="Verdana" w:eastAsia="Verdana" w:hAnsi="Verdana"/>
          <w:sz w:val="16"/>
          <w:szCs w:val="16"/>
          <w:b w:val="1"/>
          <w:bCs w:val="1"/>
          <w:color w:val="auto"/>
        </w:rPr>
        <w: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4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Nature of Trading</w:t>
            </w:r>
          </w:p>
        </w:tc>
        <w:tc>
          <w:tcPr>
            <w:tcW w:w="120" w:type="dxa"/>
            <w:vAlign w:val="bottom"/>
          </w:tcPr>
          <w:p>
            <w:pPr>
              <w:spacing w:after="0"/>
              <w:rPr>
                <w:sz w:val="17"/>
                <w:szCs w:val="17"/>
                <w:color w:val="auto"/>
              </w:rPr>
            </w:pPr>
          </w:p>
        </w:tc>
        <w:tc>
          <w:tcPr>
            <w:tcW w:w="26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Aggregate Number of</w:t>
            </w:r>
          </w:p>
        </w:tc>
      </w:tr>
      <w:tr>
        <w:trPr>
          <w:trHeight w:val="215"/>
        </w:trPr>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40" w:type="dxa"/>
            <w:vAlign w:val="bottom"/>
          </w:tcPr>
          <w:p>
            <w:pPr>
              <w:spacing w:after="0"/>
              <w:rPr>
                <w:sz w:val="18"/>
                <w:szCs w:val="18"/>
                <w:color w:val="auto"/>
              </w:rPr>
            </w:pPr>
          </w:p>
        </w:tc>
        <w:tc>
          <w:tcPr>
            <w:tcW w:w="20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0" w:type="dxa"/>
            <w:vAlign w:val="bottom"/>
          </w:tcPr>
          <w:p>
            <w:pPr>
              <w:spacing w:after="0"/>
              <w:rPr>
                <w:sz w:val="18"/>
                <w:szCs w:val="18"/>
                <w:color w:val="auto"/>
              </w:rPr>
            </w:pPr>
          </w:p>
        </w:tc>
        <w:tc>
          <w:tcPr>
            <w:tcW w:w="268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85"/>
        </w:trPr>
        <w:tc>
          <w:tcPr>
            <w:tcW w:w="1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Cedric Francois</w:t>
            </w:r>
          </w:p>
        </w:tc>
        <w:tc>
          <w:tcPr>
            <w:tcW w:w="14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President and Chief</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Executive</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shd w:val="clear" w:color="auto" w:fill="CFF0FC"/>
          </w:tcPr>
          <w:p>
            <w:pPr>
              <w:spacing w:after="0"/>
              <w:rPr>
                <w:sz w:val="17"/>
                <w:szCs w:val="17"/>
                <w:color w:val="auto"/>
              </w:rPr>
            </w:pPr>
          </w:p>
        </w:tc>
        <w:tc>
          <w:tcPr>
            <w:tcW w:w="2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11/05/2024</w:t>
            </w: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2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Jeffrey R Eisele</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tcPr>
          <w:p>
            <w:pPr>
              <w:spacing w:after="0"/>
              <w:rPr>
                <w:sz w:val="16"/>
                <w:szCs w:val="16"/>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Development Officer</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12/06/2024</w:t>
            </w:r>
          </w:p>
        </w:tc>
        <w:tc>
          <w:tcPr>
            <w:tcW w:w="14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192"/>
        </w:trPr>
        <w:tc>
          <w:tcPr>
            <w:tcW w:w="1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12/31/2025, or such earlier date</w:t>
            </w: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1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Jeffrey R Eisele</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Development Officer</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12/13/2024</w:t>
            </w: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2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execution</w:t>
            </w: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9"/>
              </w:rPr>
              <w:t>Up to 244,636 shares</w:t>
            </w: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Karen L Lewis</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tcPr>
          <w:p>
            <w:pPr>
              <w:spacing w:after="0"/>
              <w:rPr>
                <w:sz w:val="16"/>
                <w:szCs w:val="16"/>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People Officer</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12/27/2024</w:t>
            </w:r>
          </w:p>
        </w:tc>
        <w:tc>
          <w:tcPr>
            <w:tcW w:w="14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bl>
    <w:p>
      <w:pPr>
        <w:spacing w:after="0" w:line="312"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563,194 shares of our common stock and had a scheduled expiration date of 09/03/2025.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207,256 shares of our common stock and had a scheduled expiration date of 02/28/2025.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101,422 shares of our common stock and had a scheduled expiration date of 03/31/2025.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80" w:firstLine="57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2025 Annual Meeting of Stockholders, or the Proxy Statement, which we intend to file not later than 120 days after the end of our fiscal year ended December 31, 2024, under the headings “Information about our Executive Officers,” “Election of Directors,” “Corporate Governance,” and “ Delinquent Section 16(a) Reports,” and is incorporated in this Annual Report on Form 10-K by reference.</w:t>
      </w:r>
    </w:p>
    <w:p>
      <w:pPr>
        <w:spacing w:after="0" w:line="180"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including our principal executive officer, principal financial officer, principal accounting officer or controller, or persons performing similar functions, which is available on our website at www.apellis.com. The Code of Business Conduct and Ethics is intended to qualify as a “code of ethics” within the meaning of Section 406 of the Sarbanes-Oxley Act of 2002 and Item 406 of Regulation S-K. In addition, we intend to promptly disclose the nature of any amendment to our Code of Business Conduct and Ethics or any waiver from our Code of Business Conduct and Ethics granted to any officer or director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set forth in the sections titled “Executive Compensation” and “Director Compensation” in our Proxy Statement and, other than the information required by Item 402(v) of Regulation S-K,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set forth in the sections titled “Security Ownership of Certain Beneficial Owners and Management” and “Equity Compensation Plan Information”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set forth in the sections titled “Certain Relationships and Related Party Transactions,” “Election of Directors,” and “Corporate Governance,” respectively,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set forth in the section titled “Principal Accountant Fees and Services” in our Proxy Statement and is incorporated in this Annual Report on Form 10-K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Pr>
          <w:p>
            <w:pPr>
              <w:spacing w:after="0"/>
              <w:rPr>
                <w:sz w:val="20"/>
                <w:szCs w:val="20"/>
                <w:color w:val="auto"/>
              </w:rPr>
            </w:pPr>
          </w:p>
        </w:tc>
      </w:tr>
      <w:tr>
        <w:trPr>
          <w:trHeight w:val="540"/>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520" w:type="dxa"/>
            <w:vAlign w:val="bottom"/>
          </w:tcPr>
          <w:p>
            <w:pPr>
              <w:spacing w:after="0"/>
              <w:rPr>
                <w:sz w:val="24"/>
                <w:szCs w:val="24"/>
                <w:color w:val="auto"/>
              </w:rPr>
            </w:pPr>
          </w:p>
        </w:tc>
      </w:tr>
      <w:tr>
        <w:trPr>
          <w:trHeight w:val="324"/>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 Documents filed as a part of this Report:</w:t>
            </w:r>
          </w:p>
        </w:tc>
        <w:tc>
          <w:tcPr>
            <w:tcW w:w="520" w:type="dxa"/>
            <w:vAlign w:val="bottom"/>
          </w:tcPr>
          <w:p>
            <w:pPr>
              <w:spacing w:after="0"/>
              <w:rPr>
                <w:sz w:val="24"/>
                <w:szCs w:val="24"/>
                <w:color w:val="auto"/>
              </w:rPr>
            </w:pPr>
          </w:p>
        </w:tc>
      </w:tr>
      <w:tr>
        <w:trPr>
          <w:trHeight w:val="324"/>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r>
              <w:rPr>
                <w:rFonts w:ascii="Times New Roman" w:cs="Times New Roman" w:eastAsia="Times New Roman" w:hAnsi="Times New Roman"/>
                <w:sz w:val="18"/>
                <w:szCs w:val="18"/>
                <w:color w:val="auto"/>
              </w:rPr>
              <w:t>—Included in Item 8 of this Annual Report on Form 10-K.</w:t>
            </w:r>
          </w:p>
        </w:tc>
        <w:tc>
          <w:tcPr>
            <w:tcW w:w="520" w:type="dxa"/>
            <w:vAlign w:val="bottom"/>
          </w:tcPr>
          <w:p>
            <w:pPr>
              <w:spacing w:after="0"/>
              <w:rPr>
                <w:sz w:val="24"/>
                <w:szCs w:val="24"/>
                <w:color w:val="auto"/>
              </w:rPr>
            </w:pPr>
          </w:p>
        </w:tc>
      </w:tr>
      <w:tr>
        <w:trPr>
          <w:trHeight w:val="392"/>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2024 and 2023 and for each of the three years in the period ended</w:t>
            </w:r>
          </w:p>
        </w:tc>
        <w:tc>
          <w:tcPr>
            <w:tcW w:w="520" w:type="dxa"/>
            <w:vAlign w:val="bottom"/>
          </w:tcPr>
          <w:p>
            <w:pPr>
              <w:spacing w:after="0"/>
              <w:rPr>
                <w:sz w:val="18"/>
                <w:szCs w:val="18"/>
                <w:color w:val="auto"/>
              </w:rPr>
            </w:pPr>
          </w:p>
        </w:tc>
      </w:tr>
      <w:tr>
        <w:trPr>
          <w:trHeight w:val="216"/>
        </w:trPr>
        <w:tc>
          <w:tcPr>
            <w:tcW w:w="10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Pr>
          <w:p>
            <w:pPr>
              <w:spacing w:after="0"/>
              <w:rPr>
                <w:sz w:val="18"/>
                <w:szCs w:val="18"/>
                <w:color w:val="auto"/>
              </w:rPr>
            </w:pPr>
          </w:p>
        </w:tc>
      </w:tr>
      <w:tr>
        <w:trPr>
          <w:trHeight w:val="194"/>
        </w:trPr>
        <w:tc>
          <w:tcPr>
            <w:tcW w:w="1070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74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2023 and 2022</w:t>
            </w:r>
          </w:p>
        </w:tc>
        <w:tc>
          <w:tcPr>
            <w:tcW w:w="19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868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period from January 1, 2022 to December 31, 2024</w:t>
            </w:r>
          </w:p>
        </w:tc>
        <w:tc>
          <w:tcPr>
            <w:tcW w:w="20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07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6920" w:type="dxa"/>
            <w:vAlign w:val="bottom"/>
            <w:tcBorders>
              <w:top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78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3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have been filed as part of this Annual Report on Form 10-K because they are not applicable, not required or the required information is otherwise included in our consolidated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20" w:type="dxa"/>
            <w:vAlign w:val="bottom"/>
            <w:gridSpan w:val="19"/>
          </w:tcPr>
          <w:p>
            <w:pPr>
              <w:ind w:left="4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020" w:type="dxa"/>
            <w:vAlign w:val="bottom"/>
          </w:tcPr>
          <w:p>
            <w:pPr>
              <w:ind w:left="160"/>
              <w:spacing w:after="0" w:line="203" w:lineRule="exact"/>
              <w:rPr>
                <w:sz w:val="20"/>
                <w:szCs w:val="20"/>
                <w:color w:val="auto"/>
              </w:rPr>
            </w:pPr>
            <w:r>
              <w:rPr>
                <w:rFonts w:ascii="Calibri" w:cs="Calibri" w:eastAsia="Calibri" w:hAnsi="Calibri"/>
                <w:sz w:val="20"/>
                <w:szCs w:val="20"/>
                <w:b w:val="1"/>
                <w:bCs w:val="1"/>
                <w:color w:val="auto"/>
              </w:rPr>
              <w:t>Exhibit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b w:val="1"/>
                <w:bCs w:val="1"/>
                <w:color w:val="auto"/>
              </w:rPr>
              <w:t>Form</w:t>
            </w:r>
          </w:p>
        </w:tc>
        <w:tc>
          <w:tcPr>
            <w:tcW w:w="128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b w:val="1"/>
                <w:bCs w:val="1"/>
                <w:color w:val="auto"/>
                <w:w w:val="99"/>
              </w:rPr>
              <w:t>File Number</w:t>
            </w:r>
          </w:p>
        </w:tc>
        <w:tc>
          <w:tcPr>
            <w:tcW w:w="122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b w:val="1"/>
                <w:bCs w:val="1"/>
                <w:color w:val="auto"/>
              </w:rPr>
              <w:t>Date of</w:t>
            </w:r>
          </w:p>
        </w:tc>
        <w:tc>
          <w:tcPr>
            <w:tcW w:w="1000" w:type="dxa"/>
            <w:vAlign w:val="bottom"/>
          </w:tcPr>
          <w:p>
            <w:pPr>
              <w:jc w:val="right"/>
              <w:ind w:right="209"/>
              <w:spacing w:after="0" w:line="203"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160" w:type="dxa"/>
            <w:vAlign w:val="bottom"/>
          </w:tcPr>
          <w:p>
            <w:pPr>
              <w:ind w:left="340"/>
              <w:spacing w:after="0" w:line="203" w:lineRule="exact"/>
              <w:rPr>
                <w:sz w:val="20"/>
                <w:szCs w:val="20"/>
                <w:color w:val="auto"/>
              </w:rPr>
            </w:pPr>
            <w:r>
              <w:rPr>
                <w:rFonts w:ascii="Times New Roman" w:cs="Times New Roman" w:eastAsia="Times New Roman" w:hAnsi="Times New Roman"/>
                <w:sz w:val="20"/>
                <w:szCs w:val="20"/>
                <w:b w:val="1"/>
                <w:bCs w:val="1"/>
                <w:color w:val="auto"/>
              </w:rPr>
              <w:t>Filed</w:t>
            </w:r>
          </w:p>
        </w:tc>
      </w:tr>
      <w:tr>
        <w:trPr>
          <w:trHeight w:val="262"/>
        </w:trPr>
        <w:tc>
          <w:tcPr>
            <w:tcW w:w="1020" w:type="dxa"/>
            <w:vAlign w:val="bottom"/>
          </w:tcPr>
          <w:p>
            <w:pPr>
              <w:ind w:left="140"/>
              <w:spacing w:after="0"/>
              <w:rPr>
                <w:sz w:val="20"/>
                <w:szCs w:val="20"/>
                <w:color w:val="auto"/>
              </w:rPr>
            </w:pPr>
            <w:r>
              <w:rPr>
                <w:rFonts w:ascii="Calibri" w:cs="Calibri" w:eastAsia="Calibri" w:hAnsi="Calibri"/>
                <w:sz w:val="20"/>
                <w:szCs w:val="20"/>
                <w:b w:val="1"/>
                <w:bCs w:val="1"/>
                <w:color w:val="auto"/>
              </w:rPr>
              <w:t>Number</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Filing</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Herewith</w:t>
            </w:r>
          </w:p>
        </w:tc>
      </w:tr>
      <w:tr>
        <w:trPr>
          <w:trHeight w:val="42"/>
        </w:trPr>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720" w:type="dxa"/>
            <w:vAlign w:val="bottom"/>
            <w:gridSpan w:val="21"/>
          </w:tcPr>
          <w:p>
            <w:pPr>
              <w:spacing w:after="0" w:line="17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Asset Purchase Agreement</w:t>
              </w:r>
            </w:hyperlink>
          </w:p>
        </w:tc>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Restated Certificate of Incorporation of the Registrant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Amended and Restated By-Laws of the Registrant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Specimen Stock Certificate evidencing the shares of common</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stock</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Investors’ Rights Agreement dated as of August 7, 2017, among</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the Registrant and the other parties thereto</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Indenture (including form of Note), dated as of September 16,</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9/16/2019</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2019, by and between Apellis Pharmaceuticals, Inc. and U.S.</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Bank National Association, as trustee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Description of Securities Registered Under Section 12 of the</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2/28/2022</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Exchange Act</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Form of Pre-Funded Warrant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2/24/2023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720" w:type="dxa"/>
            <w:vAlign w:val="bottom"/>
            <w:gridSpan w:val="21"/>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2010 Equity Incentive Plan, as amended</w:t>
              </w:r>
            </w:hyperlink>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19"/>
                <w:szCs w:val="19"/>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Form of Incentive Stock Option Grant Notice and Agreement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under 2010 Equity Incentive Plan</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560" w:type="dxa"/>
            <w:vAlign w:val="bottom"/>
            <w:gridSpan w:val="22"/>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 xml:space="preserve">Form of Nonstatutory Stock Option Grant Notice and Agreement </w:t>
              </w:r>
            </w:hyperlink>
            <w:r>
              <w:rPr>
                <w:rFonts w:ascii="Times New Roman" w:cs="Times New Roman" w:eastAsia="Times New Roman" w:hAnsi="Times New Roman"/>
                <w:sz w:val="18"/>
                <w:szCs w:val="18"/>
                <w:color w:val="000000"/>
              </w:rPr>
              <w:t>S-1</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under 2010 Equity Incentive Plan</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2017 Stock Incentive Plan</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10/30/2017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Incentive Stock Option Agreement under 2017 Stock</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Incentive Plan</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Nonstatutory Stock Option Agreement under 2017</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Stock Incentive Plan</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Form of Director and Officer Indemnification Agreement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Patent License Agreement, dated as of March 28, 2008, by and</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20" w:type="dxa"/>
            <w:vAlign w:val="bottom"/>
            <w:gridSpan w:val="2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between Apellis AG and The Trustees of the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4"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620" w:type="dxa"/>
            <w:vAlign w:val="bottom"/>
            <w:gridSpan w:val="18"/>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University of Pennsylvania, as assigned to the Registrant</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Amended and Restated Patent License Agreement, dated as of</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March 28, 2008, by and between Potentia Pharmaceuticals, Inc.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390">
              <w:r>
                <w:rPr>
                  <w:rFonts w:ascii="Times New Roman" w:cs="Times New Roman" w:eastAsia="Times New Roman" w:hAnsi="Times New Roman"/>
                  <w:sz w:val="18"/>
                  <w:szCs w:val="18"/>
                  <w:color w:val="0000FF"/>
                  <w:w w:val="98"/>
                </w:rPr>
                <w:t>and The Trustees of the University of Pennsylvania, as amended</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by the First Amendment to the Amended and Restated Patent</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License Agreement, dated as of October 14, 2009 and as</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assigned to the Registrant</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Summary of Non-Employee Director Compensation Program</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392">
              <w:r>
                <w:rPr>
                  <w:rFonts w:ascii="Times New Roman" w:cs="Times New Roman" w:eastAsia="Times New Roman" w:hAnsi="Times New Roman"/>
                  <w:sz w:val="18"/>
                  <w:szCs w:val="18"/>
                  <w:color w:val="0000FF"/>
                  <w:w w:val="98"/>
                </w:rPr>
                <w:t>Lease, dated as of April 27, 2017, by and between the Registrant</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and NWALP PHOP Property Owner,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2017 Employee Stock Purchase Plan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Offer Letter, dated as of October 9, 2017, by and between the</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Registrant and Timothy Sullivan</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395">
              <w:r>
                <w:rPr>
                  <w:rFonts w:ascii="Times New Roman" w:cs="Times New Roman" w:eastAsia="Times New Roman" w:hAnsi="Times New Roman"/>
                  <w:sz w:val="18"/>
                  <w:szCs w:val="18"/>
                  <w:color w:val="0000FF"/>
                  <w:w w:val="98"/>
                </w:rPr>
                <w:t>First Amendment to Lease, dated July 25, 2018, by and between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Registrant and NWALP PHOP Property Owner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Second Amendment to Lease, dated June 5, 2019, by and</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between Registrant and NWALP PHOP Property Owner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Third Amendment to Lease, dated September 25, 2019, by and</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between Registrant and NWALP PHOP Property Owner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Fourth Amendment to Lease, dated November 13, 2020, by and</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between Registrant and NWALP PHOP Property Owner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Development Funding Agreement, dated as of February 28,</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2019, by and between the Registrant and SFJ Pharmaceuticals</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XI, L.P.</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Amendment, dated as of June 7, 2019, to the Development</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Funding Agreement, dated as of February 28, 2019 by and</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between the Registrant and SFJ Pharmaceuticals XI, L.P.</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Standard Office Lease, dated as of March 29, 2019, by and</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401">
              <w:r>
                <w:rPr>
                  <w:rFonts w:ascii="Times New Roman" w:cs="Times New Roman" w:eastAsia="Times New Roman" w:hAnsi="Times New Roman"/>
                  <w:sz w:val="18"/>
                  <w:szCs w:val="18"/>
                  <w:color w:val="0000FF"/>
                  <w:w w:val="98"/>
                </w:rPr>
                <w:t>between the Registrant and Geary-Market Investment Company,</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Ltd.</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Capped Call Transaction Confirmation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Amendment No. 1 to 2017 Employee Stock Purchase Plan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23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Collaboration and License Agreement, dated October 27, 2020,</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404">
              <w:r>
                <w:rPr>
                  <w:rFonts w:ascii="Times New Roman" w:cs="Times New Roman" w:eastAsia="Times New Roman" w:hAnsi="Times New Roman"/>
                  <w:sz w:val="18"/>
                  <w:szCs w:val="18"/>
                  <w:color w:val="0000FF"/>
                  <w:w w:val="99"/>
                </w:rPr>
                <w:t>by and among, the Registrant, Apellis Switzerland GmbH, APL</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DEL holdings, LLC and Swedish Orphan Biovitrum AB (publ)</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Commercial Supply Agreement, dated December 30, 2020, by</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and between the Registrant and Bachem Americas, Inc.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62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406">
              <w:r>
                <w:rPr>
                  <w:rFonts w:ascii="Times New Roman" w:cs="Times New Roman" w:eastAsia="Times New Roman" w:hAnsi="Times New Roman"/>
                  <w:sz w:val="18"/>
                  <w:szCs w:val="18"/>
                  <w:color w:val="0000FF"/>
                  <w:w w:val="98"/>
                </w:rPr>
                <w:t>Sales Agreement, dated as of November 1, 2023 by and between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Apellis Pharmaceuticals, Inc. and Cowen and Company, LLC.</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Amended and Restated Commercial Supply Agreement, dated</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March 10, 2021, by and between the Registrant, Apellis</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Switzerland GmbH and NOF Corporation</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Inducement Stock Incentive Plan</w:t>
              </w:r>
            </w:hyperlink>
          </w:p>
        </w:tc>
        <w:tc>
          <w:tcPr>
            <w:tcW w:w="80" w:type="dxa"/>
            <w:vAlign w:val="bottom"/>
          </w:tcPr>
          <w:p>
            <w:pPr>
              <w:spacing w:after="0"/>
              <w:rPr>
                <w:sz w:val="17"/>
                <w:szCs w:val="17"/>
                <w:color w:val="auto"/>
              </w:rPr>
            </w:pPr>
          </w:p>
        </w:tc>
        <w:tc>
          <w:tcPr>
            <w:tcW w:w="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2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620" w:type="dxa"/>
            <w:vAlign w:val="bottom"/>
            <w:gridSpan w:val="18"/>
          </w:tcPr>
          <w:p>
            <w:pPr>
              <w:spacing w:after="0"/>
              <w:rPr>
                <w:rFonts w:ascii="Times New Roman" w:cs="Times New Roman" w:eastAsia="Times New Roman" w:hAnsi="Times New Roman"/>
                <w:sz w:val="18"/>
                <w:szCs w:val="18"/>
                <w:color w:val="0000FF"/>
                <w:w w:val="97"/>
              </w:rPr>
            </w:pPr>
            <w:hyperlink r:id="rId409">
              <w:r>
                <w:rPr>
                  <w:rFonts w:ascii="Times New Roman" w:cs="Times New Roman" w:eastAsia="Times New Roman" w:hAnsi="Times New Roman"/>
                  <w:sz w:val="18"/>
                  <w:szCs w:val="18"/>
                  <w:color w:val="0000FF"/>
                  <w:w w:val="97"/>
                </w:rPr>
                <w:t>Offer Letter, dated as of December 25, 2022, by and between the</w:t>
              </w:r>
            </w:hyperlink>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r>
      <w:tr>
        <w:trPr>
          <w:trHeight w:val="20"/>
        </w:trPr>
        <w:tc>
          <w:tcPr>
            <w:tcW w:w="1000" w:type="dxa"/>
            <w:vAlign w:val="bottom"/>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1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gridSpan w:val="18"/>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Registrant and Baumal Caroline</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160" w:val="left"/>
          <w:tab w:leader="none" w:pos="3020" w:val="left"/>
        </w:tabs>
        <w:rPr>
          <w:sz w:val="20"/>
          <w:szCs w:val="20"/>
          <w:color w:val="auto"/>
        </w:rPr>
      </w:pPr>
      <w:r>
        <w:rPr>
          <w:rFonts w:ascii="Times New Roman" w:cs="Times New Roman" w:eastAsia="Times New Roman" w:hAnsi="Times New Roman"/>
          <w:sz w:val="18"/>
          <w:szCs w:val="18"/>
          <w:color w:val="auto"/>
        </w:rPr>
        <w:t>333-220941</w:t>
      </w:r>
      <w:r>
        <w:rPr>
          <w:sz w:val="20"/>
          <w:szCs w:val="20"/>
          <w:color w:val="auto"/>
        </w:rPr>
        <w:tab/>
      </w:r>
      <w:r>
        <w:rPr>
          <w:rFonts w:ascii="Times New Roman" w:cs="Times New Roman" w:eastAsia="Times New Roman" w:hAnsi="Times New Roman"/>
          <w:sz w:val="18"/>
          <w:szCs w:val="18"/>
          <w:color w:val="auto"/>
        </w:rPr>
        <w:t>10/13/2017</w:t>
      </w:r>
      <w:r>
        <w:rPr>
          <w:sz w:val="20"/>
          <w:szCs w:val="20"/>
          <w:color w:val="auto"/>
        </w:rPr>
        <w:tab/>
      </w: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2/28/2022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10/13/2017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10/30/2017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10/20/2017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11/5/2019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11/01/2023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4/28/2022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333-236710</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bl>
    <w:p>
      <w:pPr>
        <w:sectPr>
          <w:pgSz w:w="11900" w:h="16838" w:orient="portrait"/>
          <w:cols w:equalWidth="0" w:num="2">
            <w:col w:w="6180" w:space="540"/>
            <w:col w:w="3419"/>
          </w:cols>
          <w:pgMar w:left="320" w:top="124"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400" w:type="dxa"/>
            <w:vAlign w:val="bottom"/>
            <w:gridSpan w:val="15"/>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 xml:space="preserve">Offer Letter, dated as of November 16, 2018, by and between the </w:t>
              </w:r>
            </w:hyperlink>
            <w:r>
              <w:rPr>
                <w:rFonts w:ascii="Times New Roman" w:cs="Times New Roman" w:eastAsia="Times New Roman" w:hAnsi="Times New Roman"/>
                <w:sz w:val="18"/>
                <w:szCs w:val="18"/>
                <w:color w:val="000000"/>
              </w:rPr>
              <w:t>10-K</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2/28/2022</w:t>
            </w:r>
          </w:p>
        </w:tc>
        <w:tc>
          <w:tcPr>
            <w:tcW w:w="1580" w:type="dxa"/>
            <w:vAlign w:val="bottom"/>
          </w:tcPr>
          <w:p>
            <w:pPr>
              <w:jc w:val="right"/>
              <w:ind w:right="565"/>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Registrant and Adam Townsend</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4700" w:type="dxa"/>
            <w:vAlign w:val="bottom"/>
            <w:gridSpan w:val="14"/>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Exchange Agreement</w:t>
              </w:r>
            </w:hyperlink>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7/8/2021</w:t>
            </w:r>
          </w:p>
        </w:tc>
        <w:tc>
          <w:tcPr>
            <w:tcW w:w="1580" w:type="dxa"/>
            <w:vAlign w:val="bottom"/>
          </w:tcPr>
          <w:p>
            <w:pPr>
              <w:jc w:val="right"/>
              <w:ind w:right="565"/>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700" w:type="dxa"/>
            <w:vAlign w:val="bottom"/>
            <w:gridSpan w:val="14"/>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Restricted Stock Unit Agreement under the 2017 Stock</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2/21/2023</w:t>
            </w:r>
          </w:p>
        </w:tc>
        <w:tc>
          <w:tcPr>
            <w:tcW w:w="1580" w:type="dxa"/>
            <w:vAlign w:val="bottom"/>
          </w:tcPr>
          <w:p>
            <w:pPr>
              <w:jc w:val="right"/>
              <w:ind w:right="565"/>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Incentive Plan</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restart"/>
          </w:tcPr>
          <w:p>
            <w:pPr>
              <w:jc w:val="right"/>
              <w:spacing w:after="0" w:line="243" w:lineRule="exact"/>
              <w:rPr>
                <w:sz w:val="20"/>
                <w:szCs w:val="20"/>
                <w:color w:val="auto"/>
              </w:rPr>
            </w:pPr>
            <w:r>
              <w:rPr>
                <w:rFonts w:ascii="Calibri" w:cs="Calibri" w:eastAsia="Calibri" w:hAnsi="Calibri"/>
                <w:sz w:val="20"/>
                <w:szCs w:val="20"/>
                <w:color w:val="auto"/>
              </w:rPr>
              <w:t>X</w:t>
            </w: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restart"/>
          </w:tcPr>
          <w:p>
            <w:pPr>
              <w:jc w:val="right"/>
              <w:spacing w:after="0" w:line="243" w:lineRule="exact"/>
              <w:rPr>
                <w:sz w:val="20"/>
                <w:szCs w:val="20"/>
                <w:color w:val="auto"/>
              </w:rPr>
            </w:pPr>
            <w:r>
              <w:rPr>
                <w:rFonts w:ascii="Calibri" w:cs="Calibri" w:eastAsia="Calibri" w:hAnsi="Calibri"/>
                <w:sz w:val="20"/>
                <w:szCs w:val="20"/>
                <w:color w:val="auto"/>
              </w:rPr>
              <w:t>X</w:t>
            </w: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700" w:type="dxa"/>
            <w:vAlign w:val="bottom"/>
            <w:gridSpan w:val="14"/>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Dodd-Frank Compensation Recovery Policy</w:t>
              </w:r>
            </w:hyperlink>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2/27/2024</w:t>
            </w:r>
          </w:p>
        </w:tc>
        <w:tc>
          <w:tcPr>
            <w:tcW w:w="1580" w:type="dxa"/>
            <w:vAlign w:val="bottom"/>
          </w:tcPr>
          <w:p>
            <w:pPr>
              <w:jc w:val="right"/>
              <w:ind w:right="565"/>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6"/>
            <w:shd w:val="clear" w:color="auto" w:fill="0000FF"/>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not appear in the Interactive Data File because its XBRL tags are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0" w:right="5360" w:hanging="979"/>
        <w:spacing w:after="0" w:line="260" w:lineRule="auto"/>
        <w:tabs>
          <w:tab w:leader="none" w:pos="10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5"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601(b)(2) of Regulation S-K, the Registrant agrees to furnish supplementally a copy of any omitted schedule or exhibit to the Asset Purchase Agreement to the Securities and Exchange Commission upon request.</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as to certain portions, which portions have been omitted and separately filed with the Securities and Exchange Commission.</w:t>
      </w:r>
    </w:p>
    <w:p>
      <w:pPr>
        <w:ind w:right="4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Item 601(b)(10)(iv) of Regulation S-K.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11912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4" w:right="5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25" w:lineRule="exact"/>
        <w:rPr>
          <w:sz w:val="20"/>
          <w:szCs w:val="20"/>
          <w:color w:val="auto"/>
        </w:rPr>
      </w:pPr>
    </w:p>
    <w:p>
      <w:pPr>
        <w:ind w:left="20"/>
        <w:spacing w:after="0"/>
        <w:tabs>
          <w:tab w:leader="none" w:pos="6300" w:val="left"/>
          <w:tab w:leader="none" w:pos="836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6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12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Jim Chopas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Jim Chopas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Gerald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Gerald Chan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 Sinclair Dunlop</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Alec Machiels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Alec Machiels</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 Stephanie 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Stephanie M. O’Brien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 Fonteyne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Paul Fonteyne</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Keli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Keli Walbert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(Principal Financial Officer)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23" w:lineRule="exact"/>
        <w:rPr>
          <w:sz w:val="20"/>
          <w:szCs w:val="20"/>
          <w:color w:val="auto"/>
        </w:rPr>
      </w:pPr>
    </w:p>
    <w:p>
      <w:pPr>
        <w:ind w:right="2960" w:firstLine="45"/>
        <w:spacing w:after="0" w:line="261" w:lineRule="auto"/>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(Principal Accounting Officer)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432" w:lineRule="exact"/>
        <w:rPr>
          <w:sz w:val="20"/>
          <w:szCs w:val="20"/>
          <w:color w:val="auto"/>
        </w:rPr>
      </w:pPr>
    </w:p>
    <w:p>
      <w:pPr>
        <w:sectPr>
          <w:pgSz w:w="11900" w:h="16838" w:orient="portrait"/>
          <w:cols w:equalWidth="0" w:num="2">
            <w:col w:w="3140" w:space="720"/>
            <w:col w:w="7280"/>
          </w:cols>
          <w:pgMar w:left="320" w:top="124" w:right="439" w:bottom="1440" w:gutter="0" w:footer="0" w:header="0"/>
          <w:type w:val="continuous"/>
        </w:sect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type w:val="continuous"/>
        </w:sectPr>
      </w:pPr>
    </w:p>
    <w:bookmarkStart w:id="150" w:name="page151"/>
    <w:bookmarkEnd w:id="150"/>
    <w:p>
      <w:pPr>
        <w:spacing w:after="0" w:line="217"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APELLIS PHARMACEUTICALS, INC.</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rPr>
                <w:sz w:val="17"/>
                <w:szCs w:val="17"/>
                <w:color w:val="auto"/>
              </w:rPr>
            </w:pP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20" w:type="dxa"/>
            <w:vAlign w:val="bottom"/>
          </w:tcPr>
          <w:p>
            <w:pPr>
              <w:spacing w:after="0"/>
              <w:rPr>
                <w:sz w:val="17"/>
                <w:szCs w:val="17"/>
                <w:color w:val="auto"/>
              </w:rPr>
            </w:pPr>
          </w:p>
        </w:tc>
        <w:tc>
          <w:tcPr>
            <w:tcW w:w="3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800" w:type="dxa"/>
            <w:vAlign w:val="bottom"/>
          </w:tcPr>
          <w:p>
            <w:pPr>
              <w:spacing w:after="0"/>
              <w:rPr>
                <w:sz w:val="17"/>
                <w:szCs w:val="17"/>
                <w:color w:val="auto"/>
              </w:rPr>
            </w:pPr>
          </w:p>
        </w:tc>
      </w:tr>
      <w:tr>
        <w:trPr>
          <w:trHeight w:val="191"/>
        </w:trPr>
        <w:tc>
          <w:tcPr>
            <w:tcW w:w="1820" w:type="dxa"/>
            <w:vAlign w:val="bottom"/>
          </w:tcPr>
          <w:p>
            <w:pPr>
              <w:spacing w:after="0"/>
              <w:rPr>
                <w:sz w:val="16"/>
                <w:szCs w:val="16"/>
                <w:color w:val="auto"/>
              </w:rPr>
            </w:pPr>
          </w:p>
        </w:tc>
        <w:tc>
          <w:tcPr>
            <w:tcW w:w="3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Apellis Australia Pty Ltd.</w:t>
            </w:r>
          </w:p>
        </w:tc>
        <w:tc>
          <w:tcPr>
            <w:tcW w:w="420" w:type="dxa"/>
            <w:vAlign w:val="bottom"/>
          </w:tcPr>
          <w:p>
            <w:pPr>
              <w:spacing w:after="0"/>
              <w:rPr>
                <w:sz w:val="16"/>
                <w:szCs w:val="16"/>
                <w:color w:val="auto"/>
              </w:rPr>
            </w:pPr>
          </w:p>
        </w:tc>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180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Austria GmbH</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Bermuda Ltd.</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Canada Inc.</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Cayman Holdings Limited</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DEL Holdings LLC</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DEL Holdings II, LLC</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Europe B.V</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Germany GmbH</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France S.A.S.</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International GmbH</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Ireland Ltd.</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Italy S.r.I.</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Netherlands, B.V.</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Schweiz GmbH</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Sweden AB</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U.K. Limited</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MA Securities Inc.</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Sales I, LLC</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PRG I, Corp.</w:t>
            </w:r>
          </w:p>
        </w:tc>
        <w:tc>
          <w:tcPr>
            <w:tcW w:w="4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APLSPRJ MRS, Inc.</w:t>
            </w:r>
          </w:p>
        </w:tc>
        <w:tc>
          <w:tcPr>
            <w:tcW w:w="4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0"/>
                <w:szCs w:val="20"/>
                <w:color w:val="auto"/>
              </w:rPr>
            </w:pPr>
          </w:p>
        </w:tc>
      </w:tr>
      <w:tr>
        <w:trPr>
          <w:trHeight w:val="2761"/>
        </w:trPr>
        <w:tc>
          <w:tcPr>
            <w:tcW w:w="1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333-269899 on Form S-3 and Registration Statement Nos. 333-221528, 333-229876, 333-236708, 333-236710, 333-253518, 333-263100, 333-269888 and 333-277381 on Form S-8 of our reports dated February 28, 2025, relating to the financial statements of Apellis Pharmaceuticals, Inc. and the effectiveness of Apellis Pharmaceuticals, Inc.’s internal control over financial reporting appearing in this Annual Report on Form 10-K for the year ended December 31, 2024</w:t>
      </w:r>
      <w:r>
        <w:rPr>
          <w:rFonts w:ascii="Verdana" w:cs="Verdana" w:eastAsia="Verdana" w:hAnsi="Verdana"/>
          <w:sz w:val="16"/>
          <w:szCs w:val="16"/>
          <w:color w:val="auto"/>
        </w:rPr>
        <w: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198"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Sullivan, certify that:</w:t>
      </w:r>
    </w:p>
    <w:p>
      <w:pPr>
        <w:spacing w:after="0" w:line="198"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2024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204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
      <w:numFmt w:val="bullet"/>
      <w:start w:val="1"/>
    </w:lvl>
    <w:lvl w:ilvl="1">
      <w:lvlJc w:val="left"/>
      <w:lvlText w:val="%2"/>
      <w:numFmt w:val="decimal"/>
      <w:start w:val="104"/>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89" Type="http://schemas.openxmlformats.org/officeDocument/2006/relationships/image" Target="media/image366.png"/><Relationship Id="rId410" Type="http://schemas.openxmlformats.org/officeDocument/2006/relationships/image" Target="media/image367.png"/><Relationship Id="rId415" Type="http://schemas.openxmlformats.org/officeDocument/2006/relationships/image" Target="media/image368.png"/><Relationship Id="rId416" Type="http://schemas.openxmlformats.org/officeDocument/2006/relationships/image" Target="media/image369.png"/><Relationship Id="rId417" Type="http://schemas.openxmlformats.org/officeDocument/2006/relationships/image" Target="media/image370.png"/><Relationship Id="rId418" Type="http://schemas.openxmlformats.org/officeDocument/2006/relationships/image" Target="media/image371.png"/><Relationship Id="rId419" Type="http://schemas.openxmlformats.org/officeDocument/2006/relationships/image" Target="media/image372.png"/><Relationship Id="rId420" Type="http://schemas.openxmlformats.org/officeDocument/2006/relationships/image" Target="media/image373.png"/><Relationship Id="rId421" Type="http://schemas.openxmlformats.org/officeDocument/2006/relationships/image" Target="media/image374.png"/><Relationship Id="rId422" Type="http://schemas.openxmlformats.org/officeDocument/2006/relationships/image" Target="media/image375.png"/><Relationship Id="rId423" Type="http://schemas.openxmlformats.org/officeDocument/2006/relationships/image" Target="media/image376.png"/><Relationship Id="rId424" Type="http://schemas.openxmlformats.org/officeDocument/2006/relationships/image" Target="media/image377.png"/><Relationship Id="rId425" Type="http://schemas.openxmlformats.org/officeDocument/2006/relationships/image" Target="media/image378.png"/><Relationship Id="rId426" Type="http://schemas.openxmlformats.org/officeDocument/2006/relationships/image" Target="media/image379.png"/><Relationship Id="rId427" Type="http://schemas.openxmlformats.org/officeDocument/2006/relationships/image" Target="media/image380.png"/><Relationship Id="rId428" Type="http://schemas.openxmlformats.org/officeDocument/2006/relationships/image" Target="media/image381.png"/><Relationship Id="rId429" Type="http://schemas.openxmlformats.org/officeDocument/2006/relationships/image" Target="media/image382.png"/><Relationship Id="rId430" Type="http://schemas.openxmlformats.org/officeDocument/2006/relationships/image" Target="media/image383.png"/><Relationship Id="rId431" Type="http://schemas.openxmlformats.org/officeDocument/2006/relationships/image" Target="media/image384.png"/><Relationship Id="rId432" Type="http://schemas.openxmlformats.org/officeDocument/2006/relationships/image" Target="media/image385.png"/><Relationship Id="rId433" Type="http://schemas.openxmlformats.org/officeDocument/2006/relationships/image" Target="media/image386.png"/><Relationship Id="rId434" Type="http://schemas.openxmlformats.org/officeDocument/2006/relationships/image" Target="media/image387.png"/><Relationship Id="rId435" Type="http://schemas.openxmlformats.org/officeDocument/2006/relationships/image" Target="media/image388.png"/><Relationship Id="rId436" Type="http://schemas.openxmlformats.org/officeDocument/2006/relationships/image" Target="media/image389.png"/><Relationship Id="rId437" Type="http://schemas.openxmlformats.org/officeDocument/2006/relationships/image" Target="media/image390.png"/><Relationship Id="rId438" Type="http://schemas.openxmlformats.org/officeDocument/2006/relationships/image" Target="media/image391.png"/><Relationship Id="rId439" Type="http://schemas.openxmlformats.org/officeDocument/2006/relationships/image" Target="media/image392.png"/><Relationship Id="rId373" Type="http://schemas.openxmlformats.org/officeDocument/2006/relationships/hyperlink" Target="https://www.sec.gov/Archives/edgar/data/1492422/000119312517309813/d445089dex21.htm" TargetMode="External"/><Relationship Id="rId374" Type="http://schemas.openxmlformats.org/officeDocument/2006/relationships/hyperlink" Target="https://www.sec.gov/Archives/edgar/data/1492422/000119312517340923/d493537dex31.htm" TargetMode="External"/><Relationship Id="rId375" Type="http://schemas.openxmlformats.org/officeDocument/2006/relationships/hyperlink" Target="https://www.sec.gov/Archives/edgar/data/1492422/000119312517340923/d493537dex32.htm" TargetMode="External"/><Relationship Id="rId376" Type="http://schemas.openxmlformats.org/officeDocument/2006/relationships/hyperlink" Target="https://www.sec.gov/Archives/edgar/data/1492422/000119312517323102/d445089dex41.htm" TargetMode="External"/><Relationship Id="rId377" Type="http://schemas.openxmlformats.org/officeDocument/2006/relationships/hyperlink" Target="https://www.sec.gov/Archives/edgar/data/1492422/000119312517309813/d445089dex42.htm" TargetMode="External"/><Relationship Id="rId378" Type="http://schemas.openxmlformats.org/officeDocument/2006/relationships/hyperlink" Target="https://www.sec.gov/Archives/edgar/data/1492422/000119312519245912/d802733dex41.htm" TargetMode="External"/><Relationship Id="rId379" Type="http://schemas.openxmlformats.org/officeDocument/2006/relationships/hyperlink" Target="https://www.sec.gov/Archives/edgar/data/1492422/000156459022007606/apls-ex44_16.htm" TargetMode="External"/><Relationship Id="rId380" Type="http://schemas.openxmlformats.org/officeDocument/2006/relationships/hyperlink" Target="https://www.sec.gov/Archives/edgar/data/1492422/000119312523047759/d454389dex41.htm" TargetMode="External"/><Relationship Id="rId381" Type="http://schemas.openxmlformats.org/officeDocument/2006/relationships/hyperlink" Target="https://www.sec.gov/Archives/edgar/data/1492422/000119312517309813/d445089dex101.htm" TargetMode="External"/><Relationship Id="rId382" Type="http://schemas.openxmlformats.org/officeDocument/2006/relationships/hyperlink" Target="https://www.sec.gov/Archives/edgar/data/1492422/000119312517309813/d445089dex102.htm" TargetMode="External"/><Relationship Id="rId383" Type="http://schemas.openxmlformats.org/officeDocument/2006/relationships/hyperlink" Target="https://www.sec.gov/Archives/edgar/data/1492422/000119312517309813/d445089dex103.htm" TargetMode="External"/><Relationship Id="rId384" Type="http://schemas.openxmlformats.org/officeDocument/2006/relationships/hyperlink" Target="https://www.sec.gov/Archives/edgar/data/1492422/000119312517324222/d445089dex104.htm" TargetMode="External"/><Relationship Id="rId385" Type="http://schemas.openxmlformats.org/officeDocument/2006/relationships/hyperlink" Target="https://www.sec.gov/Archives/edgar/data/1492422/000119312517323102/d445089dex105.htm" TargetMode="External"/><Relationship Id="rId386" Type="http://schemas.openxmlformats.org/officeDocument/2006/relationships/hyperlink" Target="https://www.sec.gov/Archives/edgar/data/1492422/000119312517323102/d445089dex106.htm" TargetMode="External"/><Relationship Id="rId387" Type="http://schemas.openxmlformats.org/officeDocument/2006/relationships/hyperlink" Target="https://www.sec.gov/Archives/edgar/data/1492422/000119312517323102/d445089dex107.htm" TargetMode="External"/><Relationship Id="rId388" Type="http://schemas.openxmlformats.org/officeDocument/2006/relationships/hyperlink" Target="https://www.sec.gov/Archives/edgar/data/1492422/000095012317008317/filename10.htm" TargetMode="External"/><Relationship Id="rId390" Type="http://schemas.openxmlformats.org/officeDocument/2006/relationships/hyperlink" Target="https://www.sec.gov/Archives/edgar/data/1492422/000119312517309813/d445089dex109.htm" TargetMode="External"/><Relationship Id="rId391" Type="http://schemas.openxmlformats.org/officeDocument/2006/relationships/hyperlink" Target="https://www.sec.gov/Archives/edgar/data/1492422/000119312517324222/d445089dex1011.htm" TargetMode="External"/><Relationship Id="rId392" Type="http://schemas.openxmlformats.org/officeDocument/2006/relationships/hyperlink" Target="https://www.sec.gov/Archives/edgar/data/1492422/000119312517309813/d445089dex1013.htm" TargetMode="External"/><Relationship Id="rId393" Type="http://schemas.openxmlformats.org/officeDocument/2006/relationships/hyperlink" Target="https://www.sec.gov/Archives/edgar/data/1492422/000119312517324222/d445089dex1015.htm" TargetMode="External"/><Relationship Id="rId394" Type="http://schemas.openxmlformats.org/officeDocument/2006/relationships/hyperlink" Target="https://www.sec.gov/Archives/edgar/data/1492422/000119312517315537/d445089dex1016.htm" TargetMode="External"/><Relationship Id="rId395" Type="http://schemas.openxmlformats.org/officeDocument/2006/relationships/hyperlink" Target="https://www.sec.gov/Archives/edgar/data/1492422/000156459018018096/apls-ex102_41.htm" TargetMode="External"/><Relationship Id="rId396" Type="http://schemas.openxmlformats.org/officeDocument/2006/relationships/hyperlink" Target="https://www.sec.gov/Archives/edgar/data/1492422/000156459019027462/apls-ex102_184.htm" TargetMode="External"/><Relationship Id="rId397" Type="http://schemas.openxmlformats.org/officeDocument/2006/relationships/hyperlink" Target="https://www.sec.gov/Archives/edgar/data/1492422/000156459019040063/apls-ex101_36.htm" TargetMode="External"/><Relationship Id="rId398" Type="http://schemas.openxmlformats.org/officeDocument/2006/relationships/hyperlink" Target="https://www.sec.gov/Archives/edgar/data/1492422/000156459021008800/apls-ex1017_217.htm" TargetMode="External"/><Relationship Id="rId399" Type="http://schemas.openxmlformats.org/officeDocument/2006/relationships/hyperlink" Target="https://www.sec.gov/Archives/edgar/data/1492422/000156459019016638/apls-ex101_221.htm" TargetMode="External"/><Relationship Id="rId400" Type="http://schemas.openxmlformats.org/officeDocument/2006/relationships/hyperlink" Target="https://www.sec.gov/Archives/edgar/data/1492422/000156459019027462/apls-ex101_11.htm" TargetMode="External"/><Relationship Id="rId401" Type="http://schemas.openxmlformats.org/officeDocument/2006/relationships/hyperlink" Target="https://www.sec.gov/Archives/edgar/data/1492422/000156459019016638/apls-ex102_113.htm" TargetMode="External"/><Relationship Id="rId402" Type="http://schemas.openxmlformats.org/officeDocument/2006/relationships/hyperlink" Target="https://www.sec.gov/Archives/edgar/data/1492422/000119312520135621/d922186dex101.htm" TargetMode="External"/><Relationship Id="rId403" Type="http://schemas.openxmlformats.org/officeDocument/2006/relationships/hyperlink" Target="https://www.sec.gov/Archives/edgar/data/1492422/000156459020049423/apls-ex102_46.htm" TargetMode="External"/><Relationship Id="rId404" Type="http://schemas.openxmlformats.org/officeDocument/2006/relationships/hyperlink" Target="https://www.sec.gov/Archives/edgar/data/1492422/000156459021008800/apls-ex1025_88.htm" TargetMode="External"/><Relationship Id="rId405" Type="http://schemas.openxmlformats.org/officeDocument/2006/relationships/hyperlink" Target="https://www.sec.gov/Archives/edgar/data/1492422/000156459021008800/apls-ex1026_87.htm" TargetMode="External"/><Relationship Id="rId406" Type="http://schemas.openxmlformats.org/officeDocument/2006/relationships/hyperlink" Target="https://www.sec.gov/Archives/edgar/data/1492422/000119312523267745/d282676dex11.htm" TargetMode="External"/><Relationship Id="rId407" Type="http://schemas.openxmlformats.org/officeDocument/2006/relationships/hyperlink" Target="https://www.sec.gov/Archives/edgar/data/1492422/000156459021021318/apls-ex101_47.htm" TargetMode="External"/><Relationship Id="rId408" Type="http://schemas.openxmlformats.org/officeDocument/2006/relationships/hyperlink" Target="https://www.sec.gov/Archives/edgar/data/1492422/000119312520052867/d896625dex991.htm" TargetMode="External"/><Relationship Id="rId409" Type="http://schemas.openxmlformats.org/officeDocument/2006/relationships/hyperlink" Target="https://www.sec.gov/Archives/edgar/data/1492422/000095017024020614/apls-ex10_28.htm" TargetMode="External"/><Relationship Id="rId411" Type="http://schemas.openxmlformats.org/officeDocument/2006/relationships/hyperlink" Target="https://www.sec.gov/Archives/edgar/data/1492422/000156459022007606/apls-ex1030_256.htm" TargetMode="External"/><Relationship Id="rId412" Type="http://schemas.openxmlformats.org/officeDocument/2006/relationships/hyperlink" Target="https://www.sec.gov/Archives/edgar/data/1492422/000119312521210295/d198376dex101.htm" TargetMode="External"/><Relationship Id="rId413" Type="http://schemas.openxmlformats.org/officeDocument/2006/relationships/hyperlink" Target="https://www.sec.gov/Archives/edgar/data/1492422/000095017023003438/apls-ex10_33.htm" TargetMode="External"/><Relationship Id="rId414" Type="http://schemas.openxmlformats.org/officeDocument/2006/relationships/hyperlink" Target="https://www.sec.gov/Archives/edgar/data/1492422/000095017024020614/apl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2025-02-28T06:17:53Z</dcterms:created>
  <dcterms:modified xsi:type="dcterms:W3CDTF">2025-02-28T06:17:53Z</dcterms:modified>
</cp:coreProperties>
</file>