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980" w:hanging="3912"/>
        <w:spacing w:after="0" w:line="310" w:lineRule="auto"/>
        <w:tabs>
          <w:tab w:leader="none" w:pos="4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1870710</wp:posOffset>
            </wp:positionH>
            <wp:positionV relativeFrom="paragraph">
              <wp:posOffset>-20320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APELLIS PHARMACEUTICALS,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35"/>
        </w:trPr>
        <w:tc>
          <w:tcPr>
            <w:tcW w:w="4120" w:type="dxa"/>
            <w:vAlign w:val="bottom"/>
          </w:tcPr>
          <w:p>
            <w:pPr>
              <w:jc w:val="center"/>
              <w:ind w:right="19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20" w:type="dxa"/>
            <w:vAlign w:val="bottom"/>
          </w:tcPr>
          <w:p>
            <w:pPr>
              <w:spacing w:after="0"/>
              <w:rPr>
                <w:sz w:val="21"/>
                <w:szCs w:val="21"/>
                <w:color w:val="auto"/>
              </w:rPr>
            </w:pPr>
          </w:p>
        </w:tc>
      </w:t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Waltham, MA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32" w:right="339" w:bottom="1440" w:gutter="0" w:footer="0" w:header="0"/>
        </w:sectPr>
      </w:pPr>
    </w:p>
    <w:p>
      <w:pPr>
        <w:spacing w:after="0" w:line="7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1" w:lineRule="exact"/>
        <w:rPr>
          <w:sz w:val="24"/>
          <w:szCs w:val="24"/>
          <w:color w:val="auto"/>
        </w:rPr>
      </w:pPr>
    </w:p>
    <w:p>
      <w:pPr>
        <w:sectPr>
          <w:pgSz w:w="11900" w:h="16838" w:orient="portrait"/>
          <w:cols w:equalWidth="0" w:num="3">
            <w:col w:w="4320" w:space="720"/>
            <w:col w:w="2040" w:space="720"/>
            <w:col w:w="3440"/>
          </w:cols>
          <w:pgMar w:left="320" w:top="232" w:right="339" w:bottom="1440" w:gutter="0" w:footer="0" w:header="0"/>
          <w:type w:val="continuous"/>
        </w:sectPr>
      </w:pPr>
    </w:p>
    <w:p>
      <w:pPr>
        <w:ind w:left="42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Common Stock, $0.0001 par value per share</w:t>
      </w:r>
      <w:r>
        <w:rPr>
          <w:sz w:val="20"/>
          <w:szCs w:val="20"/>
          <w:color w:val="auto"/>
        </w:rPr>
        <w:tab/>
      </w:r>
      <w:r>
        <w:rPr>
          <w:rFonts w:ascii="Times New Roman" w:cs="Times New Roman" w:eastAsia="Times New Roman" w:hAnsi="Times New Roman"/>
          <w:sz w:val="17"/>
          <w:szCs w:val="17"/>
          <w:b w:val="1"/>
          <w:bCs w:val="1"/>
          <w:color w:val="auto"/>
        </w:rPr>
        <w:t>APLS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Global Select Market</w:t>
      </w:r>
    </w:p>
    <w:p>
      <w:pPr>
        <w:spacing w:after="0" w:line="48" w:lineRule="exact"/>
        <w:rPr>
          <w:sz w:val="24"/>
          <w:szCs w:val="24"/>
          <w:color w:val="auto"/>
        </w:rPr>
      </w:pPr>
    </w:p>
    <w:p>
      <w:pPr>
        <w:sectPr>
          <w:pgSz w:w="11900" w:h="16838" w:orient="portrait"/>
          <w:cols w:equalWidth="0" w:num="2">
            <w:col w:w="7280" w:space="720"/>
            <w:col w:w="3240"/>
          </w:cols>
          <w:pgMar w:left="320" w:top="23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ind w:right="168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8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46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8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46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Small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546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YES</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71"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June 30, 2025, the aggregate market value of the voting and non-voting common equity held by non-affiliates of the registrant, based on the closing price of the shares of common stock on the Nasdaq Global Select Stock Market on such date, was $1.8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$0.0001 per share outstanding as of February 17, 2026 was 127,829,909.</w:t>
      </w:r>
    </w:p>
    <w:p>
      <w:pPr>
        <w:spacing w:after="0" w:line="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registrant intends to file a definitive proxy statement pursuant to Regulation 14A in connection with its 2026 Annual Meeting of Stockholders within 120 days of the end of the registrant’s fiscal year ended December 31, 2025. Portions of such proxy statement are incorporated by reference into Part III of this Annual Report on Form 10-K</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8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660" w:type="dxa"/>
            <w:vAlign w:val="bottom"/>
            <w:gridSpan w:val="20"/>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2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3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3"/>
          </w:tcPr>
          <w:p>
            <w:pPr>
              <w:spacing w:after="0"/>
              <w:rPr>
                <w:sz w:val="17"/>
                <w:szCs w:val="17"/>
                <w:color w:val="auto"/>
              </w:rPr>
            </w:pPr>
          </w:p>
        </w:tc>
        <w:tc>
          <w:tcPr>
            <w:tcW w:w="28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00" w:type="dxa"/>
            <w:vAlign w:val="bottom"/>
            <w:gridSpan w:val="8"/>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750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EE"/>
            </w:tcBorders>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140" w:type="dxa"/>
            <w:vAlign w:val="bottom"/>
            <w:gridSpan w:val="10"/>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2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commercialization of EMPAVELI and SYFOVRE;</w:t>
      </w:r>
    </w:p>
    <w:p>
      <w:pPr>
        <w:spacing w:after="0" w:line="11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and preclinical studies, whether conducted by us or our current or any future collaborators, including the timing of initiation, dosing of patients, enrollment and completion of these trials and expectations regarding the anticipated results from these clinical trials or preclinical studies;</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EMPAVELI, SYFOVRE and any future products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EMPAVELI, SYFOVRE and any future products for which we receive marketing approval;</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current and future products or product candidates with significant clinical benefits and commercial potential;</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for current and future treatment indications in the U.S. and other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and our expected revenues from sales of EMPAVELI and SYFOVRE to fund our projected operating expenses and capital expenditures to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including inflation and the imposition of new or revised tariffs or other trade restrictions;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government laws and regulations (including tax).</w:t>
      </w:r>
    </w:p>
    <w:p>
      <w:pPr>
        <w:spacing w:after="0" w:line="22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or incorporated by reference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All of the market data used in this Annual Report on Form 10-K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These and other factors could cause results to differ materially from those expressed in the estimates made by the independent parties and by us. The Apellis, EMPAVELI, SYFOVRE and Apellis Assist names and logos are our trademarks, trade names and service marks. The other trademarks, trade names and service marks appearing in this Annual Report on Form 10-K are the property of their respective owners.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Certain References in this Annual Report on Form 10-K</w:t>
      </w:r>
    </w:p>
    <w:p>
      <w:pPr>
        <w:spacing w:after="0" w:line="20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“Apellis,” “Apellis Pharmaceuticals, Inc.,” “we,” “us,” “our,” “our company,” “the Company” and similar references refer to Apellis Pharmaceuticals, Inc. and its wholly owned subsidiaries.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Annual Report on Form 10-K to “EMPAVELI (pegcetacoplan)” and “EMPAVELI” refer to systemic pegcetacoplan in the context of the commercially available product in the United States for the treatment of adults with paroxysmal nocturnal hemoglobinuria, or PNH, C3 glomerulopathy, or C3G and primary immune complex membranoproliferative glomerulonephritis, or primary IC-MPGN, in patients 12 years of age and older. References to Aspaveli refer to pegcetacoplan in the context of the commercially available product in certain jurisdictions outside the United States for the treatment of adults with PNH who are anemic after treatment with a C5 inhibitor for at least three months, in each case, as more fully described herein. Unless otherwise stated or the context indicates otherwise, all references in this Annual Report on Form 10-K to “SYFOVRE (pegcetacoplan injection)” and “SYFOVRE” refer to intravitreal pegcetacoplan in the context of the commercially available product for the treatment of geographic atrophy secondary to age-related macular degeneration, or GA, and the Therapeutic Goods Administration in Australia in January 2025 for the every-other-month treatment of adult patients with GA with an intact fovea and when central vision is threatened by GA lesion growth. Unless otherwise stated or the context indicates otherwise, all references herein to “pegcetacoplan” refer to pegcetacoplan in the context of the product candidates for which we are exploring further applications and indications, as more fully described herein. The other trademarks, trade names and service marks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68" w:lineRule="exact"/>
        <w:rPr>
          <w:sz w:val="20"/>
          <w:szCs w:val="20"/>
          <w:color w:val="auto"/>
        </w:rPr>
      </w:pPr>
    </w:p>
    <w:p>
      <w:pPr>
        <w:ind w:left="1020" w:right="20" w:hanging="503"/>
        <w:spacing w:after="0" w:line="277"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inception, and we may never achieve or maintain profitability. Our net income was $22.4 million for the year ended December 31, 2025, and our net losses were $197.9 million and $528.6 million for the years ended December 31, 2024 and 2023, respectively. We have obtained marketing approval for EMPAVELI for the treatment of paroxysmal nocturnal hemoglobinuria, or PNH, C3 glomerulopathy, or C3G, and primary immune complex membranoproliferative glomerulonephritis, or primary IC-MPGN, and SYFOVRE for the treatment of geographic atrophy secondary to age-related macular degeneration, or GA, in the United States and Australia.</w:t>
      </w:r>
    </w:p>
    <w:p>
      <w:pPr>
        <w:spacing w:after="0" w:line="59" w:lineRule="exact"/>
        <w:rPr>
          <w:rFonts w:ascii="Times New Roman" w:cs="Times New Roman" w:eastAsia="Times New Roman" w:hAnsi="Times New Roman"/>
          <w:sz w:val="17"/>
          <w:szCs w:val="17"/>
          <w:color w:val="auto"/>
        </w:rPr>
      </w:pPr>
    </w:p>
    <w:p>
      <w:pPr>
        <w:ind w:left="1020" w:right="2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depend upon the commercial success of SYFOVRE and EMPAVELI. If we are unable to successfully commercialize SYFOVRE and EMPAVELI for their approved indications or develop and obtain marketing approval for or successfully commercialize pegcetacoplan for other indications, either alone or through a collaboration, or if we experience significant delays in doing so, our business could be harmed. SYFOVRE is currently only approved in the United States and Australia. We cannot be certain that we will be able to obtain regulatory approval for, and successfully commercialize, SYFOVRE in additional jurisdictions.</w:t>
      </w:r>
    </w:p>
    <w:p>
      <w:pPr>
        <w:spacing w:after="0" w:line="75"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others may later discover that EMPAVELI or SYFOVRE is less effective than previously believed or causes safety issues that were not previously identified, which could compromise our ability, or that of our collaborators, to market the product or to obtain approval of the product for other indications.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in the course of operating our business. If our cash and cash equivalents, and cash generated from sales of EMPAVELI and SYFOVRE, are not sufficient to fund our projected operating plans and capital expenditure requirements to profitability, we will need to obtain additional funding. If we are unable to raise capital when needed, we could be forced to delay, reduce or eliminate product development programs or delay or reduce our commercialization efforts.</w:t>
      </w:r>
    </w:p>
    <w:p>
      <w:pPr>
        <w:spacing w:after="0" w:line="71"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PNH, C3G or primary IC-MPGN who were previously untreated may not start treatment with EMPAVELI or patients who are being treated for these diseases with other treatments may not switch to treatment with EMPAVELI. Patients with GA may not be diagnosed or seek treatment with SYFOVRE, may elect to be treated with a competitor treatment, or may fail to comply with the treatment regimen over the progression of the disease.</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may increase the difficulty and cost for us and our collaborators to obtain reimbursement of and commercialize our product candidates and affect the prices we, or they, may obtain.</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our agreements with wholesale distributors, specialty pharmacy providers, third-party payors, pharmacy benefit managers and group purchasing organizations, or maintain our products on formularies, the market opportunity and revenue for our products may be adversely affected.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EMPAVELI, SYFOVRE, or any other products that we develop may fail to achieve the degree of market acceptance by physicians, patients, third-party payors, and others in the medical community necessary for commercial success, in which case we may not generate significant revenues or become profitable.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 In GA, we face competition from avacincaptad pegol. In PNH, we face competition from eculizumab, ravulizumab and iptacopan. We also face competition in C3G from iptacopan.</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debt under our financing agreement with Sixth Street Lending Partners. Our business may not generate cash flows from operations in the future that are sufficient to service our debt and support our growth strategies.</w:t>
      </w:r>
    </w:p>
    <w:p>
      <w:pPr>
        <w:spacing w:after="0" w:line="53"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expensive, time consuming and uncertain and may prevent us or our collaborators such as Swedish Orphan Biovitrum AB (Publ), or Sobi, from obtaining marketing approvals for systemic pegcetacoplan in indications other than PNH, C3G and primary IC-MPGN, intravitreal pegcetacoplan for indications other than GA or in jurisdictions other than the United States and Australia, or any other product candidate that we develop in any jurisdiction. As a result, we cannot predict when or if, and in which jurisdictions, we, or our collaborators, will obtain marketing approval for systemic pegcetacoplan in other indications, for intravitreal pegcetacoplan for GA in jurisdictions other than the United States and Australia or for any other product candidate that we develop in any jurisdiction.</w:t>
      </w:r>
    </w:p>
    <w:p>
      <w:pPr>
        <w:spacing w:after="0" w:line="79"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experience any of a number of possible unforeseen events in connection with conducting clinical trials of our product candidates, or experience delays or difficulties in the enrollment of patients in such clinical trials, the potential clinical development, marketing approval or commercialization of our product candidates could be delayed or prevented.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2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any of our product candidates fail to satisfactorily demonstrate safety and efficacy to the FDA, the European Medicines Agency, or EMA, and other regulators, we may incur additional costs or experience delays in completing, or ultimately be unable to complete, the development and commercialization of these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storage and distribution of commercial and clinical supply of EMPAVELI and SYFOVRE and clinical supply for our product candidates and expect to continue to do so in connection with our development and commercialization efforts. This reliance on third parties increases the risk that we will not have sufficient quantities of EMPAVELI, SYFOVRE, or our product candidates or that such quantities may be acquired at an acceptable cost, which could delay, prevent or impair our development or commercialization efforts. If these third parties do not perform satisfactorily, our development or commercialization efforts could be delayed or impaired.</w:t>
      </w:r>
    </w:p>
    <w:p>
      <w:pPr>
        <w:spacing w:after="0" w:line="79"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the development and commercialization of systemic pegcetacoplan outside of the United States will depend in part on the success of our collaboration with Sobi.</w:t>
      </w:r>
    </w:p>
    <w:p>
      <w:pPr>
        <w:spacing w:after="0" w:line="53"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we could lose license rights that are important to our business, including our patent license agreements with the University of Pennsylvania under which we license patents with claim that recite a class of compounds generically covering pegcetacoplan, and that specifically recite the active component.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We believe this approach has the potential to effectively control diseases with high unmet need that are driven by excessive complement activation. We currently have two marketed drugs that target C3, the central protein in the complement cascade: SYFOVRE (pegcetacoplan injection), approved by the U.S. Food and Drug Administration, or FDA, in February 2023 for the treatment of geographic atrophy secondary to age-related macular degeneration, or GA; and EMPAVELI (pegcetacoplan), approved by the FDA in May 2021 for the treatment of paroxysmal nocturnal hemoglobinuria, or PNH, and approved by the FDA in July 2025 for the treatment of C3 glomerulopathy, or C3G, and primary immune complex membranoproliferative glomerulonephritis, or primary IC-MPGN.</w:t>
      </w:r>
    </w:p>
    <w:p>
      <w:pPr>
        <w:spacing w:after="0" w:line="16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SYFOVRE has the potential to be the standard of care for patients with GA, a disease that affects an estimated 1.5 million people in the United States. While we have exclusive, worldwide commercialization rights for SYFOVRE, we intend to focus our commercialization efforts for SYFOVRE in the U.S. and explore international expansion in select markets, including Australia, where we received marketing approval in January 2025. We launched SYFOVRE in the United States in March 2023. For the years ended December 31, 2025 and 2024, we generated $586.9 million and $611.9 million, respectively, in U.S. net product revenue from sales of SYFOVRE. We are developing a next-generation therapy by combining SYFOVRE treatment with APL-3007, which is a small interfering RNA, or siRNA, aimed at comprehensively blocking complement activity in the retina and the choroid. We initiated a Phase 2 multi-dose clinical trial of this combination in patients with GA in June 2025.</w:t>
      </w:r>
    </w:p>
    <w:p>
      <w:pPr>
        <w:spacing w:after="0" w:line="14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believe that EMPAVELI has the potential to be a best-in-class treatment for a range of indications with high unmet needs. We have exclusive U.S. commercialization rights for EMPAVELI, and our collaboration partner, Swedish Orphan Biovitrum AB (Publ), or Sobi, has exclusive ex-U.S. commercialization rights for systemic pegcetacoplan. For the years ended December 31, 2025 and 2024, we generated $102.4 million and $98.1 million, respectively, in U.S. net product revenue from sales of EMPAVELI and received $13.2 million and $18.4 million, respectively, in royalties from Sobi.</w:t>
      </w:r>
    </w:p>
    <w:p>
      <w:pPr>
        <w:spacing w:after="0" w:line="139" w:lineRule="exact"/>
        <w:rPr>
          <w:sz w:val="20"/>
          <w:szCs w:val="20"/>
          <w:color w:val="auto"/>
        </w:rPr>
      </w:pPr>
    </w:p>
    <w:p>
      <w:pPr>
        <w:ind w:right="880" w:firstLine="509"/>
        <w:spacing w:after="0" w:line="266" w:lineRule="auto"/>
        <w:rPr>
          <w:sz w:val="20"/>
          <w:szCs w:val="20"/>
          <w:color w:val="auto"/>
        </w:rPr>
      </w:pPr>
      <w:r>
        <w:rPr>
          <w:rFonts w:ascii="Times New Roman" w:cs="Times New Roman" w:eastAsia="Times New Roman" w:hAnsi="Times New Roman"/>
          <w:sz w:val="18"/>
          <w:szCs w:val="18"/>
          <w:color w:val="auto"/>
        </w:rPr>
        <w:t>We initiated two pivotal clinical trials with EMPAVELI in the fourth quarter of 2025, one for the treatment of primary focal segmental glomerulosclerosis, or FSGS, and one for delayed graft function, or DGF. FSGS and DGF are both rare, severe nephrology conditions in which complement overactivation plays a significant role.</w:t>
      </w:r>
    </w:p>
    <w:p>
      <w:pPr>
        <w:spacing w:after="0" w:line="68"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On July 1, 2025, we entered into a Royalty Buy-Down Agreement, or the Royalty Agreement, with Sobi under which Sobi paid us an upfront payment of $275.0 million, and agreed to pay up to an aggregate of $25.0 million upon the European Medicines Agency, or EMA, approval of Aspaveli for C3G and primary IC-MPGN, and we agreed to reduce Sobi’s royalty payment obligations under our Collaboration and License Agreement with Sobi, or the Sobi Collaboration Agreement, by 90%, subject to defined caps tied to Aspaveli’s performance, including an initial cap of 1.45x of the amounts paid by Sobi to us under the Royalty Agreement. If a cap is met, Sobi’s royalty payment obligations under the Sobi Collaboration Agreement will revert to 100%.</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January 2026, Sobi received EMA approval of Aspaveli for C3G and primary IC-MPGN. Sobi paid us our $25.0 million milestone in February 2026 under the Royalty Agreement.</w:t>
      </w:r>
    </w:p>
    <w:p>
      <w:pPr>
        <w:spacing w:after="0" w:line="162"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auto"/>
        </w:rPr>
        <w:t>Finally, we are developing new product candidates to further advance our pipeline. Through our collaboration with Beam Therapeutics, Inc., or Beam, we have commenced preclinical studies for APL-9099, a treatment targeting the neonatal Fc receptor, or FcRn, which has the potential to be a first-in-class gene editing treatment for future target indications with one-time dosing. We are also developing other programs with our proprietary in-house capabilities and under our Beam collaboration.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02"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aim to become a leading biopharmaceutical company focused on the discovery, development and commercialization of novel therapeutic compounds to treat diseases with high unmet need through the inhibition of the complement system.</w:t>
      </w:r>
    </w:p>
    <w:p>
      <w:pPr>
        <w:spacing w:after="0" w:line="121"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We have designed pegcetacoplan to target complement proteins centrally in the complement system at the level of C3 and its fragment C3b. We believe that this approach can result in broad inhibition of the complement pathways and has the potential to effectively control complement-dependent diseases. We believe that pegcetacoplan has the potential to be a best-in-class treatment and may address the limitations of existing treatment options or provide a treatment option where there is none.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are leveraging our expertise in complement immunology to develop new pipeline candidates that may affect different components or pathways within the complement system, whether as independent treatments or as a supplement to the effects of pegcetacoplan.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achieve our goals, we are pursuing the following strategies in 2026, with a continued focus on compassion and commitment to patients: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 the treatment of GA with SYFOVRE;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EMPAVELI’s impact in rare diseases;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innovative pipeline, leveraging our complement expertise.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Pegcetacoplan targets C3, the central protein of the complement cascade. Pegcetacoplan is a conjugate of a compstatin analogue, formulated both for intravitreal administration by injections directly into the eye, and systemic administration by subcutaneous injection, which is an injection into the tissue under the skin. We have developed and are developing pegcetacoplan and other product candidates through various routes of administration.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products and our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035040" cy="4234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5040"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6172200" cy="2931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Ophthalmology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commercializing SYFOVRE as a monotherapy for patients with GA.</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Atrophy</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GA is a type of age-related macular degeneration, or AMD. According to the Brightfocus Foundation, over ten million people in the United States have some form of AMD. AMD is a disorder of the central portion of the retina in the eye, known as the macula, which is responsible for central vision and color perception. AMD affects vision in one or both eyes and results in progressive and chronic degeneration of the macula, often resulting in irreversible vision loss. AMD is a disease of aging, typically occurring after the age of 50. In the early stage of the disease, yellow deposits, or drusen, appear under the retina. Over time, the disease can progress to an intermediate stage where drusen deposits grow larger and other changes reflective of disease progression appear and then to an advanced stage associated with progressive and often severe vision loss which may be characterized as either GA or wet AMD. GA is characterized by a degenerative process resulting in the progressive loss of retinal cells, which over the course of several years results in blindness. Based on published studies, we estimate that at least five million people worldwide, including approximately 1.5 million people in the United States, are living with GA.</w:t>
      </w:r>
    </w:p>
    <w:p>
      <w:pPr>
        <w:spacing w:after="0" w:line="14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Because pegcetacoplan both blocks the production of C3a and C5a and prevents the accumulation of C3 fragments on retinal cells through the inhibition of C3, we believe that pegcetacoplan may control complement activation in the retinal environment to return it to its quiescent state. We do not believe that selective inhibitors of the alternative pathway, which would only partially block the formation of C3b on the retinal cell surface, or C5 inhibitors, which cannot prevent C3b deposition on retinal cells, can cause the retinal environment to return to its quiescent state.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Approach</w:t>
      </w:r>
    </w:p>
    <w:p>
      <w:pPr>
        <w:spacing w:after="0" w:line="18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believe SYFOVRE, with its inhibition of complement activation at the level of C3 in the retinal environment, may provide the following benefits for patients with GA:</w:t>
      </w:r>
    </w:p>
    <w:p>
      <w:pPr>
        <w:spacing w:after="0" w:line="52" w:lineRule="exact"/>
        <w:rPr>
          <w:sz w:val="20"/>
          <w:szCs w:val="20"/>
          <w:color w:val="auto"/>
        </w:rPr>
      </w:pPr>
    </w:p>
    <w:p>
      <w:pPr>
        <w:ind w:left="1020" w:right="6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Prevention or reduction of the rate of retinal cell death, with increasing treatment effects over time</w:t>
      </w:r>
      <w:r>
        <w:rPr>
          <w:rFonts w:ascii="Times New Roman" w:cs="Times New Roman" w:eastAsia="Times New Roman" w:hAnsi="Times New Roman"/>
          <w:sz w:val="18"/>
          <w:szCs w:val="18"/>
          <w:color w:val="auto"/>
        </w:rPr>
        <w:t>. We believe SYFOVRE may mitigate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retinal cell death in GA, leading to a reduction in GA lesion growth over time. In our Phase 3 trials, SYFOVRE showed a slowing of GA progression, with evidence of treatment effects increasing over the 24-month period, and well-demonstrated safety profile following nearly 12,000 injections.</w:t>
      </w:r>
    </w:p>
    <w:p>
      <w:pPr>
        <w:spacing w:after="0" w:line="71"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effects observed in two dosing regimens. </w:t>
      </w:r>
      <w:r>
        <w:rPr>
          <w:rFonts w:ascii="Times New Roman" w:cs="Times New Roman" w:eastAsia="Times New Roman" w:hAnsi="Times New Roman"/>
          <w:sz w:val="18"/>
          <w:szCs w:val="18"/>
          <w:color w:val="auto"/>
        </w:rPr>
        <w:t>In our Phase 3 trials, SYFOVRE showed a slowing of GA progression over 24 months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every-other-month and monthly dosing. The prescribing label for SYFOVRE indicates that the recommended dose to be administered to each eye is once every 25 to 60 days. This provides physicians with flexibility to determine the appropriate dosing schedule for their individual patients.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application to all patients with GA regardless of lesion location. </w:t>
      </w:r>
      <w:r>
        <w:rPr>
          <w:rFonts w:ascii="Times New Roman" w:cs="Times New Roman" w:eastAsia="Times New Roman" w:hAnsi="Times New Roman"/>
          <w:sz w:val="18"/>
          <w:szCs w:val="18"/>
          <w:color w:val="auto"/>
        </w:rPr>
        <w:t>SYFOVRE, by targeting C3, has been designed to inhibit all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complement activation pathways and may therefore be effective in a broad patient population. In our Phase 3 trials at 24 months, pegcetacoplan showed a slowing of GA progression in lesions with or without subfoveal involvement. DERBY and OAKS are the only clinical trials to-date that have shown a slowdown in the progression of GA regardless of lesion location.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February 2023, the FDA approved intravitreal pegcetacoplan with the brand name SYFOVRE for the treatment of adult patients with GA secondary to AMD. In January 2025, the Therapeutic Goods Administration, or TGA, in Australia, approved SYFOVRE for every-other-month treatment of adult patients with GA with an intact fovea where central vision is threatened by lesion growth.</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evaluating our regulatory strategy for select jurisdictions outside the United States.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Commercial and Medical Activities for GA</w:t>
      </w:r>
    </w:p>
    <w:p>
      <w:pPr>
        <w:spacing w:after="0" w:line="18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launched SYFOVRE, the first approved treatment for GA, in the United States in March 2023. SYFOVRE is currently the market-leading treatment for GA, a disease that affects an estimated 1.5 million people in the United States.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U.S. field sales team has been engaging with eyecare professionals, or ECPs, focusing specifically on retina specialists and treating ophthalmologists. Field teams are focused on SYFOVRE brand messaging, highlighting key advantages such as increasing effects over time, its strong clinical profile, and dosing flexibility. We also have a thought leader liaison team, which is focused on building advocacy with key opinion leaders in the retina space, and a strategic account team, which identifies and develops working relationships with key decision makers within targeted private equity groups and large accounts. Our marketing efforts are designed to reach ECPs through digital and print media. We seek to reach patients through direct-to-consumer disease state education and branded SYFOVRE messaging encouraging them to see their eye doctor if they have symptoms or a previous diagnosis. Additionally, our efforts have focused on increasing awareness of GA and SYFOVRE with general ophthalmologists and optometrists to ensure GA patients are able to connect with a retina specialist or ophthalmologist who can treat them. We launched a practice finder tool to help physicians and patients identify practices near them that have recently treated GA.</w:t>
      </w:r>
    </w:p>
    <w:p>
      <w:pPr>
        <w:spacing w:after="0" w:line="161" w:lineRule="exact"/>
        <w:rPr>
          <w:sz w:val="20"/>
          <w:szCs w:val="20"/>
          <w:color w:val="auto"/>
        </w:rPr>
      </w:pPr>
    </w:p>
    <w:p>
      <w:pPr>
        <w:ind w:right="140" w:firstLine="509"/>
        <w:spacing w:after="0" w:line="272" w:lineRule="auto"/>
        <w:rPr>
          <w:sz w:val="20"/>
          <w:szCs w:val="20"/>
          <w:color w:val="auto"/>
        </w:rPr>
      </w:pPr>
      <w:r>
        <w:rPr>
          <w:rFonts w:ascii="Times New Roman" w:cs="Times New Roman" w:eastAsia="Times New Roman" w:hAnsi="Times New Roman"/>
          <w:sz w:val="17"/>
          <w:szCs w:val="17"/>
          <w:color w:val="auto"/>
        </w:rPr>
        <w:t>Our market access team has been engaging with primary and secondary payors representing a significant percentage of GA patients. We have also established a robust distribution network by partnering with key specialty distributors and specialty pharmacies to maximize product access by retina specialists. Finally, we have a field reimbursement team to educate practices and address access issues to fully support the reimbursement journey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SYFOVRE.</w:t>
      </w:r>
    </w:p>
    <w:p>
      <w:pPr>
        <w:spacing w:after="0" w:line="16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ApellisAssist for SYFOVRE is designed to eliminate patient access barriers by providing enrolled individuals with insurance support, financial assistance for eligible patients, and education on the importance of maintaining treatment as prescribed. Additionally, prescribers have the option to enroll their patients in GAMyWay, our patient services program, for ongoing treatment support and continuous education.</w:t>
      </w:r>
    </w:p>
    <w:p>
      <w:pPr>
        <w:spacing w:after="0" w:line="13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medical affairs team is engaging with ECPs through our presence at medical meetings and other in-person engagements. Throughout 2025, we participated in key scientific meetings, including the American Academy of Ophthalmology, Retina Society, FLORETINA, and Macula Society.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20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registrational Phase 3 DERBY and OAKS trials evaluated the efficacy and safety of SYFOVRE in patients with GA secondary to AMD. The DERBY and OAKS trials were initiated in September 2018, and we presented reported 24-month results in August 2022. Prior to DERBY and OAKS, we completed the Phase 2 FILLY trial in August 2017. We conducted two post-marketing studies: GALE and GARLAND.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Post-Marketing Studies</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conducted a 36-month, open-label extension study (GALE) to evaluate the long-term safety and efficacy of SYFOVRE in patients with GA secondary to AMD. The objectives of the study were to evaluate the long-term incidence and severity of ocular and systemic treatment emergent adverse events as well as change in the total area of GA lesions as measured by fundus autofluorescence. Approximately 800 patients enrolled into the GALE extension study.</w:t>
      </w:r>
    </w:p>
    <w:p>
      <w:pPr>
        <w:spacing w:after="0" w:line="180" w:lineRule="exact"/>
        <w:rPr>
          <w:sz w:val="20"/>
          <w:szCs w:val="20"/>
          <w:color w:val="auto"/>
        </w:rPr>
      </w:pPr>
    </w:p>
    <w:p>
      <w:pPr>
        <w:ind w:right="200" w:firstLine="554"/>
        <w:spacing w:after="0" w:line="282" w:lineRule="auto"/>
        <w:rPr>
          <w:sz w:val="20"/>
          <w:szCs w:val="20"/>
          <w:color w:val="auto"/>
        </w:rPr>
      </w:pPr>
      <w:r>
        <w:rPr>
          <w:rFonts w:ascii="Times New Roman" w:cs="Times New Roman" w:eastAsia="Times New Roman" w:hAnsi="Times New Roman"/>
          <w:sz w:val="18"/>
          <w:szCs w:val="18"/>
          <w:color w:val="auto"/>
        </w:rPr>
        <w:t>In February 2026, we presented data from GALE following five years of continuous treatment with SYFOVRE. Results showed that SYFOVRE continued to demonstrate increasing treatment effects over time. In November 2025, we announced five-year</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data from a post hoc analysis of the GALE extension study, which demonstrated that SYFOVRE delayed the progression of GA by approximately one-and-a-half years in patients with nonsubfoveal GA when compared to sham/projected sham.</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currently conducting a 36-month, open label, Phase 4 study (GARLAND) to evaluate the safety, tolerability and treatment patterns of SYFOVRE in patients over the age of 60 with GA in a clinical practice setting. Secondary endpoints include GA progression, changes in drusen over time and the ability of physicians to determine GA lesion location. Approximately 234 patients have been enrolled into the GARLAND study.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Phase 3 Clinical Trials</w:t>
      </w:r>
    </w:p>
    <w:p>
      <w:pPr>
        <w:spacing w:after="0" w:line="18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Phase 3 clinical program in GA consisted of two prospective, multicenter, randomized, double-masked, sham-injection controlled trials (DERBY and OAKS) conducted at more than 200 sites worldwide to assess the efficacy and safety of multiple intravitreal injections of pegcetacoplan in patients with GA. We enrolled 621 patients in DERBY and 637 patients in OAKS.</w:t>
      </w:r>
    </w:p>
    <w:p>
      <w:pPr>
        <w:spacing w:after="0" w:line="14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Patients in each Phase 3 trial received a dose of 15 mg of pegcetacoplan injected intravitreally in a 0.1 cc volume, monthly or every other month for 24 months. In the sham-injection cohorts, patients received a simulated injection. As with our Phase 2 FILLY clinical trial, the primary endpoint of each trial was the change in total area of GA lesions in the study eye compared to sham. The measurements of change in lesion size were analyzed at 12 months, 18 months, and 24 months. Patients who develop new onset exudation in the study eye continued to be treated with pegcetacoplan along with anti-VEGF injections, the current standard of care for wet AMD.</w:t>
      </w:r>
    </w:p>
    <w:p>
      <w:pPr>
        <w:spacing w:after="0" w:line="183"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We completed the primary analysis for the 24-month treatment period in August 2022. Monthly and every-other-month, or EOM, treatment with SYFOVRE showed increased effects over time. In OAKS, monthly and EOM treatment with SYFOVRE reduced GA lesion growth by 22% (p&lt;0.0001) and 18% (p=0.0002), respectively. In DERBY, monthly and EOM treatment with SYFOVRE reduced GA lesion growth by 19% (p=0.0004) and 16% (p=0.0030), respectively. All p-values are nominal and were calculated using the same methodologies as the 12-month primary endpoint analysis.</w:t>
      </w:r>
    </w:p>
    <w:p>
      <w:pPr>
        <w:spacing w:after="0" w:line="164"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8"/>
          <w:szCs w:val="18"/>
          <w:color w:val="auto"/>
        </w:rPr>
        <w:t>Between months 18-24, the pegcetacoplan treatment effect accelerated compared to previous six-month periods, with robust reductions of GA lesion growth versus sham (all p-values are nominal). The increased effects were driven by a greater slowing of lesion growth by pegcetacoplan and not by an increase in the lesion growth rate in the sham group, which was highly consistent over each of the four six-month intervals (1.0+/-0.05 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DERBY: 36% monthly, p&lt;0.0001; 29% EOM, p=0.0002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OAKS: 24% monthly, p=0.0080; 25% EOM, p=0.0007</w:t>
      </w:r>
    </w:p>
    <w:p>
      <w:pPr>
        <w:spacing w:after="0" w:line="225"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Additionally, the reduction of GA lesion growth in lesions without subfoveal involvement (28% monthly; 28% EOM) was comparable to the reduction in lesions with subfoveal involvement (34% monthly; 28% EOM) in the combined studies between months 18-24.</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SYFOVRE was well-tolerated in both DERBY and OAKS, generally consistent with longer-term exposure to intravitreal injections. The most common adverse reactions (≥ 5%) reported in patients receiving SYFOVRE in these studies were ocular discomfort, neovascular AMD, vitreous floaters, and conjunctival hemorrhage. Rates of ischemic optic neuropathy events were higher in the monthly group as compared to the every-other-month and sham groups (1.7% of patients treated monthly, 0.2% of patients treated EOM and 0.0% of patients assigned to sham). Rates of endophthalmitis and intraocular inflammation were generally in line with those reported in studies of other intravitreal therapies. No events of occlusive or non-occlusive vasculitis or retinitis were observed over 24 months.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SYFOVRE and APL-3007</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2025, we shared data from a Phase 1 trial of APL-3007, our siRNA, in healthy volunteers showing greater than 90% knockdown of C3 as measured by the remaining levels of protein in the blood. Based on the results of this study, we are developing a next generation treatment for GA by combining SYFOVRE plus APL-3007, which we believe may comprehensively block complement activity in the retina and the choroid. We believe that with less C3 present in the eye following administration with APL-3007, there may be a greater degree of efficacy contribution from SYFOVRE. We initiated a Phase 2 multi-dose trial of the combination in patients with GA in June 2025 to evaluate the safety, biologic activity and pharmacodynamics of multiple doses of APL-3007 in combination with SYFOVRE.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8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developed a single package for SYFOVRE, or co-pack, that contained SYFOVRE vials packaged with the necessary ancillaries for its administration. The co-pack standardizes administration of SYFOVRE and provides physicians with a more convenient way to store and handle the drug and ancillaries. The co-pack also streamlines both distribution operations and receipt by customers. We made the supply of the co-pack available in the fourth quarter of 2025.</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also developing a single dose, sterilized prefilled syringe for SYFOVRE, which we believe will provide physicians with a new way to administer SYFOVRE that requires fewer steps compared to the current administration. We plan to submit for regulatory approval in the first half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Rare Diseases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EMPAVELI in PNH</w:t>
      </w:r>
    </w:p>
    <w:p>
      <w:pPr>
        <w:spacing w:after="0" w:line="20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EMPAVELI received orphan drug designation from the FDA for the treatment of PNH in April 2014 and we launched EMPAVELI in the United States for patients with PNH following its approval by the FDA in May 2021. We believe that EMPAVELI elevates the standard of care for patients with PNH.</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Paroxysmal Nocturnal Hemoglobinuria (PNH)</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PNH is a rare, chronic, debilitating blood disorder that is most frequently acquired in early adulthood and usually continues throughout the life of the patient. Some of the prominent symptoms of PNH include severe anemia, a condition that results from having too few red blood cells, severe abdominal pain, severe headaches, back pain, excessive weakness, fatigue and recurrent infections. If not treated, PNH results in the death of approximately 35% of affected individuals within five years of diagnosis and 50% of affected individuals within ten years of diagnosis, primarily due to the formation of life-threatening blood clots inside the blood vessels, or thrombosis. Based on prevalence data published in an abstract in a peer-reviewed journal, we estimate that there are approximately 4,700 patients with PNH in the United States and approximately 15,000 patients with PNH worldwide.</w:t>
      </w:r>
    </w:p>
    <w:p>
      <w:pPr>
        <w:spacing w:after="0" w:line="14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PNH is caused by the presence of mutant stem cells in the bone marrow that lack important proteins on their surface that protect against activation of the complement system. In patients with PNH, an autoimmune response targets and eliminates normal stem cells, enabling mutant cells to become dominant in the bone marrow. These mutant stem cells lead to mutant platelets and red blood cells that, unlike normal cells, are overly susceptible to activation or destruction by the complement system. Mutant platelets, activated by the membrane attack complex, increase the risk of thrombosis, which is the leading cause of mortality in patients with PNH. Mutant red blood cells are susceptible to destruction by intravascular and extravascular hemolysis. Intravascular hemolysis, which involves the destruction of blood cells within the blood vessels, is caused by the formation of the membrane attack complex on the surface of red blood cells causing them to rupture. Intravascular hemolysis causes severe anemia and contributes to the risk of thrombosis. Extravascular hemolysis, which involves the destruction of blood cells outside the blood vessels, is caused by C3-related opsonization on red blood cells leading to removal of the cells from the blood stream by the liver and the spleen. Extravascular hemolysis further contributes to severe anemia and transfusion dependency in patients with PNH.</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Commercialization</w:t>
      </w:r>
    </w:p>
    <w:p>
      <w:pPr>
        <w:spacing w:after="0" w:line="20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sales efforts are focused on the health care professionals, or HCPs, and key treatment centers, who have patients that continue to experience breakthrough hemolysis, have persistently low hemoglobin, high fatigue, and require transfusions despite being on C5 inhibitors.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market access team is engaging with primary and secondary payors representing a significant percentage of PNH patients. Our discussions with primary and secondary payors have yielded positive feedback on the clinical profile of pegcetacoplan and resulted in EMPAVELI being added to several positive formulary positions. We implemented a limited distribution specialty pharmacy model, which we believe provided patients with a consistent, positive experience at the time of treatment initiation and long-term assistance to the extent needed.</w:t>
      </w:r>
    </w:p>
    <w:p>
      <w:pPr>
        <w:spacing w:after="0" w:line="13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We also have ApellisAssist, a patient-focused program specifically designed to assist patients with onboarding, product training and ongoing support with pegcetacoplan treatment, and we have built a care educator team to connect directly with PNH patients and their caregivers to provide education and training on the use of pegcetacoplan.</w:t>
      </w:r>
    </w:p>
    <w:p>
      <w:pPr>
        <w:spacing w:after="0" w:line="14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medical affairs team is engaging with physicians through our presence at medical meetings and other in-person engagements. In December 2025, we participated in the American Hematology Society, or ASH, annual meeting.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Development in PNH</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June 2018, we initiated the Phase 3 PEGASUS trial in patients. The PEGASUS trial was an 80-patient randomized head-to-head trial comparing systemic pegcetacoplan monotherapy to eculizumab monotherapy in patients with PNH currently on treatment with eculizumab who have a hemoglobin level of less than 10.5 g/dL, regardless of eculizumab dose or transfusion history. The primary efficacy endpoint of the trial was the change in hemoglobin level from baseline at week 16.</w:t>
      </w:r>
    </w:p>
    <w:p>
      <w:pPr>
        <w:spacing w:after="0" w:line="15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initiated the Phase 3 PRINCE trial in September 2019. The PRINCE trial was a 54-patient randomized, multicenter, open-label trial to evaluate the efficacy of systemic pegcetacoplan in treatment-naïve PNH patients. The primary endpoints were avoidance of a greater than 1 g/dL decrease in hemoglobin level from baseline in the absence of transfusion through week 26 and reduction in LDH level from baseline to week 26, in patients with PNH who are currently not being treated with complement inhibitors.</w:t>
      </w:r>
    </w:p>
    <w:p>
      <w:pPr>
        <w:spacing w:after="0" w:line="13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January 2020, we announced top-line data from the PEGASUS trial that showed that systemic pegcetacoplan met the primary efficacy endpoint, demonstrating superiority to eculizumab with a statistically significant improvement in adjusted means of 3.8 g/dL of hemoglobin at week 16 (p &lt; 0.0001). In May 2021, we reported top-line results from PRINCE demonstrating statistical superiority on the co-primary endpoints of hemoglobin stabilization and reduction in LDH compared to standard of care, which did not include complement inhibitors, at week 26. In both the PEGASUS and PRINCE trials, the safety profile of systemic pegcetacoplan was comparable to eculizumab and consistent with previously reported data.</w:t>
      </w:r>
    </w:p>
    <w:p>
      <w:pPr>
        <w:spacing w:after="0" w:line="14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all trials of pegcetacoplan administered systemically by subcutaneous injection, we have monitored the safety of our targeting of C3 closely. Individuals who lack functional levels of C3 or C5 have been shown to be susceptible to infection by certain bacterial species, including </w:t>
      </w:r>
      <w:r>
        <w:rPr>
          <w:rFonts w:ascii="Times New Roman" w:cs="Times New Roman" w:eastAsia="Times New Roman" w:hAnsi="Times New Roman"/>
          <w:sz w:val="18"/>
          <w:szCs w:val="18"/>
          <w:i w:val="1"/>
          <w:iCs w:val="1"/>
          <w:color w:val="auto"/>
        </w:rPr>
        <w:t>Neisseria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meningitidis </w:t>
      </w:r>
      <w:r>
        <w:rPr>
          <w:rFonts w:ascii="Times New Roman" w:cs="Times New Roman" w:eastAsia="Times New Roman" w:hAnsi="Times New Roman"/>
          <w:sz w:val="18"/>
          <w:szCs w:val="18"/>
          <w:color w:val="auto"/>
        </w:rPr>
        <w:t>in C5-deficient individuals and</w:t>
      </w:r>
      <w:r>
        <w:rPr>
          <w:rFonts w:ascii="Times New Roman" w:cs="Times New Roman" w:eastAsia="Times New Roman" w:hAnsi="Times New Roman"/>
          <w:sz w:val="18"/>
          <w:szCs w:val="18"/>
          <w:i w:val="1"/>
          <w:iCs w:val="1"/>
          <w:color w:val="auto"/>
        </w:rPr>
        <w:t xml:space="preserve"> Neisseria meningitidis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Streptococcus pneumoniae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Haemophilus influenzae </w:t>
      </w:r>
      <w:r>
        <w:rPr>
          <w:rFonts w:ascii="Times New Roman" w:cs="Times New Roman" w:eastAsia="Times New Roman" w:hAnsi="Times New Roman"/>
          <w:sz w:val="18"/>
          <w:szCs w:val="18"/>
          <w:color w:val="auto"/>
        </w:rPr>
        <w:t>in C3-deficient individuals.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we vaccinate patients in these trials against these three pathogens, which we believe minimizes the risk of infection. No unexpected safety concerns have been observed in patients in the clinical or post-marketing settings.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EMPAVELI in Nephrology</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We launched EMPAVELI in the United States for patients with C3G and primary IC-MPGN, following approval by the FDA in July 2025. C3G and primary IC-MPGN are rare, debilitating kidney diseases that affect an estimated 5,000 people in the United States. Symptoms of these diseases include blood in the urine, dark foamy urine due to the presence of protein, swelling, and high blood pressure. Approximately 50% of people living with C3G and primary IC-MPGN ultimately suffer kidney failure within five to 10 years of diagnosis. Although primary IC-MPGN is considered a distinct disease from C3G, the underlying cause and progression of the two diseases are similar and include overactivation of the complement cascade, with excessive accumulation of C3 breakdown products in the kidney causing inflammation and damage to the organ. Since pegcetacoplan is designed to prevent C3 activation, we believe it has the potential to prevent further deposition of C3 activation products in the glomeruli, which may protect the kidney from further injury.</w:t>
      </w:r>
    </w:p>
    <w:p>
      <w:pPr>
        <w:spacing w:after="0" w:line="14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initiated two pivotal studies with EMPAVELI in focal segmental glomerulosclerosis, or FSGS, and delayed graft function, or DGF, in the fourth quarter of 2025. Complement plays a significant role in both diseases, and there are currently no FDA-approved therapies. FSGS is a rare kidney disease that causes scarring in the glomeruli and, similar to C3G and primary IC-MPGN, results in end stage kidney disease within 5-10 years for approximately half of patients. There are an estimated 13,000 primary FSGS patients in the United States. DGF is a complication in kidney transplantation where the transplanted kidney fails to function and typically requires dialysis within the first week of transplant. This negatively affects the long-term survival of the kidney and overall patient outcomes. In 2023, there were an estimated 21,000 transplants in the U.S. using deceased donor kidneys, of which DGF occurred in 30-35% of them.</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EMPAVELI in FSGS</w:t>
      </w:r>
    </w:p>
    <w:p>
      <w:pPr>
        <w:spacing w:after="0" w:line="200"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Study APL2-FSG-319 is a sequential Phase 2/3 study that evaluates the efficacy and safety of twice-weekly subcutaneous (SC) infusions of pegcetacoplan in patients diagnosed with FSGS. The initial phase 2 portion is a single-arm, open-label study in adults diagnosed with FSGS. The phase 3 portion of the study is a randomized, placebo-controlled, double-blinded, multicenter study in patients diagnosed with FSGS. An independent data monitoring committee will review efficacy and safety data collected from adults in phase 2 prior to initiation of phase 3 of this study. Both the phase 2 portion and phase 3 portion consist of an up to 8-week screening period, 104-week treatment period, and 8- week follow-up period. The primary objective of both phases of the study is to assess the efficacy of pegcetacoplan in participants with FSGS on the basis of a reduction of proteinuria.</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EMPAVELI in DGF</w:t>
      </w:r>
    </w:p>
    <w:p>
      <w:pPr>
        <w:spacing w:after="0" w:line="187" w:lineRule="exact"/>
        <w:rPr>
          <w:sz w:val="20"/>
          <w:szCs w:val="20"/>
          <w:color w:val="auto"/>
        </w:rPr>
      </w:pPr>
    </w:p>
    <w:p>
      <w:pPr>
        <w:ind w:right="480" w:firstLine="494"/>
        <w:spacing w:after="0" w:line="282" w:lineRule="auto"/>
        <w:rPr>
          <w:sz w:val="20"/>
          <w:szCs w:val="20"/>
          <w:color w:val="auto"/>
        </w:rPr>
      </w:pPr>
      <w:r>
        <w:rPr>
          <w:rFonts w:ascii="Times New Roman" w:cs="Times New Roman" w:eastAsia="Times New Roman" w:hAnsi="Times New Roman"/>
          <w:sz w:val="18"/>
          <w:szCs w:val="18"/>
          <w:color w:val="auto"/>
        </w:rPr>
        <w:t>Study APL2-DGF-318 a randomized, double-blind, placebo-controlled, study conducted in participants with end-stage kidney disease who are receiving a deceased donor kidney transplantation from deceased donors who are considered to be at high risk for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DGF. An initial open-label sentinel portion of the study will be conducted in approximately 6 participants prior to the start of enrollment in the randomized controlled portion of the study. Both the sentinel portion and randomized controlled portion of the study will consist of an up to 16-week screening period, 90-day treatment period, and 40-week follow-up period. The primary objective of the study is assess the efficacy of pegcetacoplan compared with that of placebo in participants at high risk of DGF following donor kidney allograft transplant surgery; the primary endpoint is time to freedom from dialysis to Day 90.</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 and Clinical Development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EMPAVELI received orphan drug designation from the FDA for the treatment of C3G in December 2018.</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August 2024, we announced positive results from our VALIANT study, a randomized, placebo-controlled, double-blinded, multi-center Phase 3 trial in 124 patients who are 12 years of age and older with naive and post-transplant recurrence C3G or primary IC-MPGN. The VALIANT study demonstrated positive effects on the three key markers of disease at Week 26: a 68% reduction in proteinuria in pegcetacoplan-treated patients compared to placebo (p&lt;0.0001), the primary endpoint. Results were consistent across all subgroups, including disease type, age, and transplant status. Additionally, pegcetacoplan-treated patients achieved stabilization of kidney function (nominal p=0.03), as measured by estimated glomerular filtration rate, and a substantial proportion of patients achieved a reduction in C3c staining intensity (nominal p&lt;0.0001). Pegcetacoplan also demonstrated favorable safety and tolerability results, consistent with its established profile.</w:t>
      </w:r>
    </w:p>
    <w:p>
      <w:pPr>
        <w:spacing w:after="0" w:line="14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2023, we announced positive results from our NOBLE trial, a randomized, placebo-controlled Phase 2 trial in post-transplant recurrence of C3G and primary IC-MPGN. Specifically, at 12 weeks, 80% of patients showed a reduction in C3c staining by one or more orders of magnitude of intensity from baseline, the primary endpoint, and 40% of patients showed zero staining intensity, indicating that C3c deposits were cleared. Patients also showed improvements across key clinical measures, including a mean reduction in proteinuria, and stabilized kidney function. There were no discontinuations due to treatment-emergent adverse events.</w:t>
      </w:r>
    </w:p>
    <w:p>
      <w:pPr>
        <w:spacing w:after="0" w:line="1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October 2020, we reported data from the DISCOVERY trial in five C3G patients treated with systemic pegcetacoplan for 48 weeks. In those patients, mean (SE) proteinuria decreased from 3.48 (0.82) mg/mg at baseline to 0.93 (0.27) mg/mg at week 48, a decrease of 73.3%, as measured by 24-hour uPCR. Importantly, this reduction in proteinuria was accompanied by a corresponding increase in mean serum albumin. Since albumin is the most abundant protein in serum, its level increases when urinary protein losses are reduced. Other biomarkers improved, including an observed increase in mean serum C3 and stabilization of renal function, as measured by mean serum creatinine. No serious or severe adverse events were reported, and pegcetacoplan was well tolerated overall.</w:t>
      </w:r>
    </w:p>
    <w:p>
      <w:pPr>
        <w:spacing w:after="0" w:line="16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initiated two pivotal studies with EMPAVELI in FSGS and DGF in the fourth quarter of 2025. Complement plays a significant role in both diseases, and there are currently no FDA-approved therapies. FSGS is a rare kidney disease that causes scarring in the glomeruli and, similar to C3G and primary IC-MPGN, results in end stage kidney disease within 5-10 years for approximately half of patients. There are an estimated 13,000 primary FSGS patients in the United States. DGF is a complication in kidney transplantation where the transplanted kidney fails to function and typically requires dialysis within the first week of transplant. This negatively affects the long-term survival of the kidney and overall patient outcomes. In 2023, there were an estimated 21,000 transplants in the U.S. using deceased donor kidneys, of which DGF occurred in 30-35% of them.</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and Royalty Agreement with Sobi</w:t>
      </w:r>
    </w:p>
    <w:p>
      <w:pPr>
        <w:spacing w:after="0" w:line="189"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On October 27, 2020, we and our subsidiaries, Apellis International GmbH (f/k/a Apellis Switzerland GmbH) and APL DEL Holdings, LLC, entered into the Sobi Collaboration Agreement, concerning the development and commercialization of pegcetacoplan and specified other structurally and functionally similar compstatin analogues or derivatives for use systemically or for local non-ophthalmological administration, which we collectively refer to as the Licensed Products.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we granted Sobi an exclusive (subject to certain rights we retain), sublicensable license of certain patent rights and know-how to develop and commercialize Licensed Products in all countries outside of the United States.</w:t>
      </w:r>
    </w:p>
    <w:p>
      <w:pPr>
        <w:spacing w:after="0" w:line="13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retain the right to commercialize Licensed Products in the United States and, subject to specified limitations, to develop Licensed Products worldwide for commercialization in the United States.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Sobi Collaboration Agreement, we and Sobi agreed to collaborate to develop Licensed Products for certain indications, including PNH, C3G, primary IC-MPGN and any other indications subsequently agreed upon by the parties, for commercialization by or on behalf of us in the United States and by or on behalf of Sobi outside of the United States. If the parties do not agree to jointly pursue any development activities for the Licensed Products,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w:t>
      </w:r>
    </w:p>
    <w:p>
      <w:pPr>
        <w:sectPr>
          <w:pgSz w:w="11900" w:h="16838" w:orient="portrait"/>
          <w:cols w:equalWidth="0" w:num="1">
            <w:col w:w="11200"/>
          </w:cols>
          <w:pgMar w:left="320" w:top="124" w:right="379" w:bottom="1440" w:gutter="0" w:footer="0" w:header="0"/>
        </w:sectPr>
      </w:pP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0"/>
        <w:spacing w:after="0" w:line="220" w:lineRule="exact"/>
        <w:rPr>
          <w:sz w:val="20"/>
          <w:szCs w:val="20"/>
          <w:color w:val="auto"/>
        </w:rPr>
      </w:pPr>
      <w:r>
        <w:rPr>
          <w:rFonts w:ascii="Times New Roman" w:cs="Times New Roman" w:eastAsia="Times New Roman" w:hAnsi="Times New Roman"/>
          <w:sz w:val="18"/>
          <w:szCs w:val="18"/>
          <w:color w:val="auto"/>
        </w:rPr>
        <w:t>unilateral development rights. In July 2025, we and Sobi decided to discontinue development of systemic pegcetacoplan for Transplant-associated Thrombotic Microangiopathy (TA-TMA) (inclusive of HSCT-TMA), following completion of the Phase 2 study and a strategic assessment of the TA-TMA market landscape. We and Sobi are not collaborating on other development activities for the Licensed Products for additional indications. As of December 31, 2025 and 2024, the Company recognized $10.6 million and $9.9 million, respectively, of contra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research and development expense related to reimbursements from Sobi for certain agreed upon development activities.</w:t>
      </w:r>
    </w:p>
    <w:p>
      <w:pPr>
        <w:spacing w:after="0" w:line="16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agreed to supply Licensed Products to Sobi for development and for commercialization outside of the United States in accordance with a supply agreement negotiated by the parties. The Sobi Collaboration Agreement grants Sobi the right to perform or have performed drug product manufacturing of Licensed Products for development and for commercialization outside the United States and to manufacture or have manufactured drug substance under certain circumstances.</w:t>
      </w:r>
    </w:p>
    <w:p>
      <w:pPr>
        <w:spacing w:after="0" w:line="15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Through June 30, 2025, we were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On July 1, 2025, we and certain of our subsidiaries entered into the Royalty Agreement, under which we agreed to reduce Sobi’s royalty payment obligations under the Sobi Collaboration Agreement by 90%, subject to defined caps tied to Aspaveli’s performance, including an initial cap of 1.45x of the amounts paid by Sobi to us under the Royalty Agreement. If a cap is met, Sobi’s royalty payment obligations under the Sobi Collaboration Agreement will revert to 100%. We remain responsible for our license fee obligations (including royalty obligations) to the Trustees of the University of Pennsylvania, or Penn, as a licensor of Apellis.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received $13.2 million and $18.4 million in royalties from Sobi during the year ended December 31, 2025 and 2024, respectively.</w:t>
      </w:r>
    </w:p>
    <w:p>
      <w:pPr>
        <w:spacing w:after="0" w:line="185"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the Sobi Collaboration Agreement will expire upon the expiration of the last royalty term for the last Licensed Product outside of the United States. The Sobi Collaboration Agreement may be terminated in its entirety by Sobi upon 90 days’ prior written notice at any time. Either party may, subject to specified cure periods, terminate the agreement in its entirety in the event of the other party’s uncured material breach. In addition, we may, subject to specified cure periods, terminate the agreement in any of China, Japan, Brazil, or Canada if Sobi materially breaches its obligation to use commercially reasonable efforts to develop, obtain regulatory approval for, and commercialize a Licensed Product for PNH in such country. Either party may also terminate the agreement under specified circumstances relating to the other party’s insolvency. We may terminate the Sobi Collaboration Agreement in the event Sobi or its specified affiliates or sublicensees challenges the validity, scope or enforceability of the licensed patent rights under specified circumstances.</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with Beam</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2021, we entered into an exclusive five-year research collaboration, or the Beam Collaboration Agreement, with Beam focused on the use of Beam’s proprietary base editing technology to discover new treatments for complement-driven diseases. We and Beam agreed to collaborate on up to six research programs focused on C3 and other complement targets in the eye, liver and brain. Under the terms of the Beam Collaboration Agreement, we are responsible for selecting specific genes within the complement system in various organs including the eye, liver and brain, or the Target List, and providing analytical support while Beam will apply its base editing technology and conduct preclinical research on up to six base editing programs for the Target List. During the first five years of the Beam Collaboration Agreement, Beam is prohibited from developing on its own or with a third-party any base editing therapies associated with the items on the Target List but does not prevent Beam from licensing its intellectual property to a third-party for another purpose outside of the Target List. We will have exclusive rights to license each of the six programs and will assume responsibility for subsequent development and commercialization. Beam may elect to enter a 50-50 co-development and U.S. co-commercialization agreement with us with respect to any one program licensed under the Beam Collaboration Agreement and upon such election any license agreement in place at that time, would be terminated.</w:t>
      </w:r>
    </w:p>
    <w:p>
      <w:pPr>
        <w:spacing w:after="0" w:line="1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part of the Beam Collaboration Agreement, we paid $50.0 million up-front, non-refundable payment to Beam in July 2021 and $25.0 million in June 2022. We and Beam are each responsible for their own costs during the research collaboration. If and after the opt-in license rights are exercised for each of the up to six programs, Beam will be eligible to receive development, regulatory and sales milestones from us, as well as royalty payments on sales. The Beam Collaboration Agreement has an initial term of five years and may be extended up to two years on a per year program-by-program basis.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August 2025, we opted in and entered into a license agreement with Beam, or the Beam License Agreement, to collaborate on the FcRn in the liver, which triggered an upfront milestone payment of $3.8 million, paid in September 2025. Under the Beam License Agreement, we may pay Beam up to $168.8 million in regulatory and development milestones, up to $215.0 million in sales-based milestones, and may owe low single-digit royalties on annual net sales within the licensed territory.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02"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w:t>
      </w:r>
    </w:p>
    <w:p>
      <w:pPr>
        <w:spacing w:after="0" w:line="1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own a total of 31 U.S. patents and 29 pending U.S. patent applications, including original filings, continuations, and divisional applications, as well as numerous foreign counterparts of many of these patents and patent applications.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Pegcetacoplan is an analog of the cyclic peptide compstatin, based on technologies that we have developed internally or have exclusively licensed from Penn.</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patents and patent applications include families of United States and foreign patent and patent applications relating, for example, to the composition of matter of certain compstatin analogs with a prolonged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half-life, including pegcetacoplan, and/or to methods of treatment and dosing regimens for treating particular complement-dependent diseases. Patents in these families would expire in 2032 or 2033. We have submitted applications for patent term extension for certain of these patents. Our patent applications also include families relating in part to particular doses and dosing regimens for intravitreally or subcutaneously administered pegcetacoplan that are granted or pending in the United States and a number of other jurisdictions. Patents in these families would expire between 2036 and 2038. Seven of our U.S. patents are listed for EMPAVELI in the FDA’s publication, “Approved Drug Products with Therapeutic Equivalence Evaluations,” or the Orange Book. Our filings also include certain U.S. and foreign patents and patent applications relating to methods of treating eye disorders associated with complement activation. These patent rights include issued U.S. patents with claims to methods of treating AMD by administration of compstatin analogs and a granted European patent with claims to a class of compstatin analogs for use in treatment of macular degeneration. These patents have terms that extend into 2026. Eight of our U.S. patents are listed for SYFOVRE in the FDA’s Orange Book. We also own a patent family relating in part to use of C3 inhibitors, including pegcetacoplan, to facilitate gene therapy with AAV vectors. Patents in this family would have terms extending into 2040. In addition, we own patent families relating to use of pegcetacoplan for the treatment of PNH or for the treatment of GA that have terms extending into 2041 through 2043.</w:t>
      </w:r>
    </w:p>
    <w:p>
      <w:pPr>
        <w:spacing w:after="0" w:line="14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technology that we developed internally relating to compstatin analogs, we hold exclusive licenses from Penn. The intellectual property in-licensed under our two license agreements with Penn includes four U.S. patents and numerous foreign counterparts, with claims granted in Europe, Japan and elsewhere. These licensed patent rights include issued patents with claims that recite a class of compounds generically covering pegcetacoplan, and that specifically recite the active component. These patents have terms that extend to 2026.</w:t>
      </w:r>
    </w:p>
    <w:p>
      <w:pPr>
        <w:spacing w:after="0" w:line="13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also own or have exclusive rights to a number of patent applications relating to additional modalities and molecules for inhibiting complement, including nucleic acid, small molecule, and protein-based approaches. The filings cover, for example, the composition of matter of certain of our product candidates and methods of use for treating particular complement-mediated disorders. Patents issuing based on these applications would have terms extending into 2041 through 2044.</w:t>
      </w:r>
    </w:p>
    <w:p>
      <w:pPr>
        <w:spacing w:after="0" w:line="15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a non-exclusive license to intellectual property covering aspects of base editing technology, including CRISPR proteins and base editors, for use in the context of our collaboration with Beam, and have an exclusive license from Beam to this intellectual property to the extent it specifically covers therapeutic candidates developed under the collaboration.</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4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certain other foreign jurisdictions to extend the term of a patent that covers an approved drug, and we have applied for and will continue to apply for such extensions in jurisdictions in which pegcetacoplan is approved. In the future, if and when our product candidates receive approval by the FDA or foreign regulatory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authorities, we expect to apply for patent term extensions on issued patents covering those products, depending upon the length of the clinical trials for each drug and other factors. Expiration dates referred to above are without regard to potential patent term adjustment or extension or other market exclusivity that may be available to us.</w:t>
      </w:r>
    </w:p>
    <w:p>
      <w:pPr>
        <w:spacing w:after="0" w:line="14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granted worldwide rights to use and license the intellectual property that we hold with respect to pegcetacoplan to our wholly owned subsidiaries, APL DEL Holdings, LLC and Apellis International GmbH (f/k/a Apellis Switzerland GmbH). Certain of our wholly owned subsidiaries hold rights to use our intellectual property to manage our clinical trials in certain jurisdictions or territories and exclusive rights to distribute our product with respect to specific indications within certain jurisdictions or territories. We granted Sobi an exclusive (subject to certain retained rights), sublicensable license of certain patent rights and know-how to develop and commercialize pegcetacoplan for non-ophthalmological indications in all countries outside of the United States.</w:t>
      </w:r>
    </w:p>
    <w:p>
      <w:pPr>
        <w:spacing w:after="0" w:line="14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 with The Trustees of the University of Pennsylvania (Non-ophthalmic Fields of Use)</w:t>
      </w:r>
    </w:p>
    <w:p>
      <w:pPr>
        <w:spacing w:after="0" w:line="189"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We are party to an agreement with Penn for an exclusive worldwide license, under specified patent rights controlled by Penn, to develop and commercialize products covered by the licensed patent rights for all fields except the treatment of ophthalmic indications. We have the right to grant sublicenses under this license.</w:t>
      </w:r>
    </w:p>
    <w:p>
      <w:pPr>
        <w:spacing w:after="0" w:line="68" w:lineRule="exact"/>
        <w:rPr>
          <w:sz w:val="20"/>
          <w:szCs w:val="20"/>
          <w:color w:val="auto"/>
        </w:rPr>
      </w:pPr>
    </w:p>
    <w:p>
      <w:pPr>
        <w:jc w:val="both"/>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patent rights licensed to us by Penn include patents with claims that recite a class of compounds generically covering pegcetacoplan, and specifically recite the active component. Three of these patents are listed for EMPAVELI in the FDA’s Orange Book.</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Under the license agreement, we were obligated to make a $0.1 million annual license maintenance payment to Penn until the first commercial sale of a licensed product, some of which may become creditable against milestone payments under specified circumstances. We may also become obligated to make payments to Penn aggregating up to $1.7 million, based on achieving specified development and regulatory approval milestones and up to $2.5 million based on achieving specified annual sales milestones with respect to each of the first two licensed products,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6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royalty obligation with respect to each licensed product in a country extends until the later of the expiration of the last-to-expire patent licensed from Penn covering the licensed product in the country or the expiration of a specified number of years after the first commercial sale of the licensed product in the country. As of December 31, 2025 and 2024, respectively, we have incurred royalty expense of $7.3 million and $6.4 million on sales of EMPAVELI and Aspaveli.</w:t>
      </w:r>
    </w:p>
    <w:p>
      <w:pPr>
        <w:spacing w:after="0" w:line="13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14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From January 2021 through December 2025, we have made sublicense payments totaling $30.5 million and development and sales milestone payments totaling $3.5 million to Penn.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Patent License Agreement with The Trustees of the University of Pennsylvania (Ophthalmic Field of Use)</w:t>
      </w:r>
    </w:p>
    <w:p>
      <w:pPr>
        <w:spacing w:after="0" w:line="18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We are party to an agreement with Penn for an exclusive worldwide license, under specified patent rights controlled by Penn, to develop and commercialize products covered by the licensed patent rights for the treatment of ophthalmic indications. Three of the licensed patents are listed for SYFOVRE in the FDA’s Orange Book. We have the right to grant sublicenses under the license.</w:t>
      </w:r>
    </w:p>
    <w:p>
      <w:pPr>
        <w:spacing w:after="0" w:line="13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Under the license agreement, we were obligated to make a $0.1 million annual license maintenance payment to Penn until the first commercial sale of a licensed product. We also became obligated to make payments to Penn aggregating up to $3.2 million based on achieving specified development and regulatory approval milestones, including $2.3 million upon approval of an NDA, and up to $5.0 million based on achieving specified annual sales milestones with respect to each licensed product, and to pay low single-digit</w:t>
      </w:r>
    </w:p>
    <w:p>
      <w:pPr>
        <w:sectPr>
          <w:pgSz w:w="11900" w:h="16838" w:orient="portrait"/>
          <w:cols w:equalWidth="0" w:num="1">
            <w:col w:w="11240"/>
          </w:cols>
          <w:pgMar w:left="320" w:top="124"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to Penn based on net sales of each licensed product by us and our affiliates and sublicensees and specified minimum quarterly royalty thresholds.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are obligated to pay Penn a specified portion of income we receive from sublicensees.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2023 through December 2025, we paid $7.3 million related to regulatory and sales milestones for SYFOVRE to Penn.</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we have incurred royalty expense of $19.1 million and $19.8 million, respectively, as a result of sales of SYFOVRE.</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royalty obligation with respect to each licensed product in a country will extend until the later of the expiration of the last-to-expire patent licensed from Penn covering the licensed product in the country or the tenth anniversary of the first commercial sale of the licensed product in the country.</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4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4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There are a number of currently marketed products and product candidates in preclinical research and clinical development by third parties to treat the various diseases that we are targeting. In general, these products and product candidates can be categorized based on their proposed mechanisms of action. The mechanisms of action for these product candidates include inflammation suppression by agents such as complement inhibitors and corticosteroids, as well as immune modulators, visual cycle modulators, anti-amyloid agents, antioxidants, neuroprotectants, cell and gene therapies and vascular and interstitial tissue remodeling agents.</w:t>
      </w:r>
    </w:p>
    <w:p>
      <w:pPr>
        <w:spacing w:after="0" w:line="15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approved product competes, and if our product candidates are approved for the indications for which we are currently undertaking or planning clinical trials, they will compete, with the products and product candidates discussed below.</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 </w:t>
      </w:r>
      <w:r>
        <w:rPr>
          <w:rFonts w:ascii="Times New Roman" w:cs="Times New Roman" w:eastAsia="Times New Roman" w:hAnsi="Times New Roman"/>
          <w:sz w:val="18"/>
          <w:szCs w:val="18"/>
          <w:color w:val="auto"/>
        </w:rPr>
        <w:t>In August 2023, Astellas Pharma US Inc. received FDA approval for avacincaptad pegol, a C5 inhibitor, for the treatment of GA. We are 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other companies that are actively developing product candidates for the treatment of GA, including the following product candidates that are in clinical development: vonaprument (formerly known as ANX007), an intravitreal C1q inhibitor being developed by Annexon Biosciences, Inc. in Phase 3 clinical trials; pozelimab, a subcutaneous C5 antibody developed by Regeneron Pharmaceuticals Inc. in combination with cemdisiran, an RNAi therapeutic targeting C5 developed by Alnylam Pharmaceuticals, Inc., and cemdisiran monotherapy in Phase 3 clinical trials; JNJ1887 , an intravitreal gene therapy targeting CD59 being developed by Johnson &amp; Johnson Innovative Medicine in Phase 2 clinical trials; AVD104, an intravitreal glycan-coated nanoparticle targeting macrophage and complement factor H, being developed by Aviceda Therapeutics, Inc., which plans to initiate in Phase 3 clinical trials; BI 771716, an intravitreal C3 antibody fragment being developed by Boehringer Ingelheim Pharmaceuticals, Inc., or Boehringer Ingelheim, in Phase 2 clinical trials; SAR 446597, an intravitreal dual-complement targeting gene therapy being developed by Sanofi S.A. in Phase 2 clinical trials; and other product candidates that do not target the complement system that are either in Phase 3 or in Phase 2 clinical trials, including but not limited to therapies being developed by Stealth BioTherapeutics, Inc., Belite Bio, Inc., Lineage Cell Therapeutics, Inc. (in collaboration with Roche Holding AG, or Roche/Genentech, Inc.), Boehringer Ingelheim, ONL Therapeutics, Inc., ADARx Pharmaceuticals, Inc., AbbVie Inc., Ocugen Inc., and Novartis AG, or Novartis, has initiated a Phase 2 trial of orally administered iptacopan, a factor B inhibitor, in patients with early or intermediate AMD.</w:t>
      </w:r>
    </w:p>
    <w:p>
      <w:pPr>
        <w:spacing w:after="0" w:line="147"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PNH. </w:t>
      </w:r>
      <w:r>
        <w:rPr>
          <w:rFonts w:ascii="Times New Roman" w:cs="Times New Roman" w:eastAsia="Times New Roman" w:hAnsi="Times New Roman"/>
          <w:sz w:val="18"/>
          <w:szCs w:val="18"/>
          <w:color w:val="auto"/>
        </w:rPr>
        <w:t>The principal competitors for EMPAVELI are eculizumab (marketed as Soliris) and ravulizumab (marketed as Ultomiris), which are C5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inhibitors marketed by AstraZeneca Pharmaceuticals LP, or AstraZeneca. The FDA approved danicopan as an add-on treatment to eculizumab and ravulizumab in April 2024. In December 2023, the FDA approved iptacopan, which is marketed by Novartis, for the treatment of adults with PNH. Iptacopan is an oral, Factor B inhibitor of the alternative complement pathway. The FDA approved crovalimab, an anti-C5 antibody developed by Roche and Chugai Pharma USA, Inc., in the United States in June 2024.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aware of several other companies that are actively developing product candidates using complement inhibition for the treatment of PNH in late-stage clinical development, including pozelimab + cemdisiran, currently in Phase 3 clinical trials, as well other products in early stages of development.</w:t>
      </w:r>
    </w:p>
    <w:p>
      <w:pPr>
        <w:spacing w:after="0" w:line="14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Amgen Inc. developed BKEMV, a biosimilar for eculizumab, which has been approved in the U.S., as has Epysqli from Samsung Bioepis Co., Ltd.. Other non-U.S. entities are developing biosimilars for eculizumab in local markets. The approval of a biosimilar or a generic to one of our products or a product with which we compete could have a material impact on our business because it may be significantly less costly to bring to market and may be priced significantly lower than our products or the other products with which we compete.</w:t>
      </w:r>
    </w:p>
    <w:p>
      <w:pPr>
        <w:spacing w:after="0" w:line="13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C3G. </w:t>
      </w:r>
      <w:r>
        <w:rPr>
          <w:rFonts w:ascii="Times New Roman" w:cs="Times New Roman" w:eastAsia="Times New Roman" w:hAnsi="Times New Roman"/>
          <w:sz w:val="18"/>
          <w:szCs w:val="18"/>
          <w:color w:val="auto"/>
        </w:rPr>
        <w:t>In March 2025, Novartis received FDA approval for iptacopan, a Factor B inhibitor, for the treatment of C3 glomerulopathy. We are aware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companies that are actively developing product candidates for the treatment of C3G, including the following product candidates that are in clinical development: OMS906, (or zaltenibart), a MASP-3 inhibitor monoclonal antibody being developed by Novo Nordisk Health Care AG, or Novo Nordisk (formerly, Omeros Corp.), in a Phase 2 trial; KP104, an anti C5-Factor H bifunctional protein being developed by Kira Pharmaceuticals, LLC, currently in a Phase 2 renal basket trial; and ARO-C3, an RNAi to reduce C3 production developed by Arrowhead Pharmaceuticals, Inc., currently in a Phase 1/2 renal basket trial.</w:t>
      </w:r>
    </w:p>
    <w:p>
      <w:pPr>
        <w:spacing w:after="0" w:line="142"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IC-MPGN. </w:t>
      </w:r>
      <w:r>
        <w:rPr>
          <w:rFonts w:ascii="Times New Roman" w:cs="Times New Roman" w:eastAsia="Times New Roman" w:hAnsi="Times New Roman"/>
          <w:sz w:val="18"/>
          <w:szCs w:val="18"/>
          <w:color w:val="auto"/>
        </w:rPr>
        <w:t>We are aware of potential treatments in clinical development for primary IC-MPGN, including iptacopan being developed by Novartis,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in Phase 3 clinical trials, and OMS906 (zaltenibart), a MASP-3 inhibitor monoclonal antibody being developed by Novo Nordisk, in a Phase 2 clinical trial.</w:t>
      </w:r>
    </w:p>
    <w:p>
      <w:pPr>
        <w:spacing w:after="0" w:line="144" w:lineRule="exact"/>
        <w:rPr>
          <w:sz w:val="20"/>
          <w:szCs w:val="20"/>
          <w:color w:val="auto"/>
        </w:rPr>
      </w:pPr>
    </w:p>
    <w:p>
      <w:pPr>
        <w:jc w:val="both"/>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FSGS. </w:t>
      </w:r>
      <w:r>
        <w:rPr>
          <w:rFonts w:ascii="Times New Roman" w:cs="Times New Roman" w:eastAsia="Times New Roman" w:hAnsi="Times New Roman"/>
          <w:sz w:val="18"/>
          <w:szCs w:val="18"/>
          <w:color w:val="auto"/>
        </w:rPr>
        <w:t>We are aware of potential treatments in clinical development for FSGS, including sparsentan, an Ang/endothelin II antagonist from Travere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Therapeutics Inc.; Inaxaplin, an APOL1 inhibitor being developed by Vertex Pharmaceuticals Incorporated; DMX-200, a CCR2 inhibitor being developed by Dimerix Limited; and BI 764198, a TRPC6 inhibitor being developed by Boehringer Ingelheim, all in Phase 3 trials.</w:t>
      </w:r>
    </w:p>
    <w:p>
      <w:pPr>
        <w:spacing w:after="0" w:line="130"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DGF. </w:t>
      </w:r>
      <w:r>
        <w:rPr>
          <w:rFonts w:ascii="Times New Roman" w:cs="Times New Roman" w:eastAsia="Times New Roman" w:hAnsi="Times New Roman"/>
          <w:sz w:val="18"/>
          <w:szCs w:val="18"/>
          <w:color w:val="auto"/>
        </w:rPr>
        <w:t>We are aware of potential treatments in clinical development for DGF, including avulizumab, a C5 antibody marketed as Ultomiris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AstraZeneca in a Phase 3 trial; and ARGX117, a C2 antibody under development by Argenx SE in a Phase 2 clinical trial.</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retain U.S. commercialization rights for systemic pegcetacoplan and worldwide commercialization rights for intravitreal pegcetacoplan. We are conducting commercialization efforts for EMPAVELI and SYFOVRE in the United States and plan to conduct commercial development for EMPAVELI in the United States if it is approved in other indications. Sobi has global co-development and exclusive ex-U.S. commercialization rights for Aspaveli. We plan to conduct commercial development for intravitreal pegcetacoplan in select countries outside of the U.S. We have developed focused capabilities to commercialize development programs for certain indications where we believe that the medical specialists for the indications are sufficiently concentrated to allow us to effectively promote the product with a targeted sales team.</w:t>
      </w:r>
    </w:p>
    <w:p>
      <w:pPr>
        <w:spacing w:after="0" w:line="16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EMPAVELI and SYFOVRE we have defined our marketing, disease education, patient support and distribution strategies, identified primary and secondary payors representing a significant percentage of patients with PNH, C3G, primary IC-MPGN and GA, and have built our field market access teams and our sales teams.</w:t>
      </w:r>
    </w:p>
    <w:p>
      <w:pPr>
        <w:spacing w:after="0" w:line="13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programs involving compounds other than pegcetacoplan, we plan to develop our own capabilities to commercialize our products worldwide.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8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rely on third-party contract manufacturers to produce our products, we have recruited personnel with experience to manage the third-party contract manufacturers producing our products, product candidates and other product candidates that we may develop in the future.</w:t>
      </w:r>
    </w:p>
    <w:p>
      <w:pPr>
        <w:spacing w:after="0" w:line="14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process for manufacturing our products and product candidates consists of chemical synthesis, purification using liquid chromatography, and freeze drying into solid form. The drug substance is then dissolved in solution and aliquoted into small vials for individual dosing. Each of these steps involves a relatively routine chemical engineering process. We believe the costs associated with</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manufacturing drug product for our products and product candidates is comparable to the current manufacturing costs for other similarly sized peptide-based components.</w:t>
      </w:r>
    </w:p>
    <w:p>
      <w:pPr>
        <w:spacing w:after="0" w:line="13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engaged a limited number of third-party manufacturers to provide all of our raw materials, drug substances and finished products for use in clinical trials and commercial sale. We have entered into a commercial supply agreement with Bachem Americas, Inc., or Bachem, agreeing to purchase a significant portion of our requirements for the pegcetacoplan drug substance, and a commercial supply agreement with NOF Corporation, or NOF, to purchase activated polyethylene glycol derivative, or PEG, which is a component of pegcetacoplan. We also have a separate supply agreement for the manufacture of the drug product for each of EMPAVELI and SYFOVRE.</w:t>
      </w:r>
    </w:p>
    <w:p>
      <w:pPr>
        <w:spacing w:after="0" w:line="1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raw materials, drug substances and finished products have been produced under master service contracts and specific work orders from these manufacturers pursuant to agreements that include specific supply timelines and volume and quality expectations. We choose the third-party manufacturers of the raw materials and drug substances based on the volume required and the regulatory requirements at the relevant stage of development. All lots of drug substances and finished products used in clinical trials and for commercial use are manufactured under current good manufacturing practices. Separate third-party manufacturers are for fill and finish services and for labeling and shipment of the final drug products to the clinical trial sites and for commercial use.</w:t>
      </w:r>
    </w:p>
    <w:p>
      <w:pPr>
        <w:spacing w:after="0" w:line="14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believe </w:t>
      </w:r>
      <w:r>
        <w:rPr>
          <w:rFonts w:ascii="Times New Roman" w:cs="Times New Roman" w:eastAsia="Times New Roman" w:hAnsi="Times New Roman"/>
          <w:sz w:val="18"/>
          <w:szCs w:val="18"/>
          <w:color w:val="111111"/>
        </w:rPr>
        <w:t>that our manufacturing arrangements are sufficient to supply pegcetacoplan at the scale and with the quality required for our ongoing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 xml:space="preserve">and planned clinical trials, our commercialization efforts and our collaboration with Sobi. </w:t>
      </w:r>
      <w:r>
        <w:rPr>
          <w:rFonts w:ascii="Times New Roman" w:cs="Times New Roman" w:eastAsia="Times New Roman" w:hAnsi="Times New Roman"/>
          <w:sz w:val="18"/>
          <w:szCs w:val="18"/>
          <w:color w:val="000000"/>
        </w:rPr>
        <w:t>We continuously review our supply chain risk, including with</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respect to our manufacturing footprint, and update and implement risk mitigation plans.</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Commercial Supply Agreement with Bachem</w:t>
      </w:r>
    </w:p>
    <w:p>
      <w:pPr>
        <w:spacing w:after="0" w:line="202" w:lineRule="exact"/>
        <w:rPr>
          <w:sz w:val="20"/>
          <w:szCs w:val="20"/>
          <w:color w:val="auto"/>
        </w:rPr>
      </w:pPr>
    </w:p>
    <w:p>
      <w:pPr>
        <w:ind w:right="160" w:firstLine="562"/>
        <w:spacing w:after="0" w:line="282" w:lineRule="auto"/>
        <w:rPr>
          <w:sz w:val="20"/>
          <w:szCs w:val="20"/>
          <w:color w:val="auto"/>
        </w:rPr>
      </w:pPr>
      <w:r>
        <w:rPr>
          <w:rFonts w:ascii="Times New Roman" w:cs="Times New Roman" w:eastAsia="Times New Roman" w:hAnsi="Times New Roman"/>
          <w:sz w:val="18"/>
          <w:szCs w:val="18"/>
          <w:color w:val="auto"/>
        </w:rPr>
        <w:t>In December 2020, we entered into a commercial supply agreement, or the Bachem Agreement, with Bachem to supply the drug substance for the finished dosage form of systemic pegcetacoplan and intravitreal pegcetacoplan.</w:t>
      </w:r>
    </w:p>
    <w:p>
      <w:pPr>
        <w:spacing w:after="0" w:line="121"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Under the Bachem Agreement, we agreed to purchase from Bachem a significant portion of our requirements for the drug substance during the term of the agreement, and to purchase all of our requirements for drug substance for commercial sale, subject to certain exceptions, for a period after the effective date of the agreement.</w:t>
      </w:r>
    </w:p>
    <w:p>
      <w:pPr>
        <w:spacing w:after="0" w:line="135" w:lineRule="exact"/>
        <w:rPr>
          <w:sz w:val="20"/>
          <w:szCs w:val="20"/>
          <w:color w:val="auto"/>
        </w:rPr>
      </w:pPr>
    </w:p>
    <w:p>
      <w:pPr>
        <w:ind w:right="160" w:firstLine="562"/>
        <w:spacing w:after="0" w:line="261" w:lineRule="auto"/>
        <w:rPr>
          <w:sz w:val="20"/>
          <w:szCs w:val="20"/>
          <w:color w:val="auto"/>
        </w:rPr>
      </w:pPr>
      <w:r>
        <w:rPr>
          <w:rFonts w:ascii="Times New Roman" w:cs="Times New Roman" w:eastAsia="Times New Roman" w:hAnsi="Times New Roman"/>
          <w:sz w:val="18"/>
          <w:szCs w:val="18"/>
          <w:color w:val="auto"/>
        </w:rPr>
        <w:t>The initial term of the Bachem Agreement ended on December 31, 2025 and was automatically renewed for an additional two-year term. We may terminate the Bachem Agreement in the event any required license, permit or certificate of Bachem related to the manufacturing facility or the drug substance is not approved or issued (or is withdrawn) by the relevant governmental authority. Additionally, each party may terminate the Bachem Agreement upon an uncured material breach of the Bachem Agreement by the other party or upon the other party’s insolvency or bankruptcy.</w:t>
      </w:r>
    </w:p>
    <w:p>
      <w:pPr>
        <w:spacing w:after="0" w:line="153" w:lineRule="exact"/>
        <w:rPr>
          <w:sz w:val="20"/>
          <w:szCs w:val="20"/>
          <w:color w:val="auto"/>
        </w:rPr>
      </w:pPr>
    </w:p>
    <w:p>
      <w:pPr>
        <w:ind w:right="80" w:firstLine="562"/>
        <w:spacing w:after="0" w:line="282" w:lineRule="auto"/>
        <w:rPr>
          <w:sz w:val="20"/>
          <w:szCs w:val="20"/>
          <w:color w:val="auto"/>
        </w:rPr>
      </w:pPr>
      <w:r>
        <w:rPr>
          <w:rFonts w:ascii="Times New Roman" w:cs="Times New Roman" w:eastAsia="Times New Roman" w:hAnsi="Times New Roman"/>
          <w:sz w:val="18"/>
          <w:szCs w:val="18"/>
          <w:color w:val="auto"/>
        </w:rPr>
        <w:t>The Bachem Agreement also includes customary provisions relating to, among others, delivery, inspection procedures, warranties, quality, storage, handling and transport, intellectual property, confidentiality and indemnification.</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Commercial Supply Agreement with NOF</w:t>
      </w:r>
    </w:p>
    <w:p>
      <w:pPr>
        <w:spacing w:after="0" w:line="189" w:lineRule="exact"/>
        <w:rPr>
          <w:sz w:val="20"/>
          <w:szCs w:val="20"/>
          <w:color w:val="auto"/>
        </w:rPr>
      </w:pPr>
    </w:p>
    <w:p>
      <w:pPr>
        <w:ind w:right="20" w:firstLine="562"/>
        <w:spacing w:after="0" w:line="282" w:lineRule="auto"/>
        <w:rPr>
          <w:sz w:val="20"/>
          <w:szCs w:val="20"/>
          <w:color w:val="auto"/>
        </w:rPr>
      </w:pPr>
      <w:r>
        <w:rPr>
          <w:rFonts w:ascii="Times New Roman" w:cs="Times New Roman" w:eastAsia="Times New Roman" w:hAnsi="Times New Roman"/>
          <w:sz w:val="18"/>
          <w:szCs w:val="18"/>
          <w:color w:val="auto"/>
        </w:rPr>
        <w:t>In March 2021, we entered into an amended and restated commercial supply agreement, or the NOF Agreement, with NOF to purchase PEG, which is a component of each of systemic pegcetacoplan and intravitreal pegcetacoplan.</w:t>
      </w:r>
    </w:p>
    <w:p>
      <w:pPr>
        <w:spacing w:after="0" w:line="135" w:lineRule="exact"/>
        <w:rPr>
          <w:sz w:val="20"/>
          <w:szCs w:val="20"/>
          <w:color w:val="auto"/>
        </w:rPr>
      </w:pPr>
    </w:p>
    <w:p>
      <w:pPr>
        <w:ind w:right="40" w:firstLine="562"/>
        <w:spacing w:after="0" w:line="253" w:lineRule="auto"/>
        <w:rPr>
          <w:sz w:val="20"/>
          <w:szCs w:val="20"/>
          <w:color w:val="auto"/>
        </w:rPr>
      </w:pPr>
      <w:r>
        <w:rPr>
          <w:rFonts w:ascii="Times New Roman" w:cs="Times New Roman" w:eastAsia="Times New Roman" w:hAnsi="Times New Roman"/>
          <w:sz w:val="18"/>
          <w:szCs w:val="18"/>
          <w:color w:val="auto"/>
        </w:rPr>
        <w:t>Under the NOF Agreement, NOF’s affiliate, NOF America Corporation, supplies PEG to us on a non-exclusive basis. NOF agreed to manufacture and deliver PEG to us in accordance with purchase orders issued by us pursuant to the NOF Agreement. We may purchase PEG or any polyethylene glycol derivative from other third-party suppliers. Notwithstanding the foregoing, we agreed to purchase at least a minimum purchase obligation, which will be based on our 24-month rolling forecasts as set forth in the NOF Agreement. In the event we fail to meet the minimum purchase obligation, we will pay NOF the amount equal to a specified percentage of the remaining quantity of the minimum purchase obligation for the relevant time period, in addition to any payments due for all outstanding firm orders. We may eliminate the minimum purchase obligation on or before October 1 of the preceding calendar year by paying a specified percentage of the then-applicable supply price of the remaining minimum purchase obligation for the remainder of the term. In September 2024, we terminated the minimum purchase obligation with NOF for 2025. As a result of this termination, we incurred an expense of $6.4 million, which is included in Cost of sales on the consolidated statements of operations and comprehensive income/(loss). As the amount was due in January 2026, it is included in current liabilities on the consolidated balance sheet as of December 31, 2025.</w:t>
      </w:r>
    </w:p>
    <w:p>
      <w:pPr>
        <w:spacing w:after="0" w:line="154" w:lineRule="exact"/>
        <w:rPr>
          <w:sz w:val="20"/>
          <w:szCs w:val="20"/>
          <w:color w:val="auto"/>
        </w:rPr>
      </w:pPr>
    </w:p>
    <w:p>
      <w:pPr>
        <w:jc w:val="both"/>
        <w:ind w:right="100" w:firstLine="562"/>
        <w:spacing w:after="0" w:line="266" w:lineRule="auto"/>
        <w:rPr>
          <w:sz w:val="20"/>
          <w:szCs w:val="20"/>
          <w:color w:val="auto"/>
        </w:rPr>
      </w:pPr>
      <w:r>
        <w:rPr>
          <w:rFonts w:ascii="Times New Roman" w:cs="Times New Roman" w:eastAsia="Times New Roman" w:hAnsi="Times New Roman"/>
          <w:sz w:val="18"/>
          <w:szCs w:val="18"/>
          <w:color w:val="auto"/>
        </w:rPr>
        <w:t>The term of the NOF Agreement has been extended through December 31, 2030. Either party may terminate the NOF Agreement upon an uncured material breach by the other party, upon the other party’s insolvency or bankruptcy or for convenience upon twenty-four (24) months prior written notice. We may terminate the NOF Agreement for safety, efficacy or regulatory issues. If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NOF Agreement is terminated by NOF for convenience or by us for NOF’s breach, we have no minimum purchase obligations and any agreement to buy out such minimum purchase obligations shall be of no force or effect.</w:t>
      </w:r>
    </w:p>
    <w:p>
      <w:pPr>
        <w:spacing w:after="0" w:line="135" w:lineRule="exact"/>
        <w:rPr>
          <w:sz w:val="20"/>
          <w:szCs w:val="20"/>
          <w:color w:val="auto"/>
        </w:rPr>
      </w:pPr>
    </w:p>
    <w:p>
      <w:pPr>
        <w:ind w:right="300" w:firstLine="562"/>
        <w:spacing w:after="0" w:line="282" w:lineRule="auto"/>
        <w:rPr>
          <w:sz w:val="20"/>
          <w:szCs w:val="20"/>
          <w:color w:val="auto"/>
        </w:rPr>
      </w:pPr>
      <w:r>
        <w:rPr>
          <w:rFonts w:ascii="Times New Roman" w:cs="Times New Roman" w:eastAsia="Times New Roman" w:hAnsi="Times New Roman"/>
          <w:sz w:val="18"/>
          <w:szCs w:val="18"/>
          <w:color w:val="auto"/>
        </w:rPr>
        <w:t>The NOF Agreement also includes customary provisions relating to, among others, delivery, inspection procedures, warranties, quality, storage, handling and transport, intellectual property, confidentiality and indemnification.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18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pricing, reimbursement,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The regulatory requirements applicable to drug product development, approval and marketing are subject to change, and regulations and administrative guidance often are revised or reinterpreted by the agencies in ways that may have a significant impact on our business.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and Regulation of Drug Products in the United States</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The failure to comply with applicable requirements under the FDCA and other applicable laws at any time during the product development process, approval process or after approval may subject a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4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FDA must approve our product candidates for therapeutic indications before they may be marketed in the United States. A company, institution or organization which takes responsibility for the initiation and management of a clinical development program for such products is referred to as a sponsor. A sponsor seeking approval to market and distribute a new drug or biologic product in the United States must typically secure the following:</w:t>
      </w:r>
    </w:p>
    <w:p>
      <w:pPr>
        <w:spacing w:after="0" w:line="68" w:lineRule="exact"/>
        <w:rPr>
          <w:sz w:val="20"/>
          <w:szCs w:val="20"/>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 and standards;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investigational new drug application, or IND, which must take effect before human clinical trials may begin;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 for a new drug product, or a sNDA for a change to a previously approved drug product, which includes not only the results of the clinical trials, but also, detailed information on the chemistry, manufacture and quality controls for the product candidate and proposed labeling for one or more proposed indication(s);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application and program fees pursuant to the Prescription Drug User Fee Act, or PDUFA;</w:t>
      </w:r>
    </w:p>
    <w:p>
      <w:pPr>
        <w:spacing w:after="0" w:line="117" w:lineRule="exact"/>
        <w:rPr>
          <w:rFonts w:ascii="Times New Roman" w:cs="Times New Roman" w:eastAsia="Times New Roman" w:hAnsi="Times New Roman"/>
          <w:sz w:val="18"/>
          <w:szCs w:val="18"/>
          <w:color w:val="auto"/>
        </w:rPr>
      </w:pPr>
    </w:p>
    <w:p>
      <w:pPr>
        <w:ind w:left="5540" w:right="220" w:hanging="5023"/>
        <w:spacing w:after="0" w:line="407" w:lineRule="auto"/>
        <w:tabs>
          <w:tab w:leader="none" w:pos="10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FDA approval of the NDA or sNDA authorizing marketing of the drug product for particular indications in the United States; and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or REMS, and post-approval studies required by the FDA.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0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Before a sponsor begins testing a product candidate with potential therapeutic value in humans, the product candidate enters the preclinical testing stage. Preclinical studies include laboratory evaluation of the purity and stability of the manufactured drug substance or active pharmaceutical ingredient and the formulated drug or drug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These studies are generally referred to as IND-enabling studies. The conduct of the preclinical tests and formulation of the compounds for testing must comply with federal regulations and requirements, including GLP regulations and standards and the U.S. Department of Agriculture’s Animal Welfare Act, if applicable. With passage of the FDA’s Modernization Act 2.0 in December 2022, Congress eliminated provisions in both the FDCA and the Public Health Service Act, or PHSA, that required animal testing in support of an NDA or BLA. While animal testing may still be conducted, the FDA was authorized to rely on alternative non-clinical tests, including cell-based assays, microphysiological systems, or bioprinted or computer models. In April 2025, the FDA released a roadmap to replace animal testing in preclinical safety studies with scientifically validated new approach methodologies. The results of the preclinical tests, together with manufacturing information, analytical data, any available clinical data or literature and plans for clinical trials, among other things, are submitted to the FDA as part of an IND. Some long-term preclinical testing may continue after the IND is submitted.</w:t>
      </w:r>
    </w:p>
    <w:p>
      <w:pPr>
        <w:spacing w:after="0" w:line="14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Companies usually must complete some long-term preclinical testing, such as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20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assure the safety and rights of patients and to help assure that the quality of the investigation will be adequate to permit an evaluation of the proposed drug’s effectiveness and safety.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 or recommence. Occasionally, clinical holds are imposed due to manufacturing issues that may present safety issues for the clinical study subjects.</w:t>
      </w:r>
    </w:p>
    <w:p>
      <w:pPr>
        <w:spacing w:after="0" w:line="1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Once an IND application takes effect, the sponsor of the IND may amend the application as needed to ensure that the clinical trials are conducted according to protocols included in the IND. The FDA has indicated that sponsors are expected to submit amendments for new protocols or changes to existing protocols before implementation of the respective changes. New studies may begin, however, when the sponsor has submitted the change to the FDA for its review and the new protocol or changes to the existing protocol have been approved by the IRB with the responsibility for review and approval of the studies.</w:t>
      </w:r>
    </w:p>
    <w:p>
      <w:pPr>
        <w:spacing w:after="0" w:line="15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monitoring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 Outside the United States in Support of FDA Approval</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Sponsors frequently conduct clinical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or IEC,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6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4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Reporting Clinical Trial Results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PHSA, sponsors of clinical trials of certain FDA-regulated products, including prescription drugs and biologics, are required to register and disclose certain clinical trial information on a public registry (clinicaltrials.gov) maintained by the U.S., National Institutes of Health, or the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w:t>
      </w:r>
    </w:p>
    <w:p>
      <w:pPr>
        <w:spacing w:after="0" w:line="15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PHSA grants the Secretary of Health and Human Services, or HHS, the authority to issue a notice of noncompliance to a responsible party for failure to submit clinical trial information as required. The responsible party, however, is allowed 30 days to correct the noncompliance and submit the required information. The failure to submit clinical trial information to clinicaltrials.gov, as required, is also a prohibited act under the FDCA with violations subject to potential civil monetary penalties of up to $10,000 for each day the violation continues. Violations may also result in injunctions and/or criminal prosecution or disqualification from federal grants. As of January 31, 2026, the FDA had issued eight notices of non-compliance, thereby signaling the government’s willingness to begin enforcing these requirements against non-compliant clinical trial sponsors. These notices have not resulted in civil monetary penalties.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w:t>
      </w:r>
    </w:p>
    <w:p>
      <w:pPr>
        <w:sectPr>
          <w:pgSz w:w="11900" w:h="16838" w:orient="portrait"/>
          <w:cols w:equalWidth="0" w:num="1">
            <w:col w:w="11220"/>
          </w:cols>
          <w:pgMar w:left="320" w:top="124" w:right="359" w:bottom="1440" w:gutter="0" w:footer="0" w:header="0"/>
        </w:sectPr>
      </w:pP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 applications for treatment in emergency settings and non-emergency settings); intermediate-size patient populations; and larger populations for use of the drug under a treatment protocol or Treatment IND Application.</w:t>
      </w:r>
    </w:p>
    <w:p>
      <w:pPr>
        <w:spacing w:after="0" w:line="13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There is no obligation for a sponsor to make its investigational products available for expanded access; however, as required by amendments to the FDCA included in the 21st Century Cures Act, or the Cures Act, passed in 2016, if a sponsor has a policy regarding how it responds to expanded access requests with respect to product candidates in development to treat serious diseases or conditions, it must make that policy publicly available. Sponsors are required to make such policies publicly available upon the earlier of initiation of a Phase 2 or Phase 3 study; or 15 days after the investigational drug or biologic receives designation from the FDA as a breakthrough therapy, fast track product, or regenerative medicine advanced therapy.</w:t>
      </w:r>
    </w:p>
    <w:p>
      <w:pPr>
        <w:spacing w:after="0" w:line="14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Each protocol, and any subsequent material amendment to the protocol, must be submitted to the FDA as part of the IND, and progress reports detailing the status of the clinical trials must be submitted to the FDA annually.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the following sequential phases, which may overlap or be combined:</w:t>
      </w:r>
    </w:p>
    <w:p>
      <w:pPr>
        <w:spacing w:after="0" w:line="117" w:lineRule="exact"/>
        <w:rPr>
          <w:sz w:val="20"/>
          <w:szCs w:val="20"/>
          <w:color w:val="auto"/>
        </w:rPr>
      </w:pPr>
    </w:p>
    <w:p>
      <w:pPr>
        <w:ind w:left="1020" w:right="8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p>
      <w:pPr>
        <w:spacing w:after="0" w:line="67" w:lineRule="exact"/>
        <w:rPr>
          <w:rFonts w:ascii="Times New Roman" w:cs="Times New Roman" w:eastAsia="Times New Roman" w:hAnsi="Times New Roman"/>
          <w:sz w:val="18"/>
          <w:szCs w:val="18"/>
          <w:color w:val="auto"/>
        </w:rPr>
      </w:pPr>
    </w:p>
    <w:p>
      <w:pPr>
        <w:ind w:left="1020" w:right="620" w:hanging="503"/>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31" w:lineRule="exact"/>
        <w:rPr>
          <w:rFonts w:ascii="Times New Roman" w:cs="Times New Roman" w:eastAsia="Times New Roman" w:hAnsi="Times New Roman"/>
          <w:sz w:val="17"/>
          <w:szCs w:val="17"/>
          <w:color w:val="auto"/>
        </w:rPr>
      </w:pPr>
    </w:p>
    <w:p>
      <w:pPr>
        <w:ind w:left="1020" w:right="6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 These clinical trials are commonly referred to as “pivotal” studies, which denotes a study that presents the data that the FDA or other relevant regulatory agency will use to determine whether or not to approve a drug.</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Post-approval studies, which are conducted following initial approval, are typically conducted to gain additional experience and data from treatment of patients in the intended therapeutic indication.</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December 2022,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In June 2024, as mandated by the Food and Drug Omnibus Reform Act, or FDORA, the FDA issued draft guidance outlining the general requirements for DAPs. In response to an Executive Order issued by President Trump on January 21, 2025, on diversity, equity and inclusion programs, the FDA removed this draft guidance from its website. Subsequently, in July 2025, pursuant to a court order, the FDA restored the draft DAP guidance to its website with a statement that “information on this page may be modified and/or removed in the future subject to the terms of the court’s order and implemented consistent with applicable law.” In light of these ongoing actions, there is considerable uncertainty surrounding the draft DAP guidance and how the FDA will consider DAPs in connection with its review of NDAs.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FDA issued final guidance with updated recommendations for current Good Clinical Practices aimed at modernizing the design and conduct of clinical trials. The updates are intended to help pave the way for more efficient clinical trials to facilitate the development of medical products. The final guidance is adopted from the International Council for Harmonisation’s recently updated E6(R3) final guideline that was developed to enable the incorporation of rapidly developing technological and methodological innovations into the clinical trial enterprise. In addition, the FDA issued final guidance outlining recommendations for the implementation of decentralized clinical trials.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October 2025, the FDA issued final guidance that focuses on patient-focused drug development. The guidance outlines how stakeholders, such as patients, caregivers, researchers and medical product developers, can submit patient experience data in support of the development and approval of drug products. To that end, the guidance provides an overview of clinical outcome assessments, or COAs, in clinical trials, and the role that COAs may play in in evaluating the clinical benefit of a medical product.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Interactions with FDA During the Clinical Development Program</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Following the clearance of an IND and the commencement of clinical trials, the sponsor will continue to have interactions with the FDA. A development safety update report detailing the results of the clinical trials must be submitted annually to the FDA.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8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addition, sponsors are given opportunities to meet with the FDA at certain points in the clinical development program. Specifically, sponsors may meet with the FDA prior to the submission of an IND (Pre-IND meeting), at the end of Phase 2 clinical trial (EOP2 meeting) and before an NDA is submitted (Pre-NDA meeting).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EOP2 meetings. A Type C meeting is any meeting other than a Type A or Type B meeting regarding the development and review of a product, including for example meetings to facilitate early consultations on the use of a biomarker as a new surrogate endpoint that has never been previously used as the primary basis for product approval in the proposed context of use. A Type D meeting is focused on a narrow set of issues (should be limited to no more than 2 focused topics) and should not require input from more than 3 disciplines or divisions. Finally, INTERACT meetings are intended for novel products and development programs that present unique challenges in the early development of an investigational product.</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These meetings provide an opportunity for the sponsor to share information about the data gathered to date with the FDA and for the FDA to provide advice on the next phase of development. For example, at an EOP2, a sponsor may discuss its Phase 2 clinical results and present its plans for the pivotal Phase 3 clinical trial(s) that it believes will support the approval of the new product. Such meetings may be conducted in person, via teleconference/videoconference or written response only with minutes reflecting the questions that the sponsor posed to the FDA and the FDA's responses.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Other Regulatory Requirements</w:t>
      </w:r>
    </w:p>
    <w:p>
      <w:pPr>
        <w:spacing w:after="0" w:line="202"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 In May 2025, the FDA disclosed plans to expand its use of unannounced inspections of foreign manufacturing facilities that produce drugs and biologics distributed in the United States. Subsequently, in August 2025, the FDA introduced a “PreCheck” program with the intention of supporting companies as they build new facilities in the United States. The PreCheck program provides manufacturers with more frequent FDA communication at critical development stages, including facility design, construction, and pre-production. These FDA initiatives flow from an Executive Order issued by President Trump on May 5, 2025, calling for actions to reduce regulatory barriers to pharmaceutical manufacturing in the United States.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or the PREA, applications and certain types of supplements to applications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sponsor must submit an initial Pediatric Study Plan, or PSP, within 60 days of an end-of-phase 2 meeting or as may be agreed between the sponsor and the FDA. Those plans must contain an outline of the proposed pediatric study or studies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sponsor and the FDA must reach agreement on a final plan.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spacing w:after="0" w:line="153"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FDA is required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the sponsor’s response.</w:t>
      </w:r>
    </w:p>
    <w:p>
      <w:pPr>
        <w:spacing w:after="0" w:line="13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Unless otherwise required by regulation, the pediatric data requirements do not apply to products with orphan designation intended for a non-cancer indication, although the FDA has recently taken steps to limit what it considers abuse of this statutory exemption in PREA by announcing that it does not intend to grant any additional orphan drug designations for rare pediatric subpopulations of what is otherwise a common disease. Further, Section 505B of the FDCA, as amended by the FDA Reauthorization Act of 2017, or FDARA, requires that any original NDA or BLA submitted on or after August 18, 2020, for a new active ingredient, must contain reports on the molecularly targeted pediatric cancer investigation, unless the requirement is waived or deferred, if the drug that is the subject of the application is: (i) intended for the treatment of an adult cancer, and (ii) directed at a molecular target that the Secretary of HHS determines to be substantially relevant to the growth or progression of a pediatric cancer in accordance with FDA guidance. The FDA also maintains a list of diseases that are exempt from PREA requirements due to low prevalence of disease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pediatric population. In May 2023, the FDA issued new draft guidance that further describes the pediatric study requirements under PREA.</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 and Regenerative Advanced Therapy Designations</w:t>
      </w:r>
    </w:p>
    <w:p>
      <w:pPr>
        <w:spacing w:after="0" w:line="20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and regenerative advanced therapy designation.</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Specifically, the FDA may designate a product for fast-track review if it is intended, whether alone or in combination with one or more other products, for the treatment of a serious or life-threatening disease or condition, and it demonstrates the potential to address unmet medical needs for such a disease or condition. For fast-track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6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4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14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June 17, 2025, the FDA announced the creation of the Commissioner’s National Priority Voucher, or CNPV, Program. Vouchers issued under the CNPV Program can reportedly be redeemed by sponsors to shorten the review time of an NDA or BLA from approximately ten to twelve months to one to two months. The CNPV Program will convene experts from the FDA’s offices for a team-based review rather than using the standard review system. Clinical information will be reviewed by a multidisciplinary team of physicians and scientists who will pre-review the submitted information and convene for a one-day meeting. Vouchers under the CNPV Program will reportedly be given to companies aligned with U.S. national priorities.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is limited experience with accelerated approvals by the FDA based on intermediate clinical endpoints. However, the FDA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With the passage of FDORA,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w:t>
      </w:r>
    </w:p>
    <w:p>
      <w:pPr>
        <w:spacing w:after="0" w:line="16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the FDA’s views on what it means to conduct a confirmatory trial with due diligence and how the FDA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Acceptance and Review of NDAs</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information relating to the product’s chemistry, manufacturing, controls, safety updates, patent information, abuse information and proposed labeling, are submitted to the FDA as part of an application requesting approval to market the product candidate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a drug product.</w:t>
      </w:r>
    </w:p>
    <w:p>
      <w:pPr>
        <w:spacing w:after="0" w:line="16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fee required for the submission and review of an application under the PDUFA is substantial (for example, for federal fiscal year 2026 this application fee is $4,682,003), and the sponsor of an approved application is also subject to an annual program fee, currently set at $442,213 per eligible prescription product for federal fiscal year 2026.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therapeutic application for review.</w:t>
      </w:r>
    </w:p>
    <w:p>
      <w:pPr>
        <w:spacing w:after="0" w:line="14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FDA conducts a preliminary review of all applications within 60 days of receipt and must inform the sponsor at that time or before whether an application is sufficiently complete to permit substantive review. In pertinent part, the FDA’s regulations state that an application “shall not be considered as filed until all pertinent information and data have been received” by the FDA. In the event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that FDA determines that an application does not satisfy this standard, it will issue a Refuse to File, or RTF, determination to the sponsor. The FDA may request additional information rather than accept an application for filing. In this event, the application must be resubmitted with the additional information. The resubmitted application is also subject to review before the FDA accepts it for filing.</w:t>
      </w:r>
    </w:p>
    <w:p>
      <w:pPr>
        <w:spacing w:after="0" w:line="14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Typically, an RTF will be based on administrative incompleteness, such as clear omission of information or sections of required information; scientific incompleteness, such as omission of critical data, information or analyses needed to evaluate safety and efficacy or provide adequate directions for use; or inadequate content, presentation, or organization of information such that substantive and meaningful review is precluded. In October 2025, the FDA issued internal guidance clarifying that “materially incomplete or inadequately organized” applications that would not permit timely, efficient and complete review will be the subject of an RTF. The internal guidance also provides that the FDA will issue an RTF for an application that relies on a single adequate and well-controlled investigation to support approval if prior communications with the FDA determined the need for more than one clinical study and any justification for a single investigation is inadequate.</w:t>
      </w:r>
    </w:p>
    <w:p>
      <w:pPr>
        <w:spacing w:after="0" w:line="14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After the submission is accepted for filing, the FDA begins an in-depth substantive review of the application. The FDA reviews the application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that is a new molecular entity, and six months from the filing date for an application with “priority review.” The 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an application to extend beyond the PDUFA goal date.</w:t>
      </w:r>
    </w:p>
    <w:p>
      <w:pPr>
        <w:spacing w:after="0" w:line="14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its review of an application, the FDA will typically submit information requests to the sponsor and set deadlines for responses thereto. The FDA will also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are adequate to assure consistent production of the product within required specifications. The FDA also may inspect the sponsor and one or more clinical trial sites to assure compliance with IND and GCP requirements and the integrity of the clinical data submitted to the FDA. With passage of the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 To ensure cGMP and GCP compliance by its employees and third-party contractors, a sponsor may incur significant expenditure of time, money and effort in the areas of training, record keeping, production and quality control.</w:t>
      </w:r>
    </w:p>
    <w:p>
      <w:pPr>
        <w:spacing w:after="0" w:line="16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Moreover, the FDA will review a sponsor’s financial relationship with the principal investigators who conducted the clinical trials in support of the NDA.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14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Additionally, the FDA may refer an application,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sponsor interprets the same data. The FDA may also re-analyze the clinical trial data, which could result in extensive discussions between the FDA and the sponsor during the review process.</w:t>
      </w:r>
    </w:p>
    <w:p>
      <w:pPr>
        <w:spacing w:after="0" w:line="14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also may require submission of a REMS if it determines that a REMS is necessary to ensure that the benefits of the product outweigh its risks and to assure the safe use of the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application must submit a proposed REMS and the FDA will not approve the application without a REMS.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Decisions on NDAs</w:t>
      </w:r>
    </w:p>
    <w:p>
      <w:pPr>
        <w:spacing w:after="0" w:line="20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the product is safe and whether it is effective for its intended use(s), with the latter determination being made on the basis of substantial evidence.</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FDA has typically interpreted this evidentiary standard to require at least two adequate and well-controlled clinical investigations to establish effectiveness of a new product. Under certain circumstances, however, the FDA has indicated that a single trial with certain characteristics and additional information may satisfy this standard. This approach was subsequently endorsed by Congress in 1998 with legislation providing, in pertinent part, that “If FDA determines, based on relevant science, that data from one adequate and well-controlled clinical investigation and confirmatory evidence (obtained prior to or after such investigation) are sufficient to establish effectiveness, the FDA may consider such data and evidence to constitute substantial evidence.” This modification to the law recognized the potential for the FDA to find that one adequate and well controlled clinical investigation with confirmatory evidence, including supportive data outside of a controlled trial, is sufficient to establish effectiveness.</w:t>
      </w:r>
    </w:p>
    <w:p>
      <w:pPr>
        <w:spacing w:after="0" w:line="14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2019, the FDA issued draft guidance further explaining the studies that are needed to establish substantial evidence of effectiveness. The FDA also issued draft guidance in September 2023 that outlines considerations for relying on confirmatory evidence in lieu of a second clinical trial to demonstrate efficacy. The FDA has not yet finalized such guidance, but, in December 2025, the FDA signaled that it is considering only requiring one clinical trial for approval of most drug products. The FDA indicated at such time that it may issue guidance regarding this change through a press release or other means, however, the FDA has not yet issued such guidance.</w:t>
      </w:r>
    </w:p>
    <w:p>
      <w:pPr>
        <w:spacing w:after="0" w:line="15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drug is effective and that its expected benefits outweigh its potential risks to patients. This “benefit-risk” assessment is informed by the extensive body of evidence about the product’s safety and efficacy in the NDA.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 In connection with this assessment, the FDA review team will assemble all individual reviews and other documents into an “action package,” which becomes the record for FDA review. The review team then issues a recommendation, and a senior FDA official makes a decision.</w:t>
      </w:r>
    </w:p>
    <w:p>
      <w:pPr>
        <w:spacing w:after="0" w:line="148"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 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six-month extension to respond.</w:t>
      </w:r>
    </w:p>
    <w:p>
      <w:pPr>
        <w:spacing w:after="0" w:line="14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has committed to reviewing such resubmissions in two or six months depending on the type of information included. Even with the submission of this additional information, the FDA ultimately may decide that the application does not satisfy the regulatory criteria for approval. The FDA has taken the position that a CRL is not final agency action making the determination subject to judicial review. While CRLs were previously treated by the FDA as confidential and were only disclosed in action packages for approved products, the FDA announced in September 2025 that it will now release CRLs promptly after they are issued to sponsors. Since that announcement, the FDA has posted a number of CRLs on its website.</w:t>
      </w:r>
    </w:p>
    <w:p>
      <w:pPr>
        <w:spacing w:after="0" w:line="15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indications. That is, the approval will be limited to the conditions of use (e.g., patient population, indication) described in the FDA-approved labeling. Further, depending on the specific risk(s) to be addressed, the FDA may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9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 sponsor wishes to make a change to a product that has been approved under an NDA, the sponsor must submit an sNDA to the FDA. Such changes may include a revision of the labeling for the approved product, addition of a new indication, a change in the dosage, strength or formulation of the drug product, or a modification of the manner in which the drug is manufactured. Under the timelines established pursuant to PDUFA, the standard review time for an sNDA is generally 10 months from receipt of the application by the FDA.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0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43"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4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9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the FDA’s regulations impose rigorous restrictions on manufacturers’ communications, prohibiting the promotion of off-label uses.</w:t>
      </w:r>
    </w:p>
    <w:p>
      <w:pPr>
        <w:spacing w:after="0" w:line="14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On September 9, 2025, President Trump issued a Memorandum directing HHS to “ensure transparency and accuracy in direct-to-consumer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w:t>
      </w:r>
    </w:p>
    <w:p>
      <w:pPr>
        <w:spacing w:after="0" w:line="15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addition, in October 2023, the FDA published draft guidance outlining the FDA's non-binding policies governing the distribution of scientific information on unapproved uses to healthcare providers. This draft guidance calls for such communications to be truthful,</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non-misleading, factual, and unbiased and include all information necessary for healthcare providers to interpret the strengths and weaknesses and validity and utility of the information about the unapproved use.</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14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4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a variety of federal and state laws, the most recent of which is still in the process of being phased into the U.S. supply chain and regulatory framework. The Prescription Drug Marketing Act, or the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In November 2013, the federal Drug Supply Chain Security Act became effective in the United States, mandating an industry-wide, electronic, interoperable system to trace prescription products through the pharmaceutical distribution supply chain with a ten-year phase-in process. Manufacturers were required by November 2023 to have such systems and processes in place. So as not to disrupt supply chains, the FDA has granted certain exemptions from enhanced distribution security requirements for eligible trading partners for particular periods of time.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200" w:lineRule="exact"/>
        <w:rPr>
          <w:sz w:val="20"/>
          <w:szCs w:val="20"/>
          <w:color w:val="auto"/>
        </w:rPr>
      </w:pPr>
    </w:p>
    <w:p>
      <w:pPr>
        <w:ind w:right="100" w:firstLine="509"/>
        <w:spacing w:after="0" w:line="274" w:lineRule="auto"/>
        <w:rPr>
          <w:sz w:val="20"/>
          <w:szCs w:val="20"/>
          <w:color w:val="auto"/>
        </w:rPr>
      </w:pPr>
      <w:r>
        <w:rPr>
          <w:rFonts w:ascii="Times New Roman" w:cs="Times New Roman" w:eastAsia="Times New Roman" w:hAnsi="Times New Roman"/>
          <w:sz w:val="17"/>
          <w:szCs w:val="17"/>
          <w:color w:val="auto"/>
        </w:rPr>
        <w:t>NDAs for most new drug products are based on two full clinical studies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13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Section 505(b)(2) authorizes the FDA to approve an NDA based on safety and effectiveness data that were not developed by the sponsor. NDAs filed under Section 505(b)(2) may provide an alternate and potentially more expeditious pathway to FDA approval for new or improved formulations or new uses of previously approved products. If the Section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Generic Drugs and Regulatory Exclusivity</w:t>
      </w:r>
    </w:p>
    <w:p>
      <w:pPr>
        <w:spacing w:after="0" w:line="20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 previously approved by the FDA under the NDA provisions of the statute. To obtain approval of a generic drug, the sponsor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3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Upon approval of an abbreviated new drug application, or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5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or 505(b)(2) application until any applicable period of regulatory exclusivity for the RLD has expired. The FDCA provides a period of five years of regulatory data exclusivity for a new drug containing a new chemical entity. For the purposes of this provision, a new chemical entity, or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In cases where such NCE exclusivity has been granted, a generic or follow-on drug application may not be filed with the FDA until the expiration of five years unless the submission is accompanied by a Paragraph IV certification, in which case the sponsor may submit its application four years following the original product approval.</w:t>
      </w:r>
    </w:p>
    <w:p>
      <w:pPr>
        <w:spacing w:after="0" w:line="14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FDCA also provides for a period of three years of regulatory exclusivity if the NDA includes reports of one or more new clinical investigations, other than bioavailability or bioequivalence studies, that were conducted by or for the sponsor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 must establish a priority review track for certain generic drugs, requiring the FDA to review a drug application within eight months for a drug that has three or fewer approved patents listed in the Orange Book and is no longer protected by any patent or regulatory exclusivities, or is on the FDA’s drug shortage list. The new legislation also authorizes the FDA to expedite review of competitor generic therapies or drugs with inadequate generic competition, including holding meetings with or providing advice to the drug sponsor prior to submission of the application.</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20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submission of an NDA or certain supplemental applications, NDA sponsors are required to list with the FDA each patent with claims that cover the sponsor’s product or an approved method of using the product. Upon approval of a new drug, each of the patents listed in the application for the drug is then published in the Orange Book. The FDA’s regulations governing patent listings were largely codified into law with enactment of the Orange Book Modernization Act in January 2021.When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sponsor must certify with respect to each patent that:</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18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sponsor is not seeking approval).</w:t>
      </w:r>
    </w:p>
    <w:p>
      <w:pPr>
        <w:spacing w:after="0" w:line="13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ANDA until the earlier of 30 months after the receipt of the Paragraph IV notice, expiration of the patent, or a decision in the infringement case that is favorable to the ANDA sponsor.</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sponsor.</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exclusivity to the term of any existing unexpired patent or regulatory exclusivity, including the orphan drug exclusivity, for drug products.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sponsor submitted a paragraph IV patent certification, unless the NDA sponsor or patent owner first obtains a court determination that the patent is valid and infringed by a proposed generic product.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4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Those circumstances include instances in which another sponsor’s application for the same drug product and indication is shown to be “clinically superior” to the previously approved drug. In this context, clinically superior means that the drug provides a significant therapeutic advantage over and above the already approved drug in terms of greater efficacy, greater safety or by providing a major contribution to patient care.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6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FDARA, orphan exclusivity will not bar approval of another orphan drug under certain circumstances, including if a subsequent product with the same drug for the same indication is shown to be clinically superior to the approved product on the basis of greater efficacy or safety, or providing a major contribution to patient care, or if the company with orphan drug exclusivity is not able to meet market demand. The new legislation reverses prior precedent holding that the Orphan Drug Act unambiguously required the FDA to recognize orphan exclusivity regardless of a showing of clinical superiority.</w:t>
      </w:r>
    </w:p>
    <w:p>
      <w:pPr>
        <w:spacing w:after="0" w:line="14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and the U.S. Congress may further reevaluate the Orphan Drug Act and its regulations and policies. This may be particularly true in light of a decision from the Court of Appeals for the Eleventh Circuit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in September 2021 finding that, for the purpose of determining the scope of exclusivity, the term “same disease or condition” means the designated “rare disease or condition” and could not be interpreted by the FDA to mean the “indication or use.” On January 23, 2023, the FDA announced that, in matters beyond the scope of that order, the FDA will continue to apply its existing regulations tying orphan-drug exclusivity to the uses or indications for which the orphan drug was approved. In February 2025, a federal district court in Washington, D.C. fully embraced the reasoning in the Eleventh Circuit decision in another court decision (</w:t>
      </w:r>
      <w:r>
        <w:rPr>
          <w:rFonts w:ascii="Times New Roman" w:cs="Times New Roman" w:eastAsia="Times New Roman" w:hAnsi="Times New Roman"/>
          <w:sz w:val="18"/>
          <w:szCs w:val="18"/>
          <w:i w:val="1"/>
          <w:iCs w:val="1"/>
          <w:color w:val="auto"/>
        </w:rPr>
        <w:t>Neurelis v. Brenner</w:t>
      </w:r>
      <w:r>
        <w:rPr>
          <w:rFonts w:ascii="Times New Roman" w:cs="Times New Roman" w:eastAsia="Times New Roman" w:hAnsi="Times New Roman"/>
          <w:sz w:val="18"/>
          <w:szCs w:val="18"/>
          <w:color w:val="auto"/>
        </w:rPr>
        <w:t>) challenging the scope of orphan drug exclusivity, and in April 2025, the FDA appealed this decision to the U.S. Court of Appeals for the D.C. Circuit. The implications of this decision, and its impact on the FDA’s implementation of the Orphan Drug Act, are unclear at this point.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20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Review and Clearance or Approval of Medical Devices in the United States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Medical devices in the United States are strictly regulated by the FDA. Under the FDCA, a medical device is defined as an instrument, apparatus, implement, machine, contrivance, implant,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spacing w:after="0" w:line="16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Unless an exemption applies, a new medical device may not be marketed in the United States until it has been cleared through filing of a 510(k) premarket notification, or 510(k), or approved by the FDA pursuant to a premarket approval application, or PMA.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have the lowest level or risk associated with them, and are subject to general controls, including labeling, premarket notification and adherence to the Quality System Regulation, or QSR. Class II devices are subject to general controls and special controls, including performance standards. Class III devices, which have the highest level of risk associated with them, such as life sustaining, life supporting or some implantable devices, or devices that have a new intended use, or use advanced technology that is not substantially equivalent to that of a legally marketed device, are subject to most of the aforementioned requirements as well as to premarket approval.</w:t>
      </w:r>
    </w:p>
    <w:p>
      <w:pPr>
        <w:spacing w:after="0" w:line="14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510(k) must demonstrate that the proposed device is substantially equivalent to another legally marketed device, or predicate device, that did not require premarket approval. In evaluating a 510(k), the FDA will determine whether the device has the same intended use as the predicate device, and (a) 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FDA finds that it requires more information to review the 510(k). If the FDA concludes that a new device is not substantially equivalent to a predicate device, the new device will be classified in Class III and the manufacturer will be required to submit a PMA to market the product. PMA applications are subject to an application fee. For federal fiscal year 2025, the standard fee is $540,783 and the small business fee is $135,196.</w:t>
      </w:r>
    </w:p>
    <w:p>
      <w:pPr>
        <w:spacing w:after="0" w:line="1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Modifications to a 510(k)-cleared medical device may require the submission of another 510(k) or a PMA if the changes could significantly affect safety or effectiveness or constitute a major change in the intended use of the device. Modifications to a 510(k)-cleared device frequently require the submission of a traditional 510(k), but modifications meeting certain conditions may be candidates for FDA review under a Special 510(k). If a device modification requires the submission of a 510(k), but the modification 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spacing w:after="0" w:line="162"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w:t>
      </w:r>
    </w:p>
    <w:p>
      <w:pPr>
        <w:sectPr>
          <w:pgSz w:w="11900" w:h="16838" w:orient="portrait"/>
          <w:cols w:equalWidth="0" w:num="1">
            <w:col w:w="11240"/>
          </w:cols>
          <w:pgMar w:left="320" w:top="124" w:right="339" w:bottom="1440" w:gutter="0" w:footer="0" w:header="0"/>
        </w:sectPr>
      </w:pP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study. Non-significant risk devices are devices that do not pose a significant risk to the human subjects. A non-significant risk device study requires only IRB approval prior to initiation of a clinical study.</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Review and Approval of Combination Products in the United States</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Certain products may be comprised of components that would normally be regulated under different types of regulatory authorities, and frequently by different Centers at the FDA. These products are known as combination products. Under regulations issued by the FDA, a combination product may be:</w:t>
      </w:r>
    </w:p>
    <w:p>
      <w:pPr>
        <w:spacing w:after="0" w:line="54" w:lineRule="exact"/>
        <w:rPr>
          <w:sz w:val="20"/>
          <w:szCs w:val="20"/>
          <w:color w:val="auto"/>
        </w:rPr>
      </w:pPr>
    </w:p>
    <w:p>
      <w:pPr>
        <w:ind w:left="1020" w:right="1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comprised of two or more regulated components that are physically, chemically, or otherwise combined or mixed and produced as a single entity;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separate products packaged together in a single package or as a unit and comprised of drug and device products;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71" w:lineRule="exact"/>
        <w:rPr>
          <w:rFonts w:ascii="Times New Roman" w:cs="Times New Roman" w:eastAsia="Times New Roman" w:hAnsi="Times New Roman"/>
          <w:sz w:val="18"/>
          <w:szCs w:val="18"/>
          <w:color w:val="auto"/>
        </w:rPr>
      </w:pPr>
    </w:p>
    <w:p>
      <w:pPr>
        <w:ind w:left="1020" w:right="52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1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device-drug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and State Data Privacy Laws</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business or trials or where we may do business in the future. These laws are evolving and may increase both our obligations and our regulatory risks in the future. In the health care industry generally, under the Health Insurance Portability and Accountability Act of 1996, or HIPAA, the HHS has issued regulations to protect the privacy and security of protected health information, or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are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CCPA, which took effect on January 1, 2020, and imposed many requirements on businesses that process the personal information of California residents. Many of the CCPA’s requirements are similar to those found in the General Data Protection Regulation, or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16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California, a number of other states have passed comprehensive privacy laws similar to the CCPA and CPRA. Like the CCPA and CPRA, these laws create obligations related to the processing of personal information, as well as special obligations for the processing of “sensitive” data (which includes health data in some cases).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Other states will be considering similar laws in the future, and Congress has also been debating passing a federal privacy law.</w:t>
      </w:r>
    </w:p>
    <w:p>
      <w:pPr>
        <w:spacing w:after="0" w:line="147"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Review, Approval and Regulation of Drug Products in the European Union</w:t>
      </w:r>
    </w:p>
    <w:p>
      <w:pPr>
        <w:spacing w:after="0" w:line="20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To market any product outside of the United States, a sponsor must also comply with numerous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regulatory authorities of foreign countries or economic areas, such as the 27-member European Union, or EU, and together, EU Member States, before it can commence clinical trials or marketing of the product in those countries or jurisdictions. This process in the EU generally follows the same lines as in the United States and requires the satisfactory completion of preclinical studies and adequate and well-controlled clinical trials to establish the safety and efficacy of the product for each proposed indication.</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Before a product enters clinical testing in the EU, the sponsor must conduct preclinical studies to demonstrate the safety of the investigational product for such clinical testing. These studies must be conducted in compliance with the principles of GLP, as set forth in EU Directive 2004/10/EC. In particular, preclinical studies,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must be planned, performed, monitored, recorded, reported and archived in accordance with GLP principles, which reflect the requirements of the Organization for Economic Co-operation and Development, or OECD.</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Marketing Authorization</w:t>
      </w:r>
    </w:p>
    <w:p>
      <w:pPr>
        <w:spacing w:after="0" w:line="18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Clinical trials in the EU are governed by the Clinical Trials Regulation (EU) No 536/2014, or CTR, which replaced the prior Clinical Trials Directive 2001/20/EC, or CTD. The CTR is designed to simplify and streamline the authorization, conduct and transparency of clinical trials in the EU. Under the new coordinated procedure for the approval of clinical trials, the sponsor of a clinical trial to be conducted in more than one EU Member State submits a single application for approval. The submission is made through the Clinical Trials Information System, a new clinical trials portal overseen by the EMA and available to clinical trial sponsors, competent authorities of the EU Member States and the public. All clinical trials in the EU (including those which are ongoing) are subject to the CTR</w:t>
      </w:r>
    </w:p>
    <w:p>
      <w:pPr>
        <w:spacing w:after="0" w:line="14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CTR streamlines the process and includes a single set of documents to be prepared and submitted for the application, simplified reporting procedures for clinical trial sponsors, and a harmonized procedure for the assessment of applications for clinical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trials, which is divided in two parts. Part I is assessed by the competent authorities of all EU Member States in which an application for authorization of a clinical trial has been submitted, and Part II is assessed separately by each EU Member State concerned. Strict deadlines have been established for the assessment of clinical trial applications. The role of the relevant ethics committees in the assessment procedure is governed by the national law of the relevant EU Member State.</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in the United States, sponsors conducting certain clinical studies in the EU must post clinical trial information at the EudraCT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https://eudract.ema.europa.eu.</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Prior to obtaining a marketing authorization in EU, sponsors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This requirement also applies when a sponsor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the development of a medicine for children is not needed or is not appropriate, such as for diseases that only affect the elderly population. Before an MAA can be filed, or an existing marketing authorization can be amended, the EMA determines whether a sponsor has complied with the agreed studies and measures listed in each relevant PIP.</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PRIME Designation</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which are often rare, for which few or no therapies currently exist. The PRIority MEdicines, or PRIME, scheme is intended to encourage drug development in areas of unmet medical need, and it provides for the accelerated assessment of product candidates that represent substantial innovation. Products from small- and medium-sized enterprises, or SMEs, may qualify for early entry into the PRIME scheme than larger companies. Many benefits accrue to sponsors of product candidates with PRIME designation, including early and proactive regulatory dialogue with the EMA, frequent discussions on clinical trial designs and other development program elements, and accelerated MAA assessment once an application has been submitted. Importantly, a dedicated EMA contact and rapporteur from the CHMP or Committee for Advanced Therapies, or CAT, are appointed early in PRIME scheme facilitating increased understanding of the product candidate at EMA’s Committee level.</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00"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To obtain a marketing authorization, or MA, for a product under the EU regulatory system, a sponsor must submit an MAA either under a centralized procedure administered by the EMA or one of the procedures administered by competent authorities in EU Member States, including the decentralized procedure, national procedure, or mutual recognition procedure.</w:t>
      </w:r>
    </w:p>
    <w:p>
      <w:pPr>
        <w:spacing w:after="0" w:line="13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centralized procedure provides for the grant of an MA by the European Commission, or EC, that is valid for all EU Member States. Pursuant to Regulation (EC) No. 726/2004, the centralized procedure is compulsory for certain types of product candidates, including those produced by certain biotechnological processes, designated as orphan drug products, that are advanced therapies, and that have a new active substance indicated for the treatment of certain diseases, including cancer. However, the centralized procedure may be optional for product candidates with a new active substance indicated for the treatment of other diseases and product candidates that are highly innovative or for which a centralized process is in the interest of patients. Sponsors must demonstrate the quality, safety, and efficacy of their product candidates to the EMA, which provides an opinion regarding the MAA. The EC then decides whether to grant or refuse the MA in light of the opinion delivered by the EMA.</w:t>
      </w:r>
    </w:p>
    <w:p>
      <w:pPr>
        <w:spacing w:after="0" w:line="148"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The CHMP was established at the EMA and plays a vital role in the authorization of medicines in the EU. The CHMP provides scientific advice to sponsors investigating and developing new medicines, prepares scientific guidelines and regulatory guidance to help sponsors prepare MAAs, and cooperates with international partners on the harmonization of regulatory requirements. With respect to MAAs filed under the centralized procedure, the CHMP is responsible for conducting an initial assessment of a product candidate and the data supporting approval of the MAA. The maximum timeframe for the evaluation of an MAA is 210 days, excluding interruptions when additional information or written or oral explanation is to be provided by the sponsor in response to questions from the CHMP. Accelerated evaluation with a time limit of 150 days may be granted by the CHMP in exceptional cases.</w:t>
      </w:r>
    </w:p>
    <w:p>
      <w:pPr>
        <w:spacing w:after="0" w:line="14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On the basis of its review, the CHMP provides a scientific opinion on whether or not an MA should be granted for a product candidate. Within 15 calendar days of receipt of a final opinion from the CHMP, the EC must prepare a draft decision concerning an MAA. This draft decision must take the CHMP opinion and any relevant provisions of EU law into account. Before arriving at a final decision, the EC must consult the Standing Committee on Medicinal Products for Human Use. This committee is composed of representatives of the EU Member States and is chaired by a non-voting EC representative.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decentralized marketing authorization procedure, or MRP, requires a separate application to, and leads to separate approval by, the competent authorities of each EU Member State in which the product candidate is applying to be marketed. This application is identical to the application that would be submitted to the EMA for authorization through the centralized procedure. The reference Member State, or RMS,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If the relevant EU Member State cannot approve the RMS’s assessment report due to concerns relating to a potential serious risk to public health, disputed elements may be referred to the EC, whose decision is binding on all EU Member States.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mutual recognition procedure similarly is based on the acceptance by the competent authorities of the EU Member States of the MA of a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An MA is initially valid for five years and may be renewed after five years following a re-evaluation of the risk-benefit balance by the EMA or by the competent authority of the EU Member State. In connection with seeking a renewal, the MA holder must provide the EMA or the competent authority of the EU Member State with a consolidated version of the data in respect of quality, safety and efficacy or the medicine, including all variations introduced since the MA was granted, at least six months before the MA ceases to be valid. The EC or the competent authority of the EU Member State may decide, on justified grounds relating to pharmacovigilance, to proceed with an additional five-year period of MA. Once definitively renewed, the MA shall be valid for an unlimited period. If a renewed MA is not followed by the actual placing of the medicine on the EU market (in the case of the centralized procedure) or on the market of the authorizing EU Member State within three years after renewal, and is no longer actually present on the applicable market for three consecutive years, the MA ceases to be valid.</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Marketing Authorization Under Exceptional Circumstances</w:t>
      </w:r>
    </w:p>
    <w:p>
      <w:pPr>
        <w:spacing w:after="0" w:line="18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EC may grant a “marketing authorization under exceptional circumstances” under Article 14(8) of Regulation (EC) No 726/2004. This authorization is intended for products for which the sponsor can demonstrate that it is unable to provide comprehensive data on the efficacy and safety under normal conditions of use, because: the indications for which the product in question is intended are encountered so rarely that the sponsor cannot reasonably be expected to provide comprehensive evidence; given the present state of scientific knowledge, comprehensive information cannot be provided; or it would be contrary to generally accepted principles of medical ethics to collect such information.</w:t>
      </w:r>
    </w:p>
    <w:p>
      <w:pPr>
        <w:spacing w:after="0" w:line="14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marketing authorization under exceptional circumstances may be granted subject to certain specific obligations, which may include the following: the sponsor must complete an identified program of studies within a time period specified by the competent authority, the results of which form the basis of a reassessment of the benefit-risk profile; the medicine in question may be supplied by medical prescription only and may in certain cases be administered only under strict medical supervision, possibly in a hospital and in the case of a radiopharmaceutical, by an authorized person; and the package leaflet and any medical information must draw the attention of the medical practitioner to the fact that the particulars available concerning the medicinal product in question are as yet inadequate in certain specified respects.</w:t>
      </w:r>
    </w:p>
    <w:p>
      <w:pPr>
        <w:spacing w:after="0" w:line="160"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 marketing authorization under exceptional circumstances is subject to an annual process to review and reassess the risk-benefit balance. Continuation of the authorization is linked to the annual reassessment and a negative assessment could potentially result in the marketing authorization being suspended or revoked. The renewal of a marketing authorization under exceptional circumstances, however, follows the same rules as a standard MA. Thus, it is granted for an initial five-year period, after which the authorization will become valid indefinitely, unless the EMA decides that safety grounds merit one additional five-year renewal.</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Conditional Marketing Authorization</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EC may also grant a “conditional marketing authorization” to a product prior to obtaining the comprehensive clinical data required for an MAA under Article 14-a of Regulation (EC) No 726/2004. A conditional marketing authorization may be granted for a product candidate (including product candidates designated as orphan drug products) if: (i) the risk-benefit balance of the product candidate is positive, (ii) it is likely that the sponsor will be in a position to provide the required comprehensive clinical trial data, (iii) the product candidate fulfills an unmet medical need and (iv) the benefit to public health of the immediate availability on the market of the product candidate outweighs the risk inherent in the fact that additional data are still required. A conditional marketing authorization may contain specific obligations to be fulfilled by the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Regulatory Requirements</w:t>
      </w:r>
    </w:p>
    <w:p>
      <w:pPr>
        <w:spacing w:after="0" w:line="20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Following the issuance of an MA for a product, the sponsor of the MA is required to comply with a range of requirements applicable to the manufacturing, marketing, promotion and sale of products. These requirements include compliance with the EU’s stringent pharmacovigilance or safety reporting rules, which may include post-authorization studies and additional monitoring obligations. Further, the manufacturing of authorized products, for which a separate manufacturer’s license is mandatory, must also be conducted in strict compliance with the applicable EU laws, regulations and guidance, including Directive 2001/83/EC, Directive 2003/94/EC, Regulation (EC) No 726/2004 and the EC Guidelines for Good Manufacturing Practice. These requirements include compliance with EU cGMP standards when manufacturing products and active pharmaceutical ingredients, including the manufacture of active pharmaceutical ingredients outside of the EU with the intention to import the active pharmaceutical ingredients into the EU.</w:t>
      </w:r>
    </w:p>
    <w:p>
      <w:pPr>
        <w:spacing w:after="0" w:line="14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At the same time, the marketing and promotion of authorized products, including industry-sponsored continuing medical education and advertising directed toward the prescribers of drugs and/or the general public, are strictly regulated in the EU under Directive 2001/83EC, as amended, and are also subject to EU Member State laws. Direct-to-consumer advertising of prescription medicines is prohibited across the EU.</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Regulatory Exclusivity</w:t>
      </w:r>
    </w:p>
    <w:p>
      <w:pPr>
        <w:spacing w:after="0" w:line="20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New products approved on the basis of a complete data package currently qualify for eight years of data exclusivity and an additional two years of market exclusivity. Data exclusivity prevents sponsors that seek MA of generic products from referencing the innovator’s data in support of an abbreviated application. During the additional two-year period of market exclusivity, a generic MAA can be submitted and the innovator’s data may be referenced in that application, but no generic product can be placed on the EU market until the expiration of the market exclusivity. The overall ten-year period may be extended to a maximum of 11 years if, during the first eight years of those ten years, the MA holder for the innovative product obtains an authorization for one or more new therapeutic indications which are determined to bring a significant clinical benefit in comparison with existing therapies.</w:t>
      </w:r>
    </w:p>
    <w:p>
      <w:pPr>
        <w:spacing w:after="0" w:line="14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November 2020, the EC launched a review of the EU’s pharmaceutical legislation, including its provisions governing regulatory exclusivity. The EC’s proposal for revision of several legislative measures was published in April 2023 and includes, among other things, provisions that would potentially reduce the duration of regulatory exclusivity protection. On December 11, 2025, the European Parliament and Council reached a provisional political agreement on the legislation, which is expected to be adopted by mid-2026. Key changes include updating regulatory exclusivity to a new system with eight years of data exclusivity and a reduced market exclusivity period to one year, which can be extended if specific conditions are fulfilled up to a maximum of 11 years. This measure, and others, are expected to be adopted by mid-2026 and, following a transition period of 24 months, will likely take effect in mid-2028.</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in the United States, a product candidate can be designated as an orphan drug by the EC if its sponsor can establish that the product candidate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that without incentives is unlikely to generate sufficient return from marketing in the EU to justify the necessary investment. For either of these categories, the sponsor must demonstrate that there is no satisfactory method of diagnosis, prevention or treatment of the condition in question that has been authorized in the EU or, if such method exists, the product candidate will be of significant benefit to those affected by the condition.</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 product candidate is designated as an orphan drug, the product candidate will be eligible for a range of benefits during the development and regulatory review process, including scientific assistance for study protocols, authorization through the centralized MRP covering all EU Member States and a reduction or elimination of registration and MA fees.</w:t>
      </w:r>
    </w:p>
    <w:p>
      <w:pPr>
        <w:spacing w:after="0" w:line="14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Further, if and when the product candidate is authorized for marketing, the orphan product will be entitled to ten years of market exclusivity in all EU Member States. However, an MA may be granted to a similar product with the same orphan indication during the ten-year period with the consent of the MA holder of the original orphan product or if the manufacturer of the original orphan product is unable to supply sufficient quantities. An MA may also be granted to a similar product with the same orphan indication if the product is safer, more effective or otherwise clinically superior to the original orphan product. The period of market exclusivity may, in addition, be reduced to six years if it can be demonstrated on the basis of available evidence that the original orphan product is sufficiently profitable not to justify maintenance of market exclusivity.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8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If a sponsor obtains an MA in all EU Member States, or an MA granted in the centralized procedure by the EC, and the study results for the pediatric population are included in the application, even when negative, the product is eligible for an additional six-month period of qualifying patent protection through extension of the term of the Supplementary Protection Certificate, or SPC.</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Extensions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EU provides for patent term extension through SPCs. The rules and requirements for obtaining a SPC are set out in Regulation (EC) 469/2009 and are similar to those in the United States. An SPC may extend the term of a patent for up to five years after its originally scheduled expiration date and can provide up to a maximum of fifteen years of marketing exclusivity for a drug. Although SPCs are available throughout the EU, sponsors must apply on a country-by-country basis.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Pricing Decisions</w:t>
      </w:r>
    </w:p>
    <w:p>
      <w:pPr>
        <w:spacing w:after="0" w:line="18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Other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20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significant privacy and data security laws that apply in Europe and other countries. The collection, use, disclosure, transfer, or other processing of personal data, including personal health data, regarding individuals who are located in the European Economic Area, or EEA, and the processing of personal data that takes place in the EEA, is subject to the EU’s General Data Protection Regulation, or GDPR, which became effective in 2018. The GDPR is wide-ranging in scope, imposes numerous requirements on companies that process personal data, and imposes heightened requirements on companies that process health and other sensitive data. These requirements include, in many situations, that a company obtain consent from an individual before processing their sensitive personal data.</w:t>
      </w:r>
    </w:p>
    <w:p>
      <w:pPr>
        <w:spacing w:after="0" w:line="14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Examples of obligations imposed by the GDPR on companies processing personal data within its scope include providing information to individuals regarding data processing activities, implementing safeguards to protect the security and confidentiality of personal data, appointing a data protection officer, providing notifications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the greater of €20 million or 4% of annual global revenues.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1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Following the July 2020 Court of Justice of the EU judgement invalidating the so-called EU-U.S. Privacy Shield, the EC adopted an adequacy decision for the EU-U.S. Data Privacy Framework in July 2023. This adequacy decision permits U.S. companies who self-certify under the EU-U.S. Data Privacy Framework to rely on it as a valid data transfer mechanism for data transfers from the EU to the United States. However, some privacy advocacy groups have already suggested that they will be challenging the EU-U.S. Data Privacy Framework, and there is currently one pending litigation against the EU-U.S. Data Privacy Framework before the Court of Justice of the EU (CJEU), C-703/25 P – </w:t>
      </w:r>
      <w:r>
        <w:rPr>
          <w:rFonts w:ascii="Times New Roman" w:cs="Times New Roman" w:eastAsia="Times New Roman" w:hAnsi="Times New Roman"/>
          <w:sz w:val="18"/>
          <w:szCs w:val="18"/>
          <w:i w:val="1"/>
          <w:iCs w:val="1"/>
          <w:color w:val="auto"/>
        </w:rPr>
        <w:t>Latombe v Commission</w:t>
      </w:r>
      <w:r>
        <w:rPr>
          <w:rFonts w:ascii="Times New Roman" w:cs="Times New Roman" w:eastAsia="Times New Roman" w:hAnsi="Times New Roman"/>
          <w:sz w:val="18"/>
          <w:szCs w:val="18"/>
          <w:color w:val="auto"/>
        </w:rPr>
        <w:t>. If these challenges are successful, they may not only impact the EU-U.S. Data Privacy Framework, but also further limit the viability of the so-called standard contractual clauses and other data transfer mechanisms.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Review, Approval and Regulation of Drug Products in the United Kingdom</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January 1, 2025, the Medicines and Healthcare Products Regulatory Agency, or the MHRA, is responsible for approving all products destined for the United Kingdom market (Great Britain and Northern Ireland). The MHRA relies on the Human Medicines Regulations 2012 (SI 2012/1916) (as amended), or the HMR, as the basis for regulating medicines. The HMR has incorporated into domestic law the body of EU law instruments governing products that existed prior to the United Kingdom’s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withdrawal from the EU. On April 28, 2025, the U.K. Parliament adopted amendments to improve and strengthen the clinical trials regulatory regime in the United Kingdom. These revisions will take effect on April 28, 2026, and were needed to replace the prior requirements in the United Kingdom that were based on the repealed CTD, which has been replaced by the CTR.</w:t>
      </w:r>
    </w:p>
    <w:p>
      <w:pPr>
        <w:spacing w:after="0" w:line="14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as of January 1, 2024, an international recognition procedure, or IRP, applies in the United Kingdom and is designed to facilitate approval of pharmaceutical products in the United Kingdom. The IRP is open to sponsors that have previously received an authorization for the same product from one of the MHRA’s specified Reference Regulators, or RRs. The RRs include the FDA, EMA and regulators in the EEA member states for approvals in the EU centralized procedure and mutual recognition procedure, and the FDA for approvals granted in the United States. The RR assessment must have undergone a full and standalone review. RR assessments based on reliance or recognition cannot be used to support an IRP application. A CHMP positive opinion is an RR authorization for the purposes of IRP.</w:t>
      </w:r>
    </w:p>
    <w:p>
      <w:pPr>
        <w:spacing w:after="0" w:line="14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Following the withdrawal of the United Kingdom from the EU, the U.K. Data Protection Act applies to the processing of personal data that takes place in the United Kingdom and includes parallel obligations to those set forth by GDPR. The U.K. government has determined that it considers all EU Member States and EEA member states to be adequate for the purposes of data protection, ensuring that data flows from the U.K. to the EU/EEA remain unaffected. Further, the EC decided in June 2021 that the level of data protection in the United Kingdom is “essentially adequate” for purposes of data transfer from the EU to the United Kingdom. On December 19, 2025, the EC renewed this decision until December 27, 2031. The United Kingdom and the United States have also agreed to a U.S.-UK “Data Bridge,” which functions similarly to the EU-U.S. Data Privacy Framework and provides an additional legal mechanism for companies to transfer personal data from United Kingdom to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8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w:t>
      </w:r>
    </w:p>
    <w:p>
      <w:pPr>
        <w:spacing w:after="0" w:line="1"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color w:val="auto"/>
        </w:rPr>
        <w:t>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4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health outcome studies in order to demonstrate the medical necessity, quality of life benefits, and cost-effectiveness of the product, in addition to the costs required to obtain FDA or other comparable regulatory approvals. Nonetheless, product candidates may not be considered medically necessary or cost effective in light of cost-benefit analysis.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spacing w:after="0" w:line="14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4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studies that compare the cost effectiveness of our product candidates or products to other available therapies. The conduct of such studies could be expensive and result in delays in our commercialization efforts.</w:t>
      </w:r>
    </w:p>
    <w:p>
      <w:pPr>
        <w:spacing w:after="0" w:line="15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in order to obtain reimbursement. For example, the European Union provides options for its member states to restrict the range of drug products for which their national health insurance systems provide reimbursement and to control the prices of medicinal products for human use. European Union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and issue guidance to prescribers. The downward pressure on health care costs in general, particularly prescription drugs, has become intense. As a result, increasingly high barriers are being erected to the entry of new products. In addition, reference pricing and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Law and Regulation</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72" w:lineRule="exact"/>
        <w:rPr>
          <w:sz w:val="20"/>
          <w:szCs w:val="20"/>
          <w:color w:val="auto"/>
        </w:rPr>
      </w:pPr>
    </w:p>
    <w:p>
      <w:pPr>
        <w:ind w:left="1020" w:right="8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20" w:right="38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20" w:right="16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71" w:lineRule="exact"/>
        <w:rPr>
          <w:rFonts w:ascii="Times New Roman" w:cs="Times New Roman" w:eastAsia="Times New Roman" w:hAnsi="Times New Roman"/>
          <w:sz w:val="18"/>
          <w:szCs w:val="18"/>
          <w:color w:val="auto"/>
        </w:rPr>
      </w:pPr>
    </w:p>
    <w:p>
      <w:pPr>
        <w:jc w:val="both"/>
        <w:ind w:left="1020" w:right="24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1" w:lineRule="exact"/>
        <w:rPr>
          <w:rFonts w:ascii="Times New Roman" w:cs="Times New Roman" w:eastAsia="Times New Roman" w:hAnsi="Times New Roman"/>
          <w:sz w:val="17"/>
          <w:szCs w:val="17"/>
          <w:color w:val="auto"/>
        </w:rPr>
      </w:pPr>
    </w:p>
    <w:p>
      <w:pPr>
        <w:ind w:left="1020" w:right="80" w:hanging="503"/>
        <w:spacing w:after="0" w:line="25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HHS, information related to payments and other transfers of value to certain healthcare providers and teaching hospitals and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 and Pharmaceutical Pricing</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Drugs and biologics that have been approved for a single rare disease or condition were originally categorically excluded from price negotiation but, with passage of the One Big Beautiful Bill Act in July 2025, Congress extended this exemption to drugs and biologics with multiple orphan drug designations.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June 2023, Merck &amp; Co. filed a lawsuit against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PLC’s challenge to the Medicare price negotiation program, finding that the program did not violate the company’s due process rights under the U.S. Constitution. Litigation involving these and other provisions of the IRA will continue with unpredictable and uncertain results.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adoption of the IRA, the Trump Administration has taken a number of actions to reduce the costs of pharmaceutical products. For example, on April 15, 2025, President Trump issued an Executive Order which directs HHS to take steps to reduce the prices of pharmaceutical products. Further, on May 12, 2025, President Trump issued an additional Executive Order calling on pharmaceutical manufacturers to voluntarily reduce the prices of medicines in the United States. The Executive Order directs the Secretary of HHS to communicate most-favored-nation, or MFN, price targets to pharmaceutical manufacturers to bring prices in line with comparably developed nations. Thereafter, on July 31, 2025, the President issued letters to 17 pharmaceutical companies reiterating the requirements of the May 12, 2025, Executive Order and demanding that such companies extend MFN pricing to Medicaid patients.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Trump Administration’s pricing agreements with pharmaceutical manufacturers.</w:t>
      </w:r>
    </w:p>
    <w:p>
      <w:pPr>
        <w:spacing w:after="0" w:line="18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Separately, 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pilot programs, a manufacturer would owe rebates to Medicare if prices for their drugs exceeded the prices paid by other economically comparable reference countries, defined in the proposed regulations as OECD countries with a gross domestic product of $400 billion and a per capita gross domestic product that is at least 60% of the U.S. per capita gross domestic product (an initial list of 19 reference countries is included in the proposed rule). These pilot programs are proposed to go into effect beginning October 1, 2026.</w:t>
      </w:r>
    </w:p>
    <w:p>
      <w:pPr>
        <w:spacing w:after="0" w:line="13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payors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Resources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2025, we had 733 full-time employees and six part-time employees. Of these employees, 686 were based in the United States, 53 were based in international locations and 69 held Ph.D., Pharm.D. or M.D. degrees. None of our employees are represented by a labor union or covered under a collective bargaining agreement. We also retain independent contractors to support the goals of our organization. We are committed to providing a positive employee experience and a culture that embodies our values.</w:t>
      </w:r>
    </w:p>
    <w:p>
      <w:pPr>
        <w:spacing w:after="0" w:line="7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Fostering a diverse and inclusive culture which invests in attracting, retaining, engaging and developing our people is critical to achieving our business objectives and bringing value to patients, shareholders and all stakeholders. We recognize that there is still important progress to be made, and this remains an area of continued emphasis for us.</w:t>
      </w:r>
    </w:p>
    <w:p>
      <w:pPr>
        <w:spacing w:after="0" w:line="68"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We care for the health, well-being, and futures of our employees and their families. To incentivize and reward strong performance, we have competitive compensation and benefits programs, including short-term and long-term incentives, health and wellness benefits along with vacation and leave programs. We offer an array of flexible working options that balances the needs of our employees with business needs.</w:t>
      </w:r>
    </w:p>
    <w:p>
      <w:pPr>
        <w:spacing w:after="0" w:line="6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offer equity incentives to all new employees and an annual equity award to all our employees in connection with our annual performance reviews and regular Total Rewards programs. Our equity and cash incentive plans are aimed to increase stockholder value and the success of our company by motivating our employees to perform to the best of their abilities and achieve our and their objectives. In addition, many of our employees are stockholders of our company through participation in our Employee Stock Purchase Plan, which aligns the interests of our employees with our stockholders by providing stock ownership on a tax-deferred basis. We also provide up to a 50% match on employee contributions (up to 5% of base salary) to our 401(k) retirement savings plan.</w:t>
      </w:r>
    </w:p>
    <w:p>
      <w:pPr>
        <w:spacing w:after="0" w:line="7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full-time U.S. employees are all eligible to participate in our health, vision, dental, life, and long-term disability insurance plans. We fund employer contributions for employees enrolled in the high deductible medical plan, which help to cover healthcare expenses pre-tax, and we also offer employees a flexible spending account for both healthcare and dependent care needs. Our employees outside of the United States receive competitive compensation and benefits that are regularly benchmarked to ensure market norms and reflect our standards. All employees globally have access to complimentary virtual fitness programs, mental and emotional health support services, as well as support programs to assist working parents with childcare and tutoring. This benefit also extends to eldercare, pet care, and other needs facing our diverse global team.</w:t>
      </w:r>
    </w:p>
    <w:p>
      <w:pPr>
        <w:spacing w:after="0" w:line="7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We regularly evaluate the effectiveness of our talent management practices through employee surveys and fostering a culture of ongoing feedback. In addition, we track important talent metrics such as turnover rate and employee engagement. Voluntary and involuntary turnover rates across all levels (executives/ senior managers, mid-level managers and professionals) are in alignment with, or lower than, the industry average.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202"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We are highly committed to policies and practices focused on sustainability, positively impacting our community and maintaining and cultivating good corporate governance. By focusing on such policies and practices, we strive to bring transformative medicines to patients, provide an engaging and inclusive workplace for our employees, minimize our impact on the environment, and always demonstrate integrity in our 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00" w:firstLine="794"/>
        <w:spacing w:after="0" w:line="282" w:lineRule="auto"/>
        <w:rPr>
          <w:sz w:val="20"/>
          <w:szCs w:val="20"/>
          <w:color w:val="auto"/>
        </w:rPr>
      </w:pPr>
      <w:r>
        <w:rPr>
          <w:rFonts w:ascii="Times New Roman" w:cs="Times New Roman" w:eastAsia="Times New Roman" w:hAnsi="Times New Roman"/>
          <w:sz w:val="18"/>
          <w:szCs w:val="18"/>
          <w:color w:val="auto"/>
        </w:rPr>
        <w:t>Information in any ESG Sustainability Report that we may publish is not incorporated by reference into this Form 10-K. We look forward to continuing our commitment to giving back to our local communities in 2026 and beyond.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principal executive office is located at 100 Fifth Avenue, Waltham, Massachusetts, and our telephone number is 617-977-5700.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We file reports and other information with the Securities and Exchange Commission, or the SEC, as required by the Securities Exchange Act of 1934, as amended, which we refer to as the Exchange Act. You can review our electronically filed reports and other information that we file with the SEC on the SEC’s web site at http://www.sec.gov.</w:t>
      </w:r>
    </w:p>
    <w:p>
      <w:pPr>
        <w:spacing w:after="0" w:line="135"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Our website address is www.apellis.com.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&amp; Media,” as a source of information about us.</w:t>
      </w:r>
    </w:p>
    <w:p>
      <w:pPr>
        <w:spacing w:after="0" w:line="16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foregoing references to our website are not intended to, nor shall they be deemed to, incorporate information on our website into this Annual Report on Form 10-K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Careful consideration should be given to the following risk factors, in addition to the other information set forth in this Annual Report on Form 10-K and in other documents that we file with the Securities and Exchange Commission, or SEC, in evaluating our company and our business. Investing in our common stock involves a high degree of risk. If any of the following risks actually occur, our business, financial condition, results of operations and future growth prospects could be materially and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expenses, and may never achieve or maintain profitability.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every year since our inception. We expect to continue to incur significant expenses for the foreseeable future. Our net income was $22.4 million for the year ended December 31, 2025, and our net losses were $197.9 million and $528.6 million for the years ended December 31, 2024 and 2023, respectively. As of December 31, 2025, we had an accumulated deficit of $3.0 billion. While we are now generating substantial revenue from sales of SYFOVRE and EMPAVELI, we have primarily financed our operations to date through the sale of our common stock in our public offerings, the sale of convertible notes, private placements of our preferred stock prior to our initial public offering, the development funding agreement with SFJ Pharmaceuticals Group, or SFJ, the financing agreement with Sixth Street Lending Partners, or Sixth Street, the collaboration agreement with Swedish Orphan Biovitrum AB (Publ), or Sobi and the Royalty Agreement with Sobi. We have devoted substantially all of our financial resources and efforts to research and development, including preclinical studies and our clinical trials across several disease indications, and the commercialization of SYFOVRE and EMPAVELI. Our operating results may fluctuate significantly from quarter to quarter and year to year. Net losses and negative cash flows have had, and will continue to have, an adverse effect on our stockholders’ equity and working capital.</w:t>
      </w:r>
    </w:p>
    <w:p>
      <w:pPr>
        <w:spacing w:after="0" w:line="16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and while we anticipate achieving net operating income based on our current operating plan, we may not sustain profitability and could incur losses in the future. We anticipate that we will continue to incur increasing expenses if and as we:</w:t>
      </w:r>
    </w:p>
    <w:p>
      <w:pPr>
        <w:spacing w:after="0" w:line="68" w:lineRule="exact"/>
        <w:rPr>
          <w:sz w:val="20"/>
          <w:szCs w:val="20"/>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EMPAVELI in the United States and commercialize SYFOVRE for the treatment of GA in the United States, Australia, and select other jurisdictions;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the ongoing development of EMPAVELI and focus our research initiatives on high potential opportunities, including APL-3007 and APL-9099;</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continue to build sales, marketing, distribution and other commercial infrastructure for EMPAVELI and SYFOVRE and any other products for which we may obtain marketing approval;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to submit additional applications for regulatory approval for SYFOVRE outside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research and preclinical and clinical trials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commercial quantities of our approved products and to manufacture our product candidates for clinical development and, potentially,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 programs.</w:t>
      </w:r>
    </w:p>
    <w:p>
      <w:pPr>
        <w:spacing w:after="0" w:line="18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significant product revenue. Our ability to generate significant revenue will require us to successfully commercialize EMPAVELI and SYFOVRE in the approved indications. While we have generated product revenue from sales of EMPAVELI since May 2021 and SYFOVRE since March 2023, we have not generated sufficient revenue to achieve profitability and there can be no assurance that we will generate sufficient revenue to achieve profitability in the next several years, or at all. Even if we achieve profitability, there can be no assurance that we will be able to maintain profitability.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successful commercialization of our approved products is subject to many risks. There are numerous examples of unsuccessful product launches and failures to meet expectations of market potential, including by pharmaceutical companies with more experience and resources than us. We do not anticipate our revenue solely from sales of EMPAVELI will be sufficient for us to become profitable for several years, if at all. Our prospects depend substantially upon the commercial success of SYFOVRE.</w:t>
      </w:r>
    </w:p>
    <w:p>
      <w:pPr>
        <w:spacing w:after="0" w:line="15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Successful commercialization will require manufacturing, marketing and selling our approved products,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pipeline of product candidates or continue our operations. A decline in the value of our company could cause our stockholders to lose all or part of their investment.</w:t>
      </w:r>
    </w:p>
    <w:p>
      <w:pPr>
        <w:spacing w:after="0" w:line="18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devote significant resources to support our ongoing commercial activities related to product manufacturing, marketing, sales and distribution of EMPAVELI, C3G and primary IC-MPGN and SYFOVRE, and if our cash, cash equivalents, and cash generated from sales of EMPAVELI and SYFOVRE are not sufficient to fund our planned expenditures, we will need to finance our cash needs through external sources of funds.</w:t>
      </w:r>
    </w:p>
    <w:p>
      <w:pPr>
        <w:spacing w:after="0" w:line="14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Developing and commercializing pharmaceutical products, including conducting preclinical studies and clinical trials and preparing for commercial launch, is a very time-consuming, expensive and uncertain process that takes years to complete. We have consumed substantial amounts of cash since our inception. For example, in the year ended December 31, 2025, we generated net cash from operating activities of $45.3 million, which included significant non-recurring licensing and other revenue, however, for the years ended December 31, 2024 and December 31, 2023, we used net cash of $87.9 million and $594.7 million, respectively. As of December 31, 2025, our cash and cash equivalents were $466.2 million. We expect our expenses to continue, particularly as we continue to commercialize EMPAVELI and SYFOVRE, and prioritize the ongoing development of pegcetacoplan and focus our research initiatives on high potential opportunities. In addition, as we continue to commercialize EMPAVELI and SYFOVRE, and if we obtain marketing approval of pegcetacoplan in other indications or jurisdictions or for our other product candidates, we expect we will incur significant additional commercialization expenses related to product sales, marketing, manufacturing and distribution to the extent that such sales, marketing, manufacturing and distribution are not the responsibility of a collaborator.</w:t>
      </w:r>
    </w:p>
    <w:p>
      <w:pPr>
        <w:spacing w:after="0" w:line="1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2025, together with the cash that we anticipate will be generated from sales of EMPAVELI and SYFOVRE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5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devoting substantial resources to the commercialization of SYFOVRE for GA and EMPAVELI for the treatment of PNH, C3G and primary IC-MPGN. We are also devoting substantial resources to our pivotal clinical trials of EMPAVELI for the</w:t>
      </w:r>
    </w:p>
    <w:p>
      <w:pPr>
        <w:sectPr>
          <w:pgSz w:w="11900" w:h="16838" w:orient="portrait"/>
          <w:cols w:equalWidth="0" w:num="1">
            <w:col w:w="11240"/>
          </w:cols>
          <w:pgMar w:left="320" w:top="124"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treatment of FSGS and DGF, and the development of our product candidates. Because of the numerous risks and uncertainties associated with the commercialization of EMPAVELI and SYFOVRE and the development of our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5" w:lineRule="exact"/>
        <w:rPr>
          <w:sz w:val="20"/>
          <w:szCs w:val="20"/>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sell EMPAVELI in the United States and SYFOVRE in the United States, Australia and select other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commercialization of EMPAVELI, C3G and primary IC-MPGN, systemic pegcetacoplan and SYFOVRE and any other products for which we receive marketing approval including product sales, medical affairs, marketing, manufacturing and distribution;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 and their development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or any other product we commercialize;</w:t>
      </w:r>
    </w:p>
    <w:p>
      <w:pPr>
        <w:spacing w:after="0" w:line="198" w:lineRule="exact"/>
        <w:rPr>
          <w:sz w:val="20"/>
          <w:szCs w:val="20"/>
          <w:color w:val="auto"/>
        </w:rPr>
      </w:pPr>
    </w:p>
    <w:p>
      <w:pPr>
        <w:ind w:right="860" w:firstLine="509"/>
        <w:spacing w:after="0" w:line="266" w:lineRule="auto"/>
        <w:rPr>
          <w:sz w:val="20"/>
          <w:szCs w:val="20"/>
          <w:color w:val="auto"/>
        </w:rPr>
      </w:pPr>
      <w:r>
        <w:rPr>
          <w:rFonts w:ascii="Times New Roman" w:cs="Times New Roman" w:eastAsia="Times New Roman" w:hAnsi="Times New Roman"/>
          <w:sz w:val="18"/>
          <w:szCs w:val="18"/>
          <w:color w:val="auto"/>
        </w:rPr>
        <w:t>If our cash and cash equivalents, and the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sources of funds.</w:t>
      </w:r>
    </w:p>
    <w:p>
      <w:pPr>
        <w:spacing w:after="0" w:line="13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1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planned operations. To the extent that we raise additional capital through the sale of common stock, convertible securities or other equity securities, the ownership interest of our then-existing stockholders may be diluted, and the terms of these securities could include liquidation or other preferences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anti-dilution protections that could adversely affect the rights of our common stockholders. In addition, additional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creating liens, redeeming stock or declaring dividends, that could adversely impact our ability to conduct our business.</w:t>
      </w:r>
    </w:p>
    <w:p>
      <w:pPr>
        <w:spacing w:after="0" w:line="15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indebtedness could adversely affect our operations and limit our ability to plan for or respond to changes in our business. If we are unable to comply with restrictions in our debt financing agreements, the repayment of our existing indebtedness could be accelerated.</w:t>
      </w:r>
    </w:p>
    <w:p>
      <w:pPr>
        <w:spacing w:after="0" w:line="159"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we had $375.0 million of indebtedness under our financing agreement with Sixth Street and approximately $93.9 million principal amount of the Convertible Notes which mature in September of 2026 and held by third parties as of December 31, 2025. We may also incur additional indebtedness to meet future financing needs.</w:t>
      </w:r>
    </w:p>
    <w:p>
      <w:pPr>
        <w:spacing w:after="0" w:line="176"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Under our financing agreement, or the Sixth Street Financing Agreement, by and among us, certain of our subsidiaries, the lenders party thereto and Sixth Street, as the administrative agent for the lenders, we have incurred a substantial amount of debt, which could adversely affect our business. In May 2024, we drew down the senior secured term loan facility, or the Credit Facility, of $375.0 million. The lenders consented to the Sobi Royalty Agreement, and, in connection with that consent, the Company has agreed to extend by one year the periods in which certain prepayment premiums would be owing upon any applicable prepayments of the indebtedness under the Credit Facility provided for under the Financing Agreement. Among other permissions, we are permitted, on terms and conditions set forth on the Sixth Street Financing Agreement, to enter into a separate asset-based financing arrangement with a third-party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w:t>
      </w:r>
    </w:p>
    <w:p>
      <w:pPr>
        <w:spacing w:after="0" w:line="188" w:lineRule="exact"/>
        <w:rPr>
          <w:sz w:val="20"/>
          <w:szCs w:val="20"/>
          <w:color w:val="auto"/>
        </w:rPr>
      </w:pPr>
    </w:p>
    <w:p>
      <w:pPr>
        <w:jc w:val="both"/>
        <w:ind w:right="100" w:firstLine="374"/>
        <w:spacing w:after="0" w:line="257" w:lineRule="auto"/>
        <w:rPr>
          <w:sz w:val="20"/>
          <w:szCs w:val="20"/>
          <w:color w:val="auto"/>
        </w:rPr>
      </w:pPr>
      <w:r>
        <w:rPr>
          <w:rFonts w:ascii="Times New Roman" w:cs="Times New Roman" w:eastAsia="Times New Roman" w:hAnsi="Times New Roman"/>
          <w:sz w:val="18"/>
          <w:szCs w:val="18"/>
          <w:color w:val="auto"/>
        </w:rPr>
        <w:t>The Sixth Street Financing Agreement requires us to make certain payments of interest over time and contains several other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Among other requirements of the Sixth Street Financing Agreement, we and our subsidiaries party to the Sixth Street Financing Agreement must maintain liquidity of at least $50.0 million if our market capitalization is below $3.0 billion. We are also subject to restrictions on sales and licensing transactions with respect to our core intellectual property, defined to include SYFOVRE, EMPAVELI, and other pegcetacoplan product assets, subject to certain exceptions, including certain transactions related to areas outside the United States and Europe. These and other terms in the Sixth Street Financing Agreement could restrict our ability to grow our business or enter into transactions that we believe would be beneficial to our business.</w:t>
      </w:r>
    </w:p>
    <w:p>
      <w:pPr>
        <w:spacing w:after="0" w:line="146" w:lineRule="exact"/>
        <w:rPr>
          <w:sz w:val="20"/>
          <w:szCs w:val="20"/>
          <w:color w:val="auto"/>
        </w:rPr>
      </w:pPr>
    </w:p>
    <w:p>
      <w:pPr>
        <w:ind w:right="100" w:firstLine="509"/>
        <w:spacing w:after="0" w:line="274"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14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Furthermore, holders of the Convertible Notes have the right to require us to repurchase all or a portion of their Convertible Notes upon the occurrence of a fundamental change at a price equal to the principal amount of the Convertible Notes to be repurchased, plus accrued and unpaid interest. In addition,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w:t>
      </w:r>
    </w:p>
    <w:p>
      <w:pPr>
        <w:spacing w:after="0" w:line="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However, we may not have enough available cash or be able to obtain financing at the time we are required to make repurchases of Convertible Notes surrendered therefor or</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Convertible Notes being converted.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indebtedness could affect our business in the following ways, among other things: make it more difficult for us to satisfy our contractual and commercial commitments; require us to use a substantial portion of our cash flow from operations to pay interest and principal when due,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accounts receivable, and any delays in collecting accounts receivable or the failure to collect accounts receivable could have a material adverse effect on our cash flows and results of operations.</w:t>
      </w:r>
    </w:p>
    <w:p>
      <w:pPr>
        <w:spacing w:after="0" w:line="11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accounts receivable balance was $366.2 million as of December 31, 2025, which primarily consisted of EMPAVELI and SYFOVRE product sales receivable(s) and licensing and other revenue receivables from our collaboration with Sobi. While we monitor the financial performance and creditworthiness of our customers and provide reserves against trade receivables for expected credit losses that may result from a customer’s failure to pay, no assurances can be made that we will not experience delays in collecting payments, that we will collect the payments due to us. Sales to a small number of distributors account for substantially all our gross revenue related to SYFOVRE during the year ended December 31, 2025. Distributors require industry-standard payment terms, including an extended time period for distributors to make payments to Apellis. Any failures to receive cash payments could have a material adverse effect on our results of operations and cash flows. We do not have a reserve related to expected credit losses against our accounts receivable balance.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Product Development</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are substantially dependent on the success of SYFOVRE and EMPAVELI and the successful development and commercialization of pegcetacoplan in other jurisdictions and disease indications. If we are unable to continue to successfully commercialize SYFOVRE and EMPAVELI, or develop, obtain marketing approval for or successfully commercialize systemic pegcetacoplan in other indications and jurisdictions, either alone or through a collaboration, or if we experience significant delays in doing so, our business could be harmed.</w:t>
      </w:r>
    </w:p>
    <w:p>
      <w:pPr>
        <w:spacing w:after="0" w:line="15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investing a significant portion of our efforts and financial resources to fund the commercialization of SYFOVRE and EMPAVELI and development of systemic pegcetacoplan in other disease indications and jurisdictions. Our prospects are substantially dependent on our ability, or that of current or any future collaborator, to successfully commercialize EMPAVELI in the United States and SYFOVRE worldwide and to develop, obtain marketing approval for and successfully commercialize systemic pegcetacoplan in additional disease indications. SYFOVRE is currently only approved in the United States and Australia. We did not obtain regulatory approval in the European Union, which has adversely affected our business and prospects. We cannot be certain that we will be able to obtain regulatory approval for, and successfully commercialize, SYFOVRE in any additional jurisdiction. Our prospects are dependent on successfully commercializing pegcetacoplan, including for the treatment of PNH, C3G and primary IC-MPGN, and our ability to obtain additional marketing approvals for pegcetacoplan in other indications. Pursuant to our agreement with Sobi, we have granted to Sobi the exclusive right to commercialize systemic pegcetacoplan outside the United States. All of our product candidates other than pegcetacoplan are in early stages of development.</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EMPAVELI in PNH, C3G and primary IC-MPGN, and SYFOVRE in GA will depend on several factors, including the following:</w:t>
      </w:r>
    </w:p>
    <w:p>
      <w:pPr>
        <w:spacing w:after="0" w:line="117" w:lineRule="exact"/>
        <w:rPr>
          <w:sz w:val="20"/>
          <w:szCs w:val="20"/>
          <w:color w:val="auto"/>
        </w:rPr>
      </w:pPr>
    </w:p>
    <w:p>
      <w:pPr>
        <w:ind w:left="1260" w:right="320" w:hanging="368"/>
        <w:spacing w:after="0" w:line="282"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sell EMPAVELI in the United States and SYFOVRE in the United States, Australia and select other jurisdictions;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80" w:hanging="368"/>
        <w:spacing w:after="0" w:line="282"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of EMPAVELI in PNH, C3G and primary IC-MPGN, SYFOVRE in GA, pegcetacoplan in and in other indications, if approved, and other product candidates, if approved;</w:t>
      </w:r>
    </w:p>
    <w:p>
      <w:pPr>
        <w:spacing w:after="0" w:line="53" w:lineRule="exact"/>
        <w:rPr>
          <w:rFonts w:ascii="Times New Roman" w:cs="Times New Roman" w:eastAsia="Times New Roman" w:hAnsi="Times New Roman"/>
          <w:sz w:val="18"/>
          <w:szCs w:val="18"/>
          <w:color w:val="auto"/>
        </w:rPr>
      </w:pPr>
    </w:p>
    <w:p>
      <w:pPr>
        <w:jc w:val="both"/>
        <w:ind w:left="1260" w:right="220" w:hanging="368"/>
        <w:spacing w:after="0" w:line="312" w:lineRule="auto"/>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and successful recruitment of patients, enrollment in and completion of our ongoing and planned clinical trials, including our pivotal clinical trials of systemic pegcetacoplan for the treatment of FSGS and DGF, which were initiated in the fourth quarter of 2025;</w:t>
      </w:r>
    </w:p>
    <w:p>
      <w:pPr>
        <w:spacing w:after="0" w:line="31" w:lineRule="exact"/>
        <w:rPr>
          <w:rFonts w:ascii="Times New Roman" w:cs="Times New Roman" w:eastAsia="Times New Roman" w:hAnsi="Times New Roman"/>
          <w:sz w:val="17"/>
          <w:szCs w:val="17"/>
          <w:color w:val="auto"/>
        </w:rPr>
      </w:pPr>
    </w:p>
    <w:p>
      <w:pPr>
        <w:ind w:left="1260" w:right="640" w:hanging="368"/>
        <w:spacing w:after="0" w:line="282"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that are satisfactory to the FDA, EMA or any comparable foreign regulatory authority for marketing approval;</w:t>
      </w:r>
    </w:p>
    <w:p>
      <w:pPr>
        <w:spacing w:after="0" w:line="53" w:lineRule="exact"/>
        <w:rPr>
          <w:rFonts w:ascii="Times New Roman" w:cs="Times New Roman" w:eastAsia="Times New Roman" w:hAnsi="Times New Roman"/>
          <w:sz w:val="18"/>
          <w:szCs w:val="18"/>
          <w:color w:val="auto"/>
        </w:rPr>
      </w:pPr>
    </w:p>
    <w:p>
      <w:pPr>
        <w:ind w:left="1260" w:hanging="368"/>
        <w:spacing w:after="0" w:line="266"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success criteria and endpoints for our clinical trials and otherwise design our clinical trials such that the FDA, EMA, and other regulatory authorities will be able to determine the clinical efficacy and safety profile of any product candidates we may develop;</w:t>
      </w:r>
    </w:p>
    <w:p>
      <w:pPr>
        <w:spacing w:after="0" w:line="6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submit and obtain marketing approvals for SYFOVRE in additional jurisdictions;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1260" w:right="160" w:hanging="368"/>
        <w:spacing w:after="0" w:line="282"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suppliers and manufacturers for raw materials, drug intermediates, and finished products that are appropriately packaged for sale;</w:t>
      </w:r>
    </w:p>
    <w:p>
      <w:pPr>
        <w:spacing w:after="0" w:line="53" w:lineRule="exact"/>
        <w:rPr>
          <w:rFonts w:ascii="Times New Roman" w:cs="Times New Roman" w:eastAsia="Times New Roman" w:hAnsi="Times New Roman"/>
          <w:sz w:val="18"/>
          <w:szCs w:val="18"/>
          <w:color w:val="auto"/>
        </w:rPr>
      </w:pPr>
    </w:p>
    <w:p>
      <w:pPr>
        <w:ind w:left="1260" w:right="700" w:hanging="368"/>
        <w:spacing w:after="0" w:line="282"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pegcetacoplan drug product from third-party manufacturers of sufficient quality to be used in our clinical trials and for commercial sale;</w:t>
      </w:r>
    </w:p>
    <w:p>
      <w:pPr>
        <w:spacing w:after="0" w:line="53" w:lineRule="exact"/>
        <w:rPr>
          <w:rFonts w:ascii="Times New Roman" w:cs="Times New Roman" w:eastAsia="Times New Roman" w:hAnsi="Times New Roman"/>
          <w:sz w:val="18"/>
          <w:szCs w:val="18"/>
          <w:color w:val="auto"/>
        </w:rPr>
      </w:pPr>
    </w:p>
    <w:p>
      <w:pPr>
        <w:ind w:left="1260" w:right="160" w:hanging="368"/>
        <w:spacing w:after="0" w:line="282"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Sobi and any future collaborators;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 and</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8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development, the regulatory approval process, potential threats to our intellectual property rights and the manufacturing, marketing and sales efforts of our collaborators, including Sobi. If we are unable to successfully commercialize EMPAVELI in the United States for PNH, C3G and primary IC-MPGN, SYFOVRE in the United States and select other jurisdictions for GA, or to develop, receive marketing approval for and successfully commercialize pegcetacoplan in other indications or jurisdictions on our own or with a collaborator, or experience delays as a result of any of these factors or otherwise, our business could be substantially harmed.</w:t>
      </w:r>
    </w:p>
    <w:p>
      <w:pPr>
        <w:spacing w:after="0" w:line="1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others may later discover that EMPAVELI or SYFOVRE is less effective than previously believed or causes safety issues that were not identified in clinical trials, which could compromise our ability, or that of our collaborators, to market the product.</w:t>
      </w:r>
    </w:p>
    <w:p>
      <w:pPr>
        <w:spacing w:after="0" w:line="13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sets of patients who have agreed to enter into clinical trials. Consequently, it is possible that our clinical trials, or those of our collaborators, may indicate an apparent positive effect of a product candidate that is greater than the actual positive effect, if any, or alternatively fail to identify safety issues that may be observed once the product has been commercialized. If safety problems occur or are identified with EMPAVELI or SYFOVRE or with any other product of ours that reaches the market, if any, the FDA or comparable non-U.S. regulatory authorities may require that we amend the labeling of our product, recall our product, or even withdraw approval for our product.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small number of patients treated with SYFOVRE in the real world have experienced retinal vasculitis, a severe form of intraocular inflammation.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to submit all adverse events reported to us to the FDA consistent with reporting guidelines for drug manufacturers.</w:t>
      </w:r>
    </w:p>
    <w:p>
      <w:pPr>
        <w:spacing w:after="0" w:line="16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cannot provide any assurances and the retinal community will believe that the expected benefits of SYFOVRE treatment outweigh its potential risks to patients in light of these reported events or other events that might arise or that our applications for marketing approval of SYFOVRE in other jurisdictions will not be adversely impacted by these events. A change in the perception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benefit/risk profile of SYFOVRE may reduce market acceptance of the product and our product revenues may be adversely affected.</w:t>
      </w:r>
    </w:p>
    <w:p>
      <w:pPr>
        <w:spacing w:after="0" w:line="19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we, or others, discover that a product is less effective than previously believed or causes safety issues that were not previously identified, such as the reported events of retinal vasculitis following SYFOVRE treatment, any of the following events could occur:</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patient population may be less willing to try, and physicians may be less willing to prescribe,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change the way the product is administered or conduct additional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create a Medication Guide outlining the risks of the previously unidentified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affect sales of our products and negatively impact our stock price.</w:t>
      </w:r>
    </w:p>
    <w:p>
      <w:pPr>
        <w:spacing w:after="0" w:line="22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achieve the degree of market acceptance by physicians, patients, third-party payors and others in the medical community necessary for commercial success, of EMPAVELI or SYFOVRE, in which case we may not generate significant revenues or become profitable, and the market opportunity for these products may be smaller than we estimate.</w:t>
      </w:r>
    </w:p>
    <w:p>
      <w:pPr>
        <w:spacing w:after="0" w:line="13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may fail to gain sufficient market acceptance by physicians, patients, third-party payors and others in the medical community necessary for commercial success of EMPAVELI or SYFOVRE.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strategy for EMPAVELI for PNH is to maintain patients currently on treatment and drive growth by reinforcing EMPAVELI’s differentiated efficacy profile, long-term data and real-world experience.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they are required to switch therapies due to lack of reimbursement for existing therapies, or they are not responding well to their existing therapy. If patients decide to switch their therapy, many may prefer an orally administered therapy, such as iptacopan, for convenience reasons.</w:t>
      </w:r>
    </w:p>
    <w:p>
      <w:pPr>
        <w:spacing w:after="0" w:line="16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strategy for EMPAVELI for C3G and primary IC-MPGN is to raise awareness on disease diagnosis, understand the important role of C3 as a driver of disease, recognize the limitations of symptom management, and drive understanding of EMPAVELI’s differentiated efficacy profile. If physicians and patients choose to initiate therapy, EMPAVELI is a self-administered subcutaneous injection and may not be the preferred route of administration.</w:t>
      </w:r>
    </w:p>
    <w:p>
      <w:pPr>
        <w:spacing w:after="0" w:line="13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commercial strategy for SYFOVRE is to educate the ophthalmology and retina communities on the urgency to diagnose and treat GA, and to establish SYFOVRE as the preferred product due to its differentiated efficacy, flexible dosing options, and real-world utilization. The commercial efforts are also aimed at increasing the breadth of SYFOVRE utilization and experience among treating retina physicians and ensuring broad and sustained access with payors.</w:t>
      </w:r>
    </w:p>
    <w:p>
      <w:pPr>
        <w:spacing w:after="0" w:line="13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products and product candidates may require significant resources and may not be successful. If EMPAVELI, SYFOVRE, or any of our product candidates for which we obtain marketing approval do not achieve an adequate level of market acceptance, we may not generate significant revenues and we may not become profitable. The degree of market acceptance of EMPAVELI, SYFOVRE, or our other product candidates for which we obtain marketing approval,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5540" w:right="4800" w:hanging="5023"/>
        <w:spacing w:after="0" w:line="342" w:lineRule="auto"/>
        <w:tabs>
          <w:tab w:leader="none" w:pos="103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advantages of the product compared to competitive therapies;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product is offered for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approved products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18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addition, the potential market opportunity for EMPAVELI in PNH, C3G and primary IC-MPGN, and SYFOVRE in GA is difficult to precisely estimate. Our estimates of the potential market opportunity for PNH, C3G, primary IC-MPGN, FSGS and DGF, and SYFOVRE in GA, or in other indications include several key assumptions based on our industry knowledge, industry publications, scientific literature, third-party research reports and other surveys. However, no independent source has verified such assumptions. If any of these assumptions proves to be inaccurate, then the actual market for PNH, C3G and primary IC-MPGN, FSGS and DGF, SYFOVRE in GA, or any other future indication could be smaller than our estimates of potential market opportunity. If the actual market for EMPAVELI in PNH, C3G, primary IC-MPGN, FSGS and DGF, SYFOVRE in GA, or in other future indications is smaller than we expect, our product revenue may be limited, and it may be more difficult for us to achieve or maintain profitability.</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3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as described in “Business - Competition,” above. We face significant competition with respect to each of EMPAVELI and SYFOVRE. We expect that we, and our collaborators, will face significant competition from major pharmaceutical companies, specialty pharmaceutical companies and biotechnology companies worldwide with respect to any of our product candidates that we, or our collaborators, may seek to develop or commercialize in the future, including from therapies that act through the complement system and therapies that use different approaches.</w:t>
      </w:r>
    </w:p>
    <w:p>
      <w:pPr>
        <w:spacing w:after="0" w:line="143"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succeed in developing, acquiring or licensing technologies and products that are more effective, have fewer side effects or more tolerable side effects or are less costly than EMPAVELI, SYFOVRE, or any product candidates that we are currently developing or that we may develop, which could render EMPAVELI, SYFOVRE, or our product candidates obsolete and noncompetitive.</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EMPAVELI targets a market that is already served by a competitor with significantly greater financial resources than us. The principal competitors for EMPAVELI for the treatment of PNH, are eculizumab (marketed as Soliris) and ravulizumab (marketed as Ultomiris), C5 inhibitors developed and marketed by Alexion AstraZeneca Rare Disease, or AstraZeneca. Furthermore, in December 2023, the FDA approved iptacopan (marketed as Fabhalta), an orally administered factor B inhibitor developed by Novartis, for the treatment of PNH. This product may have a competitive advantage if prescribers and patients prefer to utilize an oral medication rather than an injected medication. Prior to the approval of EMPAVELI, eculizumab and ravulizumab were the only drugs approved for the treatment of PNH. These products have widespread acceptance among clinicians, patients and payors. Eculizumab and ravulizumab may also compete with EMPAVELI in other indications in our systemic programs. In 2022, AstraZeneca also obtained approval for a subcutaneous version of ravulizumab. The principal competitors for EMPAVELI for the treatment of C3G is iptacopan (marketed as Fabhalta).</w:t>
      </w:r>
    </w:p>
    <w:p>
      <w:pPr>
        <w:spacing w:after="0" w:line="16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SYFOVRE was the first approved product in the United States for the treatment of GA. In August 2023, the FDA approved avacincaptad pegol, marketed as Izervay, a complement C5 inhibitor developed by Astellas Pharma US Inc., for the treatment of GA.</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marketing approval for their products before we, or our collaborators, are able to obtain approval for ours, which could result in our competitors establishing a strong market position before we, or our collaborators, are able to enter the market.</w:t>
      </w:r>
    </w:p>
    <w:p>
      <w:pPr>
        <w:spacing w:after="0" w:line="15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the development of our product candidates.</w:t>
      </w:r>
    </w:p>
    <w:p>
      <w:pPr>
        <w:spacing w:after="0" w:line="185"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satisfactorily demonstrate safety and efficacy to the FDA and other regulators, we may incur additional costs or experience delays in completing, or ultimately be unable to complete, the development and commercialization of these product candidates.</w:t>
      </w:r>
    </w:p>
    <w:p>
      <w:pPr>
        <w:spacing w:after="0" w:line="13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have received approval for SYFOVRE for the treatment of patients with GA in the United States and Australia, but there is no assurance that we will receive regulatory approvals for SYFOVRE for the treatment of GA in other jurisdictions. For example, in 2024, the European Commission adopted a negative opinion on the MAA for SYFOVRE in the European Union, despite positive recommendations from the ad hoc expert groups convened by the EMA and a significant number of dissenting votes from European Union member states, or EU Member States. Because regulators in other jurisdictions are influenced by decisions of the FDA and the EMA, a negative opinion by the FDA or the EMA may adversely impact the prospects for approval in other jurisdictions. We have received approval for EMPAVELI for the treatment of patients with PNH, C3G and primary IC-MPGN in several jurisdictions, but there is no assurance that we will receive regulatory approvals for EMPAVELI in other indications.</w:t>
      </w:r>
    </w:p>
    <w:p>
      <w:pPr>
        <w:spacing w:after="0" w:line="14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We cannot guarantee that any clinical trials will be conducted as planned or completed on schedule, if at all. The clinical development of our product candidates is susceptible to the risk of failure inherent at any stage of product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or intolerability caused by our product candidates, or mistakenly believe that our product candidates are toxic or not well tolerated when that is not in fact the case. Many companies in the pharmaceutical and biotechnology industries have suffered significant setbacks in late-stage clinical trials after achieving positive results in earlier development, and we cannot be certain that we will not face additional setbacks. It is possible that any of our development programs may be placed on full or partial clinical hold by regulatory authorities at any point, which would delay and possibly prevent further development of our product candidates.</w:t>
      </w:r>
    </w:p>
    <w:p>
      <w:pPr>
        <w:spacing w:after="0" w:line="160" w:lineRule="exact"/>
        <w:rPr>
          <w:sz w:val="20"/>
          <w:szCs w:val="20"/>
          <w:color w:val="auto"/>
        </w:rPr>
      </w:pPr>
    </w:p>
    <w:p>
      <w:pPr>
        <w:jc w:val="both"/>
        <w:ind w:right="100" w:firstLine="562"/>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Moreover, if we are required to conduct additional clinical trials or other testing of our product candidates beyond the trials and testing that we contemplate, if we are unable to successfully complete clinical trials of our product candidates or other testing or the results of these trials or tests are unfavorable, uncertain or are only modestly favorable, or there are unacceptable safety concerns associated with our product candidates, we may:</w:t>
      </w:r>
    </w:p>
    <w:p>
      <w:pPr>
        <w:spacing w:after="0" w:line="7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5540" w:right="3200" w:hanging="5023"/>
        <w:spacing w:after="0" w:line="407" w:lineRule="auto"/>
        <w:tabs>
          <w:tab w:leader="none" w:pos="10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7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8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Under our collaboration with Sobi, we are relying on Sobi to conduct certain clinical trials of systemic pegcetacoplan and seek regulatory approval for systemic pegcetacoplan outside the United States. If Sobi or any future collaborator are unable to successfully complete clinical trials of our product candidates and obtain regulatory approvals on a timely basis, or at all, our ability to generate revenues from product sales, regulatory and commercialization milestones and royalties may be materially impaired.</w:t>
      </w:r>
    </w:p>
    <w:p>
      <w:pPr>
        <w:spacing w:after="0" w:line="15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investigators for our clinical trials and other service providers may serve as scientific advisors or consultants to us from time to time and receive compensation in connection with such services, including equity awards and option grants, and may have other financial interests in our company. We are required to collect and provide financial disclosure notifications or certifications for our clinical investigators to the FDA. If the FDA concludes that a financial relationship between us and a clinical investigator has created a conflict of interest or otherwise affected interpretation of the trial, the FDA may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product candidates.</w:t>
      </w:r>
    </w:p>
    <w:p>
      <w:pPr>
        <w:spacing w:after="0" w:line="148"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Our failure to successfully complete clinical trials of our product candidates and to demonstrate the efficacy and safety necessary to obtain regulatory approval to market any of our product candidates would significantly harm our business.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any of our product candidates may be identified during clinical development that could delay or prevent their marketing approval or limit their use.</w:t>
      </w:r>
    </w:p>
    <w:p>
      <w:pPr>
        <w:spacing w:after="0" w:line="11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our product candidates could cause us, or any collaborator conducting clinical trials of our product candidates such as Sobi,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For example, by design pegcetacoplan has immunosuppressive effects and, in some cases, may be administered to patients with underlying significantly compromised health. Administration of our product candidates could make patients more susceptible to infection.</w:t>
      </w:r>
    </w:p>
    <w:p>
      <w:pPr>
        <w:spacing w:after="0" w:line="15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is associated with adverse events or undesirable side effects or has properties that are unexpected, we, or our collaborators, may abandon development or limit development of that product candidate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r>
        <w:rPr>
          <w:rFonts w:ascii="Times New Roman" w:cs="Times New Roman" w:eastAsia="Times New Roman" w:hAnsi="Times New Roman"/>
          <w:sz w:val="18"/>
          <w:szCs w:val="18"/>
          <w:i w:val="1"/>
          <w:iCs w:val="1"/>
          <w:color w:val="auto"/>
        </w:rPr>
        <w:t>.</w:t>
      </w:r>
    </w:p>
    <w:p>
      <w:pPr>
        <w:spacing w:after="0" w:line="14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clinical trials by their nature utilize a sample of the potential patient population. However, with a limited number of subjects and limited duration of exposure, rare and severe side effects of our product candidates may only be uncovered when a significantly larger number of patients are exposed to the product.</w:t>
      </w:r>
    </w:p>
    <w:p>
      <w:pPr>
        <w:spacing w:after="0" w:line="172"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collaborator conducting clinical trials of any of our product candidates, experience any of a number of possible unforeseen events in connection with clinical trials of our product candidates, potential clinical development, marketing approval or commercialization of our product candidates could be delayed or prevented.</w:t>
      </w:r>
    </w:p>
    <w:p>
      <w:pPr>
        <w:spacing w:after="0" w:line="13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or our collaborators, may experience numerous unforeseen events during, or as a result of, clinical trials that could delay or prevent clinical development, marketing approval or commercialization of our product candidates, including:</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or inconclusive results;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decide, or regulators may require us or them,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or our collaborators, anticipate, patient enrollment in these clinical trials may be slower than we, or our collaborators, anticipate or participants may drop out of these clinical trials at a higher rate than we, or our collaborators, anticipate;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of our product candidates may be greater than we anticipate;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8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or those of our collaborators, including those manufacturing our product candidates or components or ingredients thereof or conducting clinical trials on our behalf or on behalf of our collaborators, may deviate from the trial protocol, fail to comply with regulatory requirements or fail to meet their contractual obligations to us or our collaborators in a timely manner or at all;</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our collaborators or our or their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have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have to delay, suspend or terminate clinical trials of our product candidates for various reasons, including a finding that the participants are being exposed to unacceptable health risks, undesirable side effects or other unexpected characteristics of the product candidate;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collaborators, or our or their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1"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or our collaborators’, clinical trial designs or our or their interpretation of data from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or our collaborators,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drug intermediates or manufactured product candidates, other products evaluated in our clinical trials or other materials necessary to conduct clinical trials of our product candidates may be insufficient, inadequate or not available at an acceptable cost, or we may experience interruptions in supply;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to obtain marketing approval.</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our collaborators, may have the exclusive right to commercialize our product candidates or allow our competitors, or the competitors of our collaborators, to bring products to market before we, or our collaborators, do and impair our ability, or the ability of our collaborators, to successfully commercialize our product candidates and may harm our business and results of operations. In addition, many of the factors that lead to clinical trial delays may ultimately lead to the denial of marketing approval of any of our product candidates.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collaborator conducting clinical trials of any of our product candidates, experience delays or difficulties in the enrollment of patients in clinical trials, our or their receipt of necessary regulatory approvals could be delayed or prevented.</w:t>
      </w:r>
    </w:p>
    <w:p>
      <w:pPr>
        <w:spacing w:after="0" w:line="13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of our product candidates if we, or they, are unable to locate and enroll a sufficient number of eligible patients to participate in clinical trials as required by the FDA or comparable foreign regulatory authorities. Patient enrollment is a significant factor in the timing of clinical trials, and is affected by many factors, including:</w:t>
      </w:r>
    </w:p>
    <w:p>
      <w:pPr>
        <w:spacing w:after="0" w:line="6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example, in January 2024, we and Sobi agreed to cease clinical development of systemic pegcetacoplan for patients with cold agglutinin disease, or CAD, due to the decreased medical need in CAD and the limited number of patients eligible for the CASCADE trial. In July 2025, we and Sobi agreed to cease clinical development of systemic pegcetacoplan for patients with Transplant-associated Thrombotic Microangiopathy (TA-TMA) (inclusive of HSCT-TMA), following completion of the Phase 2 study and a strategic assessment of the TA-TMA market landscape.</w:t>
      </w:r>
    </w:p>
    <w:p>
      <w:pPr>
        <w:spacing w:after="0" w:line="15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of the indications for which we are developing product candidates are rare diseases with small patient populations, and many of those patients are treated with other therapies or products. Further, there are only a limited number of specialist physicians that regularly treat patients with these rare diseases and major clinical centers that support such treatment are concentrated in a few geographic regions. In addition, other companies are conducting clinical trials and have announced plans for future clinical trials that are seeking, or are likely to seek, to enroll patients with these rare diseases and patients are generally only able to enroll in a single trial at a time. Both patients and their physicians may be reluctant to forgo, discontinue or otherwise alter existing, approved life-saving therapeutic approaches. Given the severe and life-threatening nature of these indications and the expectation that many patients will be on treatment with other therapies or products, we may encounter difficulty in recruiting a sufficient number of patients for our trials including in particular our planned clinical trials. The small population of patients, competition for these patients, the nature of the disease and limited trial sites may make it difficult for us to enroll enough patients to complete our clinical trials of pegcetacoplan in a timely and cost-effective manner.</w:t>
      </w:r>
    </w:p>
    <w:p>
      <w:pPr>
        <w:spacing w:after="0" w:line="14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inability, or the inability of our collaborators, to enroll a sufficient number of patients for our, or their, clinical trials could result in significant delays or may require us or them to abandon one or more clinical trials altogether. Enrollment delays in our, or their, clinical trials may result in increased development costs for our product candidates, delay or halt the development of and approval processes for our product candidates and jeopardize our, or our collaborators’, ability to commence sales of and generate revenues from our product candidates, which could cause the value of our company to decline and limit our ability to obtain additional financing, if needed.</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Phase 1 and Phase 2 clinical trials may not be predictive of results of later clinical trials and preliminary or interim results of clinical trials do not necessarily predict final results.</w:t>
      </w:r>
    </w:p>
    <w:p>
      <w:pPr>
        <w:spacing w:after="0" w:line="11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outcome of preclinical studies and Phase 1 and Phase 2 clinical trials may not be predictive of the success of later clinical trials, and preliminary or interim results of clinical trials do not necessarily predict final results. Many companies in the pharmaceutical and biotechnology industries have suffered significant setbacks in late-stage clinical trials after achieving positive results in earlier stages of clinical development, and we could face similar setbacks. Similarly, the design of a clinical trial can determine whether its results will support approval of a product and flaws in the design of a clinical trial may not become apparent until the clinical trial is well advanced.</w:t>
      </w:r>
    </w:p>
    <w:p>
      <w:pPr>
        <w:spacing w:after="0" w:line="15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our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3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w:t>
      </w:r>
    </w:p>
    <w:p>
      <w:pPr>
        <w:spacing w:after="0" w:line="18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Although the development and commercialization of pegcetacoplan is our primary focus, as part of our growth strategy, we are developing a pipeline of product candidates for the treatment of complement-dependent diseases, including APL-3007, which is a siRNA, and our FcRn gene editing treatment that we are developing through our collaboration with Beam. These product candidates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utilize different mechanisms of action than EMPAVELI and SYFOVRE and we do not have experience conducting clinical trials of product candidates with such mechanisms of action. These other product candidates will require additional, time-consuming and costly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EMPAVELI and SYFOVRE, for which we recruited a sales force and established marketing, market access and medical affairs teams and distribution capabilities, are not commercially successful for any reason, we could incur substantial costs and our investment would be lost if we cannot retain or reposition our sales, marketing, market access and medical affairs personnel.</w:t>
      </w:r>
    </w:p>
    <w:p>
      <w:pPr>
        <w:spacing w:after="0" w:line="14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 achieve commercial success for EMPAVELI and SYFOVRE, we have expended and anticipate that we will continue to expend significant resources to support our sales force, marketing, market access and medical affairs teams and distribution capabilities. There are risks involved with establishing our own sales, marketing, distribution, training and support capabilities. For example, recruiting and training sales and marketing personnel is expensive and time consuming and could delay our ability to focus on other priorities. If EMPAVELI or SYFOVRE are not commercially successful for any reason, this would be costly, and our investment would be lost if we cannot retain or reposition our sales, marketing, market access and medical affairs personnel or terminate on favorable terms any agreements entered into with third parties to support our commercialization efforts.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EMPAVELI or SYFOVRE on our own in the United States include:</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train and retain adequate numbers of effective sales, marketing, training and support personnel;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including key opinion leaders, or to educate an adequate number of physicians 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EMPAVELI or SYFOVRE over alternative treatment options;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or integrated product offerings; and</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establishing and maintaining an independent sales, marketing, training and support organization.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If our salesforce, marketing, market access and medical affairs teams and distribution capabilities fail, or are otherwise unsuccessful, it would materially adversely impact the commercial success of EMPAVELI or SYFOVRE, impact our ability to generate revenue and harm our business.</w:t>
      </w:r>
    </w:p>
    <w:p>
      <w:pPr>
        <w:spacing w:after="0" w:line="15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sales, marketing and distribution arrangements with third parties, we may not be successful in commercializing EMPAVELI and SYFOVRE. Similarly, if we are unable to establish sales, marketing and distribution capabilities or enter into sales, marketing and distribution arrangements with third parties, we may not be successful in commercializing EMPAVELI, SYFOVRE, pegcetacoplan in other indications or any of our other product candidates for which we obtain marketing approval.</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built a sales, marketing and distribution infrastructure in the United States to support commercialization of EMPAVELI and SYFOVRE.</w:t>
      </w:r>
    </w:p>
    <w:p>
      <w:pPr>
        <w:spacing w:after="0" w:line="18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building focused capabilities to commercialize SYFOVRE and EMPAVELI to effectively promote the product with a targeted sales team. The development of sales, marketing and distribution capabilities requires substantial resources, is time-consuming and could delay any product launch.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4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certain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lower, perhaps substantially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4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EMPAVELI, SYFOVRE, or our other product candidates that receive marketing approval.</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granted exclusive commercialization rights for systemic pegcetacoplan outside of the United States to Sobi under our agreement with Sobi. If Sobi is unable to meet its contractual obligations, we may be forced to focus our efforts internally to commercialize systemic pegcetacoplan outside of the United States without the assistance of a commercialization partner or seek another commercialization partner, either of which would result in us incurring greater expenses and could cause a delay in market penetration while we expand our commercial operations or seek an alternative commercialization partner. Such costs may exceed the increased revenues we would receive from direct systemic pegcetacoplan sales outside of the United States, at least in the near term. We would also be forced to declare a breach of the agreement with Sobi and seek a termination of the agreement which could result in an extended and uncertain dispute with Sobi, including arbitration or litigation, any of which would be costly.</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3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an abbreviated new drug application, or ANDA,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Pegcetacoplan received its first approval from the FDA in May 2021.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EMPAVELI, SYFOVRE, or any product candidate that we or any collaborator, commercialize may become subject to unfavorable pricing regulations, third-party payor reimbursement practices or healthcare reform initiatives, any of which could harm our business.</w:t>
      </w:r>
    </w:p>
    <w:p>
      <w:pPr>
        <w:spacing w:after="0" w:line="11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EMPAVELI, SYFOVRE, or any of our product candidates that we or any collaborator, such as Sobi, commercialize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our collaborators, may not be able to successfully commercialize EMPAVELI, SYFOVRE, or any other product candidates. Even if coverage is provided, the approved reimbursement amount may not be high enough to allow us, or our collaborators, to establish or maintain pricing sufficient to realize a sufficient return on our or their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support for the use of our products to each payor separately, with no assurance that coverage and adequate reimbursement will be applied consistently or obtained in the first instance.</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To obtain reimbursement or pricing approval in some countries, we may be required to conduct a clinical trial that compares the cost-effectiveness of our product or product candidate to other available therapies. Adverse pricing limitations may hinder our ability or the ability of our collaborators to recoup our or their investment in one or more products or product candidates, even if our product candidates obtain marketing approval.</w:t>
      </w:r>
    </w:p>
    <w:p>
      <w:pPr>
        <w:spacing w:after="0" w:line="1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and the ability of our collaborators, to commercialize EMPAVELI, SYFOVRE, or any of our product candidates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abroad. Government authorities and other third-party payors have attempted to control costs by limiting coverage and the amount of reimbursement for particular medications, which could affect our ability or that of our collaborators to sell EMPAVELI, SYFOVRE, or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Cost-control initiatives could cause us, or our collaborators, to decrease the price we, or they,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commercial potential of our products depends in part on reimbursement by government health administration authorities, private health insurers and other organizations. If we, or any collaborator that is commercializing our product candidates such as Sobi are unable to obtain coverage or reimbursement for our products, as monotherapy or in combination with other therapies, including possible combinations with eculizumab or ravulizumab, at the levels anticipated, our financial condition could be harmed. Additionally, if new compounds currently in development by potential competitors, including biosimilars of eculizumab or ravulizumab, obtain marketing approval, there may be downward pressure on reimbursement levels for therapies in our target disease areas, which could have a negative impact on our ability to achieve and maintain profitability.</w:t>
      </w:r>
    </w:p>
    <w:p>
      <w:pPr>
        <w:spacing w:after="0" w:line="16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such as EMPAVELI, SYFOVRE, and coverage may be more limited for EMPAVELI and SYFOVRE than the indication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4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any product candidate that we, or any collaborator, including Sobi,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or our collaborator, obtain marketing approval could significantly harm our operating results, our ability to raise capital needed to commercialize products and our overall financial condition.</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EMPAVELI, SYFOVRE, and any other products that we may develop.</w:t>
      </w:r>
    </w:p>
    <w:p>
      <w:pPr>
        <w:spacing w:after="0" w:line="11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commercial sale of EMPAVELI and SYFOVRE, and the clinical testing of our product candidates despite obtaining appropriate informed consents from our clinical trial participants. For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7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EMPAVELI, SYFOVRE, and any other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EMPAVELI, SYFOVRE, or any other products that we may develop.</w:t>
      </w:r>
    </w:p>
    <w:p>
      <w:pPr>
        <w:spacing w:after="0" w:line="19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we maintain product liability and clinical trial insurance coverage in the amount of up to $50.0 million in the aggregate, this insurance may not fully cover potential liabilities that we may incur. The cost of any litigation or other proceeding, even if resolved in our favor, could be substantial. We may need to increase our insurance coverage as we continue to commercialize EMPAVELI, SYFOVRE, and commercialize any other product candidate that receives marketing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EMPAVELI, SYFOVRE, and our other product candidates, which could harm our business, financial condition, results of operations and prospects.</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contractors, consultants, vendors, business partners or other third parties, may fail or suffer security breaches,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affecting our business and financial results</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to operate our business. In the ordinary course of business, we collect, store and transmit large amounts of confidential information, including personal information and information relating to intellectual property, on internal information systems and through the information systems of our contractors, consultants, vendors, business partners or other third parties. It is critical that we, our vendors, collaborators or other contractors or consultants, do so in a secure manner to maintain the availability, security, confidentiality, privacy and integrity of such confidential information.</w:t>
      </w:r>
    </w:p>
    <w:p>
      <w:pPr>
        <w:spacing w:after="0" w:line="14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third parties are vulnerable to damage from computer viruses, malware, computer hackers, malicious code, employee error, theft or misuse, denial-of-service attacks, sophisticated nation-state supported actors, unauthorized access, natural disasters, terrorism, war and telecommunication and electrical failures. Such systems are also vulnerable to service interruptions or to security breaches from inadvertent or intentional actions by our employees, our collaborators, contractors, consultants, vendors, business partners and other third parties, or from cyber-attacks by malicious third parties over the Internet or through other mechanisms. Cyber-attacks are increasing in their frequency, sophistication and intensity, and have become increasingly difficult to detect. Cyber-attacks could include the deployment of harmful malware, ransomware, denial of service attacks, unauthorized access to or deletion of files,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cannot guarantee that the measures we have taken to date, and actions we may take in the future, will be sufficient to prevent any future breaches.</w:t>
      </w:r>
    </w:p>
    <w:p>
      <w:pPr>
        <w:spacing w:after="0" w:line="16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While we have not experienced any such material system failure, accident, cyber-attack or security breach to date, if such an event were to occur and cause interruptions in our operations, it could result in a material disruption of our development programs, clinical trials and business operations, whether due to a loss of our trade secrets or other proprietary or confidential information or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similar disruptions, in addition to possibly requiring substantial expenditures of resources to remedy. For example, the loss of clinical trial data from clinical trials could result in delays or termination of our regulatory approval efforts and significantly increase our costs to recover or reproduce the data. In addition, as risks with respect to our information systems continue to evolve, we will incur additional costs to maintain the security of our information systems and comply with evolving laws and regulations pertaining to cybersecurity and related areas.</w:t>
      </w:r>
    </w:p>
    <w:p>
      <w:pPr>
        <w:spacing w:after="0" w:line="15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enrollment in our clinical trials could be negatively affected, our competitive position and reputation could be harmed and the further development and commercialization of our product candidates could be delayed. As a result of such an event, we may be in breach of our contractual obligations. 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Any of the above could have a material adverse effect on our business, financial condition, results of operations or prospects.</w:t>
      </w:r>
    </w:p>
    <w:p>
      <w:pPr>
        <w:spacing w:after="0" w:line="1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candidates. We rely, and expect to continue to rely, on third parties, such as contract research organizations, clinical data management organizations, medical institutions and clinical investigators, to conduct our clinical trials of pegcetacoplan and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4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trials is conducted in accordance with the applicable protocol, legal, regulatory and scientific standards. For example, notwithstanding the obligations of a contract research organization for a trial of one of our product candidates, we remain responsible for ensuring that each of our clinical trials is conducted in accordance with the general investigational plan and protocols for the trial.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trial participants are protected. The FDA enforces these cGCPs through periodic inspections of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our product candidates, which would delay the marketing approval process. We cannot be certain that, upon inspection, the FDA will determine that any of our clinical trials comply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6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 In such an event, our financial results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commercial prospects for any product candidates that we seek to develop could be harmed, our costs could increase and our ability to generate revenues could be delayed, impaired or foreclosed.</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and distribution of commercial supply for EMPAVELI, SYFOVRE, and clinical supply for our product candidates and expect to continue to do so in connection with our future development and commercialization efforts. This reliance on third parties increases the risk that we will not have sufficient quantities of pegcetacoplan or our other product candidates or such quantities at an acceptable cost, which could delay, prevent or impair our development or commercialization efforts.</w:t>
      </w:r>
    </w:p>
    <w:p>
      <w:pPr>
        <w:spacing w:after="0" w:line="15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manufacturing experience who can oversee the manufacturing process. We rely on contract manufacturers to manufacture, store and distribute both drug substance and drug product required for our clinical trials. We also rely upon contract manufacturers, and potentially collaboration partners to manufacture commercial quantities of EMPAVELI, SYFOVRE, and any of our other product candidates, if approved. We may be unable to establish any agreements with contract manufacturers or to do so on acceptable terms, or to maintain such agreements as we may enter. Even if we are able to establish agreements with contract manufacturers, reliance on contract manufacturers entails additional risks, including:</w:t>
      </w:r>
    </w:p>
    <w:p>
      <w:pPr>
        <w:spacing w:after="0" w:line="147" w:lineRule="exact"/>
        <w:rPr>
          <w:sz w:val="20"/>
          <w:szCs w:val="20"/>
          <w:color w:val="auto"/>
        </w:rPr>
      </w:pPr>
    </w:p>
    <w:p>
      <w:pPr>
        <w:jc w:val="both"/>
        <w:ind w:left="1020" w:right="4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give greater priority to the supply of other products over EMPAVELI, SYFOVRE, or our product candidates or otherwise do not satisfactorily perform according to the terms of the agreements between us and them, or if unforeseen events in the manufacturing process arise;</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the third-party contractors of our agreements with them;</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84"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134"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rely, and expect to continue to rely, on a small number of third-party contract manufacturers to supply most of our supply of active pharmaceutical ingredients and required finished product for our commercial supply of EMPAVELI and SYFOVRE and for our clinical supply of our product candidates. In particular, we have entered into commercial supply agreements with Bachem Americas, Inc., or Bachem, and NOF Corporation, or NOF, to purchase a significant portion of our requirements for the pegcetacoplan drug substance and drug intermediaries, respectively. We have also entered into long-term commercial supply agreements with other suppliers of raw materials, drug intermediaries, drug substance and drug product. We also have a separate supply agreement for the manufacture of the drug product for each of EMPAVELI and SYFOVRE. If any of our existing manufacturers should become unavailable to us for any reason, we may incur delays in identifying or qualifying replacements. We also rely on other third parties to store and distribute drug supplies for our clinical trials. Any performance failure on the part of our contract manufacturers or distributors could delay clinical development or marketing approval of our product candidates or commercialization of any resulting products, producing additional losses and depriving us of potential product revenue. If we experience other issues or delays in the future, our commercial success may be materially and adversely impacted and our development of pegcetacoplan may be materially delayed, and our business adversely affected.</w:t>
      </w:r>
    </w:p>
    <w:p>
      <w:pPr>
        <w:spacing w:after="0" w:line="16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manufacturing problem, the loss of a contract manufacturer or any loss of storage could be disruptive to our operations, result in lost sales of EMPAVELI and/or SYFOVRE or delay our clinical trials. Accordingly, for example, if Bachem or NOF were to experience manufacturing and supply issues, we would have difficulty in procuring the drug substance or drug intermediates needed for the supply and manufacture of pegcetacoplan. Additionally, we rely on third parties to supply the raw materials needed to manufacture our product candidates. Any reliance on suppliers may involve several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For EMPAVELI, SYFOVRE, and any product candidates that are approved by any regulatory agency, we will need to maintain agreements with third-party contract manufacturers for the commercial production and distribution of those products. It may be difficult for us to reach agreement with a contract manufacturer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satisfactory terms or in a timely manner. In addition, we may face competition for access to manufacturing facilities as there are a limited number of contract manufacturers operating under cGMPs that can manufacture our product candidates. Consequently, we may not be able to reach agreement with third-party manufacturers on satisfactory terms, which could delay our commercialization efforts.</w:t>
      </w:r>
    </w:p>
    <w:p>
      <w:pPr>
        <w:spacing w:after="0" w:line="14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product candidate. Similar regulations apply to manufacturers of our product candidates for use or sale in foreign countries. We do not control the manufacturing process and are completely dependent on our third-party manufacturers for compliance with the applicable regulatory requirements for the manufacture of our product candidates. If our manufacturers cannot successfully manufacture material that conforms to our specifications or the strict regulatory requirements of the FDA and any applicable foreign regulatory authority, they may not be able to meet our supply requirements for clinical and commercial operations and to secure the applicable approval for their manufacturing facilities. If these facilities are not approved for commercial manufacture, we may need to find alternative manufacturing facilities, which could result in delays in obtaining approval for the applicable product candidate.</w:t>
      </w:r>
    </w:p>
    <w:p>
      <w:pPr>
        <w:spacing w:after="0" w:line="1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of our product candidates.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interruptions in supply and criminal prosecutions, any of which could significantly impact the available supplies of our product candidates and harm our business, financial condition and results of operations.</w:t>
      </w:r>
    </w:p>
    <w:p>
      <w:pPr>
        <w:spacing w:after="0" w:line="14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developed the EMPAVELI injector, a custom, on-body drug delivery system that enables patients to self-administer pegcetacoplan through subcutaneous infusion. If the EMPAVELI injector becomes unavailable, patients may need to rely upon commercially available ambulatory infusion pumps. Any reliance on third-party infusion pumps may involve several risks, including reduced control over costs, delivery schedules, reliability and quality.</w:t>
      </w:r>
    </w:p>
    <w:p>
      <w:pPr>
        <w:spacing w:after="0" w:line="153" w:lineRule="exact"/>
        <w:rPr>
          <w:sz w:val="20"/>
          <w:szCs w:val="20"/>
          <w:color w:val="auto"/>
        </w:rPr>
      </w:pPr>
    </w:p>
    <w:p>
      <w:pPr>
        <w:ind w:right="260" w:firstLine="554"/>
        <w:spacing w:after="0" w:line="261" w:lineRule="auto"/>
        <w:rPr>
          <w:sz w:val="20"/>
          <w:szCs w:val="20"/>
          <w:color w:val="auto"/>
        </w:rPr>
      </w:pPr>
      <w:r>
        <w:rPr>
          <w:rFonts w:ascii="Times New Roman" w:cs="Times New Roman" w:eastAsia="Times New Roman" w:hAnsi="Times New Roman"/>
          <w:sz w:val="18"/>
          <w:szCs w:val="18"/>
          <w:color w:val="auto"/>
        </w:rPr>
        <w:t>We developed a single dose, sterilized prefilled syringe for SYFOVRE that provides physicians with a new way to administer SYFOVRE that requires fewer steps compared to the current administration. If the prefilled syringe cannot be manufactured in accordance with applicable regulatory requirements or the availability of prefilled syringe is delayed or is not approved by regulatory authorities, physicians will need to rely upon the existing administration method.</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for the development and commercialization of our product candidates will depend in part on the success of our collaboration with current and future collaborations.</w:t>
      </w:r>
    </w:p>
    <w:p>
      <w:pPr>
        <w:spacing w:after="0" w:line="11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entered into a collaboration with Sobi for the global co-development and commercialization outside of the United States of systemic pegcetacoplan and we may seek to enter into additional collaborations for the development and commercialization of certain of our products or product candidates. We may have limited control over the amount and timing of resources that our collaborators, including Sobi and Beam, will dedicate to the development or commercialization of our product candidates. Our ability to generate revenues from these arrangements will depend on our collaborators’ abilities to successfully perform the functions assigned to them in these arrangements. In addition, our collaborators may have the right to abandon research or development projects and terminate applicable agreements, including funding obligations, prior to or upon the expiration of the agreed upon terms.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pose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5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example, our agreement with Sobi is subject to early termination in the event of any uncured material breach of the agreement or under specific circumstances relating to insolvency. If we do not maintain a productive collaborative relationship with Sobi or if Sobi is unable to meet its contractual obligations or if there is an early termination of the agreement as described above, we would be forced to either establish a commercial infrastructure outside of the United States so that we could undertake the commercialization efforts which had been theretofore undertaken by Sobi or we would need to seek an alternative collaborator. The establishment of a commercial infrastructure and assumption by us of commercialization activities outside of the United States would require substantial resources, financial and otherwise, and could result in us incurring greater expenses than the increase in revenues from our direct sales of systemic pegcetacoplan. It could also cause a delay in market penetration while we expand our commercial operations. Seeking and obtaining an alternative collaborator outside the United States could also adversely impact sales of systemic pegcetacoplan and market penetration outside of the United States.</w:t>
      </w:r>
    </w:p>
    <w:p>
      <w:pPr>
        <w:spacing w:after="0" w:line="16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at all. If our collaborators, are involved in a business combination, it could decide to delay, diminish or terminate the development or commercialization of any product candidate licensed to it by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11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party to patent license agreements with The University of Pennsylvania, or Penn, under which we license patent rights relating to a family of compounds for use in all fields. The licensed patent rights include issued U.S. and foreign patents with claims that recite a class of compounds generically covering pegcetacoplan and that specifically recite the active component. We may enter into additional license agreements in the future. Our license agreements with Penn impose, and we expect that future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1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our competitors could develop and commercialize products similar or identical to ours, and our ability to successfully commercialize our product candidates may be adversely affected.</w:t>
      </w:r>
    </w:p>
    <w:p>
      <w:pPr>
        <w:spacing w:after="0" w:line="148"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product candidates.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product candidates that</w:t>
      </w:r>
    </w:p>
    <w:p>
      <w:pPr>
        <w:sectPr>
          <w:pgSz w:w="11900" w:h="16838" w:orient="portrait"/>
          <w:cols w:equalWidth="0" w:num="1">
            <w:col w:w="11220"/>
          </w:cols>
          <w:pgMar w:left="320" w:top="124" w:right="359" w:bottom="1440" w:gutter="0" w:footer="0" w:header="0"/>
        </w:sectPr>
      </w:pP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are important to our business; we also license, or purchase patent applications filed by others. The patent application and approval process is expensive and time-consuming. We may not be able to file and prosecute all necessary or desirable patent applications at a reasonable cost or in a timely manner.</w:t>
      </w:r>
    </w:p>
    <w:p>
      <w:pPr>
        <w:spacing w:after="0" w:line="13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w:t>
      </w:r>
    </w:p>
    <w:p>
      <w:pPr>
        <w:spacing w:after="0" w:line="14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or any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Moreover, in some circumstances, we might not have the right to control the preparation, filing and prosecution of patent applications, or to maintain the patents, covering any technology that we may license from third parties in the future. These patents and applications may not be prosecuted and enforced in a manner consistent with the best interests of our business. Our license agreements with Penn provide that Penn has the right under certain circumstances to control the preparation, prosecution and maintenance of the underlying patent rights.</w:t>
      </w:r>
    </w:p>
    <w:p>
      <w:pPr>
        <w:spacing w:after="0" w:line="147"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It is possible that defects of form in the preparation or filing of our patents or patent applications may exist, or may arise in the future, for example with respect to proper priority claims, inventorship, claim scope, 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44"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spacing w:after="0" w:line="14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Pending and future patent applications may not result in patents being issued which protect our business, in whole or in part, or which effectively prevent others from commercializing competitive products. Our issued patents or any patents that may issue in the future may be invalidated or interpreted narrowly, such that they fail to provide us with any significant competitive advantage.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U.S. law does.</w:t>
      </w:r>
    </w:p>
    <w:p>
      <w:pPr>
        <w:spacing w:after="0" w:line="14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4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some of our license agreements with third parties, some of our third-party licensors have the right, but not the obligation in certain circumstances to control enforcement of our licensed patents or defense of any claims asserting the invalidity of these patents. Even if we are permitted to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negatively impacted, and our business would be harmed.</w:t>
      </w:r>
    </w:p>
    <w:p>
      <w:pPr>
        <w:spacing w:after="0" w:line="13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1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1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our products or product candidates or relating to the use of complement inhibition that may cover our product candidates or approach to complement inhibition. For example, we are aware of a U.S. patent with claims that could be construed to cover pegcetacoplan. Although we believe that these claims, if construed to cover pegcetacoplan, would be invalid due to various prior art disclosures available more than a year before the priority date of the U.S. patent, there are no assurances that a court would agree. If any third-party patents or patent applications are found to cover our products or product candidates or their methods of use or our approach to complement inhibition, we may not be free to manufacture or market our products or product candidates as planned without obtaining a license, which may not be available on commercially reasonable terms, or at all.</w:t>
      </w:r>
    </w:p>
    <w:p>
      <w:pPr>
        <w:spacing w:after="0" w:line="14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or products candidates, including interference proceedings before the USPTO. There may be third-party patents or patent applications with claims to materials, formulations, methods of manufacture or methods for treatment related to the use or manufacture of our products or product candidates.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54"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products or product candidates or force us to cease some of our business operations, which could harm our</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business. Claims that we have misappropriated the confidential information or trade secrets of third parties could have a similar negative impact on our business.</w:t>
      </w:r>
    </w:p>
    <w:p>
      <w:pPr>
        <w:spacing w:after="0" w:line="15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that was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w:t>
      </w:r>
    </w:p>
    <w:p>
      <w:pPr>
        <w:spacing w:after="0" w:line="14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our in-licensed intellectual property with respect to our products and product candidates has been funded in part by the U.S. government and, therefore, would be subject to certain federal regulations pursuant to the Bayh-Dole Act of 1980, or the Bayh-Dole Act. As a result, the U.S. government may have certain rights to intellectual property embodied in our current or future product candidates pursuant to the Bayh-Dole Act. The “march-in” provisions of the Bayh-Dole Act allow the U.S. government under strictly limited circumstances to require the patent owners to grant exclusive, partially exclusive or non-exclusive rights to third parties for intellectual property discovered through the government-funded program. The U.S. government can exercise its march-in rights if it determines that action is necessary because the patent owner fails to achieve practical application of the new invention or because action is necessary to alleviate health concerns or address the safety needs of the public. Intellectual property discovered under the government-funded program is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Penn requested a waiver of the U.S. manufacturing requirement in early 2021, but there can be no assurance that such waiver will be granted.</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11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United States for those applications filed after March 16, 2013.</w:t>
      </w:r>
    </w:p>
    <w:p>
      <w:pPr>
        <w:spacing w:after="0" w:line="14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spacing w:after="0" w:line="163"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our products or product candidates in all countries throughout the world would be prohibitively expensive, and our intellectual property rights in some countries outside the United States are less extensive than those in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United States. The requirements for patentability may differ in certain countries, particularly in developing countries; thus, even in countries where we do pursue patent protection, there can be no assurance that any patents will issue with claims that cover our products. Competitors may use our technologies in jurisdictions where we have not pursued and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 For instance, under the Sobi collaboration, we retain the primary right to prosecute and defend its patent and other intellectual property rights, but Sobi has the primary right to enforce such rights against competitive infringement outside the United States.</w:t>
      </w:r>
    </w:p>
    <w:p>
      <w:pPr>
        <w:spacing w:after="0" w:line="13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products or product candidates we may develop, our business may be materially harmed.</w:t>
      </w:r>
    </w:p>
    <w:p>
      <w:pPr>
        <w:spacing w:after="0" w:line="11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products or product candidates we may develop, one or more of our U.S. patents may be eligible for limited patent term extension under the Drug Price Competition and Patent Term Restoration Action of 1984, or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only one patent may be extended, and the extension only applies to those claims covering the approved drug, a method for using it, or a method for manufacturing it.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1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5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83"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our products and product candidates, our competitive position would be adversely affected.</w:t>
      </w:r>
    </w:p>
    <w:p>
      <w:pPr>
        <w:spacing w:after="0" w:line="36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products or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which could enable our competitors to obtain access to the same technologies licensed to us.</w:t>
      </w:r>
    </w:p>
    <w:p>
      <w:pPr>
        <w:spacing w:after="0" w:line="14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or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Product Candidates and Other Legal Compliance Matters</w:t>
      </w:r>
    </w:p>
    <w:p>
      <w:pPr>
        <w:spacing w:after="0" w:line="19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expensive, time consuming and uncertain and may prevent us or our collaborators such as Sobi from obtaining approvals for the commercialization of pegcetacoplan or any of our product candidates that we develop. As a result, we cannot predict when or if, and in which territories, we, or our collaborators, will obtain marketing approval to commercialize pegcetacoplan or any other product candidate that we develop.</w:t>
      </w:r>
    </w:p>
    <w:p>
      <w:pPr>
        <w:spacing w:after="0" w:line="14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our product candidates in the United States or in other countries until we, or they, receive approval of an NDA from the FDA or marketing approval from applicable regulatory authorities outside the United States. Our product candidates are in various stages of development and are subject to the risks of failure inherent in drug development. The FDA approved EMPAVELI for the treatment of PNH in May</w:t>
      </w:r>
    </w:p>
    <w:p>
      <w:pPr>
        <w:sectPr>
          <w:pgSz w:w="11900" w:h="16838" w:orient="portrait"/>
          <w:cols w:equalWidth="0" w:num="1">
            <w:col w:w="11240"/>
          </w:cols>
          <w:pgMar w:left="320" w:top="124" w:right="3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2021. The FDA approved SYFOVRE for the treatment of GA in February 2023 and the Therapeutic Goods Administration of Australia approved SYFOVRE for the treatment of GA in January 2025. The FDA approved the sNDA for EMPAVELI for the treatment of C3G and primary IC-MPGN in July 2025.</w:t>
      </w:r>
    </w:p>
    <w:p>
      <w:pPr>
        <w:spacing w:after="0" w:line="14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The implications of this action are not yet known. Subsequently, in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DAPs in connection with its review of NDAs.</w:t>
      </w:r>
    </w:p>
    <w:p>
      <w:pPr>
        <w:spacing w:after="0" w:line="14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Further, in January 2022, the new Clinical Trials Regulation (EU) No 536/2014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European Union Member State will only be required to submit a single application for approval. The submission will be made through the Clinical Trials Information System, a clinical trials portal overseen by the EMA and available to clinical trial sponsors, competent authorities of the European Union Member States and the public. If we are not able to navigate this system properly, our clinical studies in the European Union could be delayed.</w:t>
      </w:r>
    </w:p>
    <w:p>
      <w:pPr>
        <w:spacing w:after="0" w:line="16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biologics license application, or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EMA, or to obtain a waiver or deferral from the conduct of these studies by this Committee. For any of our product candidates for which we are seeking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our collaborators, ultimately obtain may be limited or subject to restrictions or post-approval commitments that render the approved product not commercially viable. In addition, to the extent that we seek to develop a combination drug-device product for delivery of a product candidate, or we rely on a previously cleared device to deliver a product candidate, we will also be dependent on FDA clearance or approval of such products.</w:t>
      </w:r>
    </w:p>
    <w:p>
      <w:pPr>
        <w:spacing w:after="0" w:line="18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39"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Under our agreement with Sobi, Sobi is responsible for seeking regulatory approval outside the United States for systemic pegcetacoplan. A delay in obtaining or failure to obtain required approvals and clearances could negatively impact our ability or that of our collaborators, including Sobi, to generate revenue from the particular product candidate, which likely would result in significant harm to our financial position and adversely impact our stock price.</w:t>
      </w:r>
    </w:p>
    <w:p>
      <w:pPr>
        <w:spacing w:after="0" w:line="15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13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and sell EMPAVELI, SYFOVRE, pegcetacoplan in other indications or any of our other products in the European Union and other foreign jurisdictions, we, and our collaborators, such as Sobi,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and our collaborators, such as Sobi,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148"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For example, in December 2024, the European Commission rejected the marketing authorization application, or MAA, for SYFOVRE in the European Union, after a negative recommendation of the Committee for Medicinal Products for Human Use, or CHMP. Because regulators in other jurisdictions are influenced by decisions of the FDA and the EMA, a negative opinion by the FDA or the EMA may adversely impact the prospects for approval in other jurisdictions.</w:t>
      </w:r>
    </w:p>
    <w:p>
      <w:pPr>
        <w:spacing w:after="0" w:line="13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United Kingdom’s clinical trials regulatory regime, which will take effect on April 28, 2026. These changes were needed since the current U.K. requirements are based upon the now-repealed EU Clinical Trials Directive (2001/20/EC), which has been replaced by the European Clinical Trials Regulation (Regulation EU No 536/2014). Since the United Kingdom left the EU prior to the date on which the EU CTR took effect, the U.K. legal framework did not benefit from the same revisions as occurred at EU level.</w:t>
      </w:r>
    </w:p>
    <w:p>
      <w:pPr>
        <w:spacing w:after="0" w:line="1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June 4, 2025, after almost two years of negotiations among the EU Member States, the Council of the European Union adopted its position on the proposed overhaul of the EU general pharmaceutical legislative framework, which is known as the new Pharma Package. Thereafter, on December 11, 2025, the European Parliament and Council reached a provisional political agreement on the legislation which is expected to be adopted by mid-2026. The revisions may have a significant impact on the pharmaceutical industry and our business. They would, among other things, set a baseline period of eight years of data exclusivity and one year of market exclusivity with possible extensions for new indications up to a maximum of 11 years total. There will likely be a transition period of 24 months, with the changes taking effect in mid-2028.</w:t>
      </w:r>
    </w:p>
    <w:p>
      <w:pPr>
        <w:spacing w:after="0" w:line="1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outside of the United States;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13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conduct certain of our clinical trials globally . However, the FDA and other foreign equivalents may not accept data from such trials, in which case our development plans will be delayed, which could materially harm our business.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conducted and intend to continue conducting certain of our clinical trials globally. The acceptance by the FDA or other regulatory authorities of study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85" w:lineRule="exact"/>
        <w:rPr>
          <w:sz w:val="20"/>
          <w:szCs w:val="20"/>
          <w:color w:val="auto"/>
        </w:rPr>
      </w:pPr>
    </w:p>
    <w:p>
      <w:pPr>
        <w:ind w:left="2040" w:hanging="505"/>
        <w:spacing w:after="0"/>
        <w:tabs>
          <w:tab w:leader="none" w:pos="2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98"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84"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84"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98"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84"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trials resulting from geopolitical events, such as war or terrorism.</w:t>
      </w:r>
    </w:p>
    <w:p>
      <w:pPr>
        <w:spacing w:after="0" w:line="18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certain designations for our product candidates, including Breakthrough Therapy, Fast Track and Priority Review in the United States, and PRIME (priority medicines) in the European Union, but we might not receive such designations, and even if we do, such designations may not lead to a faster development or regulatory review or approval process.</w:t>
      </w:r>
    </w:p>
    <w:p>
      <w:pPr>
        <w:spacing w:after="0" w:line="14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early and frequent interaction and communication between the FDA and the sponsor of the trial can help to identify the most efficient path for clinical development.</w:t>
      </w:r>
    </w:p>
    <w:p>
      <w:pPr>
        <w:spacing w:after="0" w:line="14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NDA before the application is complete. This rolling review may be available if the FDA determines, after preliminary evaluation of data submitted by the sponsor, that a Fast Track product may be effective.</w:t>
      </w:r>
    </w:p>
    <w:p>
      <w:pPr>
        <w:spacing w:after="0" w:line="14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may also seek a priority review designation for one or more of our product candidates. If the FDA determines that a product candidate intended to treat a serious condition and, if approved, offers a significant improvement in safety or effectiveness, the FDA may designate the product candidate for priority review. A priority review designation shortens the goal for the FDA to review an application within six months, rather than the standard review period of ten months.</w:t>
      </w:r>
    </w:p>
    <w:p>
      <w:pPr>
        <w:spacing w:after="0" w:line="15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designations require a sponsor to submit an application for review and approval by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w:t>
      </w:r>
    </w:p>
    <w:p>
      <w:pPr>
        <w:sectPr>
          <w:pgSz w:w="11900" w:h="16838" w:orient="portrait"/>
          <w:cols w:equalWidth="0" w:num="1">
            <w:col w:w="11240"/>
          </w:cols>
          <w:pgMar w:left="320" w:top="124" w:right="3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candidates qualifies for these designations, the FDA may later decide that the product candidates no longer meet the conditions for qualification or decide that the time period for FDA review or approval will not be shortened.</w:t>
      </w:r>
    </w:p>
    <w:p>
      <w:pPr>
        <w:spacing w:after="0" w:line="13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plan to pursue approval from the FDA, EMA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p>
    <w:p>
      <w:pPr>
        <w:spacing w:after="0" w:line="143"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Where appropriate, we plan to pursue accelerated development strategies in areas of medical need. We may seek an accelerated approval pathway for one or more of our product candidates from the FDA, EMA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57"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In addition, there can be no assurance that we will satisfy all FDA requirements, including new provisions, that govern accelerated approval. For example, 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the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 We will need to fully comply with these and other requirements in connection with the development and approval of any product candidate that qualifies for accelerated approval.</w:t>
      </w:r>
    </w:p>
    <w:p>
      <w:pPr>
        <w:spacing w:after="0" w:line="16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FDA’s views on what it means to conduct a confirmatory trial with due diligence and how the FDA plans to interpret whether such a study needs to be underway at the time of approval. While these guidances are currently only in draft form and will ultimately not be legally binding even when finalized, we will need to consider the FDA’s guidances if we seek accelerated approval for any of our products in the future.</w:t>
      </w:r>
    </w:p>
    <w:p>
      <w:pPr>
        <w:spacing w:after="0" w:line="14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(i.e., Fast Track designation, Breakthrough Therapy designation or orphan drug designation),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w:t>
      </w:r>
    </w:p>
    <w:p>
      <w:pPr>
        <w:sectPr>
          <w:pgSz w:w="11900" w:h="16838" w:orient="portrait"/>
          <w:cols w:equalWidth="0" w:num="1">
            <w:col w:w="11240"/>
          </w:cols>
          <w:pgMar w:left="320" w:top="124" w:right="339" w:bottom="1440" w:gutter="0" w:footer="0" w:header="0"/>
        </w:sectPr>
      </w:pP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candidate would result in a longer time period to commercialization of such product candidate, could increase the cost of development of such product candidate and could harm our competitive position in the marketplace.</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not be able to obtain orphan drug designation or orphan drug exclusivity for our product candidates and, even if we do, that exclusivity may not prevent the FDA or the EMA from approving other competing products.</w:t>
      </w:r>
    </w:p>
    <w:p>
      <w:pPr>
        <w:spacing w:after="0" w:line="13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The FDA has granted orphan drug designation to pegcetacoplan for the treatment of PNH and for the treatment of C3G. We, or our collaborators, may seek orphan drug designations for pegcetacoplan for other indications and for other product candidates and may be unable to obtain such designations.</w:t>
      </w:r>
    </w:p>
    <w:p>
      <w:pPr>
        <w:spacing w:after="0" w:line="14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or our collaborators, obtain orphan drug designation for a product candidate, such as is the case for pegcetacoplan for the treatment of PNH and C3G, we, or they, may not be able to obtain orphan drug exclusivity for that product candidate.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drug for that indication for the applicable exclusivity period. The applicable exclusivity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Even if we, or our collaborators,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5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In February 2025, a federal district court in Washington, D.C. fully embraced the reasoning in the Eleventh Circuit decision in another court decision challenging the scope of orphan drug exclusivity. On April 17, 2025, the FDA appealed this decision to the U.S. Court of Appeals for the D.C. Circuit. The implications of this decision, and its impact on the FDA’s implementation of the Orphan Drug Act, are unclear at this point.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EMA and other regulatory authorities actively enforce the laws and regulations prohibiting the promotion of off-label uses.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EMA and other regulatory authorities strictly regulate the promotional claims that may be made about prescription products, such as our product candidates, if approved. In particular, a product may not be promoted in the United States for uses that are not approved by the FDA as reflected in the product’s approved labelling, or in other jurisdictions for uses that differ from the labelling or uses approved by the applicable regulatory authorities. While physicians may prescribe products for off-label uses, the FDA, EMA and other regulatory authorities actively enforce laws and regulations that prohibit the promotion of off-label uses by companies, including promotional communications made by companies’ sales force with respect to off-label uses that are not consistent with the approved labelling, and a company that is found to have improperly promoted off-label uses may be subject to significant civil, criminal and administrative penalties.</w:t>
      </w:r>
    </w:p>
    <w:p>
      <w:pPr>
        <w:spacing w:after="0" w:line="1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example, on September 9, 2025, President Trump issued a Memorandum directing HHS to “ensure transparency and accuracy in direct-to-consumer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FDA also issued a generic “notice letter” directing companies to “remove any noncompliant advertising and bring all promotional communications into compliance.”</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FDA's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1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will also need to observe the FDA’s various regulations, guidance and policies, along with recently enacted legislation, to ensure compliance with restrictions governing promotion of our products. In September 2021, the FDA published final regulations which describe the types of evidence that the FDA will consider in determining the intended use of a drug or biologic. 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1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our collaborators, obtain marketing approvals for our product candidates, the terms of approvals and ongoing regulation of our products may limit how we manufacture and market our products, which could impair our ability to generate revenue.</w:t>
      </w:r>
    </w:p>
    <w:p>
      <w:pPr>
        <w:spacing w:after="0" w:line="132"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our collaborators, must therefore comply with requirements concerning advertising and promotion for any of our product candidates which we or they market. Promotional communications with respect to prescription drugs are subject to a variety of legal and regulatory restrictions and must be consistent with the information in the product’s approved labeling. Thus, we and our collaborators will not be able to promote any products we develop for indications or uses for which they are not approved. We are limited to promoting EMPAVELI and SYFOVRE in accordance with their approved label in each jurisdiction and may not promote them for any indication other than as stated on the label. The label for Aspaveli in the European Union is more limited than the label for EMPAVELI in the United States.</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EMPAVELI, SYFOVRE, and any other product candidates for which we, or our collaborators, obtain marketing approval in the future could be subject to post-marketing restrictions or withdrawal from the market and we, or our collaborators, may be subject to substantial penalties if we, or they, fail to comply with regulatory requirements or if we, or they, experience unanticipated problems with our products following approval.</w:t>
      </w:r>
    </w:p>
    <w:p>
      <w:pPr>
        <w:spacing w:after="0" w:line="13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EMPAVELI, SYFOVRE, and any other product candidates for which we, or our collaborators,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For EMPAVELI, SYFOVRE, and any other product candidate that is granted marketing approval, the approval may be subject to limitations on the indicated uses for which the product may be marketed or to the conditions of approval, including the requirement to implement a Risk Evaluation and Mitigation Strategy.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collaborators and their contract manufacturers could be subject to periodic unannounced inspections by the FDA to monitor and ensure compliance with cGMPs.</w:t>
      </w:r>
    </w:p>
    <w:p>
      <w:pPr>
        <w:spacing w:after="0" w:line="1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our collaborators, do not market any of our product candidates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9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and our collaborators, are not able to comply with post-approval regulatory requirements, we, and our collaborators, could have the marketing approvals for our products withdrawn by regulatory authorities and our, or our collaborators’, ability to market any future products for which we receive marketing approval could be limited, which could adversely affect our ability to achieve or sustain profitability. Further, the cost of compliance with post-approval regulations may have a negative effect on our operating results and financial condition.</w:t>
      </w:r>
    </w:p>
    <w:p>
      <w:pPr>
        <w:spacing w:after="0" w:line="13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There is substantial uncertainty as to how, if at all, the Trump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72"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programs, progress development efficiently, and secure approval of our product candidates in a timely manner, which would negatively impact our business.</w:t>
      </w:r>
    </w:p>
    <w:p>
      <w:pPr>
        <w:spacing w:after="0" w:line="17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applications. If these oversight and review activities are disrupted, then correspondingly our ability to develop and secure timely approval of our product candidates could be impacted in a negative manner.</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actions and the resulting recent loss of FDA leadership and personnel could lead to disruptions and delays in FDA guidance, review and approval of our product candidates. For example, on July 14, 2025, following litigation reaching the U.S. Supreme Court, the Trump Administration began to carry out layoffs across HHS, including the FDA. In November 2025, a Congressional Continuing Resolution ended the government shutdown, providing full-year funding for the FDA through September 30, 2026, at approximately $7.0 billion with a slight increase in user fees for drug and device companies.</w:t>
      </w:r>
    </w:p>
    <w:p>
      <w:pPr>
        <w:spacing w:after="0" w:line="183"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While the FDA’s review of marketing applications and other activities for new drugs and biologics is largely funded through the user fee program established under the Prescription Drug User Fee Act, or PDUFA, it remains unclear how the Trump Administration’s efforts to reduce the workforce of HHS and budget cuts will impact this program and the ability of the FDA to provide guidance and review our product candidates in a timely manner. For example, while the reduction in workforce did not reportedly specifically target FDA reviewers, many operations, administrative and policy staff that help support such reviews were affected and those losses could lead to delays in PDUFA reviews and related activities. In addition, while currently unclear, there is a risk that the reduction in workforce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Similarly, actions by the U.S. government have significantly disrupted the operations of U.S. government agencies such as the National Institutes of Health, the National Science Foundation, the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government funding of government agencies on which our operations may rely, including those that fund research and development activities, is subject to the political process, which is inherently fluid and unpredictable. For example, the federal government shut down on October 1, 2025, and did not reopen for 43 days. With the shutdown, the FDA issued a public notice stating that FDA operations would continue to the extent permitted by law, such as activities necessary to address imminent threats to the safety of human life and activities funded by carryover user fee funds. The FDA declared that, during the shutdown period, it did not have legal authority to accept user fees assessed for FY 2026 until an FY 2026 appropriation or Continuing Resolution for the FDA was enacted. As a result, the FDA was not able to accept any regulatory submissions for FY 2026 that required a fee payment and that was submitted during the lapse period. In addition, the FDA indicated that some of its regulatory science research, crucial for advancing product innovation, safety, and quality, would be curtailed during the lapse period.</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the same time, disruptions at the FDA and other government agencies may result from public health events similar to the COVID-19 pandemic. For example,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Accordingly, if any of the foregoing developments and others impact the ability of the FDA to provide us with guidance regarding our clinical development programs or delay the FDA’s review and processing of our regulatory submissions, including INDs and NDAs/BLAs, our business would be negatively impacted. Further, any future government shutdown could impact our ability to access the public markets and obtain necessary capital in order to properly capitalize and continue our operations.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our collaborators to obtain reimbursement of and commercialize our product candidates and affect the prices we, or they, may obtain.</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our collaborators, to profitably sell EMPAVELI, SYFOVRE, or any other products for which we, or they,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 If reimbursement of our products is unavailable or limited in scope, our business could be materially harmed.</w:t>
      </w:r>
    </w:p>
    <w:p>
      <w:pPr>
        <w:spacing w:after="0" w:line="187" w:lineRule="exact"/>
        <w:rPr>
          <w:sz w:val="20"/>
          <w:szCs w:val="20"/>
          <w:color w:val="auto"/>
        </w:rPr>
      </w:pPr>
    </w:p>
    <w:p>
      <w:pPr>
        <w:ind w:right="660" w:firstLine="509"/>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August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8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With passage of the One Big Beautiful Bill Act, or OBBBA, on July 3, 2025, which was signed into law on July 4, 2025, Congress extended this exemption to drugs and biologics with multiple orphan drug designations.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On August 15, 2024, HHS published the results of the first Medicare drug price negotiations for ten selected drugs. On January 17, 2025, CMS announced its selection of 15 additional drugs covered by Part D for the second cycle of negotiations.</w:t>
      </w:r>
    </w:p>
    <w:p>
      <w:pPr>
        <w:spacing w:after="0" w:line="18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Subsequently, a number of other parties also filed lawsuits in various courts with similar constitutional. HHS has generally won the substantive disputes in these cases or succeeded in getting claims dismissed for lack of standing or on the merits. For example, on May 8, 2025, the U.S. Court of Appeals for the Third Circuit rejected AstraZeneca’s challenge to the Medicare price negotiation program, finding that the program did not violate the company’s due process rights under the U.S. Constitution. Litigation involving these and other provisions of the IRA will continue with unpredictable and uncertain results.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April 15, 2025, President Trump issued an Executive Order which directs the HHS to take steps to reduce the prices of pharmaceutical products. The new Executive Order repeats many of the proposals advanced during the first Trump Administration, including directing the FDA to streamline and improve its existing drug importation program to make it easier for states to obtain approval without sacrificing the safety or quality of drug products. Other provisions of the Executive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1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Further, on May 12, 2025, President Trump issued an additional Executive Order calling on pharmaceutical manufacturers to voluntarily reduce the prices of medicines in the United States. The Executive Order directs the Secretary of HHS to communicate most-favored-nation, or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Subsequently, on May 20, 2025, the HHS indicated that the proposed MFN pricing will apply only to brand products without generic or biosimilar competition and the reference foreign countries will include only those in which the branded product similarly does not have generic or biosimilar competition. Second, the HHS indicated that the MFN target price will be the lowest price in a country that is a member of the Organization for Economic Co-operation and Development, or OECD, with a gross domestic product, or GDP, per capita of at least 60% of the U.S. GDP per capita. Based on previous estimates, there are likely at least 22 OECD countries that would satisfy this criterion.</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 recently,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U.S. patients and provide for direct purchasing at MFN pricing. The letters also urged these companies to stipulate that they will not offer other developed nations better prices for new drugs than the prices offered for such products in the United States. The letters called for engagement with the FDA and CMS within 60 days to implement these changes and threatened to use “every tool in our arsenal” to address what the letter characterized as “abusive drug pricing practices.” Virtually all of these pharmaceutical companies have entered into agreements with the Trump Administration to provide for lower prices on certain pharmaceuticals. On February 5, 2026, President Trump launched TrumpRx.gov, a website that directs individuals to pharmaceutical manufacturer websites that are offering price discounts based on the Trump Administration’s pricing agreements with pharmaceutical manufacturers.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Separately, 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or GLOBE, and the Guarding U.S. Medicare Against Rising Drug Costs for Medicare Part D drugs, or GUARD.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These pilot programs are proposed to go into effect beginning October 1, 2026. The implications and consequences of these actions and the actions by the Trump Administration to compel an MFN regulatory pricing requirement in the United States and otherwise advance drug pricing policy continue to remain unclear and uncertain, which could ultimately result in litigation, affect the jurisdictions in which we decide to pursue opportunities to sell our products and adversely affect our business.</w:t>
      </w:r>
    </w:p>
    <w:p>
      <w:pPr>
        <w:spacing w:after="0" w:line="19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payors are developing strategies and implementing significant coverage barriers, or refusing to cover these products outright, arguing that accelerated approval drugs have insufficient or limited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evidence despite meeting the FDA’s standards for accelerated approval.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 some countries, including member states of the European Union,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14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15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current and future arrangements with healthcare providers, and third-party payors and customers, if any,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4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3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56"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4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the Centers for Medicare &amp; Medicaid Services, or CMS, information related to payments or transfers of value made to certain healthcare providers and teaching hospitals, as well as information regarding ownership and investment interests held by physicians and their immediate family members;</w:t>
      </w:r>
    </w:p>
    <w:p>
      <w:pPr>
        <w:spacing w:after="0" w:line="14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w:t>
      </w:r>
    </w:p>
    <w:p>
      <w:pPr>
        <w:sectPr>
          <w:pgSz w:w="11900" w:h="16838" w:orient="portrait"/>
          <w:cols w:equalWidth="0" w:num="1">
            <w:col w:w="11240"/>
          </w:cols>
          <w:pgMar w:left="320" w:top="124" w:right="3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5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4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Violation of these laws could result in substantial fines and imprisonment.</w:t>
      </w:r>
    </w:p>
    <w:p>
      <w:pPr>
        <w:spacing w:after="0" w:line="13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w:t>
      </w:r>
    </w:p>
    <w:p>
      <w:pPr>
        <w:spacing w:after="0" w:line="149" w:lineRule="exact"/>
        <w:rPr>
          <w:sz w:val="20"/>
          <w:szCs w:val="20"/>
          <w:color w:val="auto"/>
        </w:rPr>
      </w:pPr>
    </w:p>
    <w:p>
      <w:pPr>
        <w:jc w:val="both"/>
        <w:ind w:right="280" w:firstLine="509"/>
        <w:spacing w:after="0" w:line="312" w:lineRule="auto"/>
        <w:rPr>
          <w:sz w:val="20"/>
          <w:szCs w:val="20"/>
          <w:color w:val="auto"/>
        </w:rPr>
      </w:pPr>
      <w:r>
        <w:rPr>
          <w:rFonts w:ascii="Times New Roman" w:cs="Times New Roman" w:eastAsia="Times New Roman" w:hAnsi="Times New Roman"/>
          <w:sz w:val="17"/>
          <w:szCs w:val="17"/>
          <w:color w:val="auto"/>
        </w:rPr>
        <w:t>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9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8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the passage of the CREATES Act, we are exposed to possible litigation and damages by competitors who may claim that we are not providing sufficient quantities of our approved products on commercially reasonable, market-based terms for testing in support of their ANDAs and 505(b)(2) applications.</w:t>
      </w:r>
    </w:p>
    <w:p>
      <w:pPr>
        <w:spacing w:after="0" w:line="13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2019, President Trump signed legislation intended to facilitate the development of generic and biosimilar products. The bill, previously known as the CREATES Act, authorizes sponsors of abbreviated new drug applications, or ANDAs, and 505(b)(2) applications to file lawsuits against companies holding NDAs that decline to provide sufficient quantities of an approved reference drug on commercially reasonable, market-based terms. Drug products on FDA’s drug shortage list are exempt from these new provisions unless the product has been on the list for more than six continuous months, or the FDA determines that the supply of the product will help alleviate or prevent a shortage.</w:t>
      </w:r>
    </w:p>
    <w:p>
      <w:pPr>
        <w:spacing w:after="0" w:line="15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To bring an action under the statute, an ANDA or 505(b)(2) sponsor must take certain steps to request the reference product, which, in the case of products covered by a Risk Evaluation and Mitigation Strategy with elements to assure safe use, include obtaining authorization from the FDA for the acquisition of the reference product. If the sponsor does bring an action for failure to provide a reference product, there are certain affirmative defenses available to the NDA holder, which must be shown by a preponderance of evidence. If the sponsor prevails in litigation, it is entitled to a court order directing the NDA holder to provide, without delay, sufficient quantities of the applicable product on commercially reasonable, market-based terms, plus reasonable attorney fees and costs.</w:t>
      </w:r>
    </w:p>
    <w:p>
      <w:pPr>
        <w:spacing w:after="0" w:line="14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Additionally, the new statutory provisions authorize a federal court to award the product developer an amount “sufficient to deter” the NDA holder from refusing to provide sufficient product quantities on commercially reasonable, market-based terms if the</w:t>
      </w:r>
    </w:p>
    <w:p>
      <w:pPr>
        <w:sectPr>
          <w:pgSz w:w="11900" w:h="16838" w:orient="portrait"/>
          <w:cols w:equalWidth="0" w:num="1">
            <w:col w:w="11240"/>
          </w:cols>
          <w:pgMar w:left="320" w:top="124"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court finds, by a preponderance of the evidence, that the NDA holder did not have a legitimate business justification to delay providing the product or failed to comply with the court’s order. For the purposes of the statute, the term “commercially reasonable, market-based terms” is defined as (1) the nondiscriminatory price at or below the most recent wholesale acquisition cost for the product, (2) a delivery schedule that meets the statutorily defined timetable, and (3) no additional conditions on the sale.</w:t>
      </w:r>
    </w:p>
    <w:p>
      <w:pPr>
        <w:spacing w:after="0" w:line="15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intend to comply fully with the terms of these new statutory provisions, we are still exposed to potential litigation and damages by competitors who may claim that we are not providing sufficient quantities of our approved products on commercially reasonable, market-based terms for testing in support of ANDAs and 505(b)(2) applications. Such litigation would subject us to additional litigation costs, damages and reputational harm, which could lead to lower revenues. The CREATES Act may enable generic competition with EMPAVELI, SYFOVRE, and any of our product candidates, if approved, which could impact our ability to maximize product revenue.</w:t>
      </w:r>
    </w:p>
    <w:p>
      <w:pPr>
        <w:spacing w:after="0" w:line="17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3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14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6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4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European Union to countries that have not been found by the EC to offer adequate data protection legislation, such as the United States.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ectPr>
          <w:pgSz w:w="11900" w:h="16838" w:orient="portrait"/>
          <w:cols w:equalWidth="0" w:num="1">
            <w:col w:w="11240"/>
          </w:cols>
          <w:pgMar w:left="320" w:top="124" w:right="339" w:bottom="1440"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Following the July 2020 Court of Justice of the European Union judgement invalidating the so-called EU-U.S. Privacy Shield,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and there is currently one pending litigation against the EU-U.S. Data Privacy Framework before the Court of Justice of the European Union (CJEU), C-703/25 P – </w:t>
      </w:r>
      <w:r>
        <w:rPr>
          <w:rFonts w:ascii="Times New Roman" w:cs="Times New Roman" w:eastAsia="Times New Roman" w:hAnsi="Times New Roman"/>
          <w:sz w:val="18"/>
          <w:szCs w:val="18"/>
          <w:i w:val="1"/>
          <w:iCs w:val="1"/>
          <w:color w:val="auto"/>
        </w:rPr>
        <w:t>Latombe v Commission</w:t>
      </w:r>
      <w:r>
        <w:rPr>
          <w:rFonts w:ascii="Times New Roman" w:cs="Times New Roman" w:eastAsia="Times New Roman" w:hAnsi="Times New Roman"/>
          <w:sz w:val="18"/>
          <w:szCs w:val="18"/>
          <w:color w:val="auto"/>
        </w:rPr>
        <w:t>. If these challenges are successful, they may not only impact the EU-U.S. Data Privacy Framework, but also further limit the viability of the so-called standard contractual clauses and other data transfer mechanisms.</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13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engage in significant cross-border and international activities, we will be subject to risks related to international operations, including:</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initiating clinical trials and maintaining approval of drugs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or open conflict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of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substance legislation differs between countries and legislation in certain countries may restrict, limit, or delay our ability to manufacture and/or transport our product candidates;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potential or actual violations of domestic and international anti-corruption laws, such as the U.S. Foreign Corrupt Practices Act and the U.K. Bribery Act, or of U.S. and international import, export and re-export control and sanctions laws and regulations, which likelihood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trials, selling our products, and obtaining necessary permits, licenses, patent registrations, and other regulatory approvals</w:t>
      </w:r>
    </w:p>
    <w:p>
      <w:pPr>
        <w:spacing w:after="0" w:line="79"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data protection, and more burdensome obligations associated with the collection, use and retention of data, including clinical data and genetic material, may apply in jurisdictions outside of North America;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right="360" w:hanging="503"/>
        <w:spacing w:after="0" w:line="312"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from geopolitical actions, including war, terrorism, and civil and political unrest (such as the ongoing conflicts in the Middle East and between Russia and Ukraine), or natural disasters including earthquakes, typhoons, floods and fires; and</w:t>
      </w:r>
    </w:p>
    <w:p>
      <w:pPr>
        <w:spacing w:after="0" w:line="31" w:lineRule="exact"/>
        <w:rPr>
          <w:rFonts w:ascii="Times New Roman" w:cs="Times New Roman" w:eastAsia="Times New Roman" w:hAnsi="Times New Roman"/>
          <w:sz w:val="17"/>
          <w:szCs w:val="17"/>
          <w:color w:val="auto"/>
        </w:rPr>
      </w:pPr>
    </w:p>
    <w:p>
      <w:pPr>
        <w:ind w:left="1020" w:right="4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other disruptions resulting from the impact of public health epidemics, including the COVID-19 pandemic, on our strategic partners, third-party manufacturers, suppliers and other third parties upon which we rely.</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our international operations may preclude us from developing, manufacturing, and selling certain products outside of the United States and require us to develop and implement costly compliance programs.</w:t>
      </w:r>
    </w:p>
    <w:p>
      <w:pPr>
        <w:spacing w:after="0" w:line="11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FCPA is enforced by the Department of Justice and the SEC.</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 clinics, universities and similar institutions are operated by the government, and doctors and other hospital employees are considered foreign officials. Certain payments to hospitals in connection with clinical trials, regulatory approvals, sales and marketing and other work have been deemed to be improper payments to government officials and have led to FCPA enforcement actions. Because the FCPA applies to indirect payments, the use of third parties and other collaborators can increase potential FCPA risk, as we could be held liable for the acts of third parties that do not comply with the FCPA’s requirements.</w:t>
      </w:r>
    </w:p>
    <w:p>
      <w:pPr>
        <w:spacing w:after="0" w:line="14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4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Like the FCPA, the UK Bribery Act and other anti-corruption laws throughout the world similarly prohibit offers and payments made to obtain improper business advantages, including offers or payments to healthcare professionals and other government and non-government officials. These other anti-corruption laws also can result in substantial financial penalties and other collateral consequences.</w:t>
      </w:r>
    </w:p>
    <w:p>
      <w:pPr>
        <w:spacing w:after="0" w:line="14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As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4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or our collaborators' ability to compete in international markets due to licensing requirements and subject us or them to liability if we or they are not in compliance with applicable laws.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products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products outside of the United States must be made in compliance with these laws and regulations. If we or our collaborators fail to comply with these laws and regulations, we or they and certain of our or their employees could be subject to substantial civil or criminal penalties, including the possible loss of export or import privileges; fines, which may be imposed on us or our collaborators and the respective responsible employees or managers; and, in extreme cases, the incarceration of responsible employees or managers.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conducted, and continue to conduct, clinical trials in various jurisdictions, including Russia and other Eastern European countries. In response to the conflict between Russia and Ukraine, the United States, the European Union, and other jurisdictions have imposed economic sanctions and other restrictions against certain officials, individuals, entities, regions, and industries in Russia, Ukraine, and Belarus. Such sanctions, and any further restrictions that may be promulgated, could adversely impact our ability to conduct our clinical program in certain jurisdictions. We will continue to closely monitor the geopolitical situation in Ukraine and its impact on our clinical trial operations.</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changes in our products or changes in applicable export or import laws and regulations may create delays in the introduction, provision, or sale of our products in international markets, prevent customers from using our products or, in some cases, prevent the export or import of our products to certain countries, governments or persons altogether. Any limitation on our ability to export, provide, or sell our products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may adversely impact our business and operating results.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U.S. government has recently made statements and taken, or has contemplated taking, certain actions that may lead to potential changes to U.S. and international trade policies, including imposing tariffs, sanctions and export control restrictions affecting products manufactured outside the United States. Some of our manufacturers and suppliers are located outside the United States. Any unfavorable government policies on international trade, such as export controls, sanctions capital controls or tariffs, may increase the cost of manufacturing our product candidates and platform materials, affect the demand for our drug products (if and once approved), the competitive position of our product candidates, and import or export of raw materials and finished product candidate used in our and our collaborators’ preclinical studies and clinical trials, sanctions particularly with respect to any product candidates and materials that we import. If any new tariffs, export controls, legislation and/or regulations are implemented, or if existing trade agreements are renegotiated or, in particular, if either the U.S. or any foreign government takes retaliatory trade actions, such changes could have an adverse effect on our business, financial condition and results of operations.</w:t>
      </w:r>
    </w:p>
    <w:p>
      <w:pPr>
        <w:spacing w:after="0" w:line="188"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Moreover, trade tensions and conflicts between the United States and China in particular have been escalating in recent years and, as such, we are exposed to the possibility of product supply disruption and increased costs and expenses in the event of changes to the laws, rules, regulations and policies of the governments of the U.S. or China, or due to geopolitical unrest and unstable economic conditions. Certain Chinese biotechnology companies are, or may become, subject to trade restrictions, sanctions, other regulatory requirements or proposed legislation by the U.S. government, which could restrict or even prohibit our ability to work with such entities, thereby potentially disrupting their supply of material to us.</w:t>
      </w:r>
    </w:p>
    <w:p>
      <w:pPr>
        <w:spacing w:after="0" w:line="18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December 2025, the so-called Biosecure Act became law as part of the National Defense Authorization Act for Fiscal Year 2026. As enacted, the new law will, upon taking effect after a regulatory implementation period, prohibit U.S. federal government contract, grant and loan funds from being used for contracts to acquire biotechnology equipment or services produced or provided by certain designated foreign providers, or that will use such equipment or services in the performance of such contracts. Although the law is generally considered to target the Chinese biotechnology industry, it does not expressly identify the targeted foreign providers. Rather, the prohibited providers are those entities that are separately designated as Chinese Military Companies on the so-called 1260H List maintained by the U.S. Department of Defense, as well as additional entities in China or other countries of concern that might be separately designated in the future as biotechnology companies of concern. As of the date of enactment, the targeted providers include three subsidiaries of BGI Tech Solutions Co., Ltd., or BGI Group: BGI Tech Solutions (Hongkong) Co., Ltd., BGI Research, and Forensic Genomics International; and MGI Tech Co., Ltd., but not certain other major Chinese biotechnology companies. However, other biotechnology equipment or service providers may be added in the future as 1260H List designees or as separately designated biotechnology companies of concern.</w:t>
      </w:r>
    </w:p>
    <w:p>
      <w:pPr>
        <w:spacing w:after="0" w:line="19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By constraining the use of federal government funding for equipment and services produced or provided by certain providers of biotechnology equipment and services, the law may deter companies from purchasing services or products from, or otherwise collaborating with the designated entities. Future restrictions on foreign suppliers and service providers, whether through the 1260H designation or other mechanisms, may necessitate significant and potentially abrupt changes to our network of suppliers and service providers, which could be costly and may delay or otherwise disrupt our research and commercialization of new products, with adverse effects on the development of our product candidates and our business operations. It is possible some of our contractual counterparties could be adversely impacted by these or similar supply chain restrictions.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1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4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3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consultants may engage in misconduct or other improper activities, including non-compliance with regulatory standards and requirements, which could cause significant liability for us and harm our reputation.</w:t>
      </w:r>
    </w:p>
    <w:p>
      <w:pPr>
        <w:spacing w:after="0" w:line="11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or consultant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It is not always possible to identify and deter employee or consultant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highly dependent on the pharmaceutical research and development and business development expertise of our executive team, including Cedric Francois, M.D., Ph.D., our President and Chief Executive Officer. The members of our executive team are employed “at will,” meaning any of them may terminate his or her employment with us at any time with or without notice and for any reason or no reason. In the future, we may be dependent on other members of our management, scientific and development team.</w:t>
      </w:r>
    </w:p>
    <w:p>
      <w:pPr>
        <w:spacing w:after="0" w:line="15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3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 or other misconduct, including intentional failures to comply with FDA regulations or similar</w:t>
      </w:r>
    </w:p>
    <w:p>
      <w:pPr>
        <w:sectPr>
          <w:pgSz w:w="11900" w:h="16838" w:orient="portrait"/>
          <w:cols w:equalWidth="0" w:num="1">
            <w:col w:w="11220"/>
          </w:cols>
          <w:pgMar w:left="320" w:top="124" w:right="359" w:bottom="1440" w:gutter="0" w:footer="0" w:header="0"/>
        </w:sectPr>
      </w:pP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These risks may be particularly acute given the rapid growth in the size of our company.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disrupt our business, cause dilution to our stockholders or reduce our financial resources.</w:t>
      </w:r>
    </w:p>
    <w:p>
      <w:pPr>
        <w:spacing w:after="0" w:line="20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 If an active trading market is not sustained, our ability to raise capital in the future may be impaired.</w:t>
      </w:r>
    </w:p>
    <w:p>
      <w:pPr>
        <w:spacing w:after="0" w:line="11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shares began trading on the Nasdaq Global Select Market on November 9, 2017. There is a risk that an active trading market for our shares may not be sustained, which could put downward pressure on the market price of our common stock and thereby affect the ability of stockholders to sell their shares.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our stockholders.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5" w:lineRule="exact"/>
        <w:rPr>
          <w:sz w:val="20"/>
          <w:szCs w:val="20"/>
          <w:color w:val="auto"/>
        </w:rPr>
      </w:pPr>
    </w:p>
    <w:p>
      <w:pPr>
        <w:ind w:left="1400" w:right="40" w:hanging="374"/>
        <w:spacing w:after="0" w:line="282"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EMPAVELI and SYFOVRE and obtaining regulatory approval of EMPAVELI in additional indications and jurisdictions and SYFOVRE in additional jurisdictions;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systemic pegcetacoplan and any other product candidates;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1400" w:right="500" w:hanging="374"/>
        <w:spacing w:after="0" w:line="282"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discussions with regulatory authorities and regulatory actions with respect to our product candidates or our competitors’ products and product candidates;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00" w:right="440" w:hanging="374"/>
        <w:spacing w:after="0" w:line="282" w:lineRule="auto"/>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candidates or development programs;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or development timelines;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hedging or other transactions in our securities in connection with our Convertible Notes;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example, the trading price of our common stock experienced significant volatility in 2025. On January 7, 2025, the closing price of our common stock on the Nasdaq Global Select Market was $34.63 and on May 15, 2025, the closing price of our common stock on the Nasdaq Global Select Market was $16.36. Following periods of volatility in the market price of a company’s stock, securities class-action litigation has often been instituted against that company. We and certain of our current and former executive officers have been named as defendants in purported class action lawsuits following our announcement of the initial, top-line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chief executive officer have been named as defendants in lawsuits that could result in substantial costs and divert management’s attention.</w:t>
      </w:r>
    </w:p>
    <w:p>
      <w:pPr>
        <w:spacing w:after="0" w:line="202"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We, our chief executive officer, and our directors have been named as defendants in a purported class action lawsuit initiated in 2023 that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plaintiffs seek, among other relief, compensatory damages and equitable relief in favor of the alleged class of plaintiffs against all defendants, including interest, and reasonable costs and expenses incurred by plaintiffs, including attorneys’ and expert fees. We, our chief executive officer, and our directors have also been named as defendants in a purported stockholder derivative lawsuit initiated in 2024 that alleges, among other things that the defendants breached fiduciary duties, were unjustly enriched, committed corporate waste, and violated Section 14(a) of the Exchange Act based on the same facts. The plaintiffs seek, among other relief, monetary and punitive damages, and costs, including attorneys’ fees. The outcome of the matter described above cannot be predicted with certainty. However, we intend to vigorously defend against the litigation.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attention and resources from other priorities, including the execution of business plans and strategies that are important to our ability to grow our business, any of which could have a material adverse effect on our business. Additional similar lawsuits might be filed. See “Part II, Item 1-Legal Proceedings”.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funds and may not use them effectively.</w:t>
      </w:r>
    </w:p>
    <w:p>
      <w:pPr>
        <w:spacing w:after="0" w:line="18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cash and cash equivalents and could spend our funds in ways that do not improve our results of operations or enhance the value of our common stock. The failure by our management to apply</w:t>
      </w:r>
    </w:p>
    <w:p>
      <w:pPr>
        <w:sectPr>
          <w:pgSz w:w="11900" w:h="16838" w:orient="portrait"/>
          <w:cols w:equalWidth="0" w:num="1">
            <w:col w:w="11200"/>
          </w:cols>
          <w:pgMar w:left="320" w:top="124" w:right="379" w:bottom="1440" w:gutter="0" w:footer="0" w:header="0"/>
        </w:sectPr>
      </w:pP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780"/>
        <w:spacing w:after="0" w:line="312" w:lineRule="auto"/>
        <w:rPr>
          <w:sz w:val="20"/>
          <w:szCs w:val="20"/>
          <w:color w:val="auto"/>
        </w:rPr>
      </w:pPr>
      <w:r>
        <w:rPr>
          <w:rFonts w:ascii="Times New Roman" w:cs="Times New Roman" w:eastAsia="Times New Roman" w:hAnsi="Times New Roman"/>
          <w:sz w:val="17"/>
          <w:szCs w:val="17"/>
          <w:color w:val="auto"/>
        </w:rPr>
        <w:t>these funds effectively could result in financial losses that could harm our business, cause the price of our common stock to decline and delay the development of our product candidates. Pending their use, we may invest our funds in a manner that does not produce income or that loses value.</w:t>
      </w:r>
    </w:p>
    <w:p>
      <w:pPr>
        <w:spacing w:after="0" w:line="13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spacing w:after="0" w:line="148"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Accordingly, a material weakness increases the risk that the financial information we report contains material errors.</w:t>
      </w:r>
    </w:p>
    <w:p>
      <w:pPr>
        <w:spacing w:after="0" w:line="13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regularly review and update our internal controls, disclosure controls and procedures, and corporate governance policies. In addition, we are required under the Sarbanes-Oxley Act of 2002 to report annually on our internal control over financial reporting. Our system of internal controls, however well-designed and operated, is based in part on certain assumptions and includes elements that rely on information from third parties. Our system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common stock could be negatively affected.</w:t>
      </w:r>
    </w:p>
    <w:p>
      <w:pPr>
        <w:spacing w:after="0" w:line="147"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 Failure to comply with reporting requirements could also subject us to sanctions and/or investigations by the SEC, The Nasdaq Stock Market or other regulatory authorities.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could cause the market price of our common stock to decline significantly, even if our business is doing well.</w:t>
      </w:r>
    </w:p>
    <w:p>
      <w:pPr>
        <w:spacing w:after="0" w:line="13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registered all shares of common stock that we may issue under our equity compensation plans. As of December 31, 2025, we had options to purchase an aggregate of 9,063,360 shares of our common stock outstanding, of which options to purchase 5,919,329 shares were vested, and 5,992,358 outstanding unvested restricted stock units, inclusive of 1,259,419 market- and performance-based restricted stock units, that upon vesting at target would result in the issuance of 5,992,358 shares of our common stock. We also have pre-funded warrants to purchase 80,956 shares of our common stock outstanding. The shares issuable upon exercise or vesting can be freely sold in the public market upon issuance, subject to volume limitations applicable to affiliates. Moreover, holders of an aggregate of 10,778,303 shares of our common stock have rights, subject to conditions, to require us to file registration statements covering their shares or to include their shares in registration statements that we may file for ourselves or other stockholders. If these additional shares are sold, or if it is perceived that they will be sold, in the public market, the trading price of our common stock could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could adversely affect our business and financial condition.</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certain exceptions. Thus, the excise tax could apply to certain transactions that are not traditional stock repurchases. The OBBBA contains numerous tax provisions which may significantly affect our business or financial condition. The recent changes under the OBBBA include tax rate extensions and changes to the business interest deduction limitation, the expensing of domestic research and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development expenditures (in contrast to the continued capitalization and amortization of foreign research and development expenditures), the bonus depreciation deduction rules, and the international tax framework.</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Regulatory guidance under the IRA, the OBBBA, and additional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spacing w:after="0" w:line="13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enactment of some or all of the recommendations set forth or that may be forthcoming in the Organization for Economic Cooperation and Development’s, or OECD, project on “Base Erosion and Profit Shifting” by tax authorities in the countries in which we operate, could unfavorably impact our effective tax rate. These initiatives focus on common international principles for the entitlement to tax global corporate profits and enactment of minimum global tax rate of 15%. Many countries have or are in the process of enacting legislation intended to implement the OECD Global Anti-Base Erosion, or GloBE, Model Rules. The impact on us will depend on the timing of implementation, the exact nature of each country’s GloBE legislation, guidance, and regulations thereon and their application by the tax authorities either prospectively or retrospectively.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20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2025, we had both federal and state net operating loss carryforwards of $427.1 million and $858.7 million, respectively, and federal and state research and development tax credit carryforwards of $102.1 million and $27.9 million, respectively. Federal net operating loss carryforward generated post-2017 in the amount of $425.6 million may be carried forward indefinitely. These net operating loss and tax credit carryforwards could expire unused and be unavailable to offset future income tax liabilities. Federal net operating losses incurred in 2018 and in future years may be carried forward indefinitely, but the deductibility of such federal net operating losses in 2021 and future years is limited. Certain states have also enacted temporary suspension or limitation of the utilization of net operating loss carryforwards.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experienced a Section 382 ownership change in September 2015, which imposes annual limitations on our use of pre-change net operating loss carryforwards and other pre-change tax attributes. In addition, we may experience ownership changes in the future as a result of subsequent shifts in our stock ownership, some of which may be outside of our control. We have determined that our research and development credit carryforwards are also limited. These limitations upon our historical net operating loss and tax credit carryforwards may harm our future operating results by effectively increasing our future tax obligations. Refer to Note 12, Income Taxes, of the consolidated financial statements included in this Annual Report on Form 10-K for additional information related to our accounting for income taxes.</w:t>
      </w:r>
    </w:p>
    <w:p>
      <w:pPr>
        <w:spacing w:after="0" w:line="15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could challenge our historical and future tax positions or our allocation of taxable income among our subsidiaries, and tax laws to which we are subject could change in a manner adverse to us.</w:t>
      </w:r>
    </w:p>
    <w:p>
      <w:pPr>
        <w:spacing w:after="0" w:line="11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operate through various subsidiaries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Our transfer pricing arrangements are not generally binding on applicable tax authorities. The price charged for products, services, or the royalty rates and other amounts paid for intellectual property rights, could be challenged by the various tax authorities, resulting in additional tax liability, interest, and/or penalties. There can be no assurance that a taxing authority will not have a different interpretation of applicable law and assess us with additional taxes. If we are assessed with additional taxes, this may result in a material adverse effect on our results of operations and/or financial condition.</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1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or accounting position may adversely affect our reported financial results or the way we conduct our business.</w:t>
      </w:r>
    </w:p>
    <w:p>
      <w:pPr>
        <w:spacing w:after="0" w:line="13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13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We never declared nor paid cash dividends on our capital stock. We currently plan to retain all of our future earnings, if any, to finance the operation, development and growth of our business. In addition, the terms of the Sixth Street Financing Agreement</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precludes us from paying dividends, and any future debt or credit agreements may also preclude us from paying dividends. As a result, capital appreciation, if any, of our common stock will be our stockholders’ sole source of gain for the foreseeable future.</w:t>
      </w:r>
    </w:p>
    <w:p>
      <w:pPr>
        <w:spacing w:after="0" w:line="13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and directors, entities associated with our executive officers and directors and our largest stockholders may allow these stockholders to significantly influence matters submitted to our stockholders for approval, as well as our management and affairs.</w:t>
      </w:r>
    </w:p>
    <w:p>
      <w:pPr>
        <w:spacing w:after="0" w:line="13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As of February 24, 2026, our executive officers and directors, and entities associated or affiliated with our executive officers and directors, in the aggregate, beneficially owned shares representing approximately 16.2% of our outstanding common stock, including one of our largest stockholders, Morningside Venture Investments Ltd., which beneficially owned approximately 10.1% of our outstanding common stock. As a result, if these stockholders were to choose to act together, they may have the ability to significantly influence all matters submitted to our stockholders for approval, as well as our management and affairs. For example, these persons, if they choose to act together, could substantially influence the election of directors and approval of any merger, consolidation or sale of all or substantially all of our assets. This concentration of ownership may:</w:t>
      </w:r>
    </w:p>
    <w:p>
      <w:pPr>
        <w:spacing w:after="0" w:line="79"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8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those of our other investors. For example, because many of these stockholders purchased their shares at prices substantially below the price at which other investors purchased shares and have held their shares for a longer period, they may be more interested in selling our company to an acquirer than other investors or they may want us to pursue strategies that deviate from the interests of other stockholders.</w:t>
      </w:r>
    </w:p>
    <w:p>
      <w:pPr>
        <w:spacing w:after="0" w:line="17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w:t>
      </w:r>
    </w:p>
    <w:p>
      <w:pPr>
        <w:spacing w:after="0" w:line="13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the best interests of our stockholders. These provisions may also prevent changes in our management or limit the price that investors are willing to pay for our stock.</w:t>
      </w:r>
    </w:p>
    <w:p>
      <w:pPr>
        <w:sectPr>
          <w:pgSz w:w="11900" w:h="16838" w:orient="portrait"/>
          <w:cols w:equalWidth="0" w:num="1">
            <w:col w:w="11240"/>
          </w:cols>
          <w:pgMar w:left="320" w:top="124" w:right="3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1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or our business. We do not have any control over these analysts. There can be no assurance that analysts will continue to cover us or provide favorable coverage. Securities or industry analysts may elect not to provide research coverage of our common stock,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our company and our directors, officers and employees.</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This exclusive forum provision will not apply to actions arising under the Securities Act of 1933, as amended, or the Securities Exchange Act of 1934, as amended.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information technology function and are designed to help protect our information assets and operations from internal and external cyber threats and employee, health care professionals, or HCPs, and patient information from unauthorized access or attack, as well as secure our networks and systems. Such processes include physical, procedural and technical safeguards, response plans, regular tests on our systems, incident simulations and routine review of our policies and procedures to identify risks and improve our practices. We engage certain external parties, including consultants, independent privacy assessors, and computer security firms to enhance our cybersecurity oversight. We consider the internal risk oversight programs of third-party service providers before engaging them in order to help protect us from any related vulnerabilities.</w:t>
      </w:r>
    </w:p>
    <w:p>
      <w:pPr>
        <w:spacing w:after="0" w:line="14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do not believe that there are currently any known risks from cybersecurity threats that are reasonably likely to materially affect us or our business strategy, results of operations or financial condition.</w:t>
      </w:r>
    </w:p>
    <w:p>
      <w:pPr>
        <w:spacing w:after="0" w:line="121"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The Audit Committee of the Board of Directors provides direct oversight over cybersecurity risk. The Audit Committee receives quarterly updates from management regarding cybersecurity matters, and is notified between such updates regarding significant new cybersecurity threats or incidents.</w:t>
      </w:r>
    </w:p>
    <w:p>
      <w:pPr>
        <w:spacing w:after="0" w:line="113"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Head of Information Technology leads the operational oversight of company-wide cybersecurity strategy, policy, standards and processes and works across relevant departments to assess and help prepare us and our employees and third-party service providers to address cybersecurity risks. The Head of Information Technology has over 12 years of experience within the life sciences industry building and maintaining cybersecurity programs. Our cybersecurity function, led by the Head of Information Technology, brings security credentials and expertise, with broad global cybersecurity and compliance experience in life science, healthcare, and federal government. In addition to our cybersecurity team, a managed security service provider provides us with additional coverage to monitor, detect and respond to threats and vulnerabilities.</w:t>
      </w:r>
    </w:p>
    <w:p>
      <w:pPr>
        <w:spacing w:after="0" w:line="14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an effort to deter and detect cyber threats, we provide all employees, including part-time and temporary employees, with cybersecurity information and training, which covers timely and relevant topics, including social engineering, phishing, password protection, confidential data protection, asset use and mobile security, and educates employees on the importance of reporting all incidents immediately. Our third-party risk management program is integrated with global sourcing and procurement, and requires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vendor risk assessments, incident reporting, and data protection controls. We also use technology-based tools to mitigate cybersecurity risks and to bolster our employee-based cybersecurity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Details of our principal properties as of December 31, 2025, are provided in the table below. We believe that our facilities are sufficient to meet our current needs and that suitable additional space will be available to us as and when needed.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60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20" w:type="dxa"/>
            <w:vAlign w:val="bottom"/>
          </w:tcPr>
          <w:p>
            <w:pPr>
              <w:spacing w:after="0"/>
              <w:rPr>
                <w:sz w:val="13"/>
                <w:szCs w:val="13"/>
                <w:color w:val="auto"/>
              </w:rPr>
            </w:pPr>
          </w:p>
        </w:tc>
        <w:tc>
          <w:tcPr>
            <w:tcW w:w="1860" w:type="dxa"/>
            <w:vAlign w:val="bottom"/>
            <w:vMerge w:val="restart"/>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Size</w:t>
            </w:r>
          </w:p>
        </w:tc>
        <w:tc>
          <w:tcPr>
            <w:tcW w:w="1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73"/>
        </w:trPr>
        <w:tc>
          <w:tcPr>
            <w:tcW w:w="4080" w:type="dxa"/>
            <w:vAlign w:val="bottom"/>
            <w:tcBorders>
              <w:bottom w:val="single" w:sz="8" w:color="auto"/>
            </w:tcBorders>
            <w:vMerge w:val="continue"/>
          </w:tcPr>
          <w:p>
            <w:pPr>
              <w:spacing w:after="0"/>
              <w:rPr>
                <w:sz w:val="15"/>
                <w:szCs w:val="15"/>
                <w:color w:val="auto"/>
              </w:rPr>
            </w:pPr>
          </w:p>
        </w:tc>
        <w:tc>
          <w:tcPr>
            <w:tcW w:w="3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Waltham, MA, USA</w:t>
            </w:r>
          </w:p>
        </w:tc>
        <w:tc>
          <w:tcPr>
            <w:tcW w:w="36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Corporate Headquarters</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77,818 sq. ft.</w:t>
            </w:r>
          </w:p>
        </w:tc>
        <w:tc>
          <w:tcPr>
            <w:tcW w:w="1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USA</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Office space</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 sq. ft.</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Zug, Switzerland</w:t>
            </w:r>
          </w:p>
        </w:tc>
        <w:tc>
          <w:tcPr>
            <w:tcW w:w="36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Office space</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 sq. m.</w:t>
            </w:r>
          </w:p>
        </w:tc>
        <w:tc>
          <w:tcPr>
            <w:tcW w:w="1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Munich, Germany</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Office space</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 sq. m.</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Subleased</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Watertown, MA, USA</w:t>
            </w:r>
          </w:p>
        </w:tc>
        <w:tc>
          <w:tcPr>
            <w:tcW w:w="36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Lab space</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 sq. ft.</w:t>
            </w:r>
          </w:p>
        </w:tc>
        <w:tc>
          <w:tcPr>
            <w:tcW w:w="1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March 2025, the United States District Court for the District Court of Massachusetts dismissed, without prejudice and without leave to amend, a putative class action complaint that was filed in August 2023 against the Company and certain current and former executive officers of the Company, which alleged,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and sought, among other relief, compensatory damages and equitable relief in favor of the alleged class against all defendants, including interest, and reasonable costs and expenses incurred by plaintiffs, including attorneys’ and expert fees. In April 2025, the plaintiffs filed an appeal to the United States Court of Appeals for the First Circuit, which conducted a hearing in January 2026.</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December 2024, purported stockholders filed putative stockholder derivative lawsuits in the United States District Court for the District of Massachusetts on behalf of the Company against the Company’s directors for breach of fiduciary duty, unjust enrichment, waste, and alleged violation of Section 14(a) of the Exchange Act related to the design of SYFOVRE’s clinical trials and the risks associated with SYFOVRE’s commercial adoption, and sought monetary and punitive damages, and costs, including attorneys’ fees. These cases were consolidated under the caption In re Apellis Pharmaceuticals, Inc. Derivative Litigation, No. 1:24-cv-13128-JEK in January 2025 and are stayed pending the outcome of the appeal in the United States Court of Appeals for the First Circuit of the dismissal of the securities class action.</w:t>
      </w:r>
    </w:p>
    <w:p>
      <w:pPr>
        <w:spacing w:after="0" w:line="7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Company’s businesses may also be subject at any time to commercial disputes, product liability claims, personal injury claims, third-party subpoenas or various other lawsuits arising in the ordinary course of business, including intellectual property infringement, employment or investor matters, and the Company expects that this will continue to be the case in the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80"/>
        <w:spacing w:after="0" w:line="479"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“APLS” since November 9, 2017. Prior to that date, there was no public trading market for our common stock.</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February 17, 2026, we had 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In addition, the Sixth Street Financing Agreement contains restrictive covenants that prohibit us, subject to certain exceptions, from paying dividends on our common stock, and future debt securities or other financing arrangements could contain similar or more restrictive negative covenants.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jc w:val="center"/>
        <w:ind w:left="520" w:right="320"/>
        <w:spacing w:after="0" w:line="407" w:lineRule="auto"/>
        <w:rPr>
          <w:sz w:val="20"/>
          <w:szCs w:val="20"/>
          <w:color w:val="auto"/>
        </w:rPr>
      </w:pPr>
      <w:r>
        <w:rPr>
          <w:rFonts w:ascii="Times New Roman" w:cs="Times New Roman" w:eastAsia="Times New Roman" w:hAnsi="Times New Roman"/>
          <w:sz w:val="18"/>
          <w:szCs w:val="18"/>
          <w:color w:val="auto"/>
        </w:rPr>
        <w:t>Information about our equity compensation plans is incorporated by reference herein to Item 12 of Part III of this Annual Report on Form 10-K.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of our future filings under the Securities Act of 1933, as amended, or the Securities Act, or the Exchange Act, except to the extent that we specifically incorporate it by reference into such filing.</w:t>
      </w:r>
    </w:p>
    <w:p>
      <w:pPr>
        <w:spacing w:after="0" w:line="14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between December 31, 2018 and December 31, 2025, with the cumulative total return of (a) the Nasdaq Composite Index and (b) the Nasdaq Biotechnology Index over the same period. The graph assumes the investment of $100 after the market close on December 31, 2018 in our common stock and each of the other indices described above. The comparisons are not intended to forecast or be indicative of future performance of our common stock. All amounts shown are based on the closing price of our common stock. Data for the Nasdaq Composite Index and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5897880" cy="4208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9788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We believe this approach has the potential to effectively control diseases with high unmet need that are driven by excessive complement activation. We currently have two marketed drugs that target C3, the central protein in the complement cascade: SYFOVRE (pegcetacoplan injection), approved by the U.S. Food and Drug Administration, or FDA, in February 2023 for the treatment of geographic atrophy secondary to age-related macular degeneration, or GA; and EMPAVELI (pegcetacoplan), approved by the FDA in May 2021 for the treatment of paroxysmal nocturnal hemoglobinuria, or PNH, and approved by the FDA in July 2025 for the treatment of C3 glomerulopathy, or C3G, and primary immune complex membranoproliferative glomerulonephritis, or primary IC-MPGN.</w:t>
      </w:r>
    </w:p>
    <w:p>
      <w:pPr>
        <w:spacing w:after="0" w:line="16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SYFOVRE has the potential to be the standard of care for patients with GA, a disease that affects an estimated 1.5 million people in the United States. While we have exclusive, worldwide commercialization rights for SYFOVRE, we intend to focus our commercialization efforts for SYFOVRE in the U.S. and explore international expansion in select markets, including Australia, where we received marketing approval in January 2025. We launched SYFOVRE in the United States in March 2023. For the years ended December 31, 2025 and 2024, we generated $586.9 million and $611.9 million, respectively, in U.S. net product revenue from sales of SYFOVRE. We are developing a next-generation therapy by combining SYFOVRE treatment with APL-3007, which is a small interfering RNA, or siRNA, aimed at comprehensively blocking complement activity in the retina and the choroid. We initiated a Phase 2 multi-dose clinical trial of this combination in patients with GA in June 2025.</w:t>
      </w:r>
    </w:p>
    <w:p>
      <w:pPr>
        <w:spacing w:after="0" w:line="14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believe that EMPAVELI has the potential to be a best-in-class treatment for a range of indications with high unmet needs. We have exclusive U.S. commercialization rights for EMPAVELI, and our collaboration partner, Swedish Orphan Biovitrum AB (Publ), or Sobi, has exclusive ex-U.S. commercialization rights for systemic pegcetacoplan. For the years ended December 31, 2025 and 2024, we generated $102.4 million and $98.1 million, respectively, in U.S. net product revenue from sales of EMPAVELI and received $13.2 million and $18.4 million, respectively, in royalties from Sobi.</w:t>
      </w:r>
    </w:p>
    <w:p>
      <w:pPr>
        <w:spacing w:after="0" w:line="139" w:lineRule="exact"/>
        <w:rPr>
          <w:sz w:val="20"/>
          <w:szCs w:val="20"/>
          <w:color w:val="auto"/>
        </w:rPr>
      </w:pPr>
    </w:p>
    <w:p>
      <w:pPr>
        <w:ind w:right="880" w:firstLine="509"/>
        <w:spacing w:after="0" w:line="266" w:lineRule="auto"/>
        <w:rPr>
          <w:sz w:val="20"/>
          <w:szCs w:val="20"/>
          <w:color w:val="auto"/>
        </w:rPr>
      </w:pPr>
      <w:r>
        <w:rPr>
          <w:rFonts w:ascii="Times New Roman" w:cs="Times New Roman" w:eastAsia="Times New Roman" w:hAnsi="Times New Roman"/>
          <w:sz w:val="18"/>
          <w:szCs w:val="18"/>
          <w:color w:val="auto"/>
        </w:rPr>
        <w:t>We initiated two pivotal clinical trials with EMPAVELI in the fourth quarter of 2025, one for the treatment of primary focal segmental glomerulosclerosis, or FSGS, and one for delayed graft function, or DGF. FSGS and DGF are both rare, severe nephrology conditions in which complement overactivation plays a significant role.</w:t>
      </w:r>
    </w:p>
    <w:p>
      <w:pPr>
        <w:spacing w:after="0" w:line="149"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7"/>
          <w:szCs w:val="17"/>
          <w:color w:val="auto"/>
        </w:rPr>
        <w:t>On July 1, 2025, we entered into a Royalty Buy-Down Agreement, or the Royalty Agreement, with our collaboration partner, Sobi, under which Sobi paid us an upfront payment of $275.0 million, and agreed to pay up to an aggregate of $25.0 million upon the European Medicines Agency, or EMA, approval of Aspaveli for C3G and primary IC-MPGN, and we agreed to reduce Sobi’s royalty payment obligations under our Collaboration and License Agreement with Sobi, or the Sobi Collaboration Agreement, by 90%, subject to defined caps tied to Aspaveli’s performance, including an initial cap of</w:t>
      </w:r>
    </w:p>
    <w:p>
      <w:pPr>
        <w:spacing w:after="0" w:line="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1.45x of the amounts paid by Sobi to us under the Royalty Agreement. If a cap is met, Sobi’s royalty payment obligations under the Sobi Collaboration Agreement will revert to 100%.</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2026, Sobi received EMA approval of Aspaveli for C3G and primary IC-MPGN. Sobi paid us our $25.0 million milestone in February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166"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auto"/>
        </w:rPr>
        <w:t>Finally, we are developing new product candidates to further advance our pipeline. Through our collaboration with Beam Therapeutics, Inc., or Beam, we have commenced preclinical studies for APL-9099, a treatment targeting the neonatal Fc receptor, or FcRn, which has the potential to be a first-in-class gene editing treatment for future target indications with one-time dosing. We are also developing other programs with our proprietary in-house capabilities and under our Beam collaboration.</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cumulative $2.6 billion in net proceeds from public offerings of our common stock and pre-funded warrants to purchase common stock, $414.7 million in payments and royalties from Sobi pursuant to our collaboration agreement, $300.0 million from the Royalty Agreement, $532.5 million under various credit arrangements, including with Sixth Street Lending Partners, or Sixth Street, and SFJ Pharmaceuticals Group, or SFJ, and $98.8 million relating to the unwinding of certain capped call transactions in March 2024, as well as from the proceeds of our operations. To date, we have exchanged $425.4 million and converted $0.7 million of aggregate principal amount of our Convertible Notes for shares of our common stock.</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Excluding the revenue generated from the Royalty Agreement with Sobi for the year ended December 31, 2025, we have incurred significant net operating losses in each year since inception and, while we anticipate achieving net operating income based on our current operating plan, we may not sustain profitability and could incur losses in the future. Our net income was $22.4 million, and our net losses were $197.9 million, and $528.6 million for the years ended December 31, 2025, 2024 and 2023, respectively. As of December 31, 2025, we had an accumulated deficit of $3.0 billion.</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PNH, C3G and primary IC-MPGN and the commercialization of SYFOVRE for the treatment of GA. In addition, we expect to continue to incur significant expenses if and as we continue to develop and conduct our ongoing and planned clinical trials of systemic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May 13, 2024, we entered into a financing agreement, or the Sixth Street Financing Agreement, with certain of our material subsidiaries as guarantors party thereto, the lenders party thereto, or the Lenders, and Sixth Street Lending Partners, as the administrative agent and collateral agent for the Lenders.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We did not draw down the additional $100.0 million and the option expired on September 30, 2025.</w:t>
      </w:r>
    </w:p>
    <w:p>
      <w:pPr>
        <w:spacing w:after="0" w:line="13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at an annual rate equal to 3-month Term SOFR (subject to 1.00% floor), plus 5.75%. Certain additional commitment and undrawn amount fees are also payable in connection with the Credit Facility</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We used the majority of the proceeds of the draw at closing to buy out our remaining obligations to SFJ, in the amount of approximately $326.5 million.</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We have the right to prepay loans under the Credit Facility at any time. We are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1, 2025, the lenders and Sixth Street Financing consented to the Royalty Agreement with Sobi, or the Sixth Street Consent, and, in connection with that the Sixth Street Consent, we agreed to extend by one year from the effective date of the Consent the periods in which certain prepayment premiums would be owed under the Sixth Street Financing Agreement. This effectively extended the period the prepayment premium would be owed from one year after the date of the initial draw, or May 13, 2024, to one year after the effective date of the Sixth Street Consent, or July 1, 2025.</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of our assets and assets of our material subsidiaries, including our intellectual property, and are guaranteed by our material subsidiaries, including foreign subsidiaries, subject to certain exceptions.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 $50.0 million if our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restricted in such agreements. For the year ended December 31, 2025, for the months in which our market capitalization did not meet the $3.0 billion covenant threshold, we maintained liquidity of at least $50.0 million. Among other permissions, we are permitted, on terms and conditions set forth on the Sixth Street Financing Agreement, to enter into a separate asset-based financing arrangement with a third-party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 We are subject to restrictions on sales and licensing transactions with respect to our core intellectual property, defined to include SYFOVRE, EMPAVELI, and other pegcetacoplan product assets, subject to certain exceptions, including certain transactions related to areas outside the United States and Europe.</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Sixth Street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us and our subsidiaries, and change of control.</w:t>
      </w:r>
    </w:p>
    <w:p>
      <w:pPr>
        <w:spacing w:after="0" w:line="13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May 13, 2024, we used proceeds from the Sixth Street Financing Agreement to buy out our remaining obligations owed to SFJ, in the amount of approximately $326.5 million. The buyout of the SFJ development liability eliminated the remaining $366.0 million in payments to SFJ, including a total of approximately $200.0 million payable in 2024 and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September 16, 2019, we completed a private offering of convertible notes, or the 2019 Convertible Notes, with an aggregate principal amount of $220.0 million issued pursuant to an indenture, or the Indenture, with U.S. Bank National Association, as trustee.</w:t>
      </w: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 </w:t>
      </w:r>
      <w:r>
        <w:rPr>
          <w:rFonts w:ascii="Times New Roman" w:cs="Times New Roman" w:eastAsia="Times New Roman" w:hAnsi="Times New Roman"/>
          <w:sz w:val="18"/>
          <w:szCs w:val="18"/>
          <w:color w:val="212529"/>
        </w:rPr>
        <w:t>The Convertible Notes will mature on September 15, 2026, 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converted earlier, redeemed or repurchased in accordance with their terms.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May 12, 20</w:t>
      </w:r>
      <w:r>
        <w:rPr>
          <w:rFonts w:ascii="Times New Roman" w:cs="Times New Roman" w:eastAsia="Times New Roman" w:hAnsi="Times New Roman"/>
          <w:sz w:val="18"/>
          <w:szCs w:val="18"/>
          <w:color w:val="212529"/>
        </w:rPr>
        <w:t>20,</w:t>
      </w:r>
      <w:r>
        <w:rPr>
          <w:rFonts w:ascii="Times New Roman" w:cs="Times New Roman" w:eastAsia="Times New Roman" w:hAnsi="Times New Roman"/>
          <w:sz w:val="18"/>
          <w:szCs w:val="18"/>
          <w:color w:val="auto"/>
        </w:rPr>
        <w:t xml:space="preserve"> we issued convertible notes, or the 2020 Convertible Notes, with an aggregate principal amount of $300.0 million. The net proceeds from the sale of the 2020 Convertible Notes were approximately $322.9 million after deducting the purchasers’ discounts and commission of $5.7 million and offering expenses of $0.3 million. We used $43.1 million of the net proceeds from the sale to pay the cost of the additional capped call transactions in May 2020 described below.</w:t>
      </w:r>
    </w:p>
    <w:p>
      <w:pPr>
        <w:spacing w:after="0" w:line="13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2019 Conve</w:t>
      </w:r>
      <w:r>
        <w:rPr>
          <w:rFonts w:ascii="Times New Roman" w:cs="Times New Roman" w:eastAsia="Times New Roman" w:hAnsi="Times New Roman"/>
          <w:sz w:val="18"/>
          <w:szCs w:val="18"/>
          <w:color w:val="212529"/>
        </w:rPr>
        <w:t>rtible Notes and the 2020 Convertible Notes are referred to together as the Convertible Notes. The Convertible Notes are our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unsecured obligations and bear interest at a rate of 3.5% per year payable semiannually in arrears on March 15 and September 15 of each year, beginning on March 15, 2020.</w:t>
      </w:r>
    </w:p>
    <w:p>
      <w:pPr>
        <w:spacing w:after="0" w:line="13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117" w:lineRule="exact"/>
        <w:rPr>
          <w:sz w:val="20"/>
          <w:szCs w:val="20"/>
          <w:color w:val="auto"/>
        </w:rPr>
      </w:pPr>
    </w:p>
    <w:p>
      <w:pPr>
        <w:ind w:left="1020" w:right="20" w:hanging="503"/>
        <w:spacing w:after="0" w:line="266" w:lineRule="auto"/>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during any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7" w:lineRule="exact"/>
        <w:rPr>
          <w:rFonts w:ascii="Times New Roman" w:cs="Times New Roman" w:eastAsia="Times New Roman" w:hAnsi="Times New Roman"/>
          <w:sz w:val="18"/>
          <w:szCs w:val="18"/>
          <w:color w:val="212529"/>
        </w:rPr>
      </w:pPr>
    </w:p>
    <w:p>
      <w:pPr>
        <w:ind w:left="1020" w:right="6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our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corporate events specified in the Indenture.</w:t>
      </w:r>
    </w:p>
    <w:p>
      <w:pPr>
        <w:spacing w:after="0" w:line="18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regardless of the foregoing circumstances. Upon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conversion of the Convertible Notes, we will pay or deliver, as the case may be, cash, shares of our common stock or a combination of cash and shares of common stock, at our election.</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During 2021 and 2022, holders of our 2019 and 2020 Convertible Notes converted approximately $425.4 million in aggregate principal amount into </w:t>
      </w:r>
      <w:r>
        <w:rPr>
          <w:rFonts w:ascii="Times New Roman" w:cs="Times New Roman" w:eastAsia="Times New Roman" w:hAnsi="Times New Roman"/>
          <w:sz w:val="18"/>
          <w:szCs w:val="18"/>
          <w:color w:val="212529"/>
        </w:rPr>
        <w:t>a total of 12,926,104 shares of our common stock. We accounted for these exchanges as induced conversions, resulting in the expensing of the fair value of shares issued in excess of the number of shares that would have been issued upon conversion pursuant to the original terms of the Convertible Notes.</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212529"/>
        </w:rPr>
        <w:t>None of the circumstances outlined above were achieved during the years ended December 31, 2025 and 2024, and as such, the conditional conversion feature of the Convertible Notes was not triggered as of December 31, 2025 and 2024.</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have not called for redemption of any of the Convertible Notes as of December 31, 2025.</w:t>
      </w:r>
    </w:p>
    <w:p>
      <w:pPr>
        <w:spacing w:after="0" w:line="15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and 2024, we held in treasury Convertible Notes in principal amount of $425.4 million which have not been cancelled.</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12529"/>
        </w:rPr>
        <w:t>As the Convertible Notes mature on September 15, 2026, we have classified the Convertible Note as current liabilities as of December 31, 2025 and non-current liabilities as of December 31, 2024 on our consolidated balance sheets.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12529"/>
        </w:rPr>
        <w:t>In September 2019 and May 2020, concurrently with the pricing of the 2019 Convertible Notes and 2020 Convertible Notes, respectively, we entered into capped call transactions with two counterparties. The capped call transactions are expected generally to reduce the potential dilution to our common stock upon any conversion of Convertible Notes and/or offset any cash payments we are required to make in excess of the principal amount of converted Convertible Notes, as the case may be, in the event that the market price per share of our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our common stock, as measured under the terms of the capped call transactions, exceeds $63.14, the cap price of the capped call transactions, there would nevertheless be dilution and/or there would not be an offset of such potential cash payments, in each case, to the extent that such market price exceeds the cap price of the capped call transactions.</w:t>
      </w:r>
    </w:p>
    <w:p>
      <w:pPr>
        <w:spacing w:after="0" w:line="16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12529"/>
        </w:rPr>
        <w:t>On February 27, 2024, we unwound a portion of the capped call transactions with the capped call counterparties, which resulted in cash proceeds to us of $98.8 million. The unwind transactions were settled at a volume-weighted average price per share of $64.11 on March 8, 2024.</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On </w:t>
      </w:r>
      <w:r>
        <w:rPr>
          <w:rFonts w:ascii="Times New Roman" w:cs="Times New Roman" w:eastAsia="Times New Roman" w:hAnsi="Times New Roman"/>
          <w:sz w:val="18"/>
          <w:szCs w:val="18"/>
          <w:color w:val="000000"/>
        </w:rPr>
        <w:t>October 27, 2020, we entered into the Sobi Collaboration Agreement, concerning the development and commercialization of pegcetacoplan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Under the Sobi Collaboration Agreement, Sobi made an upfront payment of $250.0 million in November 2020, and agreed to pay up to an aggregate of $915.0 million upon the achievement of specified one-time regulatory and commercial milestone events, including a $50.0 million milestone payable following the first regulatory and reimbursement approval of systemic pegcetacoplan in any major European country, and to reimburse us for up to $80.0 million in development costs for agreed-upon indications (further described in Note 10 of the consolidated financial statements to this Annual</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Report on Form 10-K). Since contract inception, we have recognized $65.0 million in contra-research and development expenses and waived the remaining $15.0 million in connection with the decision to discontinue the CAD program.</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European Commission approved systemic Aspaveli (pegcetacoplan) for the treatment of adults with PNH in December 2021. In March 2022, we earned a $50.0 million payment from Sobi related to the first regulatory and reimbursement milestone in Europe, which we received in April 2022. Through June 30, 2025, we were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On July 1, 2025, we and certain of our subsidiaries entered into the Royalty Agreement, under which we agreed to reduce Sobi’s royalty payment obligations under the Collaboration Agreement by 90%, effective as of July 1, 2025, subject to defined caps tied to Aspaveli’s performance, including an initial cap of 1.45x of the amounts paid by Sobi to us under the Royalty Agreement. If a cap is met, Sobi’s royalty payment obligations under the Sobi Collaboration Agreement will revert to 100%. We remain responsible for our license fee obligations (including royalty obligations) to the Trustees of the University of Pennsylvania, or Penn, as a licensor of ours.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product sales of EMPAVELI and SYFOVRE, and revenues derived from the Sobi Collaboration Agreement.</w:t>
      </w:r>
    </w:p>
    <w:p>
      <w:pPr>
        <w:spacing w:after="0" w:line="19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 is derived from our sales of our commercial products, EMPAVELI and SYFOVRE, primarily recognized in the United States</w:t>
      </w:r>
      <w:r>
        <w:rPr>
          <w:rFonts w:ascii="Times New Roman" w:cs="Times New Roman" w:eastAsia="Times New Roman" w:hAnsi="Times New Roman"/>
          <w:sz w:val="18"/>
          <w:szCs w:val="18"/>
          <w:color w:val="212529"/>
        </w:rPr>
        <w:t>.</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Licensing and Other Revenue</w:t>
      </w:r>
    </w:p>
    <w:p>
      <w:pPr>
        <w:spacing w:after="0" w:line="18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Cost of sales consists primarily of costs associated with the manufacturing of EMPAVELI and SYFOVRE, product supplied to Sobi, and royalties owed to our licensor for such sales, and certain period costs.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4" w:lineRule="exact"/>
        <w:rPr>
          <w:sz w:val="20"/>
          <w:szCs w:val="20"/>
          <w:color w:val="auto"/>
        </w:rPr>
      </w:pPr>
    </w:p>
    <w:p>
      <w:pPr>
        <w:ind w:left="1020" w:right="3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19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historically we have not tracked or recorded our research and development expenses on a program</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-by-program basis from inception.</w:t>
      </w:r>
    </w:p>
    <w:p>
      <w:pPr>
        <w:spacing w:after="0" w:line="19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in clinical development is highly uncertain. Accordingly, at this time, we cannot reasonably estimate the nature, timing and costs of the efforts that will be necessary to complete the remainder of the clinical development of these product candidates. We are also unable to predict when, if ever, material net cash inflows will commence from pegcetacoplan in other jurisdictions and indications or any other potential product candidates. This is due to the numerous risks and uncertainties associated with developing therapeutics, including the uncertainties of:</w:t>
      </w:r>
    </w:p>
    <w:p>
      <w:pPr>
        <w:spacing w:after="0" w:line="72"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18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product candidate development programs continue to progress and expand.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20" w:firstLine="554"/>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associated with the commercialization of approved products and general and administrative costs to support operations, including salaries, bonuses, benefits and share-based compensation. Selling expenses include product marketing, sales operations costs, and other costs incurred to support our sales efforts. General and administrative expenses include corporate support functions, such as executive management, finance and accounting, business development, legal, human resources, information technology, and associated external costs to support those functions. Other significant costs include costs associated with medical affairs, drug safety and pharmacovigilance, quality and regulatory costs not otherwise included in research and development expenses, legal fees relating to patent and corporate matters, and fees for accounting and consulting services. Marketing and advertising costs include marketing literature, promotional activities, conferences and seminars, branding and sponsorships.</w:t>
      </w:r>
    </w:p>
    <w:p>
      <w:pPr>
        <w:spacing w:after="0" w:line="1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expect our selling, general and administrative expenses will increase in the future to support continued research and commercial activities for our approved products, potential commercialization of our product candidates and costs of operating as a public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reporting periods. On an ongoing basis, we evaluate our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of the consolidated financial statements to this Annual Report on Form 10-K. We believe that the following accounting policies are the most critical to aid you in fully understanding and evaluating our financial condition and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recognize revenue from product sales at the net sales price which includes estimates of variable consideration for which reserves are established and reflects each of these as a reduction to the revenue. Overall, these reserves reflect our best estimates of the amount of consideration to which we are entitled based on the terms of the contract. The amount of variable consideration that is included in the transaction price may be constrained. Actual amounts of consideration ultimately received may differ from our estimates. If actual results in the future vary from estimates, we may need to adjust estimates, which would affect net revenue in the period of adjustment. The following are the variable considerations with critical accounting estimates:</w:t>
      </w:r>
    </w:p>
    <w:p>
      <w:pPr>
        <w:spacing w:after="0" w:line="181"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Consistent with industry practice, we offer specialty pharmacies, or SPs, and specialty distributors, or SDs limited product return rights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damaged in shipping or shipped in error, short-dated, expired, recalled, or discontinued products; provided that the return is within a specified period around the product expiration date as set forth in the applicable individual distribution agreement. We do not allow product returns for product that has been dispensed to a patient. As we receive inventory reports from SPs and SDs and have visibility into the inventory distribution channel, we are able to make a reasonable estimate of future potential product returns based on this on-hand channel inventory data and sell-through data obtained from SPs and SDs. In arriving at our estimate for product returns, we also consider historical product returns and the underlying product demand.</w:t>
      </w:r>
    </w:p>
    <w:p>
      <w:pPr>
        <w:spacing w:after="0" w:line="182" w:lineRule="exact"/>
        <w:rPr>
          <w:sz w:val="20"/>
          <w:szCs w:val="20"/>
          <w:color w:val="auto"/>
        </w:rPr>
      </w:pPr>
    </w:p>
    <w:p>
      <w:pPr>
        <w:jc w:val="both"/>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GPO Rebates</w:t>
      </w:r>
      <w:r>
        <w:rPr>
          <w:rFonts w:ascii="Times New Roman" w:cs="Times New Roman" w:eastAsia="Times New Roman" w:hAnsi="Times New Roman"/>
          <w:sz w:val="18"/>
          <w:szCs w:val="18"/>
          <w:color w:val="auto"/>
        </w:rPr>
        <w:t>: Commercial rebates are based on (i) our estimates of end-user purchases through a group purchasing organization, or GPO, (ii)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contractual rebate percentage tier we expect each GPO to achieve, and (iii) our estimates of the impact of any prospective rebate program changes made by us.</w:t>
      </w:r>
    </w:p>
    <w:p>
      <w:pPr>
        <w:spacing w:after="0" w:line="106" w:lineRule="exact"/>
        <w:rPr>
          <w:sz w:val="20"/>
          <w:szCs w:val="20"/>
          <w:color w:val="auto"/>
        </w:rPr>
      </w:pPr>
    </w:p>
    <w:p>
      <w:pPr>
        <w:jc w:val="both"/>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Card </w:t>
      </w:r>
      <w:r>
        <w:rPr>
          <w:rFonts w:ascii="Times New Roman" w:cs="Times New Roman" w:eastAsia="Times New Roman" w:hAnsi="Times New Roman"/>
          <w:sz w:val="18"/>
          <w:szCs w:val="18"/>
          <w:color w:val="auto"/>
        </w:rPr>
        <w:t>Fees: SDs will sell downstream to customers who may pay for product via credit card. We will reimburse its SDs for the credit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incurred as a result of SDs accepting credit cards as a form of payment from the downstream customers. Credit card fees are recorded as an offset to revenue based on the average aggregate credit card rate as a percentage of SD sales at the time revenue from the sale is recognized.</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with cost determined on a first-in, first-out basis. Inventory costs include third-party contract manufacturing, third-party packaging services, labor, overhead, and freight. We perform an assessment of the recoverability of capitalized inventory during each reporting period, and write down any excess and obsolete inventories to their estimated realizable value. Expenses incurred related to excess and obsolete inventories are recorded within cost of sales. The determination of whether inventory costs will be realizable requires estimates by management. Provisions for potentially obsolete or slow-moving inventory are made based on our analysis of product dating, inventory levels, historical obsolescence and future sales forecasts. If actual market conditions are less favorable than projected by management, additional write-downs of inventory may be required which would be recorded as cost of sales in the consolidated statements of operations and comprehensive income/(loss).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contract manufacturing organizations, or CMOs, in connection with research and development activities for which we have not yet been invoiced.</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CROs and CMOs on our estimates of the services received and efforts expended pursuant to quotes and contracts with CROs and CMOs. The financial terms of these agreements are subject to negotiation, vary from contract to contract and may result in uneven payment flows. There may be instances in which payments made to our CROs and CMOs will exceed the level of services provided and result in a prepayment of the research and development expense. In accruing service fees, we estimate the time-period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expense amounts that are too high or too low in any particular period. To date, there have been no material differences between our estimates of such expenses and the amounts actually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together with the dollar increase or decrease and percentage change in those items: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26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20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 revenue, 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689,383</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709,954</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(20,571)</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71,413</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242,986</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r>
      <w:tr>
        <w:trPr>
          <w:trHeight w:val="20"/>
        </w:trPr>
        <w:tc>
          <w:tcPr>
            <w:tcW w:w="4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1,003,782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781,367</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222,415</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117,723</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(15,487)</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327,570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(31,716)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501,053</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49,212</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946,346</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2,009</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income/(loss)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(164,979)</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220,406</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1,949</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12,773</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370</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(44,327)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(40,391)</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(3,936)</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2,037</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4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before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(196,716)</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220,826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560</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(197,878)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220,266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4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-1293495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-1293495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-1293495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-453390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-453390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-453390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-170815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product revenue, net is derived from sales of EMPAVELI and SYFOVRE in the United States. The net product revenue of $689.4 million for the year ended December 31, 2025, consists of $102.4 million in net product revenue from sales of EMPAVELI and $586.9 million in net product revenue from sales of SYFOVRE. The net product revenue of $710.0 million for the year ended December 31, 2024, consists of $98.1 million in net product revenue from sales of EMPAVELI and $611.9 million in net product revenue from sales of SYFOVRE. The decrease of $20.6 million primarily relates to increased rebates, which were partially offset by an increase in volume.</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Licensing and other revenue of $314.4 million for the year ended December 31, 2025 consisted of $26.2 million in revenue from product supplied to Sobi, $13.2 million in royalty revenue from Sobi and $275.0 million from the Royalty Agreement. Licensing and other revenue of $71.4 million for the year ended December 31, 2024 consisted of $53.0 million in revenue from product supplied to Sobi, and $18.4 million in royalty revenue from Sobi. The increase in licensing and other revenue is primarily driven by the $275.0 million upfront payment related to the Royalty Agreement, partially offset by a $5.2 million decrease in royalties received due to a decrease in the royalty rate pursuant the Royalty Agreement effective July 1, 2025 and a decrease of $26.8 million in product supply to Sobi.</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Cost of sales decreased by $15.5 million, primarily driven by a $15.8 million decrease due to lower volume of product supplied to Sobi, a decrease of $5.2 million in costs incurred in connection with the cancellation of purchase commitments, and a decrease of $3.1 million in expenses incurred related to excess, obsolete or scrapped inventory. The decreases were partially offset by an increase</w:t>
      </w:r>
    </w:p>
    <w:p>
      <w:pPr>
        <w:sectPr>
          <w:pgSz w:w="11900" w:h="16838" w:orient="portrait"/>
          <w:cols w:equalWidth="0" w:num="1">
            <w:col w:w="11220"/>
          </w:cols>
          <w:pgMar w:left="320" w:top="124" w:right="35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$8.1 million due to higher volumes from commercial sales and product provided under our patient assistance programs and an increase of $0.5 million in royalty expense.</w:t>
      </w:r>
    </w:p>
    <w:p>
      <w:pPr>
        <w:spacing w:after="0" w:line="5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addition, prior to receiving FDA approval for EMPAVELI and SYFOVRE, the costs associated with the manufacture of EMPAVELI and SYFOVRE inventory were expensed as incurred as research and development expense. This resulted in inventory being sold during the years ended December 31, 2025 and 2024 for which a portion of the costs had been previously expensed prior to FDA approval. This did not materially impact cost of sales for the year ended December 31, 2025 and 2024, respectively. We expect this to continue to impact cost of sales and research and development expense as we continue to sell to customers or use the remaining pre-FDA approved inventory in preclinical or clinical studies. As of December 31, 2025 and 2024, respectively, the remaining pre-FDA approved inventory was $17.8 million and $19.5 million, which primarily consisted of raw materials and semi-finished goods.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years ended December 31, 2025 and 2024, together with the dollar increase or decrease and percentage change in those items: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r>
      <w:tr>
        <w:trPr>
          <w:trHeight w:val="209"/>
        </w:trPr>
        <w:tc>
          <w:tcPr>
            <w:tcW w:w="4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PNH</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(7,344)</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C3G &amp; IC-MPGN</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(11,539)</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HSCT-TMA</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59,134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development and discovery programs (1)</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163,985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187,456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(23,471)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(3,384)</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6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(3,384)</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expenses</w:t>
            </w:r>
          </w:p>
        </w:tc>
        <w:tc>
          <w:tcPr>
            <w:tcW w:w="10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(4,861)</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4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295,854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327,570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(31,716)</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-864870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-864870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-864870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-307975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-307975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-307975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80" w:firstLine="8"/>
        <w:spacing w:after="0" w:line="282"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discontinued clinical activities related to the ALS and CAD programs, amounting to $0.9 million and $21.9 million for the year ended December 31, 2025 and 2024, respectively.</w:t>
      </w:r>
    </w:p>
    <w:p>
      <w:pPr>
        <w:spacing w:after="0" w:line="54"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$31.7 million for the year ended December 31, 2025 compared to the year ended December 31, 2024. The decrease was primarily attributable to a $23.5 million decrease in program specific external costs, a $5.1 million decrease in compensation and related personnel costs and a $3.4 million decrease in non-program specific external costs.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decrease in our program-specific external costs of $23.5 million was driven by a $7.3 million decrease in PNH costs due to lower costs incurred given reduced clinical activities, an $11.5 million decrease in C3G and primary IC-MPGN costs due to lower costs related to the VALIANT study as the Phase 3 trial was completed in 2024. Other development and discovery programs decreased by $20.1 million related to the discontinuation of the CAD program previously announced in 2024, partially offset by an increase of $12.7 million in costs primarily attributable to our efforts on the Beam FcRn collaboration (APL-9099), and an increase of $3.8 million in GA costs associated with the continued product lifecycle development.</w:t>
      </w:r>
    </w:p>
    <w:p>
      <w:pPr>
        <w:spacing w:after="0" w:line="75" w:lineRule="exact"/>
        <w:rPr>
          <w:sz w:val="20"/>
          <w:szCs w:val="20"/>
          <w:color w:val="auto"/>
        </w:rPr>
      </w:pPr>
    </w:p>
    <w:p>
      <w:pPr>
        <w:ind w:left="260" w:right="1280" w:firstLine="254"/>
        <w:spacing w:after="0" w:line="375" w:lineRule="auto"/>
        <w:rPr>
          <w:sz w:val="20"/>
          <w:szCs w:val="20"/>
          <w:color w:val="auto"/>
        </w:rPr>
      </w:pPr>
      <w:r>
        <w:rPr>
          <w:rFonts w:ascii="Times New Roman" w:cs="Times New Roman" w:eastAsia="Times New Roman" w:hAnsi="Times New Roman"/>
          <w:sz w:val="18"/>
          <w:szCs w:val="18"/>
          <w:color w:val="auto"/>
        </w:rPr>
        <w:t xml:space="preserve">The decrease in compensation and related personnel costs of $5.1 million was driven by the decrease in share-based compensation. </w:t>
      </w:r>
      <w:r>
        <w:rPr>
          <w:rFonts w:ascii="Times New Roman" w:cs="Times New Roman" w:eastAsia="Times New Roman" w:hAnsi="Times New Roman"/>
          <w:sz w:val="18"/>
          <w:szCs w:val="18"/>
          <w:i w:val="1"/>
          <w:iCs w:val="1"/>
          <w:color w:val="auto"/>
        </w:rPr>
        <w:t>Selling, General and Administrative Expenses</w:t>
      </w:r>
    </w:p>
    <w:p>
      <w:pPr>
        <w:spacing w:after="0" w:line="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$49.2 million for the year ended December 31, 2025 compared to the year ended December 31, 2024. The increase was primarily attributable to $34.0 million in total contributions to patient assistance organizations, of which $21.5 million was paid in the fourth quarter of 2025 for support in 2026. The remaining $15.7 million increase as compared to the prior year was primarily due to an increase of $7.6 million in personnel related costs, an increase of $5.9 million in professional and consulting fees, and an increase of $3.6 million in other general and administrative expenses, including office costs, travel, and accounts receivable factoring fees, partially offset by a decrease of $1.4 million in general commercial activities.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Loss on extinguishment of development liability</w:t>
      </w:r>
    </w:p>
    <w:p>
      <w:pPr>
        <w:spacing w:after="0" w:line="119"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We paid our remaining obligations under our agreement with SFJ in full in May 2024. We concluded that the development liability was extinguished as of the payoff date. The difference of $1.9 million between the reacquisition price of $326.5 million and the net carrying value of the development liability of $324.6 million was recorded as a loss on the extinguishment of the development liability as of December 31, 2024.</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Interest income increased by $0.4 million for the year ended December 31, 2025, compared to the year ended December 31, 2024. The increase in interest income was primarily attributable to an increase in money market funds during the year ended December 31, 2025.</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Interest expense increased by $3.9 million for the year ended December 31, 2025, compared to the year ended December 31, 2024. The increase is primarily due to the interest incurred under the Credit Facility, which we entered into in May 2024.</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Other expense decreased by $2.0 million for the year ended December 31, 2025, compared to the year ended December 31, 2024. The decrease was primarily due to favorable foreign exchange rate fluctuations.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increased by $0.6 million for the year ended December 31, 2025, compared to the year ended December 31, 2024. The increase is primarily due to an increase in state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21" w:lineRule="exact"/>
        <w:rPr>
          <w:sz w:val="20"/>
          <w:szCs w:val="20"/>
          <w:color w:val="auto"/>
        </w:rPr>
      </w:pPr>
    </w:p>
    <w:p>
      <w:pPr>
        <w:ind w:right="60" w:firstLine="562"/>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2024 compared to the year ended December 31, 2023 has been omitted from this Annual Report on Form 10-K but may be found in “Item 7. Management’s Discussion and Analysis of Financial Condition and Results of Operations” in our Annual Report on Form 10-K for the year ended December 31, 2024, filed with the SEC on February 28, 2025, and incorporated by reference into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cumulative $2.6 billion in net proceeds from public offerings of our common stock and pre-funded warrants to purchase common stock, $414.7 million in payments and royalties from Sobi pursuant to our collaboration agreement, $300.0 million from the Royalty Agreement, $532.5 million under various credit arrangements, including with Sixth Street and SFJ, and $98.8 million relating to the unwinding of certain capped call transactions in March 2024, as well as from the proceeds of our operations. To date, we have exchanged $425.4 million and converted $0.7 million of aggregate principal amount of our Convertible Notes for shares of our common stock.</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2024, we entered into the Sixth Street Financing Agreement, which provides for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by September 30, 2025. We did not draw down the additional $100.0 million and the option expired September 30, 2025.</w:t>
      </w:r>
    </w:p>
    <w:p>
      <w:pPr>
        <w:spacing w:after="0" w:line="13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August 2024, we entered into an agreement, or the Factoring Agreement to sell certain accounts receivable to a third-party financial institution at a discount to the face value of the accounts receivable. Under the Factoring Agreement, the maximum amount of outstanding accounts receivables sold at any time is $100.0 million. The accounts receivable sold that remained outstanding as of December 31, 2024 was $86.1 million. There were no accounts receivable sold as of December 31, 2025.</w:t>
      </w:r>
    </w:p>
    <w:p>
      <w:pPr>
        <w:spacing w:after="0" w:line="13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2023, we entered into a sales agreement, or the sales agreement, with Cowen and Company, LLC, or Cowen, as agent, pursuant to which we may offer and sell shares of our common stock having an aggregate offering from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year ended December 31, 2025.</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2023, we issued and sold 4,007,936 shares of our common stock and, in lieu of common stock to investors who so chose, pre-funded warrants to purchase 2,380,956 shares of our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 For the period ended December 31, 2024, 2,299,991 shares of common stock were issued upon the exercise of pre-funded warrants. As of December 31, 2025, pre-funded warrants to purchase 80,956 shares of our common stock were still outstanding.</w:t>
      </w:r>
    </w:p>
    <w:p>
      <w:pPr>
        <w:spacing w:after="0" w:line="165"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In February 2024, we entered into agreements with the capped call counterparties to unwind a portion of the capped call transactions. The unwind agreements applied to the portion of the capped call transactions in a notional amount corresponding to the $426.1 million principal amount of Convertible Notes that we held in treasury as of December 31, 2024 or have been previously converted. The unwind transactions were settled at volume-weighted average price per share of $64.11, which resulted in cash proceeds to us of $98.8 million. As of December 31, 2025, the remaining capped call transactions had a notional amount corresponding to $93.9 million principal amount of Convertible Notes, which expires in September 2026.</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2025 and 2024:</w:t>
      </w:r>
    </w:p>
    <w:p>
      <w:pPr>
        <w:sectPr>
          <w:pgSz w:w="11900" w:h="16838" w:orient="portrait"/>
          <w:cols w:equalWidth="0" w:num="1">
            <w:col w:w="11220"/>
          </w:cols>
          <w:pgMar w:left="320" w:top="124" w:right="359" w:bottom="1440" w:gutter="0" w:footer="0" w:header="0"/>
        </w:sectPr>
      </w:pPr>
    </w:p>
    <w:p>
      <w:pPr>
        <w:spacing w:after="0" w:line="23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p>
      <w:pPr>
        <w:ind w:left="1700" w:right="1540"/>
        <w:spacing w:after="0" w:line="261" w:lineRule="auto"/>
        <w:rPr>
          <w:sz w:val="20"/>
          <w:szCs w:val="20"/>
          <w:color w:val="auto"/>
        </w:rPr>
      </w:pPr>
      <w:r>
        <w:rPr>
          <w:rFonts w:ascii="Times New Roman" w:cs="Times New Roman" w:eastAsia="Times New Roman" w:hAnsi="Times New Roman"/>
          <w:sz w:val="18"/>
          <w:szCs w:val="18"/>
          <w:color w:val="auto"/>
        </w:rPr>
        <w:t>Net cash provided by/(used in) operating activities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-273685</wp:posOffset>
            </wp:positionV>
            <wp:extent cx="498919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1700"/>
        <w:spacing w:after="0" w:line="260"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-9525</wp:posOffset>
            </wp:positionV>
            <wp:extent cx="4989195"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Provided by/(Used in) Operating Activities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45,327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(87,866)</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149,241</w:t>
            </w:r>
          </w:p>
        </w:tc>
      </w:tr>
      <w:tr>
        <w:trPr>
          <w:trHeight w:val="4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55,148</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97" w:lineRule="exact"/>
        <w:rPr>
          <w:sz w:val="20"/>
          <w:szCs w:val="20"/>
          <w:color w:val="auto"/>
        </w:rPr>
      </w:pPr>
    </w:p>
    <w:p>
      <w:pPr>
        <w:sectPr>
          <w:pgSz w:w="11900" w:h="16838" w:orient="portrait"/>
          <w:cols w:equalWidth="0" w:num="2">
            <w:col w:w="6880" w:space="220"/>
            <w:col w:w="4120"/>
          </w:cols>
          <w:pgMar w:left="320" w:top="124" w:right="359" w:bottom="1440" w:gutter="0" w:footer="0" w:header="0"/>
          <w:type w:val="continuous"/>
        </w:sect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$45.3 million for the year ended December 31, 2025, and consisted primarily of a net income of $22.4 million, adjusted for $108.1 million of non-cash items, including share-based compensation expense of $104.0 million, depreciation expense of $1.6 million, and amortization of discounts for the Credit Facility and Convertible Notes of $2.5 million. Further, it included a net increase in operating assets and liabilities of $85.2 million, which was driven by an increase in accounts receivable of $101.3 million, given we did not factor any accounts receivable in the second half of 2025, an increase in inventory of $15.3 million, primarily due to timing of inventory receipts in December 2025, an increase in prepaid and other current assets of $8.1 million, an increase in other assets of $4.1 million, an increase in accounts payable of $18.2 million, and an increase in accrued expenses and other liabilities of $25.4 million.</w:t>
      </w:r>
    </w:p>
    <w:p>
      <w:pPr>
        <w:spacing w:after="0" w:line="14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$87.9 million for the year ended December 31, 2024 and consisted primarily of a net loss of $197.9 million, adjusted for $128.4 million of non-cash items, including share-based compensation expense of $114.1 million, depreciation expense of $1.8 million, loss on extinguishment of development liability of $1.9 million and accretion of discount to the development liability of $8.9 million. Further, it included a net increase in operating assets and liabilities of $18.4 million, which was driven by an increases in accounts receivable of $58.5 million, an increase in inventory of $10.8 million, a decrease in prepaid and other current assets of $31.2 million, an increase in accounts payable of $1.1 million, and an increase in accrued expenses and other liabilities of $18.2 million. The change in accounts receivable was primarily driven by the derecognition of certain accounts receivable under our Factoring Agreement.</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00" w:lineRule="exact"/>
        <w:rPr>
          <w:sz w:val="20"/>
          <w:szCs w:val="20"/>
          <w:color w:val="auto"/>
        </w:rPr>
      </w:pPr>
    </w:p>
    <w:p>
      <w:pPr>
        <w:ind w:left="260" w:right="1420" w:firstLine="254"/>
        <w:spacing w:after="0" w:line="407" w:lineRule="auto"/>
        <w:rPr>
          <w:sz w:val="20"/>
          <w:szCs w:val="20"/>
          <w:color w:val="auto"/>
        </w:rPr>
      </w:pPr>
      <w:r>
        <w:rPr>
          <w:rFonts w:ascii="Times New Roman" w:cs="Times New Roman" w:eastAsia="Times New Roman" w:hAnsi="Times New Roman"/>
          <w:sz w:val="18"/>
          <w:szCs w:val="18"/>
          <w:color w:val="auto"/>
        </w:rPr>
        <w:t xml:space="preserve">Net cash used in investing activities during the year ended December 31, 2025 and 2024 was related to purchases of fixed assets. </w:t>
      </w:r>
      <w:r>
        <w:rPr>
          <w:rFonts w:ascii="Times New Roman" w:cs="Times New Roman" w:eastAsia="Times New Roman" w:hAnsi="Times New Roman"/>
          <w:sz w:val="18"/>
          <w:szCs w:val="18"/>
          <w:i w:val="1"/>
          <w:iCs w:val="1"/>
          <w:color w:val="auto"/>
        </w:rPr>
        <w:t>Net Cash Provided by Financing Activities</w:t>
      </w:r>
    </w:p>
    <w:p>
      <w:pPr>
        <w:spacing w:after="0" w:line="1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$8.9 million during the year ended December 31, 2025, and consisted primarily of $5.5 million of proceeds from the exercise of stock options and $3.4 million of proceeds from the issuance of our common stock under the employee stock purchase plan.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$149.2 million during the year ended December 31, 2024 and consisted primarily of net proceeds from the initial draw of the Credit Facility of $358.2 million, the settlement of capped call unwind transactions of $98.8 million, $14.3 million of proceeds from the exercise of stock options and $4.5 million of proceeds from the issuance of our common stock under the employee stock purchase plan, partially offset by repayment of $326.5 million for the development liability.</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to support our ongoing commercial activities related to product manufacturing, marketing, sales and distribution of EMPAVELI for PNH, C3G and primary IC-MPGN, and SYFOVRE for GA. In addition, we expect to continue to incur expenses as we prioritize the ongoing development of systemic pegcetacoplan and focus our research initiatives on high potential opportunities.</w:t>
      </w:r>
    </w:p>
    <w:p>
      <w:pPr>
        <w:spacing w:after="0" w:line="17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2025, together with the cash that we anticipate will be generated from sales of EMPAVELI and SYFOVRE, we expect that our current cash and cash equivalents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83"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We are devoting substantial resources to the commercialization of SYFOVRE for GA and EMPAVELI for the treatment of PNH, C3G and primary IC-MPGN. We are also devoting substantial resources to our pivotal clinical trials of EMPAVELI for the treatment of FSGS and DGF, and the development of our product candidates. Because of the numerous risks and uncertainties associated with the commercialization of EMPAVELI and SYFOVRE and the development of our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ind w:left="1020" w:right="1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sell EMPAVELI in the United State and SYFOVRE in the United States, Australia and select other jurisdiction;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commercialization of EMPAVELI, C3G and primary IC-MPGN, systemic pegcetacoplan and SYFOVRE and any other products for which we receive marketing approval including product sales, medical affairs, marketing, manufacturing and distribution;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 and their development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or any other product we commercialize;</w:t>
      </w:r>
    </w:p>
    <w:p>
      <w:pPr>
        <w:spacing w:after="0" w:line="225" w:lineRule="exact"/>
        <w:rPr>
          <w:sz w:val="20"/>
          <w:szCs w:val="20"/>
          <w:color w:val="auto"/>
        </w:rPr>
      </w:pPr>
    </w:p>
    <w:p>
      <w:pPr>
        <w:ind w:right="860" w:firstLine="509"/>
        <w:spacing w:after="0" w:line="266" w:lineRule="auto"/>
        <w:rPr>
          <w:sz w:val="20"/>
          <w:szCs w:val="20"/>
          <w:color w:val="auto"/>
        </w:rPr>
      </w:pPr>
      <w:r>
        <w:rPr>
          <w:rFonts w:ascii="Times New Roman" w:cs="Times New Roman" w:eastAsia="Times New Roman" w:hAnsi="Times New Roman"/>
          <w:sz w:val="18"/>
          <w:szCs w:val="18"/>
          <w:color w:val="auto"/>
        </w:rPr>
        <w:t>If our cash and cash equivalents, and the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sources of funds.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payment due date by period at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 (1)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553,676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Non-cancellable purchase commitments (3)</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69,102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(4)</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746,702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215,369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100,152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6686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64" w:lineRule="exact"/>
        <w:rPr>
          <w:sz w:val="20"/>
          <w:szCs w:val="20"/>
          <w:color w:val="auto"/>
        </w:rPr>
      </w:pPr>
    </w:p>
    <w:p>
      <w:pPr>
        <w:ind w:left="520" w:right="440" w:hanging="512"/>
        <w:spacing w:after="0" w:line="273"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interest on the credit facility outstanding as of December 31, 2025, applying contractual interest rate and assuming scheduled payments are paid as contractually required through maturity.</w:t>
      </w:r>
    </w:p>
    <w:p>
      <w:pPr>
        <w:spacing w:after="0" w:line="1" w:lineRule="exact"/>
        <w:rPr>
          <w:rFonts w:ascii="Times New Roman" w:cs="Times New Roman" w:eastAsia="Times New Roman" w:hAnsi="Times New Roman"/>
          <w:sz w:val="18"/>
          <w:szCs w:val="18"/>
          <w:color w:val="auto"/>
        </w:rPr>
      </w:pPr>
    </w:p>
    <w:p>
      <w:pPr>
        <w:ind w:left="520" w:right="500" w:hanging="512"/>
        <w:spacing w:after="0" w:line="26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interest on debt obligations under the debt outstanding as of December 31, 2025, applying contractual fixed interest rate and assuming scheduled payments are paid as contractually required through maturity.</w:t>
      </w:r>
    </w:p>
    <w:p>
      <w:pPr>
        <w:ind w:left="520" w:right="820" w:hanging="512"/>
        <w:spacing w:after="0" w:line="25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our obligations under supply agreements with Bachem and NOF as of December 31, 2025 and obligations under supply agreements with other vendors.</w:t>
      </w:r>
    </w:p>
    <w:p>
      <w:pPr>
        <w:ind w:left="520" w:right="400" w:hanging="512"/>
        <w:spacing w:after="0" w:line="26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payments under our non-cancelable operating leases. The minimum lease payments above do not include any related common area maintenance charges or real estate taxes.</w:t>
      </w:r>
    </w:p>
    <w:p>
      <w:pPr>
        <w:spacing w:after="0" w:line="141" w:lineRule="exact"/>
        <w:rPr>
          <w:sz w:val="20"/>
          <w:szCs w:val="20"/>
          <w:color w:val="auto"/>
        </w:rPr>
      </w:pPr>
    </w:p>
    <w:p>
      <w:pPr>
        <w:jc w:val="both"/>
        <w:ind w:right="40" w:firstLine="509"/>
        <w:spacing w:after="0" w:line="281" w:lineRule="auto"/>
        <w:rPr>
          <w:sz w:val="20"/>
          <w:szCs w:val="20"/>
          <w:color w:val="auto"/>
        </w:rPr>
      </w:pPr>
      <w:r>
        <w:rPr>
          <w:rFonts w:ascii="Times New Roman" w:cs="Times New Roman" w:eastAsia="Times New Roman" w:hAnsi="Times New Roman"/>
          <w:sz w:val="17"/>
          <w:szCs w:val="17"/>
          <w:color w:val="auto"/>
        </w:rPr>
        <w:t>We have entered into contracts to conduct research and development activities with third parties which commit us to pay future milestone payments or to pay royalty fees if any of the research results in regulatory approval or commercial revenue for a product. The scope of the services under the research and development contracts can be modified and the contracts cancelled by us upon written notice. In some instances, the contracts may be cancelled by the third-party upon written notice. If we were to cancel these contracts, we would be required only to pay for activities incurred through termination date.</w:t>
      </w:r>
    </w:p>
    <w:p>
      <w:pPr>
        <w:spacing w:after="0" w:line="13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a license agreement with Penn for an exclusive, worldwide license to specified patent rights. We are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we are obligated to pay a specified portion of income we receive from sublicensees. From April 2023 through December 2025, we paid $7.3 million related to regulatory and sales milestones for SYFOVRE.</w:t>
      </w:r>
    </w:p>
    <w:p>
      <w:pPr>
        <w:spacing w:after="0" w:line="7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respectively, we have incurred royalty expense of $19.1 million, $19.8 million and $8.9 million on sales of SYFOVRE, which is included in cost of sales on the consolidated statements of operations and comprehensive income/(loss).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a party to a license agreement with Penn for an exclusive, worldwide license to specified patent rights for the development and commercialization of products in fields of use, as defined therein. We are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us to pay low single-digit royalties based on net sales of each licensed product, subject to minimum quarterly royalty thresholds. In addition, we are obligated to pay a specified portion of income we receive from sublicensees.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January 2021 through December 2025, we have made sublicense payments to Penn totaling $30.5 million. From January</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through December 2025, we have paid $3.5 million in development and sales milestones.</w:t>
      </w:r>
    </w:p>
    <w:p>
      <w:pPr>
        <w:spacing w:after="0" w:line="117"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2023, 2024 and 2023, we have incurred royalty expense of $7.3 million, $6.4 million and $4.8 million, respectively, on sales of EMPAVELI and Aspaveli, which is included in cost of sales on the consolidated statements of operations and comprehensive income/(loss).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for clinical trials and clinical supply manufacturing and with vendors for preclinical research studies and other services and products for operating purposes. We have not included these payments in the table of contractual obligations above since either the contracts are cancelable at any time by us, generally upon 30 days prior written notice to the CRO, or the non-cancelable minimum purchase commitments under such contracts have already been satisfied.</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certain non-cancelable purchase obligations related to the manufacturing of drug substance and drug product. We have agreed to purchase from Bachem Americas, Inc. a significant portion of its requirements for the pegcetacoplan drug substance. Under a commercial supply agreement with NOF Corporation, or NOF, we have agreed to purchase activated polyethylene glycol derivative, or PEG, which is a component of pegcetacoplan. Under these agreements, as of December 31, 2025 we are obligated to pay up to an aggregate of $69.1 million to these vendors over the next three years. In September 2024, we terminated the minimum purchase obligation with NOF for 2025. As a result of this termination, we incurred an expense of $6.4 million, which is included in cost of sales on the consolidated statements of operations and comprehensive income/(loss). As the amount was due in January 2026, it is included in current liabilities on the consolidated balance sheet as of December 31, 2025.</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addition, we have other non-cancelable purchase agreements as of December 31, 2025, under which it is obligated to pay up to an aggregate of $6.7 million to vendors over the next three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2025, we had cash and cash equivalents of $466.2 million, consisting primarily of money market funds and U.S. treasury securities.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5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 FOR FINANCIAL STATEMENTS</w:t>
            </w:r>
          </w:p>
        </w:tc>
        <w:tc>
          <w:tcPr>
            <w:tcW w:w="540" w:type="dxa"/>
            <w:vAlign w:val="bottom"/>
          </w:tcPr>
          <w:p>
            <w:pPr>
              <w:spacing w:after="0"/>
              <w:rPr>
                <w:sz w:val="24"/>
                <w:szCs w:val="24"/>
                <w:color w:val="auto"/>
              </w:rPr>
            </w:pPr>
          </w:p>
        </w:tc>
      </w:tr>
      <w:tr>
        <w:trPr>
          <w:trHeight w:val="391"/>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316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 as of and for the years ended December 31, 2025 and 2024 and for each of the three years in the period ended</w:t>
            </w:r>
          </w:p>
        </w:tc>
        <w:tc>
          <w:tcPr>
            <w:tcW w:w="540" w:type="dxa"/>
            <w:vAlign w:val="bottom"/>
          </w:tcPr>
          <w:p>
            <w:pPr>
              <w:spacing w:after="0"/>
              <w:rPr>
                <w:sz w:val="18"/>
                <w:szCs w:val="18"/>
                <w:color w:val="auto"/>
              </w:rPr>
            </w:pPr>
          </w:p>
        </w:tc>
      </w:tr>
      <w:tr>
        <w:trPr>
          <w:trHeight w:val="216"/>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540" w:type="dxa"/>
            <w:vAlign w:val="bottom"/>
          </w:tcPr>
          <w:p>
            <w:pPr>
              <w:spacing w:after="0"/>
              <w:rPr>
                <w:sz w:val="18"/>
                <w:szCs w:val="18"/>
                <w:color w:val="auto"/>
              </w:rPr>
            </w:pPr>
          </w:p>
        </w:tc>
      </w:tr>
      <w:tr>
        <w:trPr>
          <w:trHeight w:val="194"/>
        </w:trPr>
        <w:tc>
          <w:tcPr>
            <w:tcW w:w="470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6000" w:type="dxa"/>
            <w:vAlign w:val="bottom"/>
            <w:gridSpan w:val="4"/>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94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Income/(Loss) for the years ended December 31, 2025, 2024 and 2023</w:t>
            </w:r>
          </w:p>
        </w:tc>
        <w:tc>
          <w:tcPr>
            <w:tcW w:w="12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86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period from January 1, 2023 to December 31, 2025</w:t>
            </w:r>
          </w:p>
        </w:tc>
        <w:tc>
          <w:tcPr>
            <w:tcW w:w="20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196"/>
        </w:trPr>
        <w:tc>
          <w:tcPr>
            <w:tcW w:w="69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7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6"/>
        </w:trPr>
        <w:tc>
          <w:tcPr>
            <w:tcW w:w="31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5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560"/>
        </w:trPr>
        <w:tc>
          <w:tcPr>
            <w:tcW w:w="6920" w:type="dxa"/>
            <w:vAlign w:val="bottom"/>
            <w:gridSpan w:val="4"/>
          </w:tcPr>
          <w:p>
            <w:pPr>
              <w:ind w:left="5480"/>
              <w:spacing w:after="0"/>
              <w:rPr>
                <w:sz w:val="20"/>
                <w:szCs w:val="20"/>
                <w:color w:val="auto"/>
              </w:rPr>
            </w:pPr>
            <w:r>
              <w:rPr>
                <w:rFonts w:ascii="Times New Roman" w:cs="Times New Roman" w:eastAsia="Times New Roman" w:hAnsi="Times New Roman"/>
                <w:sz w:val="18"/>
                <w:szCs w:val="18"/>
                <w:color w:val="auto"/>
              </w:rPr>
              <w:t>109</w:t>
            </w: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Apellis Pharmaceuticals,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Apellis Pharmaceuticals, Inc. and subsidiaries (the “Company”) as of December 31, 2025 and 2024, the related consolidated statements of operations and comprehensive income/(loss), changes in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2026,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 Refer to Notes 2 and 4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performs an assessment of the recoverability of capitalized inventory during each reporting period and writes down any excess or obsolete inventories to their estimated realizable value. The determination of whether inventory costs will be realizable requires estimates by management. Provisions for slow-moving, excess or obsolete inventories are made based on the Company’s analysis of product dating, inventory levels, historical obsolescence and future sales forecasts.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identified the valuation of inventory as a critical audit matter due to the significant estimates and assumptions used by management to determine excess and obsolescence write downs, including the determination of expected future sales. This required a high degree of auditor judgment and an increased extent of effort when performing audit procedures to evaluate the methodology and the reasonableness of assumptions.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valuation of inventory included the following, among others: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estimate for excess and obsolete inventory by performing the following:</w:t>
      </w:r>
    </w:p>
    <w:p>
      <w:pPr>
        <w:spacing w:after="0" w:line="131" w:lineRule="exact"/>
        <w:rPr>
          <w:sz w:val="20"/>
          <w:szCs w:val="20"/>
          <w:color w:val="auto"/>
        </w:rPr>
      </w:pPr>
    </w:p>
    <w:p>
      <w:pPr>
        <w:ind w:left="1500" w:right="60" w:hanging="369"/>
        <w:spacing w:after="0" w:line="266"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methods, assumptions, and judgments used in developing their estimate, which included consideration of expected future sales, product dating and historical obsolescence experience, and information obtained from supply chain personnel regarding inventory at risk for excess and obsolescence.</w:t>
      </w:r>
    </w:p>
    <w:p>
      <w:pPr>
        <w:spacing w:after="0" w:line="67" w:lineRule="exact"/>
        <w:rPr>
          <w:rFonts w:ascii="Times New Roman" w:cs="Times New Roman" w:eastAsia="Times New Roman" w:hAnsi="Times New Roman"/>
          <w:sz w:val="18"/>
          <w:szCs w:val="18"/>
          <w:color w:val="auto"/>
        </w:rPr>
      </w:pPr>
    </w:p>
    <w:p>
      <w:pPr>
        <w:ind w:left="1500" w:right="380" w:hanging="369"/>
        <w:spacing w:after="0" w:line="282"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calculation of the excess and obsolete provision pursuant to the Company’s policy, on a sample basis, including the accuracy and completeness of the underlying data used in the Company’s calculation.</w:t>
      </w:r>
    </w:p>
    <w:p>
      <w:pPr>
        <w:spacing w:after="0" w:line="53" w:lineRule="exact"/>
        <w:rPr>
          <w:rFonts w:ascii="Times New Roman" w:cs="Times New Roman" w:eastAsia="Times New Roman" w:hAnsi="Times New Roman"/>
          <w:sz w:val="18"/>
          <w:szCs w:val="18"/>
          <w:color w:val="auto"/>
        </w:rPr>
      </w:pPr>
    </w:p>
    <w:p>
      <w:pPr>
        <w:ind w:left="1500" w:right="540" w:hanging="369"/>
        <w:spacing w:after="0" w:line="282"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by comparing management’s prior year estimates of product revenues with actual product revenues in the current year to identify any potential bias.</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held discussions with financial and operational management to determine whether any strategic, regulatory, or operational changes in the business were consistent with the projections of future demand that were utilized in estimating the provision recorded.</w:t>
      </w:r>
    </w:p>
    <w:p>
      <w:pPr>
        <w:spacing w:after="0" w:line="53"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inventory valuation, including those over the estimation of reserves for excess quantities and obsolete inventory.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466,233</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411,290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264,926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788,954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inventory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1,075,257</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885,051</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credit facility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359,489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705,110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656,512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zero shares issued and outstanding at December 31, 2025 and 2024</w:t>
            </w: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 shares authorized at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and 2024; 126,621 and 124,495 shares issued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outstanding at December 31, 2025 and 2024,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3,385,216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3,267,201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(3,012,978)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(3,035,366)</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1,075,257</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885,051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-4474210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-3642995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-3642995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689,383</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709,954</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1,003,782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781,367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102,236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117,723</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550,265</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501,053</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948,355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income/(loss)</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(164,979)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(517,121)</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(29,581)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before taxes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(526,496)</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(197,878)</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(528,628)</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4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gain/(loss) on pension plans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income/(loss), net of tax</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23,593</w:t>
            </w:r>
          </w:p>
        </w:tc>
        <w:tc>
          <w:tcPr>
            <w:tcW w:w="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(197,644)</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(531,295)</w:t>
            </w:r>
          </w:p>
        </w:tc>
        <w:tc>
          <w:tcPr>
            <w:tcW w:w="0" w:type="dxa"/>
            <w:vAlign w:val="bottom"/>
          </w:tcPr>
          <w:p>
            <w:pPr>
              <w:spacing w:after="0"/>
              <w:rPr>
                <w:sz w:val="1"/>
                <w:szCs w:val="1"/>
                <w:color w:val="auto"/>
              </w:rPr>
            </w:pPr>
          </w:p>
        </w:tc>
      </w:tr>
      <w:tr>
        <w:trPr>
          <w:trHeight w:val="197"/>
        </w:trPr>
        <w:tc>
          <w:tcPr>
            <w:tcW w:w="5080" w:type="dxa"/>
            <w:vAlign w:val="bottom"/>
            <w:tcBorders>
              <w:top w:val="single" w:sz="8" w:color="CFF0FC"/>
            </w:tcBorders>
          </w:tcPr>
          <w:p>
            <w:pPr>
              <w:spacing w:after="0"/>
              <w:rPr>
                <w:sz w:val="17"/>
                <w:szCs w:val="17"/>
                <w:color w:val="auto"/>
              </w:rPr>
            </w:pPr>
          </w:p>
        </w:tc>
        <w:tc>
          <w:tcPr>
            <w:tcW w:w="14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per share</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calculating:</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126,145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123,905</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-2976880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-2976880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-2976880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-2136775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-2136775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-2136775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-1854200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-1854200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-1854200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-1288415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-1288415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-996950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-979805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-996950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-979805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-996950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60"/>
        </w:trPr>
        <w:tc>
          <w:tcPr>
            <w:tcW w:w="4020" w:type="dxa"/>
            <w:vAlign w:val="bottom"/>
          </w:tcPr>
          <w:p>
            <w:pPr>
              <w:spacing w:after="0"/>
              <w:rPr>
                <w:sz w:val="13"/>
                <w:szCs w:val="13"/>
                <w:color w:val="auto"/>
              </w:rPr>
            </w:pPr>
          </w:p>
        </w:tc>
        <w:tc>
          <w:tcPr>
            <w:tcW w:w="2080" w:type="dxa"/>
            <w:vAlign w:val="bottom"/>
            <w:gridSpan w:val="3"/>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8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060" w:type="dxa"/>
            <w:vAlign w:val="bottom"/>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1"/>
                <w:szCs w:val="11"/>
                <w:color w:val="auto"/>
              </w:rPr>
            </w:pPr>
          </w:p>
        </w:tc>
        <w:tc>
          <w:tcPr>
            <w:tcW w:w="110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0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110,772</w:t>
            </w:r>
          </w:p>
        </w:tc>
        <w:tc>
          <w:tcPr>
            <w:tcW w:w="1020" w:type="dxa"/>
            <w:vAlign w:val="bottom"/>
            <w:gridSpan w:val="2"/>
            <w:shd w:val="clear" w:color="auto" w:fill="CFF0FC"/>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2,479,596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(875)</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(2,308,860)</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2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in common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384,386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offering</w:t>
            </w: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3,858</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71,274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0" w:type="dxa"/>
            <w:vAlign w:val="bottom"/>
          </w:tcPr>
          <w:p>
            <w:pPr>
              <w:spacing w:after="0"/>
              <w:rPr>
                <w:sz w:val="1"/>
                <w:szCs w:val="1"/>
                <w:color w:val="auto"/>
              </w:rPr>
            </w:pPr>
          </w:p>
        </w:tc>
      </w:tr>
      <w:tr>
        <w:trPr>
          <w:trHeight w:val="149"/>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105,945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stock to employee stock purchase plan</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Unrealized loss on pension benefit plan</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(2,618)</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(2,618)</w:t>
            </w:r>
          </w:p>
        </w:tc>
        <w:tc>
          <w:tcPr>
            <w:tcW w:w="0" w:type="dxa"/>
            <w:vAlign w:val="bottom"/>
          </w:tcPr>
          <w:p>
            <w:pPr>
              <w:spacing w:after="0"/>
              <w:rPr>
                <w:sz w:val="1"/>
                <w:szCs w:val="1"/>
                <w:color w:val="auto"/>
              </w:rPr>
            </w:pPr>
          </w:p>
        </w:tc>
      </w:tr>
      <w:tr>
        <w:trPr>
          <w:trHeight w:val="148"/>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(528,628)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(528,628)</w:t>
            </w: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119,556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3,035,539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(3,542)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(2,837,488)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194,521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Proceeds from settlement of capped call</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98,763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114,128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stock to employee stock purchase plan</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Unrealized gain on pension benefit plan</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(197,878)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(197,878)</w:t>
            </w: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124,495</w:t>
            </w:r>
          </w:p>
        </w:tc>
        <w:tc>
          <w:tcPr>
            <w:tcW w:w="1020" w:type="dxa"/>
            <w:vAlign w:val="bottom"/>
            <w:gridSpan w:val="2"/>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3,267,201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(3,308)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(3,035,366)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228,539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5,545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109,131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stock to employee stock purchase plan</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Unrealized gain on pension benefits</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126,621</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3,385,216</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(3,012,978)</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-1853565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-1853565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-1853565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-1853565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-1853565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-1853565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-901700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-901700</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-901700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-901700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-901700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-901700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-139065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-139065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-139065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-139065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-139065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-139065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tbl>
      <w:tblPr>
        <w:tblLayout w:type="fixed"/>
        <w:tblInd w:w="240" w:type="dxa"/>
        <w:tblCellMar>
          <w:top w:w="0" w:type="dxa"/>
          <w:left w:w="0" w:type="dxa"/>
          <w:bottom w:w="0" w:type="dxa"/>
          <w:right w:w="0" w:type="dxa"/>
        </w:tblCellMar>
      </w:tblPr>
      <w:tr>
        <w:trPr>
          <w:trHeight w:val="158"/>
        </w:trPr>
        <w:tc>
          <w:tcPr>
            <w:tcW w:w="6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80"/>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22,388</w:t>
            </w:r>
          </w:p>
        </w:tc>
        <w:tc>
          <w:tcPr>
            <w:tcW w:w="6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(197,878)</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(528,628)</w:t>
            </w:r>
          </w:p>
        </w:tc>
      </w:tr>
      <w:tr>
        <w:trPr>
          <w:trHeight w:val="203"/>
        </w:trPr>
        <w:tc>
          <w:tcPr>
            <w:tcW w:w="6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income/(loss) to net cash used in operating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104,003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105,945</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development liability</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 expense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discounts for credit facility and convertible notes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Accretion of discount to development liability</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(101,279)</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(58,484)</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(198,715)</w:t>
            </w:r>
          </w:p>
        </w:tc>
      </w:tr>
      <w:tr>
        <w:trPr>
          <w:trHeight w:val="203"/>
        </w:trPr>
        <w:tc>
          <w:tcPr>
            <w:tcW w:w="6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(15,267)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(10,755)</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(60,647)</w:t>
            </w:r>
          </w:p>
        </w:tc>
      </w:tr>
      <w:tr>
        <w:trPr>
          <w:trHeight w:val="203"/>
        </w:trPr>
        <w:tc>
          <w:tcPr>
            <w:tcW w:w="63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(8,087)</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31,213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12,373</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Right-of-use assets and lease liabilities</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(277)</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6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r>
      <w:tr>
        <w:trPr>
          <w:trHeight w:val="202"/>
        </w:trPr>
        <w:tc>
          <w:tcPr>
            <w:tcW w:w="63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25,387</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18,152</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45,327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(87,866)</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(594,735)</w:t>
            </w: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(403)</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03"/>
        </w:trPr>
        <w:tc>
          <w:tcPr>
            <w:tcW w:w="6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FF0FC"/>
          </w:tcPr>
          <w:p>
            <w:pPr>
              <w:spacing w:after="0"/>
              <w:rPr>
                <w:sz w:val="17"/>
                <w:szCs w:val="17"/>
                <w:color w:val="auto"/>
              </w:rPr>
            </w:pPr>
          </w:p>
        </w:tc>
      </w:tr>
      <w:tr>
        <w:trPr>
          <w:trHeight w:val="196"/>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365,454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 of issuance cost for credit facility</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(7,214)</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development liability</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(326,533)</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(55,500)</w:t>
            </w:r>
          </w:p>
        </w:tc>
      </w:tr>
      <w:tr>
        <w:trPr>
          <w:trHeight w:val="203"/>
        </w:trPr>
        <w:tc>
          <w:tcPr>
            <w:tcW w:w="6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settlement of capped call</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98,763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pre-funded warrant offering,</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issuance costs</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384,387</w:t>
            </w:r>
          </w:p>
        </w:tc>
        <w:tc>
          <w:tcPr>
            <w:tcW w:w="100" w:type="dxa"/>
            <w:vAlign w:val="bottom"/>
          </w:tcPr>
          <w:p>
            <w:pPr>
              <w:spacing w:after="0"/>
              <w:rPr>
                <w:sz w:val="18"/>
                <w:szCs w:val="18"/>
                <w:color w:val="auto"/>
              </w:rPr>
            </w:pPr>
          </w:p>
        </w:tc>
      </w:tr>
      <w:tr>
        <w:trPr>
          <w:trHeight w:val="205"/>
        </w:trPr>
        <w:tc>
          <w:tcPr>
            <w:tcW w:w="6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14,316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71,274</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share purchase plan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Payments of employee tax withholding related to equity-based compensation</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(57)</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(11,040)</w:t>
            </w:r>
          </w:p>
        </w:tc>
      </w:tr>
      <w:tr>
        <w:trPr>
          <w:trHeight w:val="196"/>
        </w:trPr>
        <w:tc>
          <w:tcPr>
            <w:tcW w:w="63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149,241</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394,499</w:t>
            </w:r>
          </w:p>
        </w:tc>
        <w:tc>
          <w:tcPr>
            <w:tcW w:w="100" w:type="dxa"/>
            <w:vAlign w:val="bottom"/>
            <w:tcBorders>
              <w:top w:val="single" w:sz="8" w:color="CFF0FC"/>
            </w:tcBorders>
          </w:tcPr>
          <w:p>
            <w:pPr>
              <w:spacing w:after="0"/>
              <w:rPr>
                <w:sz w:val="17"/>
                <w:szCs w:val="17"/>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(659)</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60,313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(200,775)</w:t>
            </w:r>
          </w:p>
        </w:tc>
      </w:tr>
      <w:tr>
        <w:trPr>
          <w:trHeight w:val="203"/>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412,612</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352,299</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553,074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467,760</w:t>
            </w:r>
          </w:p>
        </w:tc>
        <w:tc>
          <w:tcPr>
            <w:tcW w:w="6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412,612</w:t>
            </w:r>
          </w:p>
        </w:tc>
        <w:tc>
          <w:tcPr>
            <w:tcW w:w="24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352,299</w:t>
            </w:r>
          </w:p>
        </w:tc>
        <w:tc>
          <w:tcPr>
            <w:tcW w:w="10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-2656840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-2656840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-2656840</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-2138045</wp:posOffset>
            </wp:positionV>
            <wp:extent cx="93980" cy="1708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-2138045</wp:posOffset>
            </wp:positionV>
            <wp:extent cx="93980" cy="1708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-693420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-693420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-693420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-161925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-161925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-161925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6"/>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664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238"/>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466,233</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411,290</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351,185</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1,114</w:t>
            </w: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467,760</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412,612</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352,299</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34"/>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41,233</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29,368</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-456565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-456565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w:t>
      </w:r>
    </w:p>
    <w:p>
      <w:pPr>
        <w:spacing w:after="0" w:line="54"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The Company’s operations since inception have included organizing and staffing the Company, acquiring rights to product candidates, business planning, raising capital, developing its product candidates, commercializing EMPAVELI (pegcetacoplan) for the treatment of paroxysmal nocturnal hemoglobinuria (“PNH”), C3 glomerulopathy (“C3G”) and primary immune complex membranoproliferative glomerulonephritis (“primary IC-MPGN”), and commercializing SYFOVRE (pegcetacoplan injection) for the treatment of geographic atrophy secondary to age-related macular degeneration (“GA”).</w:t>
      </w:r>
    </w:p>
    <w:p>
      <w:pPr>
        <w:spacing w:after="0" w:line="56"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On February 22, 2023, the Company issued and sold 4,007,936 shares of common stock and, in lieu of common stock to investors who so chose, pre-funded warrants to purchase 2,380,956 shares of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The Company received total net proceeds of $384.4 million, after deducting underwriting discounts and commissions of $18.8 million and offering costs of $0.3 million. For the period ended December 31 2024, 2,299,991 shares of common stock were issued from the exercise of pre-funded warrants. As of December 31, 2025, pre-funded warrants to purchase 80,956 shares of the Company's common stock were still outstanding.</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From inception to December 31, 2025, the Company has incurred cash outflows from operations, losses from operations, and had an accumulated deficit of $3.0 billion, primarily as a result of expenses incurred through a combination of research and development activities related to the Company’s various product candidates and expenses incurred in connection with product launches and commercialization costs.</w:t>
      </w:r>
    </w:p>
    <w:p>
      <w:pPr>
        <w:spacing w:after="0" w:line="13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its cash and cash equivalents of $466.2 million at December 31, 2025 combined with cash anticipated to be generated from sales of EMPAVELI and from SYFOVRE will be sufficient to fund its operations and capital expenditure requirements for at least twelve months from the date of issuance of these consolidated financial statements.</w:t>
      </w:r>
    </w:p>
    <w:p>
      <w:pPr>
        <w:spacing w:after="0" w:line="280" w:lineRule="exact"/>
        <w:rPr>
          <w:sz w:val="20"/>
          <w:szCs w:val="20"/>
          <w:color w:val="auto"/>
        </w:rPr>
      </w:pPr>
    </w:p>
    <w:p>
      <w:pPr>
        <w:ind w:left="520" w:right="5680" w:hanging="512"/>
        <w:spacing w:after="0" w:line="378" w:lineRule="auto"/>
        <w:tabs>
          <w:tab w:leader="none" w:pos="189"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balances and transactions have been eliminated in consolidation. The consolidated financial statements have been prepared in conformity with accounting principles generally accepted in the United States (“U.S. GAAP”) and following the requirements of the Securities and Exchange Commission (the “SEC”).</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revenues consist of product sales of EMPAVELI and SYFOVRE and revenue derived from its collaboration arrangement with Sobi.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License and Collaboration Agreements for further discussion related to the Sobi Collaboration Agreement.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80" w:firstLine="42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contracts with its customers in accordance with ASC Topic 606, </w:t>
      </w:r>
      <w:r>
        <w:rPr>
          <w:rFonts w:ascii="Times New Roman" w:cs="Times New Roman" w:eastAsia="Times New Roman" w:hAnsi="Times New Roman"/>
          <w:sz w:val="18"/>
          <w:szCs w:val="18"/>
          <w:i w:val="1"/>
          <w:iCs w:val="1"/>
          <w:color w:val="auto"/>
        </w:rPr>
        <w:t>Revenue from Contracts with Customers, (</w:t>
      </w:r>
      <w:r>
        <w:rPr>
          <w:rFonts w:ascii="Times New Roman" w:cs="Times New Roman" w:eastAsia="Times New Roman" w:hAnsi="Times New Roman"/>
          <w:sz w:val="18"/>
          <w:szCs w:val="18"/>
          <w:color w:val="auto"/>
        </w:rPr>
        <w:t>“ASC 606”). Pursuant to ASC 606, for arrangements or transactions between participants determined to be within the scope of the contracts with customers guidance, the Company performs the following five steps to determine the appropriate amount of revenue to be recognized as the Company fulfills its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77" w:lineRule="exact"/>
        <w:rPr>
          <w:sz w:val="20"/>
          <w:szCs w:val="20"/>
          <w:color w:val="auto"/>
        </w:rPr>
      </w:pPr>
    </w:p>
    <w:p>
      <w:pPr>
        <w:ind w:right="20" w:firstLine="424"/>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by transferring a promised good or service to a customer. An asset is transferred when, or as, the customer obtains control of that asset. For performance obligations that are satisfied over time, the Company recognizes revenue using an input or output measure of progress that best depicts the satisfaction of the relevant performance obligation.</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ind w:right="160" w:firstLine="433"/>
        <w:spacing w:after="0" w:line="258" w:lineRule="auto"/>
        <w:rPr>
          <w:sz w:val="20"/>
          <w:szCs w:val="20"/>
          <w:color w:val="auto"/>
        </w:rPr>
      </w:pPr>
      <w:r>
        <w:rPr>
          <w:rFonts w:ascii="Times New Roman" w:cs="Times New Roman" w:eastAsia="Times New Roman" w:hAnsi="Times New Roman"/>
          <w:sz w:val="18"/>
          <w:szCs w:val="18"/>
          <w:color w:val="auto"/>
        </w:rPr>
        <w:t>The Company’s revenue from net product sales related to EMPAVELI and SYFOVRE are primarily recognized in the United States. The Company sells EMPAVELI and SYFOVRE principally through arrangements with specialty pharmacies (“SPs”) and specialty distributors (“SDs”), who are the Company’s customers. The customers subsequently resell the product to patients and health care providers. The Company applies the ASC 606 five step process discussed above to the contracts with SPs and SDs. Product revenues are recognized when the customers take control of the product, which typically occurs upon delivery to the customers.</w:t>
      </w:r>
    </w:p>
    <w:p>
      <w:pPr>
        <w:spacing w:after="0" w:line="75" w:lineRule="exact"/>
        <w:rPr>
          <w:sz w:val="20"/>
          <w:szCs w:val="20"/>
          <w:color w:val="auto"/>
        </w:rPr>
      </w:pPr>
    </w:p>
    <w:p>
      <w:pPr>
        <w:ind w:right="60" w:firstLine="433"/>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product sales at the net sales price which includes estimates of variable consideration for which reserves are established and reflects each of these as a reduction to revenue. Overall, these reserves reflect the Company’s best estimates of the amount of consideration to which the Company is entitled based on the terms of the contract. The amount of variable consideration that is included in the transaction price may be constrained. Actual amounts of consideration ultimately received may differ from the Company’s estimates. If actual results in the future vary from estimates, the Company may need to adjust its estimates, which would affect net revenue in the period of adjustment. The following are the Company’s significant categories of variable consideration:</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Fees and Patient Assistance</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Fees</w:t>
      </w:r>
    </w:p>
    <w:p>
      <w:pPr>
        <w:spacing w:after="0" w:line="119" w:lineRule="exact"/>
        <w:rPr>
          <w:sz w:val="20"/>
          <w:szCs w:val="20"/>
          <w:color w:val="auto"/>
        </w:rPr>
      </w:pPr>
    </w:p>
    <w:p>
      <w:pPr>
        <w:ind w:right="40" w:firstLine="433"/>
        <w:spacing w:after="0" w:line="266" w:lineRule="auto"/>
        <w:rPr>
          <w:sz w:val="20"/>
          <w:szCs w:val="20"/>
          <w:color w:val="auto"/>
        </w:rPr>
      </w:pPr>
      <w:r>
        <w:rPr>
          <w:rFonts w:ascii="Times New Roman" w:cs="Times New Roman" w:eastAsia="Times New Roman" w:hAnsi="Times New Roman"/>
          <w:sz w:val="18"/>
          <w:szCs w:val="18"/>
          <w:color w:val="auto"/>
        </w:rPr>
        <w:t>Distribution Fees: Distribution fees include distribution service fees paid to SDs based on a contractually fixed percentage of the wholesale acquisition cost (WAC). These fees are directly related to the storage, handling and distribution of product to customers, and are therefore inseparable from the product. Distribution fees are recorded as an offset to revenue based on contractual terms at the time revenue from the sale is recognized.</w:t>
      </w:r>
    </w:p>
    <w:p>
      <w:pPr>
        <w:spacing w:after="0" w:line="68" w:lineRule="exact"/>
        <w:rPr>
          <w:sz w:val="20"/>
          <w:szCs w:val="20"/>
          <w:color w:val="auto"/>
        </w:rPr>
      </w:pPr>
    </w:p>
    <w:p>
      <w:pPr>
        <w:jc w:val="both"/>
        <w:ind w:firstLine="433"/>
        <w:spacing w:after="0" w:line="266" w:lineRule="auto"/>
        <w:rPr>
          <w:sz w:val="20"/>
          <w:szCs w:val="20"/>
          <w:color w:val="auto"/>
        </w:rPr>
      </w:pPr>
      <w:r>
        <w:rPr>
          <w:rFonts w:ascii="Times New Roman" w:cs="Times New Roman" w:eastAsia="Times New Roman" w:hAnsi="Times New Roman"/>
          <w:sz w:val="18"/>
          <w:szCs w:val="18"/>
          <w:color w:val="auto"/>
        </w:rPr>
        <w:t>Credit Card Fees: SDs will sell downstream to customers who may pay for product via credit card. The Company will reimburse its SDs for the credit card fees incurred as a result of SDs accepting credit cards as a form of payment from the downstream customers. Credit card fees are recorded as an offset to revenue based on the average aggregate credit card rate as a percentage of SD sales at the time revenue from the sale is recognized.</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Patient Assistance</w:t>
      </w:r>
    </w:p>
    <w:p>
      <w:pPr>
        <w:spacing w:after="0" w:line="119" w:lineRule="exact"/>
        <w:rPr>
          <w:sz w:val="20"/>
          <w:szCs w:val="20"/>
          <w:color w:val="auto"/>
        </w:rPr>
      </w:pPr>
    </w:p>
    <w:p>
      <w:pPr>
        <w:ind w:right="360" w:firstLine="433"/>
        <w:spacing w:after="0" w:line="266" w:lineRule="auto"/>
        <w:rPr>
          <w:sz w:val="20"/>
          <w:szCs w:val="20"/>
          <w:color w:val="auto"/>
        </w:rPr>
      </w:pPr>
      <w:r>
        <w:rPr>
          <w:rFonts w:ascii="Times New Roman" w:cs="Times New Roman" w:eastAsia="Times New Roman" w:hAnsi="Times New Roman"/>
          <w:sz w:val="18"/>
          <w:szCs w:val="18"/>
          <w:color w:val="auto"/>
        </w:rPr>
        <w:t>Copay: Other incentives include voluntary patient assistance programs, such as the Company’s co-pay assistance program, which are intended to provide financial assistance to qualified commercially-insured patients with prescription drug co-payments required by payors. The adjustments are recorded in the same period the related revenue is recognized, resulting in a reduction of product revenue and the establishment of a current liability.</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Government, Other Rebates and Chargebacks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Rebates</w:t>
      </w:r>
    </w:p>
    <w:p>
      <w:pPr>
        <w:spacing w:after="0" w:line="119" w:lineRule="exact"/>
        <w:rPr>
          <w:sz w:val="20"/>
          <w:szCs w:val="20"/>
          <w:color w:val="auto"/>
        </w:rPr>
      </w:pPr>
    </w:p>
    <w:p>
      <w:pPr>
        <w:ind w:right="40" w:firstLine="433"/>
        <w:spacing w:after="0" w:line="261" w:lineRule="auto"/>
        <w:rPr>
          <w:sz w:val="20"/>
          <w:szCs w:val="20"/>
          <w:color w:val="auto"/>
        </w:rPr>
      </w:pPr>
      <w:r>
        <w:rPr>
          <w:rFonts w:ascii="Times New Roman" w:cs="Times New Roman" w:eastAsia="Times New Roman" w:hAnsi="Times New Roman"/>
          <w:sz w:val="18"/>
          <w:szCs w:val="18"/>
          <w:color w:val="auto"/>
        </w:rPr>
        <w:t>Government Rebates: The Company’s products are subject to pricing limits under certain federal government programs. Qualifying entities (i.e., end-users) purchase products from the Company’s customers at their qualifying discounted price. The chargeback amount the Company incurs represents the difference between the Company’s contractual sales price to the customer, and the end-user’s applicable discounted purchase price under the government program.</w:t>
      </w:r>
    </w:p>
    <w:p>
      <w:pPr>
        <w:spacing w:after="0" w:line="72" w:lineRule="exact"/>
        <w:rPr>
          <w:sz w:val="20"/>
          <w:szCs w:val="20"/>
          <w:color w:val="auto"/>
        </w:rPr>
      </w:pPr>
    </w:p>
    <w:p>
      <w:pPr>
        <w:ind w:right="100" w:firstLine="433"/>
        <w:spacing w:after="0" w:line="266" w:lineRule="auto"/>
        <w:rPr>
          <w:sz w:val="20"/>
          <w:szCs w:val="20"/>
          <w:color w:val="auto"/>
        </w:rPr>
      </w:pPr>
      <w:r>
        <w:rPr>
          <w:rFonts w:ascii="Times New Roman" w:cs="Times New Roman" w:eastAsia="Times New Roman" w:hAnsi="Times New Roman"/>
          <w:sz w:val="18"/>
          <w:szCs w:val="18"/>
          <w:color w:val="auto"/>
        </w:rPr>
        <w:t>Manufacturer Discount Program: The Company also participates in the Manufacturer Discount program, a federal program where the Company is required to provide discounts on drugs dispensed to eligible Medicare Part D patients. The adjustments are recorded in the same period the related revenue is recognized, resulting in a reduction of product revenue and the establishment of a current liability.</w:t>
      </w:r>
    </w:p>
    <w:p>
      <w:pPr>
        <w:spacing w:after="0" w:line="68" w:lineRule="exact"/>
        <w:rPr>
          <w:sz w:val="20"/>
          <w:szCs w:val="20"/>
          <w:color w:val="auto"/>
        </w:rPr>
      </w:pPr>
    </w:p>
    <w:p>
      <w:pPr>
        <w:ind w:right="640" w:firstLine="433"/>
        <w:spacing w:after="0" w:line="282" w:lineRule="auto"/>
        <w:rPr>
          <w:sz w:val="20"/>
          <w:szCs w:val="20"/>
          <w:color w:val="auto"/>
        </w:rPr>
      </w:pPr>
      <w:r>
        <w:rPr>
          <w:rFonts w:ascii="Times New Roman" w:cs="Times New Roman" w:eastAsia="Times New Roman" w:hAnsi="Times New Roman"/>
          <w:sz w:val="18"/>
          <w:szCs w:val="18"/>
          <w:color w:val="auto"/>
        </w:rPr>
        <w:t>Other Rebates and Chargebacks: The Company contracts with certain organizations, primarily group purchasing organizations ("GPOs") and pharmacy benefit managers, for the payment of rebates with respect to purchase of the Company's products by the end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users. The Company estimates these rebates and records such estimates in the same period the related revenue is recognized, resulting in a reduction of product revenue and the establishment of a current liability.</w:t>
      </w:r>
    </w:p>
    <w:p>
      <w:pPr>
        <w:spacing w:after="0" w:line="121" w:lineRule="exact"/>
        <w:rPr>
          <w:sz w:val="20"/>
          <w:szCs w:val="20"/>
          <w:color w:val="auto"/>
        </w:rPr>
      </w:pPr>
    </w:p>
    <w:p>
      <w:pPr>
        <w:jc w:val="both"/>
        <w:ind w:right="480" w:firstLine="433"/>
        <w:spacing w:after="0" w:line="312" w:lineRule="auto"/>
        <w:rPr>
          <w:sz w:val="20"/>
          <w:szCs w:val="20"/>
          <w:color w:val="auto"/>
        </w:rPr>
      </w:pPr>
      <w:r>
        <w:rPr>
          <w:rFonts w:ascii="Times New Roman" w:cs="Times New Roman" w:eastAsia="Times New Roman" w:hAnsi="Times New Roman"/>
          <w:sz w:val="17"/>
          <w:szCs w:val="17"/>
          <w:color w:val="auto"/>
        </w:rPr>
        <w:t>GPOs purchase from SDs at a discounted price. SDs charge back to the Company the difference between the price initially paid by SDs and the discounted price paid to SDs by the GPOs. The Company issues credit notes for the chargeback which are applied against amounts due from the SD.</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119" w:lineRule="exact"/>
        <w:rPr>
          <w:sz w:val="20"/>
          <w:szCs w:val="20"/>
          <w:color w:val="auto"/>
        </w:rPr>
      </w:pPr>
    </w:p>
    <w:p>
      <w:pPr>
        <w:ind w:right="40" w:firstLine="433"/>
        <w:spacing w:after="0" w:line="256" w:lineRule="auto"/>
        <w:rPr>
          <w:sz w:val="20"/>
          <w:szCs w:val="20"/>
          <w:color w:val="auto"/>
        </w:rPr>
      </w:pPr>
      <w:r>
        <w:rPr>
          <w:rFonts w:ascii="Times New Roman" w:cs="Times New Roman" w:eastAsia="Times New Roman" w:hAnsi="Times New Roman"/>
          <w:sz w:val="18"/>
          <w:szCs w:val="18"/>
          <w:color w:val="auto"/>
        </w:rPr>
        <w:t>Consistent with industry practice, the Company offers SPs and SDs limited product return rights for product damaged in shipping or shipped in error, short-dated, expired, recalled, or discontinued products;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SPs and SDs and has visibility into the inventory distribution channel, it is able to make a reasonable estimate of future potential product returns based on this on-hand channel inventory data and sell-through data obtained from SPs and SDs. In arriving at its estimate for product returns, the Company also considers historical product returns and the underlying product demand.</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Licensing and Other Revenue</w:t>
      </w:r>
    </w:p>
    <w:p>
      <w:pPr>
        <w:spacing w:after="0" w:line="119" w:lineRule="exact"/>
        <w:rPr>
          <w:sz w:val="20"/>
          <w:szCs w:val="20"/>
          <w:color w:val="auto"/>
        </w:rPr>
      </w:pPr>
    </w:p>
    <w:p>
      <w:pPr>
        <w:ind w:right="100" w:firstLine="499"/>
        <w:spacing w:after="0" w:line="256" w:lineRule="auto"/>
        <w:rPr>
          <w:sz w:val="20"/>
          <w:szCs w:val="20"/>
          <w:color w:val="auto"/>
        </w:rPr>
      </w:pPr>
      <w:r>
        <w:rPr>
          <w:rFonts w:ascii="Times New Roman" w:cs="Times New Roman" w:eastAsia="Times New Roman" w:hAnsi="Times New Roman"/>
          <w:sz w:val="18"/>
          <w:szCs w:val="18"/>
          <w:color w:val="auto"/>
        </w:rPr>
        <w:t xml:space="preserve">The Company analyzes license and collaboration arrangements pursuant to FASB ASC Topic 808, </w:t>
      </w:r>
      <w:r>
        <w:rPr>
          <w:rFonts w:ascii="Times New Roman" w:cs="Times New Roman" w:eastAsia="Times New Roman" w:hAnsi="Times New Roman"/>
          <w:sz w:val="18"/>
          <w:szCs w:val="18"/>
          <w:i w:val="1"/>
          <w:iCs w:val="1"/>
          <w:color w:val="auto"/>
        </w:rPr>
        <w:t>Collaborative Arrangement Guidance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Considerations, </w:t>
      </w:r>
      <w:r>
        <w:rPr>
          <w:rFonts w:ascii="Times New Roman" w:cs="Times New Roman" w:eastAsia="Times New Roman" w:hAnsi="Times New Roman"/>
          <w:sz w:val="18"/>
          <w:szCs w:val="18"/>
          <w:color w:val="auto"/>
        </w:rPr>
        <w:t>(“ASC 808”) to assess whether such arrangements, or transactions between arrangement participants, involve joint 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guidance or if they are more reflective of a vendor-customer relationship and, therefore, within the scope of ASC 606. This assessment is performed throughout the life of the arrangement based on changes in the responsibilities of all parties in the arrangement.</w:t>
      </w:r>
    </w:p>
    <w:p>
      <w:pPr>
        <w:spacing w:after="0" w:line="77" w:lineRule="exact"/>
        <w:rPr>
          <w:sz w:val="20"/>
          <w:szCs w:val="20"/>
          <w:color w:val="auto"/>
        </w:rPr>
      </w:pPr>
    </w:p>
    <w:p>
      <w:pPr>
        <w:ind w:right="180" w:firstLine="499"/>
        <w:spacing w:after="0" w:line="261" w:lineRule="auto"/>
        <w:rPr>
          <w:sz w:val="20"/>
          <w:szCs w:val="20"/>
          <w:color w:val="auto"/>
        </w:rPr>
      </w:pPr>
      <w:r>
        <w:rPr>
          <w:rFonts w:ascii="Times New Roman" w:cs="Times New Roman" w:eastAsia="Times New Roman" w:hAnsi="Times New Roman"/>
          <w:sz w:val="18"/>
          <w:szCs w:val="18"/>
          <w:color w:val="auto"/>
        </w:rPr>
        <w:t>For elements of collaboration arrangements that are not accounted for pursuant to guidance in ASC 606, an appropriate recognition method is determined and applied consistently, generally by analogy to the revenue from contracts with customers guidance. Amounts related to transactions with a counterparty in a collaborative arrangement that is not a customer are presented as collaboration revenue and in a separate line item from revenue recognized from contracts with customers, if any, in the consolidated statements of operations.</w:t>
      </w:r>
    </w:p>
    <w:p>
      <w:pPr>
        <w:spacing w:after="0" w:line="72" w:lineRule="exact"/>
        <w:rPr>
          <w:sz w:val="20"/>
          <w:szCs w:val="20"/>
          <w:color w:val="auto"/>
        </w:rPr>
      </w:pPr>
    </w:p>
    <w:p>
      <w:pPr>
        <w:ind w:right="160" w:firstLine="499"/>
        <w:spacing w:after="0" w:line="266" w:lineRule="auto"/>
        <w:rPr>
          <w:sz w:val="20"/>
          <w:szCs w:val="20"/>
          <w:color w:val="auto"/>
        </w:rPr>
      </w:pPr>
      <w:r>
        <w:rPr>
          <w:rFonts w:ascii="Times New Roman" w:cs="Times New Roman" w:eastAsia="Times New Roman" w:hAnsi="Times New Roman"/>
          <w:sz w:val="18"/>
          <w:szCs w:val="18"/>
          <w:color w:val="auto"/>
        </w:rPr>
        <w:t>Pursuant to ASC 606, for arrangements or transactions between arrangement participants determined to be within the scope of the contracts with customers guidance, the Company performs the five-step process discussed above to determine the appropriate amount of revenue to be recognized as the Company fulfills its obligations.</w:t>
      </w:r>
    </w:p>
    <w:p>
      <w:pPr>
        <w:spacing w:after="0" w:line="68"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The Company evaluates the performance obligations promised in the contract that are based on goods and services that will be transferred to the customer and determine whether those obligations are both (i) capable of being distinct and (ii) distinct in the context of the contract. Goods or services that meet these criteria are considered distinct performance obligations. 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transaction price and the likelihood that the transaction price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 Arrangements that include rights to additional goods or services that are exercisable at a customer’s discretion are generally considered options. The Company assesses if these options provide a material right to the customer and, if so, these options are considered performance obligations. The Company has not currently identified any such material rights.</w:t>
      </w:r>
    </w:p>
    <w:p>
      <w:pPr>
        <w:spacing w:after="0" w:line="84" w:lineRule="exact"/>
        <w:rPr>
          <w:sz w:val="20"/>
          <w:szCs w:val="20"/>
          <w:color w:val="auto"/>
        </w:rPr>
      </w:pPr>
    </w:p>
    <w:p>
      <w:pPr>
        <w:ind w:right="20" w:firstLine="499"/>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by transferring a promised good or service to a customer. An asset is transferred when, or as, the customer obtains control of that asset. For performance obligations that are satisfied over time, the Company recognizes revenue using an input or output measure of progress that best depicts the satisfaction of the relevant performance obligation.</w:t>
      </w:r>
    </w:p>
    <w:p>
      <w:pPr>
        <w:spacing w:after="0" w:line="68" w:lineRule="exact"/>
        <w:rPr>
          <w:sz w:val="20"/>
          <w:szCs w:val="20"/>
          <w:color w:val="auto"/>
        </w:rPr>
      </w:pPr>
    </w:p>
    <w:p>
      <w:pPr>
        <w:ind w:right="140" w:firstLine="499"/>
        <w:spacing w:after="0" w:line="282" w:lineRule="auto"/>
        <w:rPr>
          <w:sz w:val="20"/>
          <w:szCs w:val="20"/>
          <w:color w:val="auto"/>
        </w:rPr>
      </w:pPr>
      <w:r>
        <w:rPr>
          <w:rFonts w:ascii="Times New Roman" w:cs="Times New Roman" w:eastAsia="Times New Roman" w:hAnsi="Times New Roman"/>
          <w:sz w:val="18"/>
          <w:szCs w:val="18"/>
          <w:color w:val="auto"/>
        </w:rPr>
        <w:t>After contract inception, the transaction price is reassessed at every period end and updated for changes such as resolution of uncertain events. Any change in the overall transaction price is allocated to the performance obligations on the same methodology as at contract inception.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in deciding how to allocate resources and in assessing performance. The Company’s chief operating decision maker (“CODM”) is the chief executive officer (“CEO”). The Company manages its operations as a single operating segment. See Note 16, Segment Information, for additional information.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in the Company’s consolidated financial statements and the accompanying notes. These estimates are based on historical experience and various other assumptions believed to be reasonable under the circumstances. Such estimates are used in the following areas, among others: accrued research and development expenses, reserves for variable consideration and reserves for excess or obsolete inventories. Actual results may differ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required to disclose information on the fair value of financial instruments and inputs that enable an assessment of the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prioritize valuation inputs based upon the observable nature of those inputs as follows:</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117" w:lineRule="exact"/>
        <w:rPr>
          <w:sz w:val="20"/>
          <w:szCs w:val="20"/>
          <w:color w:val="auto"/>
        </w:rPr>
      </w:pPr>
    </w:p>
    <w:p>
      <w:pPr>
        <w:ind w:left="1420" w:right="60" w:hanging="935"/>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about the assumptions market participants would use in pricing the asset or liability.</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 addition to those presented in Note 7, Long-term Debt, and Note 9, Fair Value Measurements, include cash and cash equivalents, accounts payable and accrued liabilities. Management believes that the carrying amounts of cash and cash equivalents, accounts payable and accrued expenses approximate the fair value due to the short-term nature of those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highly-liquid investments with original maturities of three months or less to be cash equivalents. The Company holds cash in highly-liquid bank accounts and invests excess cash in money market funds.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accounts receivable are inclusive of receivables from its product sales to customers. They are generally stated at the invoiced amount and do not bear interest. The accounts receivable from product sales represent receivables due from the Company’s SPs or SDs. Payment terms are generally 30-65 days for EMPAVELI and 60-150 days for SYFOVRE. The Company monitors the financial performance and creditworthiness of its customers and provides reserves against trade receivables for expected credit losses that may result from a customer’s inability to pay. Amounts determined to be uncollectible are written-off against the established reserve. As of December 31, 2025 and 2024, the Company did not have an allowance for credit losses. The Company has had no historical write-offs of its accounts receivable as of December 31, 2025 and 2024.</w:t>
      </w:r>
    </w:p>
    <w:p>
      <w:pPr>
        <w:spacing w:after="0" w:line="14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an agreement (the “Factoring Agreement”) to sell certain trade accounts receivable to a third-party financial institution at a discount to the invoiced amount. Under the Factoring Agreement, the maximum amount of outstanding accounts receivables sold at any time is $100.0 million. The Company accounts for the transfer of trade accounts receivable under the Factoring Agreement as a sale in accordance with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because effective control and risk associated with the transferred accounts receivable is passed to the third-party. Accordingly,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derecognizes the sold trade accounts receivable from the consolidated balance sheets. Cash proceeds related to the accounts receivable sold are included in cash from operating activities in the consolidated statements of cash flows. Any discounts or fees incurred in connection with the sales are recorded within “Selling, general and administrative expenses" in the consolidated statements of operations and comprehensive income/(loss). Pursuant to the Factoring Agreement, the Company performs certain collection and administrative functions for the receivable sold. The fair value of these administrative services is not material and therefore, the Company has not recorded any servicing assets or liabilities associated with the Factoring Agreement. See Note 3, Product Revenues, Accounts Receivable, and Reserves for Product Sales for additional information.</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with cost determined on a first-in, first-out basis. Inventory costs include third-party contract manufacturing, third-party packaging services, labor, overhead and freight. The Company performs an assessment of the recoverability of capitalized inventory during each reporting period, and writes down any excess and obsolete inventories to their estimated realizable value. Expenses incurred related to excess and obsolete inventories are recorded within cost of sales. The determination of whether inventory costs will be realizable requires estimates by management. Provisions for potentially obsolete or slow-moving inventory are made based on the Company’s analysis of product dating, inventory levels, historical obsolescence and future sales forecasts. If actual market conditions are less favorable than projected by management, additional write-downs of inventory may be required which would be recorded as a cost of sales in the consolidated statements of operations and comprehensive income/(loss).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not expected to be sold within the Company’s normal operating cycle is classified as long-term inventory on the consolidated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9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Prior to regulatory approval of its product candidates, the Company expenses costs associated with the manufacturing of its product candidates to research and development expense unless the Company is reasonably certain such costs have future commercial use and net realizable value. When the Company believes regulatory approval and subsequent commercialization of its product candidates is probable, and the Company also expects future economic benefit from the sales of the product candidates to be realized, the Company will then capitalize the costs of production as inventory. Inventory that can be used in either the production of clinical or commercial product is expensed as research and development expense when selected for use in a clinical manufacturing campaign.</w:t>
      </w:r>
    </w:p>
    <w:p>
      <w:pPr>
        <w:spacing w:after="0" w:line="7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Shipping and handling costs for product shipments are recorded as incurred in cost of sales along with costs associated with manufacturing the product and any inventory write-downs.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functional currency of each of the Company’s subsidiaries is its local currency, except for the wholly owned subsidiaries Apellis Europe B</w:t>
      </w:r>
      <w:r>
        <w:rPr>
          <w:rFonts w:ascii="Times New Roman" w:cs="Times New Roman" w:eastAsia="Times New Roman" w:hAnsi="Times New Roman"/>
          <w:sz w:val="18"/>
          <w:szCs w:val="18"/>
          <w:color w:val="212529"/>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Apellis International GmbH where the functional currency is the U.S. dollar. Revenues and expenses of the subsidiaries have been translated into U.S. dollars at average exchange rates prevailing during the respective periods. Assets and liabilities have been translated at the rates of exchange on the balance sheet date. The resulting translation gain and loss adjustments are recorded directly as a separate component of stockholders’ equity.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Research and development expenses include (i) employee-related expenses, including salaries, benefits, travel and share-based compensation expense; (ii) external research and development expenses incurred under arrangements with third parties, such as contract research and contract manufacturing organizations, investigational sites and consultants, including share-based compensation expense for consultants; (iii) the cost of acquiring, developing and manufacturing clinical study materials; and (iv) costs associated with preclinical and clinical activities and regulatory operations.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consulting, research and other agreements with commercial entities, researchers, universities and others for the provision of goods and services. Such arrangements are generally cancellable upon reasonable notice and payment of costs incurred. Costs are considered incurred based on an evaluation of the progress to completion of specific tasks under each contract using information and data provided by the Company’s clinical sites and vendors. These costs consist of direct and indirect costs associated with specific projects, as well as fees paid to various entities that perform certain research on behalf of the Company.</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Under the Sobi Collaboration Agreement, the Company may receive reimbursements from Sobi for certain agreed upon developmental activities. The Company presents such reimbursements as contra-research and development expense based on an evaluation of the nature and contractual terms of the arrangement and the nature of the Company’s business operations.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Costs incurred in connection with selling, general and administrative activities are expensed as incurred. Selling, general and administrative expenses consist primarily of costs associated with the commercialization of approved products and general and administrative costs to support operations, including salaries, bonuses, benefits and share-based compensation. Selling expenses include product marketing, sales operations costs, and other costs incurred to support the Company’s sales efforts. General and administrative expenses include corporate support functions such as executive management, finance and accounting, business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development, legal, human resources, information technology, and associated external costs to support those functions. Other significant costs include costs associated with medical affairs, drug safety and pharmacovigilance, quality and regulatory costs not otherwise included in research and development expenses, legal fees relating to patent and corporate matters, and fees for accounting and consulting services. Marketing and advertising costs include marketing literature, promotional activities, conferences and seminars, branding and sponsorships.</w:t>
      </w:r>
    </w:p>
    <w:p>
      <w:pPr>
        <w:spacing w:after="0" w:line="13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incurred advertising costs of $91.8 million, $83.3 million, and $86.5 million,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provision for income taxes includes federal, state, local and foreign taxes. Income taxes are accounted for under the asset and liability method.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 likely than not threshold for recognizing and resolving uncertain tax positions. The determination as to whether the tax benefit will more likely than not be realized is based upon the technical merits of the tax position, as well as consideration of the available facts and circumstances. As of December 31, 2025 and 2024, the Company did not have any significant uncertain tax positions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share-based compensation program allows for grants of stock options and restricted stock units.</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share-based compensation cost at the grant date based on the fair value of the option and restricted stock units, and recognizes the expense related to awards on a straight-line basis over the requisite service period, which is typically the vesting period. Expense for awards with performance conditions is estimated and adjusted on a quarterly basis based upon the assessment of the probability that the performance condition will be met, and is expensed using an accelerated method over the term of the award. Forfeitures are recognized as they occur.</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each option using the Black-Scholes option pricing model that considers the fair value of its common stock, the exercise price, the expected life of the option, the expected volatility of its common stock, expected dividends on its common stock, and the risk-free interest rate over the expected life of the option. The Company uses the simplified method described in the SEC’s Staff Accounting Bulletin No. 107, Share-Based Payment, to determine the expected life of the option grants. The estimate of expected volatility is based on the Company’s historical volatility over a period commensurate with the expected term of the option. The Company has never declared or paid any cash dividends on its common stock and does not expect to do so in the foreseeable future. Accordingly, it uses an expected dividend yield of zero. The risk-free interest rate is based on the U.S. Treasury yield curve in effect at the time of grant valuation for a period commensurate with expected term of the option. Additionally, the Company uses a Monte Carlo simulation model to calculate the estimated fair value on the date of grant related to awards with market-based conditions. For awards with performance conditions, the Company assesses the probability of achievement at each reporting date to determine recognition of compensation expense.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include cash and cash equivalents and accounts receivable.</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is exposed to credit risk in the event of default by the financial institutions holding its cash and the issuers of its cash equivalents. The Company maintains its cash and cash equivalents with highly-rated financial institutions. At times, such amounts may exceed federally-insured limits. The Company has not experienced any losses on its deposits since inception, and management believes that minimal credit risk exists with respect to these financial institutions.</w:t>
      </w:r>
    </w:p>
    <w:p>
      <w:pPr>
        <w:spacing w:after="0" w:line="72" w:lineRule="exact"/>
        <w:rPr>
          <w:sz w:val="20"/>
          <w:szCs w:val="20"/>
          <w:color w:val="auto"/>
        </w:rPr>
      </w:pPr>
    </w:p>
    <w:p>
      <w:pPr>
        <w:ind w:right="300" w:firstLine="576"/>
        <w:spacing w:after="0" w:line="266" w:lineRule="auto"/>
        <w:rPr>
          <w:sz w:val="20"/>
          <w:szCs w:val="20"/>
          <w:color w:val="auto"/>
        </w:rPr>
      </w:pPr>
      <w:r>
        <w:rPr>
          <w:rFonts w:ascii="Times New Roman" w:cs="Times New Roman" w:eastAsia="Times New Roman" w:hAnsi="Times New Roman"/>
          <w:sz w:val="18"/>
          <w:szCs w:val="18"/>
          <w:color w:val="auto"/>
        </w:rPr>
        <w:t>Billings to large specialty pharmacies and specialty distributors account for the majority of the Company’s accounts receivable, and collateral is generally not required from these customers. To mitigate credit risk, the Company monitors the financial performance and credit-worthiness of its customers. See Note 3, Product Revenues, Accounts Receivable, and Reserves for Product Sales for additional information.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per Share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Basic net income/(loss) per share is calculated by dividing the net income or loss by the weighted-average number of shares of common stock outstanding during the period, without consideration for potentially dilutive securities. Diluted net income/(loss) per share is computed by dividing the net income or loss by the weighted-average number of shares of common stock, plus potentially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dilutive securities outstanding for the period, as determined in accordance with the treasury stock, if-converted, or contingently issuable accounting methods, depending on the nature of the security. For purposes of the diluted net income/(loss) per share calculation, stock options, restricted stock units (“RSUs”), shares potentially issuable in connection with the Company’s employee stock purchase plan (“ESPP”) and convertible notes are considered potentially dilutive securities and included to the extent that their addition is not antidilutive.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issued not yet adopted</w:t>
      </w:r>
    </w:p>
    <w:p>
      <w:pPr>
        <w:spacing w:after="0" w:line="80" w:lineRule="exact"/>
        <w:rPr>
          <w:sz w:val="20"/>
          <w:szCs w:val="20"/>
          <w:color w:val="auto"/>
        </w:rPr>
      </w:pPr>
    </w:p>
    <w:p>
      <w:pPr>
        <w:ind w:right="80" w:firstLine="554"/>
        <w:spacing w:after="0" w:line="231" w:lineRule="exact"/>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w:t>
      </w:r>
      <w:r>
        <w:rPr>
          <w:rFonts w:ascii="Times New Roman" w:cs="Times New Roman" w:eastAsia="Times New Roman" w:hAnsi="Times New Roman"/>
          <w:sz w:val="18"/>
          <w:szCs w:val="18"/>
          <w:color w:val="auto"/>
        </w:rPr>
        <w:t>, which includes targeted amendments to clarify, correct, and improve various aspects of the FASB Accounting Standards Codification.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is effective for annual periods beginning after December 15, 2026, and interim periods within those annual reporting periods. Early adoption is permitted. The Company is currently evaluating the impact of the new guidance on its consolidated financial statements.</w:t>
      </w:r>
    </w:p>
    <w:p>
      <w:pPr>
        <w:spacing w:after="0" w:line="51" w:lineRule="exact"/>
        <w:rPr>
          <w:sz w:val="20"/>
          <w:szCs w:val="20"/>
          <w:color w:val="auto"/>
        </w:rPr>
      </w:pPr>
    </w:p>
    <w:p>
      <w:pPr>
        <w:ind w:right="200" w:firstLine="554"/>
        <w:spacing w:after="0" w:line="236"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Interim Reporting (Topic 270): Improvements to Interim Disclosure Requirements</w:t>
      </w:r>
      <w:r>
        <w:rPr>
          <w:rFonts w:ascii="Times New Roman" w:cs="Times New Roman" w:eastAsia="Times New Roman" w:hAnsi="Times New Roman"/>
          <w:sz w:val="18"/>
          <w:szCs w:val="18"/>
          <w:color w:val="auto"/>
        </w:rPr>
        <w:t>, which clarifies disclosure requirements for interim financial statements. The ASU is effective for interim reporting periods beginning after December 15, 2027, with early adoption permitted. The Company is currently evaluating the impact of this guidance on its interim financial statement disclosures.</w:t>
      </w:r>
    </w:p>
    <w:p>
      <w:pPr>
        <w:spacing w:after="0" w:line="8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Capitalization of Software Development Costs</w:t>
      </w:r>
      <w:r>
        <w:rPr>
          <w:rFonts w:ascii="Times New Roman" w:cs="Times New Roman" w:eastAsia="Times New Roman" w:hAnsi="Times New Roman"/>
          <w:sz w:val="18"/>
          <w:szCs w:val="18"/>
          <w:color w:val="auto"/>
        </w:rPr>
        <w:t>, which updates the accounting guidance for internal-use software costs and removes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prescriptive project stages. The ASU is effective for annual periods beginning after December 15, 2027, and interim periods within those annual reporting periods. Early adoption is permitted. The Company is currently evaluating the timing of adoption and the impact of the new guidance on the consolidated financial statements and related disclosures.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which provides a practical expedient to measure credit losses on accounts receivable and contract assets. The ASU is effective for annual periods beginning after December 15, 2025, and interim periods within those annual reporting periods. Early adoption is permitted. The Company is currently evaluating the timing of the adoption and the impact of the new guidance on the consolidated financial statements and related disclosures.</w:t>
      </w:r>
    </w:p>
    <w:p>
      <w:pPr>
        <w:spacing w:after="0" w:line="7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Disaggregation of Income Statement Expenses, which requires additional disclosure of the nature of expenses included in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standard requires disclosures about specific types of expenses included in the expense captions presented in the income.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standard is an amendment to the accounting guidance on income taxes which establishes incremental disaggregation of income tax disclosure pertaining to the effective tax rate reconciliation and income taxes paid. The amendments in this update are required to be applied on a prospective basis with the option to apply it retrospectively. The guidance is effective for annual periods beginning after December 15, 2024. The Company adopted ASU 2023-09 for the year ended December 31, 2025, and applied the new disclosure requirements retrospectively to the current annual period. The adoption of this standard did not have a material impact on the Company's consolidated financial position or results of operation. Refer to Note 12, Income Taxes in the accompanying notes to the consolidated financial statements for further details.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Revenues, Accounts Receivable, and Reserves for Product Sales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reflects net product revenue by major source for the following periods (in thousands):</w:t>
      </w:r>
    </w:p>
    <w:p>
      <w:pPr>
        <w:spacing w:after="0" w:line="273"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2720" w:type="dxa"/>
            <w:vAlign w:val="bottom"/>
          </w:tcPr>
          <w:p>
            <w:pPr>
              <w:spacing w:after="0"/>
              <w:rPr>
                <w:sz w:val="18"/>
                <w:szCs w:val="18"/>
                <w:color w:val="auto"/>
              </w:rPr>
            </w:pPr>
          </w:p>
        </w:tc>
        <w:tc>
          <w:tcPr>
            <w:tcW w:w="19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Therapeutic Area</w:t>
            </w: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Key Indications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r>
      <w:tr>
        <w:trPr>
          <w:trHeight w:val="21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9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EMPAVELI</w:t>
            </w:r>
          </w:p>
        </w:tc>
        <w:tc>
          <w:tcPr>
            <w:tcW w:w="1920" w:type="dxa"/>
            <w:vAlign w:val="bottom"/>
          </w:tcPr>
          <w:p>
            <w:pPr>
              <w:jc w:val="center"/>
              <w:ind w:right="176"/>
              <w:spacing w:after="0"/>
              <w:rPr>
                <w:sz w:val="20"/>
                <w:szCs w:val="20"/>
                <w:color w:val="auto"/>
              </w:rPr>
            </w:pPr>
            <w:r>
              <w:rPr>
                <w:rFonts w:ascii="Times New Roman" w:cs="Times New Roman" w:eastAsia="Times New Roman" w:hAnsi="Times New Roman"/>
                <w:sz w:val="18"/>
                <w:szCs w:val="18"/>
                <w:color w:val="auto"/>
                <w:w w:val="99"/>
              </w:rPr>
              <w:t>Rare Disease</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PNH, C3G (1), IC-MPGN (1)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102,449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98,091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91,033</w:t>
            </w:r>
          </w:p>
        </w:tc>
        <w:tc>
          <w:tcPr>
            <w:tcW w:w="120" w:type="dxa"/>
            <w:vAlign w:val="bottom"/>
          </w:tcPr>
          <w:p>
            <w:pPr>
              <w:spacing w:after="0"/>
              <w:rPr>
                <w:sz w:val="18"/>
                <w:szCs w:val="18"/>
                <w:color w:val="auto"/>
              </w:rPr>
            </w:pPr>
          </w:p>
        </w:tc>
      </w:tr>
      <w:tr>
        <w:trPr>
          <w:trHeight w:val="203"/>
        </w:trPr>
        <w:tc>
          <w:tcPr>
            <w:tcW w:w="2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SYFOVRE</w:t>
            </w:r>
          </w:p>
        </w:tc>
        <w:tc>
          <w:tcPr>
            <w:tcW w:w="1920" w:type="dxa"/>
            <w:vAlign w:val="bottom"/>
            <w:tcBorders>
              <w:bottom w:val="single" w:sz="8" w:color="CCEEFF"/>
            </w:tcBorders>
            <w:shd w:val="clear" w:color="auto" w:fill="CCEEFF"/>
          </w:tcPr>
          <w:p>
            <w:pPr>
              <w:jc w:val="center"/>
              <w:ind w:right="176"/>
              <w:spacing w:after="0" w:line="202" w:lineRule="exact"/>
              <w:rPr>
                <w:sz w:val="20"/>
                <w:szCs w:val="20"/>
                <w:color w:val="auto"/>
              </w:rPr>
            </w:pPr>
            <w:r>
              <w:rPr>
                <w:rFonts w:ascii="Times New Roman" w:cs="Times New Roman" w:eastAsia="Times New Roman" w:hAnsi="Times New Roman"/>
                <w:sz w:val="18"/>
                <w:szCs w:val="18"/>
                <w:color w:val="auto"/>
              </w:rPr>
              <w:t>Ophthalmology</w:t>
            </w:r>
          </w:p>
        </w:tc>
        <w:tc>
          <w:tcPr>
            <w:tcW w:w="2920" w:type="dxa"/>
            <w:vAlign w:val="bottom"/>
            <w:tcBorders>
              <w:bottom w:val="single" w:sz="8" w:color="CFF0FC"/>
            </w:tcBorders>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GA</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586,934</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611,863</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27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Total product revenue, net</w:t>
            </w:r>
          </w:p>
        </w:tc>
        <w:tc>
          <w:tcPr>
            <w:tcW w:w="19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689,383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709,954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366,281</w:t>
            </w:r>
          </w:p>
        </w:tc>
        <w:tc>
          <w:tcPr>
            <w:tcW w:w="120" w:type="dxa"/>
            <w:vAlign w:val="bottom"/>
          </w:tcPr>
          <w:p>
            <w:pPr>
              <w:spacing w:after="0"/>
              <w:rPr>
                <w:sz w:val="17"/>
                <w:szCs w:val="17"/>
                <w:color w:val="auto"/>
              </w:rPr>
            </w:pPr>
          </w:p>
        </w:tc>
      </w:tr>
      <w:tr>
        <w:trPr>
          <w:trHeight w:val="20"/>
        </w:trPr>
        <w:tc>
          <w:tcPr>
            <w:tcW w:w="2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-161925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-161925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480" w:right="3200" w:hanging="4918"/>
        <w:spacing w:after="0" w:line="407" w:lineRule="auto"/>
        <w:tabs>
          <w:tab w:leader="none" w:pos="8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approved EMPAVELI for the treatment of C3G and primary IC-MPGN on July 28, 2025.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product sales reserves totaled $58.6 million and $45.1 million as of December 31, 2025 and 2024, respectively.</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as of December 31, 2025 (in thousands):</w:t>
      </w:r>
      <w:r>
        <w:rPr>
          <w:rFonts w:ascii="Times New Roman" w:cs="Times New Roman" w:eastAsia="Times New Roman" w:hAnsi="Times New Roman"/>
          <w:sz w:val="18"/>
          <w:szCs w:val="18"/>
          <w:color w:val="FFFF00"/>
        </w:rPr>
        <w:t>:</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Fees and patient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Government, Other</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Rebates, and Chargebacks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Ending balance at December 31, 2022</w:t>
            </w:r>
          </w:p>
        </w:tc>
        <w:tc>
          <w:tcPr>
            <w:tcW w:w="6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(30,960)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Ending balance at December 31, 2023</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8,898</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Credits and payments made</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(66,440)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(112,362)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Ending balance at December 31, 2024</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11,589</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31,533</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3"/>
        </w:trPr>
        <w:tc>
          <w:tcPr>
            <w:tcW w:w="37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Credits and payments made</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(48,707)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(128,658)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(181,745)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Ending balance at December 31, 2025</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12,774</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42,927</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320" w:firstLine="517"/>
        <w:spacing w:after="0" w:line="266" w:lineRule="auto"/>
        <w:tabs>
          <w:tab w:leader="none" w:pos="7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GPO chargebacks of $5.4 million are presented in the consolidated financial statements as reductions to accounts receivable, net. The GPO chargebacks as of December 31, 2024, and 2023 were immaterial. All other gross-to-net adjustments are presented in the consolidated financial statements as accrued expenses.</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Significant customers - Gross product revenues and product sales receivable from the Company’s customers who individually accounted for 10% of more of total gross product revenues and/or 10% or more of total product sales receivable consisted of the following:</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7"/>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Percent of Total Gross Product Revenues</w:t>
            </w:r>
          </w:p>
        </w:tc>
        <w:tc>
          <w:tcPr>
            <w:tcW w:w="1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42"/>
        </w:trPr>
        <w:tc>
          <w:tcPr>
            <w:tcW w:w="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5"/>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60" w:type="dxa"/>
            <w:vAlign w:val="bottom"/>
            <w:tcBorders>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bottom w:val="single" w:sz="8" w:color="auto"/>
            </w:tcBorders>
          </w:tcPr>
          <w:p>
            <w:pPr>
              <w:jc w:val="center"/>
              <w:ind w:left="6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2"/>
                <w:szCs w:val="12"/>
                <w:color w:val="auto"/>
              </w:rPr>
            </w:pPr>
          </w:p>
        </w:tc>
      </w:tr>
      <w:tr>
        <w:trPr>
          <w:trHeight w:val="210"/>
        </w:trPr>
        <w:tc>
          <w:tcPr>
            <w:tcW w:w="47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A</w:t>
            </w:r>
          </w:p>
        </w:tc>
        <w:tc>
          <w:tcPr>
            <w:tcW w:w="10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2120" w:type="dxa"/>
            <w:vAlign w:val="bottom"/>
            <w:gridSpan w:val="3"/>
            <w:shd w:val="clear" w:color="auto" w:fill="CFF0FC"/>
          </w:tcPr>
          <w:p>
            <w:pPr>
              <w:jc w:val="center"/>
              <w:ind w:left="1502"/>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shd w:val="clear" w:color="auto" w:fill="CFF0FC"/>
          </w:tcPr>
          <w:p>
            <w:pPr>
              <w:spacing w:after="0"/>
              <w:rPr>
                <w:sz w:val="18"/>
                <w:szCs w:val="18"/>
                <w:color w:val="auto"/>
              </w:rPr>
            </w:pPr>
          </w:p>
        </w:tc>
      </w:tr>
      <w:tr>
        <w:trPr>
          <w:trHeight w:val="21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Customer C</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212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8"/>
                <w:szCs w:val="18"/>
                <w:color w:val="auto"/>
              </w:rPr>
            </w:pPr>
          </w:p>
        </w:tc>
      </w:tr>
      <w:tr>
        <w:trPr>
          <w:trHeight w:val="219"/>
        </w:trPr>
        <w:tc>
          <w:tcPr>
            <w:tcW w:w="47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D</w:t>
            </w:r>
          </w:p>
        </w:tc>
        <w:tc>
          <w:tcPr>
            <w:tcW w:w="10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2120" w:type="dxa"/>
            <w:vAlign w:val="bottom"/>
            <w:gridSpan w:val="3"/>
            <w:shd w:val="clear" w:color="auto" w:fill="CFF0FC"/>
          </w:tcPr>
          <w:p>
            <w:pPr>
              <w:jc w:val="center"/>
              <w:ind w:left="1502"/>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shd w:val="clear" w:color="auto" w:fill="CFF0FC"/>
          </w:tcPr>
          <w:p>
            <w:pPr>
              <w:spacing w:after="0"/>
              <w:rPr>
                <w:sz w:val="19"/>
                <w:szCs w:val="19"/>
                <w:color w:val="auto"/>
              </w:rPr>
            </w:pPr>
          </w:p>
        </w:tc>
      </w:tr>
      <w:tr>
        <w:trPr>
          <w:trHeight w:val="419"/>
        </w:trPr>
        <w:tc>
          <w:tcPr>
            <w:tcW w:w="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7"/>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Percent of Product Sales Receivable</w:t>
            </w:r>
          </w:p>
        </w:tc>
      </w:tr>
      <w:tr>
        <w:trPr>
          <w:trHeight w:val="142"/>
        </w:trPr>
        <w:tc>
          <w:tcPr>
            <w:tcW w:w="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400" w:type="dxa"/>
            <w:vAlign w:val="bottom"/>
            <w:tcBorders>
              <w:top w:val="single" w:sz="8" w:color="auto"/>
              <w:bottom w:val="single" w:sz="8" w:color="auto"/>
            </w:tcBorders>
            <w:gridSpan w:val="5"/>
          </w:tcPr>
          <w:p>
            <w:pPr>
              <w:jc w:val="center"/>
              <w:ind w:left="528"/>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4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20" w:type="dxa"/>
            <w:vAlign w:val="bottom"/>
            <w:tcBorders>
              <w:bottom w:val="single" w:sz="8" w:color="auto"/>
            </w:tcBorders>
            <w:gridSpan w:val="3"/>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96"/>
        </w:trPr>
        <w:tc>
          <w:tcPr>
            <w:tcW w:w="80" w:type="dxa"/>
            <w:vAlign w:val="bottom"/>
          </w:tcPr>
          <w:p>
            <w:pPr>
              <w:spacing w:after="0"/>
              <w:rPr>
                <w:sz w:val="17"/>
                <w:szCs w:val="17"/>
                <w:color w:val="auto"/>
              </w:rPr>
            </w:pP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C</w:t>
            </w:r>
          </w:p>
        </w:tc>
        <w:tc>
          <w:tcPr>
            <w:tcW w:w="1060" w:type="dxa"/>
            <w:vAlign w:val="bottom"/>
            <w:shd w:val="clear" w:color="auto" w:fill="CFF0FC"/>
          </w:tcPr>
          <w:p>
            <w:pPr>
              <w:spacing w:after="0"/>
              <w:rPr>
                <w:sz w:val="17"/>
                <w:szCs w:val="17"/>
                <w:color w:val="auto"/>
              </w:rPr>
            </w:pPr>
          </w:p>
        </w:tc>
        <w:tc>
          <w:tcPr>
            <w:tcW w:w="2120" w:type="dxa"/>
            <w:vAlign w:val="bottom"/>
            <w:gridSpan w:val="3"/>
            <w:shd w:val="clear" w:color="auto" w:fill="CFF0FC"/>
          </w:tcPr>
          <w:p>
            <w:pPr>
              <w:jc w:val="right"/>
              <w:ind w:right="848"/>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7"/>
                <w:szCs w:val="17"/>
                <w:color w:val="auto"/>
              </w:rPr>
            </w:pPr>
          </w:p>
        </w:tc>
      </w:tr>
      <w:tr>
        <w:trPr>
          <w:trHeight w:val="210"/>
        </w:trPr>
        <w:tc>
          <w:tcPr>
            <w:tcW w:w="8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D</w:t>
            </w:r>
          </w:p>
        </w:tc>
        <w:tc>
          <w:tcPr>
            <w:tcW w:w="1060" w:type="dxa"/>
            <w:vAlign w:val="bottom"/>
          </w:tcPr>
          <w:p>
            <w:pPr>
              <w:spacing w:after="0"/>
              <w:rPr>
                <w:sz w:val="18"/>
                <w:szCs w:val="18"/>
                <w:color w:val="auto"/>
              </w:rPr>
            </w:pPr>
          </w:p>
        </w:tc>
        <w:tc>
          <w:tcPr>
            <w:tcW w:w="2120" w:type="dxa"/>
            <w:vAlign w:val="bottom"/>
            <w:gridSpan w:val="3"/>
          </w:tcPr>
          <w:p>
            <w:pPr>
              <w:jc w:val="right"/>
              <w:ind w:right="848"/>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962"/>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8"/>
                <w:szCs w:val="18"/>
                <w:color w:val="auto"/>
              </w:rPr>
            </w:pPr>
          </w:p>
        </w:tc>
      </w:tr>
    </w:tbl>
    <w:p>
      <w:pPr>
        <w:spacing w:after="0" w:line="3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Factoring of accounts receivable and associated fees for the years ended December 31, 2025, and 2024 were as follows (in thousands):</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16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tcPr>
          <w:p>
            <w:pPr>
              <w:jc w:val="right"/>
              <w:ind w:right="11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5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Accounts receivable sold</w:t>
            </w:r>
          </w:p>
        </w:tc>
        <w:tc>
          <w:tcPr>
            <w:tcW w:w="1620" w:type="dxa"/>
            <w:vAlign w:val="bottom"/>
            <w:shd w:val="clear" w:color="auto" w:fill="CFF0FC"/>
          </w:tcPr>
          <w:p>
            <w:pPr>
              <w:jc w:val="right"/>
              <w:ind w:right="146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199,447</w:t>
            </w:r>
          </w:p>
        </w:tc>
        <w:tc>
          <w:tcPr>
            <w:tcW w:w="4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142,698</w:t>
            </w:r>
          </w:p>
        </w:tc>
        <w:tc>
          <w:tcPr>
            <w:tcW w:w="100" w:type="dxa"/>
            <w:vAlign w:val="bottom"/>
            <w:shd w:val="clear" w:color="auto" w:fill="CFF0FC"/>
          </w:tcPr>
          <w:p>
            <w:pPr>
              <w:spacing w:after="0"/>
              <w:rPr>
                <w:sz w:val="18"/>
                <w:szCs w:val="18"/>
                <w:color w:val="auto"/>
              </w:rPr>
            </w:pPr>
          </w:p>
        </w:tc>
      </w:tr>
      <w:tr>
        <w:trPr>
          <w:trHeight w:val="203"/>
        </w:trPr>
        <w:tc>
          <w:tcPr>
            <w:tcW w:w="51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Less: factoring fees</w:t>
            </w:r>
          </w:p>
        </w:tc>
        <w:tc>
          <w:tcPr>
            <w:tcW w:w="162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(2,434)</w:t>
            </w:r>
          </w:p>
        </w:tc>
        <w:tc>
          <w:tcPr>
            <w:tcW w:w="500" w:type="dxa"/>
            <w:vAlign w:val="bottom"/>
          </w:tcPr>
          <w:p>
            <w:pPr>
              <w:spacing w:after="0"/>
              <w:rPr>
                <w:sz w:val="17"/>
                <w:szCs w:val="17"/>
                <w:color w:val="auto"/>
              </w:rPr>
            </w:pPr>
          </w:p>
        </w:tc>
        <w:tc>
          <w:tcPr>
            <w:tcW w:w="2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(1,700)</w:t>
            </w:r>
          </w:p>
        </w:tc>
      </w:tr>
      <w:tr>
        <w:trPr>
          <w:trHeight w:val="236"/>
        </w:trPr>
        <w:tc>
          <w:tcPr>
            <w:tcW w:w="5160" w:type="dxa"/>
            <w:vAlign w:val="bottom"/>
            <w:tcBorders>
              <w:bottom w:val="single" w:sz="8" w:color="CFF0FC"/>
            </w:tcBorders>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Net cash proceeds</w:t>
            </w:r>
          </w:p>
        </w:tc>
        <w:tc>
          <w:tcPr>
            <w:tcW w:w="1620" w:type="dxa"/>
            <w:vAlign w:val="bottom"/>
            <w:tcBorders>
              <w:top w:val="single" w:sz="8" w:color="auto"/>
              <w:bottom w:val="single" w:sz="8" w:color="auto"/>
            </w:tcBorders>
            <w:shd w:val="clear" w:color="auto" w:fill="CFF0FC"/>
          </w:tcPr>
          <w:p>
            <w:pPr>
              <w:jc w:val="right"/>
              <w:ind w:right="146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197,013</w:t>
            </w:r>
          </w:p>
        </w:tc>
        <w:tc>
          <w:tcPr>
            <w:tcW w:w="4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140,998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accounts receivable sold that remained outstanding as of December 31, 2025 and 2024 was zero and $86.1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inventory of EMPAVELI and SYFOVRE consisted of the following as of December 31, 2025 and 2024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640" w:type="dxa"/>
            <w:vAlign w:val="bottom"/>
          </w:tcPr>
          <w:p>
            <w:pPr>
              <w:spacing w:after="0"/>
              <w:rPr>
                <w:sz w:val="12"/>
                <w:szCs w:val="12"/>
                <w:color w:val="auto"/>
              </w:rPr>
            </w:pPr>
          </w:p>
        </w:tc>
        <w:tc>
          <w:tcPr>
            <w:tcW w:w="13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32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43,290</w:t>
            </w:r>
          </w:p>
        </w:tc>
        <w:tc>
          <w:tcPr>
            <w:tcW w:w="9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121,207</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92,872</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3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inventories</w:t>
            </w: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177,515</w:t>
            </w: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157,117</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Company’s long-term inventory balance consists of raw materials and semi-finished goods that are not expected to be sold within the Company’s normal operating cycle.</w:t>
      </w:r>
    </w:p>
    <w:p>
      <w:pPr>
        <w:spacing w:after="0" w:line="121"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Inventory amounts written down as a result of excess, obsolescence, unmarketability or other reasons are charged to cost of sales. For the years ended December 31, 2025 and 2024, the Company’s reserve for excess and obsolete inventory was $20.5 million and $19.0 million,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December 31, 2025 and 2024 (in thousands):</w:t>
      </w:r>
    </w:p>
    <w:p>
      <w:pPr>
        <w:spacing w:after="0" w:line="273"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Down payments for inventory</w:t>
            </w:r>
          </w:p>
        </w:tc>
        <w:tc>
          <w:tcPr>
            <w:tcW w:w="20" w:type="dxa"/>
            <w:vAlign w:val="bottom"/>
          </w:tcPr>
          <w:p>
            <w:pPr>
              <w:spacing w:after="0"/>
              <w:rPr>
                <w:sz w:val="12"/>
                <w:szCs w:val="12"/>
                <w:color w:val="auto"/>
              </w:rPr>
            </w:pPr>
          </w:p>
        </w:tc>
        <w:tc>
          <w:tcPr>
            <w:tcW w:w="128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80" w:type="dxa"/>
            <w:vAlign w:val="bottom"/>
          </w:tcPr>
          <w:p>
            <w:pPr>
              <w:spacing w:after="0"/>
              <w:rPr>
                <w:sz w:val="18"/>
                <w:szCs w:val="18"/>
                <w:color w:val="auto"/>
              </w:rPr>
            </w:pP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assets</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 receivable</w:t>
            </w:r>
          </w:p>
        </w:tc>
        <w:tc>
          <w:tcPr>
            <w:tcW w:w="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collaboration agreement</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1300" w:type="dxa"/>
            <w:vAlign w:val="bottom"/>
            <w:gridSpan w:val="2"/>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38,303</w:t>
            </w:r>
          </w:p>
        </w:tc>
        <w:tc>
          <w:tcPr>
            <w:tcW w:w="80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-170815</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December 31, 2025 and 2024 (in thousands):</w:t>
      </w:r>
    </w:p>
    <w:p>
      <w:pPr>
        <w:spacing w:after="0" w:line="219"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24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8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38,503</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Accrued goods received not invoiced</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reserves</w:t>
            </w: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53,247</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costs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accrued expenses</w:t>
            </w:r>
          </w:p>
        </w:tc>
        <w:tc>
          <w:tcPr>
            <w:tcW w:w="124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166,049</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-170815</wp:posOffset>
            </wp:positionV>
            <wp:extent cx="51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convertible notes the 2019 Convertible Notes with an aggregate principal amount of $220.0 million issued pursuant to an indenture (the “Indenture”) with U.S. Bank National Association, as trustee.</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paid by the Company. The Company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used $28.4 million of the net proceeds from the sale of the 2019 Convertible Notes to pay the cost of the capped call transactions in September 2019, described below.</w:t>
      </w:r>
    </w:p>
    <w:p>
      <w:pPr>
        <w:spacing w:after="0" w:line="67" w:lineRule="exact"/>
        <w:rPr>
          <w:sz w:val="20"/>
          <w:szCs w:val="20"/>
          <w:color w:val="auto"/>
        </w:rPr>
      </w:pPr>
    </w:p>
    <w:p>
      <w:pPr>
        <w:ind w:firstLine="554"/>
        <w:spacing w:after="0" w:line="261" w:lineRule="auto"/>
        <w:rPr>
          <w:sz w:val="20"/>
          <w:szCs w:val="20"/>
          <w:color w:val="auto"/>
        </w:rPr>
      </w:pPr>
      <w:r>
        <w:rPr>
          <w:rFonts w:ascii="Times New Roman" w:cs="Times New Roman" w:eastAsia="Times New Roman" w:hAnsi="Times New Roman"/>
          <w:sz w:val="18"/>
          <w:szCs w:val="18"/>
          <w:color w:val="auto"/>
        </w:rPr>
        <w:t>On May 12, 2020, the Company issued convertible notes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from the sale of the 2020 Convertible Notes to pay the cost of the additional capped call transactions in May 2020, described below.</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3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Prior to March 15, 2026, the Convertible Notes are convertible only under the following circumstances:</w:t>
      </w:r>
    </w:p>
    <w:p>
      <w:pPr>
        <w:spacing w:after="0" w:line="225" w:lineRule="exact"/>
        <w:rPr>
          <w:sz w:val="20"/>
          <w:szCs w:val="20"/>
          <w:color w:val="auto"/>
        </w:rPr>
      </w:pPr>
    </w:p>
    <w:p>
      <w:pPr>
        <w:ind w:left="760" w:right="60" w:hanging="378"/>
        <w:spacing w:after="0" w:line="266"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4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during the five-business day period after any five consecutive trading day period in which the trading price per $1,000 principal amount of the Convertible Notes for each such trading day was less than 98% of the product of the last reported sale price of the Company’s common stock and the conversion rate on each such trading day;</w:t>
      </w:r>
    </w:p>
    <w:p>
      <w:pPr>
        <w:spacing w:after="0" w:line="135"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if the Company calls any or all of the Convertible Notes for redemption, at any time prior to the close of business on the second scheduled trading day immediately preceding the redemption date; or</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upon the occurrence of corporate events specified in the Indenture.</w:t>
      </w:r>
    </w:p>
    <w:p>
      <w:pPr>
        <w:spacing w:after="0" w:line="19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12529"/>
        </w:rPr>
        <w:t>On or after March 15, 2026 until the close of business on the second scheduled trading day immediately preceding the maturity date of the Convertible Notes, holders may convert the Convertible Notes at any time. Upon conversion of the Convertible Notes, the Company will pay or deliver, as the case may be, cash, shares of the Company’s common stock or a combination of cash and shares of common stock, at the Company’s election.</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212529"/>
        </w:rPr>
        <w:t>During 2021 and 2022, holders of the 2019 Convertible Notes and the 2020 Convertible Notes converted approximately $425.4 million in aggregate principal amount into a total of 12,926,104 shares of the Company’s common stock. The Company accounted for these exchanges as induced conversions, resulting in the expensing of the fair value of shares issued in excess of the original terms of the Convertible Notes.</w:t>
      </w:r>
    </w:p>
    <w:p>
      <w:pPr>
        <w:spacing w:after="0" w:line="68"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212529"/>
        </w:rPr>
        <w:t>None of the circumstances outlined above were achieved during the years ended December 31, 2025 and 2024, and as such, the conditional conversion feature of the Convertible Notes was not triggered as of December 31, 2025 and 2024.</w:t>
      </w:r>
    </w:p>
    <w:p>
      <w:pPr>
        <w:spacing w:after="0" w:line="54" w:lineRule="exact"/>
        <w:rPr>
          <w:sz w:val="20"/>
          <w:szCs w:val="20"/>
          <w:color w:val="auto"/>
        </w:rPr>
      </w:pPr>
    </w:p>
    <w:p>
      <w:pPr>
        <w:ind w:right="1500" w:firstLine="509"/>
        <w:spacing w:after="0" w:line="254" w:lineRule="auto"/>
        <w:rPr>
          <w:sz w:val="20"/>
          <w:szCs w:val="20"/>
          <w:color w:val="auto"/>
        </w:rPr>
      </w:pPr>
      <w:r>
        <w:rPr>
          <w:rFonts w:ascii="Times New Roman" w:cs="Times New Roman" w:eastAsia="Times New Roman" w:hAnsi="Times New Roman"/>
          <w:sz w:val="18"/>
          <w:szCs w:val="18"/>
          <w:color w:val="212529"/>
        </w:rPr>
        <w:t>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 the conversion of such Notes, if converted in connection with the redemption, will be The Company has not called for redemption or redeemed any of the Convertible Notes as of December 31, 2025.</w:t>
      </w:r>
    </w:p>
    <w:p>
      <w:pPr>
        <w:spacing w:after="0" w:line="296" w:lineRule="exact"/>
        <w:rPr>
          <w:sz w:val="20"/>
          <w:szCs w:val="20"/>
          <w:color w:val="auto"/>
        </w:rPr>
      </w:pPr>
    </w:p>
    <w:p>
      <w:pPr>
        <w:ind w:right="1560" w:firstLine="509"/>
        <w:spacing w:after="0" w:line="282" w:lineRule="auto"/>
        <w:rPr>
          <w:sz w:val="20"/>
          <w:szCs w:val="20"/>
          <w:color w:val="auto"/>
        </w:rPr>
      </w:pPr>
      <w:r>
        <w:rPr>
          <w:rFonts w:ascii="Times New Roman" w:cs="Times New Roman" w:eastAsia="Times New Roman" w:hAnsi="Times New Roman"/>
          <w:sz w:val="18"/>
          <w:szCs w:val="18"/>
          <w:color w:val="212529"/>
        </w:rPr>
        <w:t>If the Company undergoes a “fundamental change,” as defined in the Indenture, prior to maturity, subject to certain conditions, holders may require the Company to repurchase for cash all or any portion of their Convertible Notes at a fundamental change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20"/>
        <w:spacing w:after="0" w:line="282" w:lineRule="auto"/>
        <w:rPr>
          <w:sz w:val="20"/>
          <w:szCs w:val="20"/>
          <w:color w:val="auto"/>
        </w:rPr>
      </w:pPr>
      <w:r>
        <w:rPr>
          <w:rFonts w:ascii="Times New Roman" w:cs="Times New Roman" w:eastAsia="Times New Roman" w:hAnsi="Times New Roman"/>
          <w:sz w:val="18"/>
          <w:szCs w:val="18"/>
          <w:color w:val="212529"/>
        </w:rPr>
        <w:t>repurchase price equal to 100% of the principal amount of the notes to be repurchased, plus any accrued and unpaid interest to, but excluding, the fundamental change repurchase date.</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held in treasury Convertible Notes in principal amount of $425.4 million which have not been cancelled.</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212529"/>
        </w:rPr>
        <w:t>As the Convertible Notes mature on September 15, 2026, the Company classified the Convertible Note as current liabilities as of December 31, 2025 and non-current liabilities as of December 31, 2024 on the Company’s consolidated balance sheets.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The outstanding balance of the Convertible Notes as of December 31, 2025 and 2024 consisted of the following (in thousands):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Principal</w:t>
            </w:r>
          </w:p>
        </w:tc>
        <w:tc>
          <w:tcPr>
            <w:tcW w:w="312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312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93,662</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93,341</w:t>
            </w:r>
          </w:p>
        </w:tc>
        <w:tc>
          <w:tcPr>
            <w:tcW w:w="12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Convertible Notes during the years ended December 31, 2025, 2024 and 2023 (in thousands):</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5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interest expense</w:t>
            </w:r>
          </w:p>
        </w:tc>
        <w:tc>
          <w:tcPr>
            <w:tcW w:w="1040" w:type="dxa"/>
            <w:vAlign w:val="bottom"/>
            <w:gridSpan w:val="2"/>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On </w:t>
      </w:r>
      <w:r>
        <w:rPr>
          <w:rFonts w:ascii="Times New Roman" w:cs="Times New Roman" w:eastAsia="Times New Roman" w:hAnsi="Times New Roman"/>
          <w:sz w:val="18"/>
          <w:szCs w:val="18"/>
          <w:color w:val="000000"/>
        </w:rPr>
        <w:t>September 11, 2019 and May 6, 2020, concurrently with the pricings of the Convertible Notes, the Company entered into capped call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February 27, 2024, the Company unwound a portion of the capped call transactions with the capped call counterparties, which resulted in cash proceeds to the Company of $98.8 million. The unwind transactions were settled at a volume-weighted average price per share of $64.11 on March 8, 2024.</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holds remaining capped call transactions in a notional amount corresponding to $93.9 million principal amount of Convertible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May 13, 2024, the Company and certain of its subsidiaries entered into a financing agreement (the “Sixth Street Financing Agreement”) with the lenders party thereto (the “Lenders”), and Sixth Street Lending Partners (“Sixth Street”), as the administrative agent and collateral agent for the Lenders.</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(the “Credit Facility”), consisting of an initial draw of $375.0 million at closing and a potential additional $100.0 million draw at the Company’s option upon satisfaction of a $50.0 million minimum cash requirement and a requirement that the Company’s trailing three-month sales of SYFOVRE is at least $180.0 million prior to the $100.0 million draw by September 30, 2025. The Company did not draw down the additional $100.0 million and the option expired September 30, 2025.</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at (i) in the case of SOFR Loans, an annual rate equal to 3-month Term SOFR (subject to 1.00% floor), plus (ii) 5.75%. Certain additional commitment and undrawn amount fees are also payable in connection with the Credit Facility.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The Company used $326.5 million of the proceeds from the initial draw of the Credit Facility to buy out its remaining obligations to SFJ Pharmaceuticals Group.</w:t>
      </w:r>
    </w:p>
    <w:p>
      <w:pPr>
        <w:spacing w:after="0" w:line="68"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 Credit Facility does not provide for scheduled amortization payments during the term. All principal will be due on the Maturity Date. The Company will have the right to prepay loans under the Credit Facility at any time. The Company is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5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1, 2025, the Lenders and Sixth Street consented to the Royalty Agreement as further described in Note 10 (the “Six Street Consent”). In connection with the Sixth Street Consent, the Company agreed to extend by one year from the effective date of the Consent the periods in which certain prepayment premiums would be owed under the Sixth Street Financing Agreement. This effectively extended the period the prepayment premium would be owed from one year after the date of the initial draw, or May 13, 2024, to one year after the effective date of the Sixth Street Consent, or July 1, 2025.</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assets of the Company and certain subsidiaries of the Company, including its intellectual property, and are guaranteed by certain subsidiaries of the Company, including foreign subsidiaries, subject to certain exceptions.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 $50.0 million if the Company’s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the Company is permitted, on terms and conditions set forth on the Sixth Street Financing Agreement, to enter into a separate asset-based financing arrangement with a third-party in an amount of up to $100.0 million, which amount is increased to $200.0 million upon certain sales or market capitalization thresholds, and to have outstanding convertible unsecured notes in an amount equal to the greater of $400.0 million and 10% of the Company’s market capitalization, but not to exceed $600.0 million. The Company is subject to restrictions on sales and licensing transactions with respect to its core intellectual property, defined to include SYFOVRE, EMPAVELI, and other pegcetacoplan product assets, subject to certain exceptions, including certain transactions related to areas outside the United States and Europe.</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outstand</w:t>
      </w:r>
      <w:r>
        <w:rPr>
          <w:rFonts w:ascii="Times New Roman" w:cs="Times New Roman" w:eastAsia="Times New Roman" w:hAnsi="Times New Roman"/>
          <w:sz w:val="18"/>
          <w:szCs w:val="18"/>
          <w:color w:val="212529"/>
        </w:rPr>
        <w:t>ing balance of the Credit Facility as of December 31, 2025 and 2024 consisted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Principal</w:t>
            </w:r>
          </w:p>
        </w:tc>
        <w:tc>
          <w:tcPr>
            <w:tcW w:w="2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(15,511)</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361,664</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359,489</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w:t>
      </w:r>
      <w:r>
        <w:rPr>
          <w:rFonts w:ascii="Times New Roman" w:cs="Times New Roman" w:eastAsia="Times New Roman" w:hAnsi="Times New Roman"/>
          <w:sz w:val="18"/>
          <w:szCs w:val="18"/>
          <w:color w:val="212529"/>
        </w:rPr>
        <w:t>le sets forth total interest expense recognized related to the Credit Facility as of December 31, 2025 and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253365</wp:posOffset>
            </wp:positionV>
            <wp:extent cx="27127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127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tcBorders>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320" w:type="dxa"/>
            <w:vAlign w:val="bottom"/>
          </w:tcPr>
          <w:p>
            <w:pPr>
              <w:spacing w:after="0"/>
              <w:rPr>
                <w:sz w:val="18"/>
                <w:szCs w:val="18"/>
                <w:color w:val="auto"/>
              </w:rPr>
            </w:pPr>
          </w:p>
        </w:tc>
        <w:tc>
          <w:tcPr>
            <w:tcW w:w="5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37,947</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60" w:type="dxa"/>
            <w:vAlign w:val="bottom"/>
            <w:gridSpan w:val="2"/>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40,122</w:t>
            </w:r>
          </w:p>
        </w:tc>
        <w:tc>
          <w:tcPr>
            <w:tcW w:w="84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interest expense incurred for the year ended December 31, 2023 as the Credit Facility commenced in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89" w:lineRule="exact"/>
        <w:rPr>
          <w:sz w:val="20"/>
          <w:szCs w:val="20"/>
          <w:color w:val="auto"/>
        </w:rPr>
      </w:pPr>
    </w:p>
    <w:p>
      <w:pPr>
        <w:ind w:right="140" w:firstLine="554"/>
        <w:spacing w:after="0" w:line="282" w:lineRule="auto"/>
        <w:rPr>
          <w:sz w:val="20"/>
          <w:szCs w:val="20"/>
          <w:color w:val="auto"/>
        </w:rPr>
      </w:pPr>
      <w:r>
        <w:rPr>
          <w:rFonts w:ascii="Times New Roman" w:cs="Times New Roman" w:eastAsia="Times New Roman" w:hAnsi="Times New Roman"/>
          <w:sz w:val="18"/>
          <w:szCs w:val="18"/>
          <w:color w:val="auto"/>
        </w:rPr>
        <w:t>The underlying assets of the Company’s leases primarily relate to office space leases and certain equipment leases. The Company determines if an arrangement qualifies as a lease at its inception.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all leases were classified as operating leases. Additional information related to the operating leases is as follows (in thousands):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Borders>
              <w:bottom w:val="single" w:sz="8" w:color="auto"/>
            </w:tcBorders>
          </w:tcPr>
          <w:p>
            <w:pPr>
              <w:spacing w:after="0"/>
              <w:rPr>
                <w:sz w:val="15"/>
                <w:szCs w:val="15"/>
                <w:color w:val="auto"/>
              </w:rPr>
            </w:pPr>
          </w:p>
        </w:tc>
      </w:tr>
      <w:tr>
        <w:trPr>
          <w:trHeight w:val="196"/>
        </w:trPr>
        <w:tc>
          <w:tcPr>
            <w:tcW w:w="4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18,195</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16,083</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19,034</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16,954</w:t>
            </w: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2.73</w:t>
            </w: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discount rate used to measure</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lease liabilities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bl>
    <w:p>
      <w:pPr>
        <w:spacing w:after="0" w:line="37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total lease cost for operating leases was approximately $10.5 million, $10.2 million, and $7.0 million,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years ended December 31, 2025, 2024 and 2023 is as follows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80" w:type="dxa"/>
            <w:vAlign w:val="bottom"/>
            <w:shd w:val="clear" w:color="auto" w:fill="CFF0FC"/>
          </w:tcPr>
          <w:p>
            <w:pPr>
              <w:spacing w:after="0"/>
              <w:rPr>
                <w:sz w:val="18"/>
                <w:szCs w:val="18"/>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assets obtained in exchange for lease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20"/>
                <w:szCs w:val="20"/>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December 31, 2025 are as follows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7,940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5,808</w:t>
            </w:r>
          </w:p>
        </w:tc>
      </w:tr>
      <w:tr>
        <w:trPr>
          <w:trHeight w:val="216"/>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9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3,581</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3,324</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19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09"/>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900" w:type="dxa"/>
            <w:vAlign w:val="bottom"/>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21,026</w:t>
            </w: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19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19,034</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Type of Instrument</w:t>
            </w:r>
          </w:p>
        </w:tc>
        <w:tc>
          <w:tcPr>
            <w:tcW w:w="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vMerge w:val="continue"/>
          </w:tcPr>
          <w:p>
            <w:pPr>
              <w:spacing w:after="0"/>
              <w:rPr>
                <w:sz w:val="18"/>
                <w:szCs w:val="18"/>
                <w:color w:val="auto"/>
              </w:rPr>
            </w:pPr>
          </w:p>
        </w:tc>
        <w:tc>
          <w:tcPr>
            <w:tcW w:w="22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5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349,615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349,615</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349,615</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349,615</w:t>
            </w: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Type of Instrument</w:t>
            </w: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auto"/>
            </w:tcBorders>
            <w:vMerge w:val="continue"/>
          </w:tcPr>
          <w:p>
            <w:pPr>
              <w:spacing w:after="0"/>
              <w:rPr>
                <w:sz w:val="18"/>
                <w:szCs w:val="18"/>
                <w:color w:val="auto"/>
              </w:rPr>
            </w:pPr>
          </w:p>
        </w:tc>
        <w:tc>
          <w:tcPr>
            <w:tcW w:w="22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5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276,868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276,868</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276,868</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276,868</w:t>
            </w: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-873760</wp:posOffset>
            </wp:positionV>
            <wp:extent cx="946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-856615</wp:posOffset>
            </wp:positionV>
            <wp:extent cx="946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-873760</wp:posOffset>
            </wp:positionV>
            <wp:extent cx="946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-856615</wp:posOffset>
            </wp:positionV>
            <wp:extent cx="946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-873760</wp:posOffset>
            </wp:positionV>
            <wp:extent cx="946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-856615</wp:posOffset>
            </wp:positionV>
            <wp:extent cx="946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946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946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946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9461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Convertible Notes are financial instruments that are reported in the consolidated financial statements at historical cost. The Convertible Notes are Level 1 within the fair value level hierarchy as of December 31, 2025 and 2024. The fair value of the Convertible Notes was $97.5 million as of December 31, 2025 and $102.3 million as of December 31, 2024. The Convertible Notes accrue a semi-annual coupon at an annual rate of 3.5%, which was included in accrued expenses in the consolidated balance sheets as of December 31, 2025 and 2024.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Sobi License and Collaboration Agreement</w:t>
      </w:r>
    </w:p>
    <w:p>
      <w:pPr>
        <w:spacing w:after="0" w:line="14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October 2020, the Company and its subsidiaries, Apellis International GmbH (f/k/a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the Company granted Sobi an exclusive (subject to certain retained rights of the Company), sublicensable license of certain patent rights and know-how to develop and commercialize Licensed Products in all countries outside of the United States.</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retains the right to commercialize Licensed Products in the United States, and, subject to specified limitations, to develop Licensed Products worldwide for commercialization in the United States.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Sobi Collaboration Agreement, the Company and Sobi agreed to collaborate to develop Licensed Products for certain indications, including PNH, C3G, primary IC-MPGN and HSCT-TMA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 In July 2025, the Company and Sobi decided to discontinue development of systemic pegcetacoplan for Transplant-associated Thrombotic Microangiopathy (TA-TMA) (inclusive of HSCT-TMA), following completion of the Phase 2 study and a strategic assessment of the TA-TMA market landscape.</w:t>
      </w:r>
    </w:p>
    <w:p>
      <w:pPr>
        <w:spacing w:after="0" w:line="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formed several governance committees to oversee the development and manufacture, and to review and discuss the commercialization, of Licensed Products.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between the parties. The Sobi Collaboration Agreement grants Sobi the right to perform drug product manufacturing of Licensed Products for development and for commercialization outside the United States and to manufacture drug substance under certain circumstances. For the years ended December 31, 2025 and 2024, the Company recognized revenue of $26.2 million and $53.0 million, respectively, for the supply of Licensed Products to Sobi, which is included in Licensing and other revenue on the consolidated statements of operations and comprehensive income/(loss).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has agreed to pay up to an aggregate of $915.0 million upon the achievement of specified one-time regulatory and commercial milestone events, of which the Company received $50.0 million in April 2022 for the achievement of a regulatory development milestone in Europe. Sobi also agreed to reimburse the Company for up to $80.0 million in development costs for the Initial Indications (defined above), of which the Company received $65.0 million and waived the remaining payment of $15.0 million. The Company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Sobi Collaboration Agreement, the Company remains responsible for its license fee obligations (including royalty obligations) to the Trustees of the University of Pennsylvania (“Penn”), as a licensor of the Company.</w:t>
      </w:r>
    </w:p>
    <w:p>
      <w:pPr>
        <w:spacing w:after="0" w:line="8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July 1, 2025 (the “Closing Date”), Apellis Pharmaceuticals, Inc. and its subsidiaries Apellis International GmbH and APL DEL Holdings, LLC entered into a Royalty Buy-Down Agreement (the “Royalty Agreement”) with Sobi.</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Under the Royalty Agreement, Sobi paid the Company an upfront payment of $275.0 million and agreed to pay up to an aggregate of $25.0 million upon the European Medicines Agency (“EMA”) approval of Aspaveli for C3G and primary IC-MPGN (collectively, the “purchase price”), and the Company agreed to reduce Sobi’s royalty payment obligations under the Sobi Collaboration Agreement by 90%, effective July 1, 2025. The royalty reduction is subject to defined caps tied to Aspaveli’s performance, including an initial cap of 1.45x of the purchase price.</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royalty reduction subject to the cap is calculated as an amount equal to (A) the royalty payments that would have been payable by Sobi under the Sobi Collaboration Agreement with respect to aggregate net sales of Aspaveli outside the United States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period beginning on July 1, 2025 and ending on the hard cap achievement date if the 90% reduction not been applied, minus (B) the royalty payments that are payable to the Company with the 90% reduction in effect. At any time on or after October 1, 2030, the Company may elect to pay Sobi a one-time payment amount, which shall be counted in determining if a cap is met. If a cap is met, Sobi’s royalty payment obligations under the Sobi Collaboration Agreement will revert to 100%.</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evaluated the terms of the Royalty Agreement and concluded, in accordance with ASC 606, the Royalty Agreement is a modification to, and should be accounted for as if it were part of, the existing Sobi Collaboration Agreement. Therefore, the effect of the modification on the transaction price, being the addition of the $275.0 million upfront payment, was recognized as an adjustment to revenue on the date of the modification. This amount is reflected in licensing and other revenue on the consolidated statement of operations and comprehensive income/(loss) for the year ended December 31, 2025. The royalty revenues from the sales of Aspaveli will continue to be recorded as licensing and other revenue on the consolidated statement of operations and comprehensive income/(loss) as the sales are made by Sobi outside of the United States.</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January 2026, Sobi received EMA approval of Aspaveli for C3G and primary IC-MPGN. Pursuant to the Royalty Agreement, Sobi owed us an additional $25.0 million, which was paid in February 2026. This $25.0 million will be recorded as licensing and other revenue on the consolidated statement of operations and comprehensive income/(loss) in the first quarter of 2026.</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as of December 31, 2025, 2024 and 2023, the Company recognized $13.2 million, $18.4 million, and $10.0 million, respectively, of royalty revenue from sales of Aspaveli, which was sold by Sobi outside of the United States.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recognized $10.6 million and $9.9 million, respectively, of contra-research and development expense related to reimbursements from Sobi for certain agreed upon development activities. Additionally, as it relates to the $80.0 million reimbursement commitment from Sobi, the Company recognized $65.0 million as contra-research and development expense between 2020 and 2023, and waived the remaining $15.0 million reimbursement in 2024 in connection with the decision to discontinue the CAD program.</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University of Pennsylvania License Agreement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License Agreement with Penn (Non-ophthalmic Fields of Use)</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is party to a license agreement with Penn for an exclusive, worldwide license to specified patent rights for the development and commercialization of products in fields of use, as defined therein.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single-digit royalties based on net sales of each licensed product, subject to minimum quarterly royalty thresholds. In addition, the Company is obligated to pay a specified portion of income it receives from sublicensees.</w:t>
      </w:r>
    </w:p>
    <w:p>
      <w:pPr>
        <w:spacing w:after="0" w:line="7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From January 2021 through December 2025, the Company has made sublicense payments to Penn totaling $30.5 million. From January 2021 through December 2025, the Company has paid $3.5 million in development and sales milestones.</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the Company has incurred royalty expense of $7.3 million, $6.4 million and $4.8 million, respectively, on sales of EMPAVELI and Aspaveli, which is included in cost of sales on the consolidated statements of operations and comprehensive income/(loss).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Amended and Restated Patent License Agreement with Penn (Ophthalmic Field of Use)</w:t>
      </w:r>
    </w:p>
    <w:p>
      <w:pPr>
        <w:spacing w:after="0" w:line="11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The Company is also party to a license agreement with Penn for an exclusive, worldwide license to specified patent rights. The Company is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April 2023 through December 2025, the Company paid $7.3 million related to regulatory and sales milestones for SYFOVRE.</w:t>
      </w:r>
    </w:p>
    <w:p>
      <w:pPr>
        <w:spacing w:after="0" w:line="99" w:lineRule="exact"/>
        <w:rPr>
          <w:sz w:val="20"/>
          <w:szCs w:val="20"/>
          <w:color w:val="auto"/>
        </w:rPr>
      </w:pPr>
    </w:p>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respectively, the Company has incurred royalty expense of $19.1 million, $19.8 million and $8.9 million on sales of SYFOVRE, which is included in cost of sales on the consolidated statements of operations and comprehensive income/(loss).</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Beam Research Collaboration</w:t>
      </w:r>
    </w:p>
    <w:p>
      <w:pPr>
        <w:spacing w:after="0" w:line="121" w:lineRule="exact"/>
        <w:rPr>
          <w:sz w:val="20"/>
          <w:szCs w:val="20"/>
          <w:color w:val="auto"/>
        </w:rPr>
      </w:pPr>
    </w:p>
    <w:p>
      <w:pPr>
        <w:ind w:right="40" w:firstLine="514"/>
        <w:spacing w:after="0" w:line="261" w:lineRule="auto"/>
        <w:rPr>
          <w:sz w:val="20"/>
          <w:szCs w:val="20"/>
          <w:color w:val="auto"/>
        </w:rPr>
      </w:pPr>
      <w:r>
        <w:rPr>
          <w:rFonts w:ascii="Times New Roman" w:cs="Times New Roman" w:eastAsia="Times New Roman" w:hAnsi="Times New Roman"/>
          <w:sz w:val="18"/>
          <w:szCs w:val="18"/>
          <w:color w:val="auto"/>
        </w:rPr>
        <w:t>In June 2021, the Company entered into an exclusive five-year research collaboration (the “Beam Collaboration Agreement”) with Beam Therapeutics, Inc. (“Beam”) focused on the use of Beam’s proprietary base editing technology to discover new treatments for complement-driven diseases. The Company and Beam agreed to collaborate on up to six research programs focused on C3 and other complement targets in the eye, liver and brain. Under the terms of the Beam Collaboration Agreement, the Company is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responsible for selecting specific genes within the complement system in various organs including the eye, liver and brain (the “Target List”) and providing analytical support while Beam will apply its base editing technology and conduct preclinical research on up to six base editing programs for the Target List. During the first five years of the Beam Collaboration Agreement, Beam is prohibited from developing on its own or with a third-party any base editing therapies associated with the items on the Target List but does not prevent Beam from licensing its intellectual property to a third-party for another purpose outside of the Target List. The Company will have exclusive rights to license each of the six programs and will assume responsibility for subsequent development and commercialization. Beam may elect to enter a 50-50 co-development and U.S. co-commercialization agreement with the Company with respect to any one program licensed under the Beam Collaboration Agreement and upon such election any license agreement in place at that time, would be terminated.</w:t>
      </w:r>
    </w:p>
    <w:p>
      <w:pPr>
        <w:spacing w:after="0" w:line="84" w:lineRule="exact"/>
        <w:rPr>
          <w:sz w:val="20"/>
          <w:szCs w:val="20"/>
          <w:color w:val="auto"/>
        </w:rPr>
      </w:pPr>
    </w:p>
    <w:p>
      <w:pPr>
        <w:ind w:right="180" w:firstLine="469"/>
        <w:spacing w:after="0" w:line="258" w:lineRule="auto"/>
        <w:rPr>
          <w:sz w:val="20"/>
          <w:szCs w:val="20"/>
          <w:color w:val="auto"/>
        </w:rPr>
      </w:pPr>
      <w:r>
        <w:rPr>
          <w:rFonts w:ascii="Times New Roman" w:cs="Times New Roman" w:eastAsia="Times New Roman" w:hAnsi="Times New Roman"/>
          <w:sz w:val="18"/>
          <w:szCs w:val="18"/>
          <w:color w:val="auto"/>
        </w:rPr>
        <w:t>As part of the Beam Collaboration Agreement, the Company made upfront payments of $50.0 million and $25.0 million in 2021 and 2022, respectively. The Company and Beam are each responsible for their own costs during the research collaboration. If and after the opt-in license rights are exercised for each of the up to six programs, Beam will be eligible to receive development, regulatory and sales milestones from the Company, as well as royalty payments on sales. The Beam Collaboration Agreement has an initial term of five years and may be extended up to two years on a per year program-by-program basis.</w:t>
      </w:r>
    </w:p>
    <w:p>
      <w:pPr>
        <w:spacing w:after="0" w:line="75"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Further, in August 2025, the Company opted into and entered into a license agreement with Beam to collaborate on the neonatal Fc receptor ("FcRn") in the liver, which triggered an upfront milestone payment of $3.8 million, paid in September 2025. Under this agreement, the Company may pay Beam up to $168.8 million in regulatory and development milestones, up to $215.0 million in sales-based milestones, and may owe low single-digit royalties on annual net sales within the licensed territory.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Retirement Plans</w:t>
      </w:r>
    </w:p>
    <w:p>
      <w:pPr>
        <w:spacing w:after="0" w:line="18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Company adopted an employee profit-sharing plan (the “401(k) Plan”), qualified under Section 401(k) of the Internal Revenue Code (the “IRC”). All of the Company’s full-time employees who have attained the age of 21 are eligible to participate in the 401(k) Plan immediately upon employment. Pursuant to the 401(k) Plan, employees may elect to reduce their current compensation by up to the statutorily prescribed annual limit and have the amount of the reduction contributed to the 401(k) Plan. For the years ended December 31, 2025, 2024 and 2023, the Company recorded $5.7 million, $5.1 million, and $5.7 million respectively, for employer contributions made to the 401(k) Plan.</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its Swiss subsidiary, Apellis International GmbH (the “Swiss Plan”). The Swiss Plan is a legally-mandated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Swiss Plan was underfunded by $0.2 million as the fair value of the plan assets of $11.3 million was less than the projected benefit obligation of $11.5 million. The accumulated benefit obligation at December 31, 2025 was $0.1 million. The Company’s net periodic benefit cost for the year ended December 31, 2025 was $0.7 million. The contributions to the Swiss Plan for the year ended December 31, 2025 were not material.</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Swiss Plan was underfunded by $1.6 million as the fair value of the plan assets of $16.7 million was less than the projected benefit obligation of $18.3 million. The accumulated benefit obligation at December 31, 2024 was $0.6 million. The Company’s net periodic benefit cost for the year ended December 31, 2024 was $1.2 million. The contributions to the Swiss Plan for the year ended December 31, 2024 were not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net income/(loss) from continuing operations before provision for income taxes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680" w:type="dxa"/>
            <w:vAlign w:val="bottom"/>
          </w:tcPr>
          <w:p>
            <w:pPr>
              <w:spacing w:after="0"/>
              <w:rPr>
                <w:sz w:val="15"/>
                <w:szCs w:val="15"/>
                <w:color w:val="auto"/>
              </w:rPr>
            </w:pPr>
          </w:p>
        </w:tc>
      </w:tr>
      <w:tr>
        <w:trPr>
          <w:trHeight w:val="169"/>
        </w:trPr>
        <w:tc>
          <w:tcPr>
            <w:tcW w:w="1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(120,516)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144,626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(174,015)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(478,001)</w:t>
            </w: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24,110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(196,716)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(526,496)</w:t>
            </w:r>
          </w:p>
        </w:tc>
        <w:tc>
          <w:tcPr>
            <w:tcW w:w="1680" w:type="dxa"/>
            <w:vAlign w:val="bottom"/>
          </w:tcPr>
          <w:p>
            <w:pPr>
              <w:spacing w:after="0"/>
              <w:rPr>
                <w:sz w:val="21"/>
                <w:szCs w:val="21"/>
                <w:color w:val="auto"/>
              </w:rPr>
            </w:pPr>
          </w:p>
        </w:tc>
      </w:tr>
      <w:tr>
        <w:trPr>
          <w:trHeight w:val="520"/>
        </w:trPr>
        <w:tc>
          <w:tcPr>
            <w:tcW w:w="1700" w:type="dxa"/>
            <w:vAlign w:val="bottom"/>
          </w:tcPr>
          <w:p>
            <w:pPr>
              <w:spacing w:after="0"/>
              <w:rPr>
                <w:sz w:val="24"/>
                <w:szCs w:val="24"/>
                <w:color w:val="auto"/>
              </w:rPr>
            </w:pPr>
          </w:p>
        </w:tc>
        <w:tc>
          <w:tcPr>
            <w:tcW w:w="2380" w:type="dxa"/>
            <w:vAlign w:val="bottom"/>
            <w:tcBorders>
              <w:top w:val="single" w:sz="8" w:color="CFF0FC"/>
            </w:tcBorders>
          </w:tcPr>
          <w:p>
            <w:pPr>
              <w:spacing w:after="0"/>
              <w:rPr>
                <w:sz w:val="24"/>
                <w:szCs w:val="24"/>
                <w:color w:val="auto"/>
              </w:rPr>
            </w:pPr>
          </w:p>
        </w:tc>
        <w:tc>
          <w:tcPr>
            <w:tcW w:w="2140" w:type="dxa"/>
            <w:vAlign w:val="bottom"/>
            <w:tcBorders>
              <w:top w:val="single" w:sz="8" w:color="CFF0FC"/>
            </w:tcBorders>
          </w:tcPr>
          <w:p>
            <w:pPr>
              <w:jc w:val="right"/>
              <w:ind w:right="370"/>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-865505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-847725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-865505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-847725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 for income taxes for the years ended December 31, 2025, 2024, and 2023 are as follows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2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40" w:type="dxa"/>
            <w:vAlign w:val="bottom"/>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gridSpan w:val="2"/>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20" w:type="dxa"/>
            <w:vAlign w:val="bottom"/>
            <w:gridSpan w:val="2"/>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40" w:type="dxa"/>
            <w:vAlign w:val="bottom"/>
            <w:gridSpan w:val="2"/>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2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0"/>
        </w:trPr>
        <w:tc>
          <w:tcPr>
            <w:tcW w:w="2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Pr>
          <w:p>
            <w:pPr>
              <w:spacing w:after="0"/>
              <w:rPr>
                <w:sz w:val="20"/>
                <w:szCs w:val="20"/>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20"/>
                <w:szCs w:val="20"/>
                <w:color w:val="auto"/>
              </w:rPr>
            </w:pPr>
          </w:p>
        </w:tc>
        <w:tc>
          <w:tcPr>
            <w:tcW w:w="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36" w:lineRule="exact"/>
        <w:rPr>
          <w:sz w:val="20"/>
          <w:szCs w:val="20"/>
          <w:color w:val="auto"/>
        </w:rPr>
      </w:pPr>
    </w:p>
    <w:p>
      <w:pPr>
        <w:ind w:right="3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elected to retrospectively adopt the guidance in ASU 2023-09, Income Taxes (Topic 740): </w:t>
      </w:r>
      <w:r>
        <w:rPr>
          <w:rFonts w:ascii="Times New Roman" w:cs="Times New Roman" w:eastAsia="Times New Roman" w:hAnsi="Times New Roman"/>
          <w:sz w:val="18"/>
          <w:szCs w:val="18"/>
          <w:i w:val="1"/>
          <w:iCs w:val="1"/>
          <w:color w:val="auto"/>
        </w:rPr>
        <w:t>Improvements to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or ASU 2023-09. A reconciliation between the U.S. federal statutory tax rate and the Company's effective tax rate,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in ASU 2023-09, is summarized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Rate Reconciliation</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vMerge w:val="restart"/>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vMerge w:val="restart"/>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vMerge w:val="restart"/>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continue"/>
          </w:tcPr>
          <w:p>
            <w:pPr>
              <w:spacing w:after="0"/>
              <w:rPr>
                <w:sz w:val="12"/>
                <w:szCs w:val="12"/>
                <w:color w:val="auto"/>
              </w:rPr>
            </w:pPr>
          </w:p>
        </w:tc>
        <w:tc>
          <w:tcPr>
            <w:tcW w:w="9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vMerge w:val="continue"/>
          </w:tcPr>
          <w:p>
            <w:pPr>
              <w:spacing w:after="0"/>
              <w:rPr>
                <w:sz w:val="12"/>
                <w:szCs w:val="12"/>
                <w:color w:val="auto"/>
              </w:rPr>
            </w:pPr>
          </w:p>
        </w:tc>
        <w:tc>
          <w:tcPr>
            <w:tcW w:w="8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income/(loss) before taxes</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(196,716)</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(526,496)</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(41,310)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(110,564)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Domestic federal reconciling items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credits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(22,100)</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(11,566)</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(8,688)</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(26,881)</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162M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(1,382)</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Cross-border tax laws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GILTI</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59,627</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(32,130)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Prior year taxes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98"/>
        </w:trPr>
        <w:tc>
          <w:tcPr>
            <w:tcW w:w="35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Domestic state and local income taxes, net of</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benefit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tax effected</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(19,725)</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20,443</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62,293</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(11,325)</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37,044</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Bermuda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(561)</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-24765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1460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1460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1454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1454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for the year ended December 31, 2025 compared to the year ended December 31, 2024 increased primarily as a result of operations in state jurisdictions.</w:t>
      </w:r>
    </w:p>
    <w:p>
      <w:pPr>
        <w:sectPr>
          <w:pgSz w:w="11900" w:h="16838" w:orient="portrait"/>
          <w:cols w:equalWidth="0" w:num="1">
            <w:col w:w="11240"/>
          </w:cols>
          <w:pgMar w:left="320" w:top="124" w:right="3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principal components of the Company’s deferred tax assets and liabilities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178,715</w:t>
            </w:r>
          </w:p>
        </w:tc>
        <w:tc>
          <w:tcPr>
            <w:tcW w:w="12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carryforward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81,832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Orphan drug credits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reserves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UNICAP</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738,679</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726,404</w:t>
            </w:r>
          </w:p>
        </w:tc>
        <w:tc>
          <w:tcPr>
            <w:tcW w:w="8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(2,821)</w:t>
            </w:r>
          </w:p>
        </w:tc>
      </w:tr>
      <w:tr>
        <w:trPr>
          <w:trHeight w:val="209"/>
        </w:trPr>
        <w:tc>
          <w:tcPr>
            <w:tcW w:w="20" w:type="dxa"/>
            <w:vAlign w:val="bottom"/>
          </w:tcPr>
          <w:p>
            <w:pPr>
              <w:spacing w:after="0"/>
              <w:rPr>
                <w:sz w:val="18"/>
                <w:szCs w:val="18"/>
                <w:color w:val="auto"/>
              </w:rPr>
            </w:pPr>
          </w:p>
        </w:tc>
        <w:tc>
          <w:tcPr>
            <w:tcW w:w="528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before allowance: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723,583</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(734,816)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(723,583)</w:t>
            </w: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-1036320</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-1036320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bearing upon the realizability of its deferred tax assets and has determined that it is more likely than not that the Company will not recognize the benefits of its net federal, foreign and state deferred tax assets, and as a result, a valuation allowance of $734.8 million and $723.6 million has been established at December 31, 2025 and 2024, respectively.</w:t>
      </w:r>
    </w:p>
    <w:p>
      <w:pPr>
        <w:spacing w:after="0" w:line="176" w:lineRule="exact"/>
        <w:rPr>
          <w:sz w:val="20"/>
          <w:szCs w:val="20"/>
          <w:color w:val="auto"/>
        </w:rPr>
      </w:pPr>
    </w:p>
    <w:p>
      <w:pPr>
        <w:ind w:right="260" w:firstLine="499"/>
        <w:spacing w:after="0" w:line="255" w:lineRule="auto"/>
        <w:rPr>
          <w:sz w:val="20"/>
          <w:szCs w:val="20"/>
          <w:color w:val="auto"/>
        </w:rPr>
      </w:pPr>
      <w:r>
        <w:rPr>
          <w:rFonts w:ascii="Times New Roman" w:cs="Times New Roman" w:eastAsia="Times New Roman" w:hAnsi="Times New Roman"/>
          <w:sz w:val="18"/>
          <w:szCs w:val="18"/>
          <w:color w:val="auto"/>
        </w:rPr>
        <w:t>On July 4, 2025, the U.S. signed into law the H.R.1 legislation commonly referred to as the OBBBA. The OBBBA contains significant tax provisions, such as permanent extension of certain expiring provisions of the Tax Cuts and Jobs Act and the restoration of favorable tax treatment for certain business provisions. The legislation has multiple effective dates, with certain provisions effective in 2025 and others implemented through 2027. The OBBBA did not result in any material adjustments to the Company’s total income tax provision for the year ended December 31, 2025, and the Company have adjusted our deferred tax balances to reflect the impacts of the OBBBA enactment. However, given the complexity of tax laws, related regulations and interpretations, the Company’s current estimates may require revision as additional information becomes available regarding the application of the OBBBA provisions.</w:t>
      </w:r>
    </w:p>
    <w:p>
      <w:pPr>
        <w:spacing w:after="0" w:line="14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December 31, 2025, the Company had approximately $427.1 million, $858.7 million and $1,443.6 million of federal, state and foreign net operating loss carryforward, respectively. On December 31, 2024, the Company had approximately $422.5 million, $621.8 million and $1,515.7 million of federal, state and foreign net operating loss carryforward, respectively. The Company also had federal and state research and development tax credit carryforwards, $102.1 million and $27.9 million, respectively as of December 31, 2025. Federal net operating loss carryforward in the amount of $425.6 million may be carried forward indefinitely. The remaining federal and state net operating loss, research and development tax credit carryforwards began to expire in 2025. The Company’s foreign net operating loss carryforwards will begin to expire in 2027.</w:t>
      </w:r>
    </w:p>
    <w:p>
      <w:pPr>
        <w:spacing w:after="0" w:line="160"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Under the provisions of the Internal Revenue Code (“IRC”), the net operating loss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The amount of the annual limitation is determined based on the value of the Company immediately prior to the ownership change. The Company experienced a Section 382 ownership change in September 2015, which imposes annual limitations on the Company's use of pre-change net operating loss carryforwards and other pre-change tax attributes.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firstLine="554"/>
        <w:spacing w:after="0" w:line="266" w:lineRule="auto"/>
        <w:rPr>
          <w:sz w:val="20"/>
          <w:szCs w:val="20"/>
          <w:color w:val="auto"/>
        </w:rPr>
      </w:pPr>
      <w:r>
        <w:rPr>
          <w:rFonts w:ascii="Times New Roman" w:cs="Times New Roman" w:eastAsia="Times New Roman" w:hAnsi="Times New Roman"/>
          <w:sz w:val="18"/>
          <w:szCs w:val="18"/>
          <w:color w:val="auto"/>
        </w:rPr>
        <w:t>The Company does not have any unrecognized tax benefits during any periods presented and does not expect this to significantly change in the next twelve months. There were no interest and penalties recorded in the statement of operations during any period and no amounts accrued for interest and penalties on December 31, 2025 or 2024.</w:t>
      </w:r>
    </w:p>
    <w:p>
      <w:pPr>
        <w:spacing w:after="0" w:line="17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income taxes paid (net of refunds received), in accordance with the guidance in ASU 2023-09, is summarized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Federal</w:t>
            </w:r>
          </w:p>
        </w:tc>
        <w:tc>
          <w:tcPr>
            <w:tcW w:w="3020" w:type="dxa"/>
            <w:vAlign w:val="bottom"/>
            <w:gridSpan w:val="2"/>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State and Local</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Tennessee</w:t>
            </w:r>
          </w:p>
        </w:tc>
        <w:tc>
          <w:tcPr>
            <w:tcW w:w="20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Kentucky</w:t>
            </w:r>
          </w:p>
        </w:tc>
        <w:tc>
          <w:tcPr>
            <w:tcW w:w="20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Massachusetts</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(284)</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North Dakota</w:t>
            </w:r>
          </w:p>
        </w:tc>
        <w:tc>
          <w:tcPr>
            <w:tcW w:w="20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U.S. State and Local</w:t>
            </w:r>
          </w:p>
        </w:tc>
        <w:tc>
          <w:tcPr>
            <w:tcW w:w="200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3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3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0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0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Foreign</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36"/>
        </w:trPr>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(1,759)</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-307975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-307975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The amount of income taxes paid during the year does not meet the 5% disaggregation threshold.</w:t>
      </w:r>
    </w:p>
    <w:p>
      <w:pPr>
        <w:spacing w:after="0" w:line="225"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as well as various state and foreign jurisdictions. Generally, tax years 2022 through 2024 remain open and subject to examination by the major taxing jurisdictions to which the Company is subject. To the extent the Company has tax attribute carryforwards, the tax years in which the attribute was generated may still be adjusted upon examination by the Internal Revenue Service, or state or foreign tax authorities, to the extent utilized in a future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The Company has agreed to purchase from Bachem Americas, Inc. a significant portion of its requirements for the pegcetacoplan drug substance. Under a commercial supply agreement with NOF Corporation (“NOF”), the Company has agreed to purchase activated polyethylene glycol derivative, or PEG, which is a component of pegcetacoplan. Under these agreements, as of December 31, 2025, the Company is obligated to pay up to an aggregate of $69.1 million to these vendors over the next three years. In September 2024, the Company terminated the minimum purchase obligation with NOF for 2025. As a result of this termination, the Company incurred an expense of $6.4 million, which is included in cost of sales on the consolidated statements of operations and comprehensive income/(loss). As the amount was not due until January 2026, it is included in current liabilities on the consolidated balance sheet as of December 31, 2025, and in other liabilities on the consolidated balance sheet as of December 31, 2024. The $6.4 million obligation was subsequently paid by the Company in the first quarter of 2026</w:t>
      </w:r>
    </w:p>
    <w:p>
      <w:pPr>
        <w:spacing w:after="0" w:line="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addition, the Company has other non-cancelable purchase agreements as of December 31, 2025, under which it is obligated to pay up to an aggregate of $6.7 million to vendors over the next three years.</w:t>
      </w:r>
    </w:p>
    <w:p>
      <w:pPr>
        <w:spacing w:after="0" w:line="5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is a party to a master lease agreement under which the Company leases vehicles with initial terms of 36 months from the date of delivery. If the Company were unable to take delivery of a previously ordered vehicle, the Company may incur nominal fees.</w:t>
      </w:r>
    </w:p>
    <w:p>
      <w:pPr>
        <w:spacing w:after="0" w:line="5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payments the Company could be required to make under these provisions is not determinable. The Company has not incurred any cost to defend lawsuits or settle claims related to these indemnification provisions.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During the normal course of business, the Company may be a party to legal claims that may not be covered by insurance.</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March 2025, the United States District Court for the District Court of Massachusetts dismissed, without prejudice and without leave to amend, a putative class action complaint that was filed in August 2023 against the Company and certain current and former executive officers of the Company, which alleged,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and sought, among other relief, compensatory damages and equitable relief in favor of the alleged class against all defendants, including interest, and reasonable costs and expenses incurred by plaintiffs, including attorneys’ and expert fees. In April 2025, the plaintiffs filed an appeal to the United States Court of Appeals for the First Circuit, which conducted a hearing in January 2026.</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December 2024, purported stockholders filed putative stockholder derivative lawsuits in the United States District Court for the District of Massachusetts on behalf of the Company against the Company’s directors for breach of fiduciary duty, unjust enrichment, waste, and alleged violation of Section 14(a) of the Exchange Act related to the design of SYFOVRE’s clinical trials and the risks associated with SYFOVRE’s commercial adoption, and sought monetary and punitive damages, and costs, including attorneys’ fees. These cases were consolidated under the caption In re Apellis Pharmaceuticals, Inc. Derivative Litigation, No. 1:24-cv-13128-JEK in January 2025 and are stayed pending the outcome of the appeal in the United States Court of Appeals for the First Circuit of the dismissal of the securities class action.</w:t>
      </w:r>
    </w:p>
    <w:p>
      <w:pPr>
        <w:spacing w:after="0" w:line="7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Company’s businesses may also be subject at any time to commercial disputes, product liability claims, personal injury claims, third-party subpoenas or various other lawsuits arising in the ordinary course of business, including intellectual property infringement, employment or investor matters, and the Company expects that this will continue to be the case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Incentive Plans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Board of Directors adopted, and its stockholders approved, an equity incentive plan in 2010 (as amended, the “2010 Plan”). The Board of Directors and stockholders amended the 2010 Plan in August 2017 to increase the number of shares of common stock reserved for issuance thereunder to 6,188,466. The 2010 Plan allowed for the grant of incentive stock options and non-qualified stock options to purchase common stock for employees, directors and consultants under terms and conditions established by the Board of Directors. Incentive stock options and nonqualified stock options were granted at exercise prices that were no less than 100% of the estimated fair value per share of the common stock on the date of grant. If an individual owns capital stock representing more than 10% of the voting shares, the price of each share was at least 110% of the fair value on the date of grant. The Board of Directors determined the fair value of common stock with the assistance of a third-party specialist. Options expire 10 years from the issuance date. Following the adoption of Company’s the 2017 Stock Incentive Plan (the “2017 Plan”), the Company no longer grants stock options or other awards under the 2010 Plan.</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its stockholders approved, the 2017 Plan, which became effective on November 8, 2017. The 2017 Plan provides for the grant of incentive stock options, non-statutory stock options, stock appreciation rights, awards of restricted stock, restricted stock units and other stock-based awards. The number of shares of common stock reserved for issuance under the 2017 plan is the sum of (i) 1,359,587 shares of common stock, plus (ii) an additional number of shares of common stock equal to the sum of (a) the number of shares of common stock reserved for issuance under the 2010 equity incentive plan that remained available for future issuance immediately prior to the effectiveness of the 2017 Plan, which was 299,568 shares, and (b) the number of shares of common stock subject to outstanding awards under the 2010 equity incentive plan upon effectiveness of the 2017 plan that expire, terminate or are otherwise surrendered, cancelled, forfeited or repurchased by us at their original issuance price pursuant to a contractual repurchase right plus (iii) an annual increase, to be added the first day of each fiscal year, beginning with the fiscal year ending December 31, 2018 and continuing until, and including, the fiscal year ending December 31, 2027, equal to the lowest of (i) 4,219,409 shares of common stock, (ii) 4.0% of the number of shares of common stock outstanding on the first day of the fiscal year and (iii) an amount determined by the board of directors. On January 1, 2025, the shares available for future issuance under the 2017 plan were increased by 4,219,409 shares pursuant to the annual increase described above. As of December 31, 2025, there were 2,865,381 shares available for future grants under the 2017 Plan. In January 2026, the shares available for future issuance under the 2017 plan were increased by an additional 4,219,409 shares.</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Additionally, since 2019, the Company has granted equity awards as equity inducement awards material to entry into employment with the Company to certain newly hired employees outside of the Company’s existing plans in accordance with Nasdaq listing rule 5635(c)(4). In February 2020, the Board of Directors adopted the 2020 Inducement Stock Incentive Plan (the “2020 Plan”), which permitted the Company to grant equity awards to newly hired employees in accordance with Nasdaq listing rule 5635(c)(4).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aggregate number of shares reserved for issuance under the 2020 Plan was initially 750,000 shares. The Board of Directors amended the 2020 Plan to add 200,000 shares on January 1, 2024, which increased the total number of shares reserved for issuance to 1,950,000 shares as of January 1, 2024. As of December 31, 2025, there were 1,032,021 shares available for future grants under the 2020 Plan. No additional shares have been reserved under the 2020 Plan in 2025 or 2026.</w:t>
      </w:r>
    </w:p>
    <w:p>
      <w:pPr>
        <w:spacing w:after="0" w:line="13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the Company’s stockholders approved the 2017 Employee Stock Purchase Plan (“ESPP”) and provides participating employees with the opportunity to purchase up to an aggregate of 468,823 shares of common stock. The number of shares of common stock reserved for issuance under the 2017 ESPP will automatically increase on the first day of each fiscal year, beginning with the fiscal year ending December 31, 2018 and continuing until, and including, the fiscal year ending December 31, 2027, equal to the lowest of (i) 937,646 shares of common stock, (ii) 1.0% of the number of shares of common stock outstanding on the first day of the fiscal year and (iii) an amount determined by the board of directors. The board of directors initiated the first offering under ESPP in October 2019. On December 31, 2025, 208,848 shares of common stock remained available for issuance pursuant to the ESPP. On January 1, 2026, the shares available for future issuance under the ESPP were increased by 500,000 shares pursuant to the annual increase described above.</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(in thousands):</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under 2017</w:t>
            </w: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00" w:type="dxa"/>
            <w:vAlign w:val="bottom"/>
            <w:shd w:val="clear" w:color="auto" w:fill="CFF0FC"/>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under 2017</w:t>
            </w: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r>
      <w:tr>
        <w:trPr>
          <w:trHeight w:val="216"/>
        </w:trPr>
        <w:tc>
          <w:tcPr>
            <w:tcW w:w="2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under 2020</w:t>
            </w:r>
          </w:p>
        </w:tc>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Inducement Stock Incentive Plan</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00" w:type="dxa"/>
            <w:vAlign w:val="bottom"/>
          </w:tcPr>
          <w:p>
            <w:pPr>
              <w:spacing w:after="0"/>
              <w:rPr>
                <w:sz w:val="18"/>
                <w:szCs w:val="18"/>
                <w:color w:val="auto"/>
              </w:rPr>
            </w:pPr>
          </w:p>
        </w:tc>
      </w:tr>
      <w:tr>
        <w:trPr>
          <w:trHeight w:val="20"/>
        </w:trPr>
        <w:tc>
          <w:tcPr>
            <w:tcW w:w="2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-170815</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-170815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Total share-based compensation expense related to the various plans during the years ended was as follows (in thousands):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40,105</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41,267</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45,644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share-based compensation expense included in expenses</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104,003</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114,128</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105,945</w:t>
            </w:r>
          </w:p>
        </w:tc>
        <w:tc>
          <w:tcPr>
            <w:tcW w:w="10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Capitalized share-based compensation expense to inventory (1)</w:t>
            </w:r>
          </w:p>
        </w:tc>
        <w:tc>
          <w:tcPr>
            <w:tcW w:w="9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109,131</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114,128</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105,945</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-316230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-316230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-316230</wp:posOffset>
            </wp:positionV>
            <wp:extent cx="596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Prior to the year ended December 31, 2025, capitalized share-based compensation expenses into inventory were not material.</w:t>
      </w:r>
    </w:p>
    <w:p>
      <w:pPr>
        <w:spacing w:after="0" w:line="183"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Options granted to employees typically vest over 48 months in installments of (i) 25% at the one-year anniversary and (ii) in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equal monthly or 12 equal quarterly installments beginning in the thirteenth month after the initial vesting commencement date (as defined) subject to the employee’s continuous service with the Company.</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Executive Separation Benefits and Retention Plan and by resolutions adopted by the Compensation Committee in October 2019, the stock options granted to the Company’s executives and employees will become fully vested upon the occurrence of a change in control, as defined in the Executive Separation Benefits and Retention Plan, if such executive or senior employee is terminated without cause or resigns for good reason within 12 months after such change in control.</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40" w:type="dxa"/>
            <w:vAlign w:val="bottom"/>
          </w:tcPr>
          <w:p>
            <w:pPr>
              <w:spacing w:after="0"/>
              <w:rPr>
                <w:sz w:val="13"/>
                <w:szCs w:val="13"/>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8,048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35.36</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9,063</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30.16</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December 31, 2025</w:t>
            </w:r>
          </w:p>
        </w:tc>
        <w:tc>
          <w:tcPr>
            <w:tcW w:w="140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5,919</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33.00</w:t>
            </w:r>
          </w:p>
        </w:tc>
        <w:tc>
          <w:tcPr>
            <w:tcW w:w="102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4.09</w:t>
            </w:r>
          </w:p>
        </w:tc>
        <w:tc>
          <w:tcPr>
            <w:tcW w:w="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2"/>
              <w:spacing w:after="0" w:line="196" w:lineRule="exact"/>
              <w:rPr>
                <w:sz w:val="20"/>
                <w:szCs w:val="20"/>
                <w:color w:val="auto"/>
              </w:rPr>
            </w:pPr>
            <w:r>
              <w:rPr>
                <w:rFonts w:ascii="Times New Roman" w:cs="Times New Roman" w:eastAsia="Times New Roman" w:hAnsi="Times New Roman"/>
                <w:sz w:val="18"/>
                <w:szCs w:val="18"/>
                <w:color w:val="auto"/>
              </w:rPr>
              <w:t>24,018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Expected to vest, December 31, 2025</w:t>
            </w:r>
          </w:p>
        </w:tc>
        <w:tc>
          <w:tcPr>
            <w:tcW w:w="140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3,144</w:t>
            </w:r>
          </w:p>
        </w:tc>
        <w:tc>
          <w:tcPr>
            <w:tcW w:w="32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24.82</w:t>
            </w:r>
          </w:p>
        </w:tc>
        <w:tc>
          <w:tcPr>
            <w:tcW w:w="1020" w:type="dxa"/>
            <w:vAlign w:val="bottom"/>
            <w:tcBorders>
              <w:bottom w:val="single" w:sz="8" w:color="CFF0FC"/>
            </w:tcBorders>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3.89</w:t>
            </w:r>
          </w:p>
        </w:tc>
        <w:tc>
          <w:tcPr>
            <w:tcW w:w="26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42"/>
              <w:spacing w:after="0" w:line="196" w:lineRule="exact"/>
              <w:rPr>
                <w:sz w:val="20"/>
                <w:szCs w:val="20"/>
                <w:color w:val="auto"/>
              </w:rPr>
            </w:pPr>
            <w:r>
              <w:rPr>
                <w:rFonts w:ascii="Times New Roman" w:cs="Times New Roman" w:eastAsia="Times New Roman" w:hAnsi="Times New Roman"/>
                <w:sz w:val="18"/>
                <w:szCs w:val="18"/>
                <w:color w:val="auto"/>
              </w:rPr>
              <w:t>14,763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-351155</wp:posOffset>
            </wp:positionV>
            <wp:extent cx="939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-333375</wp:posOffset>
            </wp:positionV>
            <wp:extent cx="939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93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939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values were calculated as the difference between the exercise price of the options and the fair value of the common stock.</w:t>
      </w:r>
    </w:p>
    <w:p>
      <w:pPr>
        <w:spacing w:after="0" w:line="117" w:lineRule="exact"/>
        <w:rPr>
          <w:sz w:val="20"/>
          <w:szCs w:val="20"/>
          <w:color w:val="auto"/>
        </w:rPr>
      </w:pPr>
    </w:p>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During the years ended December 31, 2025, 2024 and 2023, the Company granted stock options to purchase an aggregate of 2.9 million, 0.7 million and 0.8 million shares of its common stock, respectively with weighted average grant date fair values per share of $9.66, $42.61 and $34.26, respectively.</w:t>
      </w:r>
    </w:p>
    <w:p>
      <w:pPr>
        <w:spacing w:after="0" w:line="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2025, 2024 and 2023 were $3.0 million, $46.0 million, and $181.0 million, respectively, calculated as the difference between the exercise price of the options and the fair value of the common stock on the respective date of exercise.</w:t>
      </w:r>
    </w:p>
    <w:p>
      <w:pPr>
        <w:spacing w:after="0" w:line="13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expense related to unvested options was $32.3 million, which the Company expects to recognize over an estimated weighted-average period of 1.9 years.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the Black-Scholes model to estimate the grant date fair value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5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center"/>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- 4.42%</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- 4.36%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center"/>
              <w:ind w:right="114"/>
              <w:spacing w:after="0"/>
              <w:rPr>
                <w:sz w:val="20"/>
                <w:szCs w:val="20"/>
                <w:color w:val="auto"/>
              </w:rPr>
            </w:pPr>
            <w:r>
              <w:rPr>
                <w:rFonts w:ascii="Times New Roman" w:cs="Times New Roman" w:eastAsia="Times New Roman" w:hAnsi="Times New Roman"/>
                <w:sz w:val="18"/>
                <w:szCs w:val="18"/>
                <w:color w:val="auto"/>
                <w:w w:val="98"/>
              </w:rPr>
              <w:t>3.50 - 4.01%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center"/>
              <w:ind w:right="515"/>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- 73.11%</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- 77.01%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center"/>
              <w:ind w:right="114"/>
              <w:spacing w:after="0"/>
              <w:rPr>
                <w:sz w:val="20"/>
                <w:szCs w:val="20"/>
                <w:color w:val="auto"/>
              </w:rPr>
            </w:pPr>
            <w:r>
              <w:rPr>
                <w:rFonts w:ascii="Times New Roman" w:cs="Times New Roman" w:eastAsia="Times New Roman" w:hAnsi="Times New Roman"/>
                <w:sz w:val="18"/>
                <w:szCs w:val="18"/>
                <w:color w:val="auto"/>
                <w:w w:val="98"/>
              </w:rPr>
              <w:t>68.4 - 71.0%</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16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3.81 - 6.08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3.81 - 6.08</w:t>
            </w:r>
          </w:p>
        </w:tc>
      </w:tr>
    </w:tbl>
    <w:p>
      <w:pPr>
        <w:spacing w:after="0" w:line="137"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fair value of RSUs is estimated based upon the closing market price of the Company’s common stock on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RSUs generally vest annually over a four-year period.</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40" w:type="dxa"/>
            <w:vAlign w:val="bottom"/>
          </w:tcPr>
          <w:p>
            <w:pPr>
              <w:spacing w:after="0"/>
              <w:rPr>
                <w:sz w:val="13"/>
                <w:szCs w:val="13"/>
                <w:color w:val="auto"/>
              </w:rPr>
            </w:pPr>
          </w:p>
        </w:tc>
        <w:tc>
          <w:tcPr>
            <w:tcW w:w="1340" w:type="dxa"/>
            <w:vAlign w:val="bottom"/>
            <w:gridSpan w:val="2"/>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9"/>
        </w:trPr>
        <w:tc>
          <w:tcPr>
            <w:tcW w:w="6140" w:type="dxa"/>
            <w:vAlign w:val="bottom"/>
          </w:tcPr>
          <w:p>
            <w:pPr>
              <w:spacing w:after="0"/>
              <w:rPr>
                <w:sz w:val="12"/>
                <w:szCs w:val="12"/>
                <w:color w:val="auto"/>
              </w:rPr>
            </w:pPr>
          </w:p>
        </w:tc>
        <w:tc>
          <w:tcPr>
            <w:tcW w:w="136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73"/>
        </w:trPr>
        <w:tc>
          <w:tcPr>
            <w:tcW w:w="6140" w:type="dxa"/>
            <w:vAlign w:val="bottom"/>
          </w:tcPr>
          <w:p>
            <w:pPr>
              <w:spacing w:after="0"/>
              <w:rPr>
                <w:sz w:val="15"/>
                <w:szCs w:val="15"/>
                <w:color w:val="auto"/>
              </w:rPr>
            </w:pPr>
          </w:p>
        </w:tc>
        <w:tc>
          <w:tcPr>
            <w:tcW w:w="1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3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3,961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53.19</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50.18</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45.05</w:t>
            </w: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13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4,733</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857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8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units vested during the year ended December 31, 2025, 2024 and 2023, respectively, were $74.6 million, $65.5 million and $42.2 million.</w:t>
      </w:r>
    </w:p>
    <w:p>
      <w:pPr>
        <w:spacing w:after="0" w:line="13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$118.2 million of related unrecognized compensation cost which the Company expects to recognize over a remaining weighted average period of 2.5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Market-Based Stock Unit Awards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Market-Based RSUs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January 2025, the Company granted 646,488 shares of performance restricted stock units (“PSUs”) to each of its executives pursuant to the 2017 Plan. Each performance restricted stock unit represents a contingent right to receive one share of the Company’s common stock. The PSUs will vest, subject to the satisfaction of the market conditions outlined below, so long as the grantee has a continuing service relationship with the Company. All vesting is dependent on grantee remaining employed by the Company on the applicable vesting dates. The market condition shall mean the attainment of Company relative total shareholder return (“rTSR”) performance compared to the Nasdaq Biotechnology Index (“NBI”) during the following three performance periods: 2025, 2025 - 2026, and 2025 - 2027, as determined by the Compensation Committee of the board of directors, utilizing a twenty (20) business day average stock price preceding the commencement date and preceding the conclusion of the performance period, with the following potential target threshold payout:</w:t>
      </w:r>
    </w:p>
    <w:p>
      <w:pPr>
        <w:spacing w:after="0" w:line="151" w:lineRule="exact"/>
        <w:rPr>
          <w:sz w:val="20"/>
          <w:szCs w:val="20"/>
          <w:color w:val="auto"/>
        </w:rPr>
      </w:pPr>
    </w:p>
    <w:p>
      <w:pPr>
        <w:ind w:left="620" w:hanging="103"/>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xml:space="preserve"> percentile relative TSR = 50% of original number of rTSR PSUs</w:t>
      </w:r>
    </w:p>
    <w:p>
      <w:pPr>
        <w:spacing w:after="0" w:line="198"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xml:space="preserve"> percentile relative TSR = 100% of the original number of rTSR PSUs</w:t>
      </w:r>
    </w:p>
    <w:p>
      <w:pPr>
        <w:spacing w:after="0" w:line="184" w:lineRule="exact"/>
        <w:rPr>
          <w:rFonts w:ascii="Times New Roman" w:cs="Times New Roman" w:eastAsia="Times New Roman" w:hAnsi="Times New Roman"/>
          <w:sz w:val="18"/>
          <w:szCs w:val="18"/>
          <w:color w:val="auto"/>
        </w:rPr>
      </w:pPr>
    </w:p>
    <w:p>
      <w:pPr>
        <w:ind w:left="5480" w:right="4520" w:hanging="4963"/>
        <w:spacing w:after="0" w:line="407" w:lineRule="auto"/>
        <w:tabs>
          <w:tab w:leader="none" w:pos="61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xml:space="preserve"> percentile or greater relative TSR = 200% of the original number of rTSR PSUs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used a Monte Carlo model to estimate the grant-date fair value of the rTSR PSUs. Share-based compensation expense for the rTSR PSUs is recorded in the consolidated statement of operations and comprehensive income/(loss) over the service period regardless of whether the market condition is achieved. Assumptions and estimates utilized in the calculation of the fair value of the rTSR PSUs include the risk-free interest rate, dividend yield, expected volatility based on the historical volatility of the Company and the performance period of the award.</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sets forth the weighted average grant date fair value assumptions used to value the rTSR PSUs:</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1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8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8"/>
                <w:szCs w:val="18"/>
                <w:color w:val="auto"/>
                <w:w w:val="99"/>
              </w:rPr>
              <w:t>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Volatility</w:t>
            </w: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72.20%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rTSR PSU activity:</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80" w:type="dxa"/>
            <w:vAlign w:val="bottom"/>
          </w:tcPr>
          <w:p>
            <w:pPr>
              <w:spacing w:after="0"/>
              <w:rPr>
                <w:sz w:val="24"/>
                <w:szCs w:val="24"/>
                <w:color w:val="auto"/>
              </w:rPr>
            </w:pPr>
          </w:p>
        </w:tc>
        <w:tc>
          <w:tcPr>
            <w:tcW w:w="14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74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4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66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88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-25400</wp:posOffset>
            </wp:positionV>
            <wp:extent cx="603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$10.7 million of related unrecognized compensation cost which the Company expects to recognize over a remaining weighted average period of 1.6 years.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Performance-Based RSUs</w:t>
      </w:r>
    </w:p>
    <w:p>
      <w:pPr>
        <w:spacing w:after="0" w:line="20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June 2025, the Company granted 1,238,937 performance-based RSUs to all active employees pursuant to the 2017 Plan. Each performance-based restricted stock unit represents a contingent right to receive one share of the Company’s common stock. The performance-based RSUs will vest, subject to the satisfaction of certain regulatory and revenue performance conditions, so long as the grantee has a continuing service relationship. The fair value of the performance-based RSUs is estimated based upon the closing market price of the Company’s common stock on the date of grant. Of the 1,238,937 performance-based RSUs legally granted, the Company notes a grant date per ASC Topic 718, </w:t>
      </w:r>
      <w:r>
        <w:rPr>
          <w:rFonts w:ascii="Times New Roman" w:cs="Times New Roman" w:eastAsia="Times New Roman" w:hAnsi="Times New Roman"/>
          <w:sz w:val="18"/>
          <w:szCs w:val="18"/>
          <w:i w:val="1"/>
          <w:iCs w:val="1"/>
          <w:color w:val="auto"/>
        </w:rPr>
        <w:t>Compensation – stock compensation (</w:t>
      </w:r>
      <w:r>
        <w:rPr>
          <w:rFonts w:ascii="Times New Roman" w:cs="Times New Roman" w:eastAsia="Times New Roman" w:hAnsi="Times New Roman"/>
          <w:sz w:val="18"/>
          <w:szCs w:val="18"/>
          <w:color w:val="auto"/>
        </w:rPr>
        <w:t>“ASC 718”) was only established for 743,265 awards as certain criteria to establish a grant date under ASC 718 was not met for 495,672 awards.</w:t>
      </w:r>
    </w:p>
    <w:p>
      <w:pPr>
        <w:spacing w:after="0" w:line="147"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no expense was recognized because the performance conditions were not considered probable of achievement.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performance-based RSU activity:</w:t>
      </w:r>
    </w:p>
    <w:p>
      <w:pPr>
        <w:spacing w:after="0" w:line="206"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54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7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3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Eligible employees who elect to participate in an offering under the ESPP may have up to 15% of their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purchase date. During the year ended December 31, 2025, a total of 202,092 shares of common stock were issued under the ESPP at an average per share price of $16.58. During the year ended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December 31, 2025, the Company recorded cash received from the issuance of stock to the ESPP of $3.4 million and recorded $1.4 million of share-based compensation expense related to the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Income/(Loss) per Common Share</w:t>
      </w:r>
    </w:p>
    <w:p>
      <w:pPr>
        <w:spacing w:after="0" w:line="20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income/(loss) per common share (amounts in thousands, except per share amounts):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income/(loss) per share</w:t>
            </w:r>
          </w:p>
        </w:tc>
        <w:tc>
          <w:tcPr>
            <w:tcW w:w="160" w:type="dxa"/>
            <w:vAlign w:val="bottom"/>
            <w:shd w:val="clear" w:color="auto" w:fill="CFF0FC"/>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income/(loss)</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(197,878)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net income/(loss) per common share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126,145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123,905</w:t>
            </w:r>
          </w:p>
        </w:tc>
        <w:tc>
          <w:tcPr>
            <w:tcW w:w="2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income/(loss) per common share - basic</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income/(loss) per share</w:t>
            </w:r>
          </w:p>
        </w:tc>
        <w:tc>
          <w:tcPr>
            <w:tcW w:w="160" w:type="dxa"/>
            <w:vAlign w:val="bottom"/>
            <w:shd w:val="clear" w:color="auto" w:fill="CFF0FC"/>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income/(loss)</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(197,878)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 - Interest expense on Convertible Notes</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income/(loss)</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(197,878)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income/(loss) per common share - basic</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126,145</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123,905</w:t>
            </w:r>
          </w:p>
        </w:tc>
        <w:tc>
          <w:tcPr>
            <w:tcW w:w="2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0" w:type="dxa"/>
            <w:vAlign w:val="bottom"/>
            <w:shd w:val="clear" w:color="auto" w:fill="CFF0FC"/>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net income/(loss) per common share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129,855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123,905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118,678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income/(loss) per common share - diluted</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-2399665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-2399665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-2399665</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768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Shares outstanding presented below were excluded from the calculation of diluted net income/(loss) per share, prior to the use of the treasury stock method, as their effect is anti-dilutive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2"/>
                <w:szCs w:val="12"/>
                <w:color w:val="auto"/>
              </w:rPr>
            </w:pPr>
          </w:p>
        </w:tc>
        <w:tc>
          <w:tcPr>
            <w:tcW w:w="1860" w:type="dxa"/>
            <w:vAlign w:val="bottom"/>
            <w:gridSpan w:val="2"/>
          </w:tcPr>
          <w:p>
            <w:pPr>
              <w:jc w:val="right"/>
              <w:ind w:right="6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740" w:type="dxa"/>
            <w:vAlign w:val="bottom"/>
            <w:gridSpan w:val="2"/>
          </w:tcPr>
          <w:p>
            <w:pPr>
              <w:jc w:val="right"/>
              <w:ind w:right="6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6,506</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8,048</w:t>
            </w:r>
          </w:p>
        </w:tc>
        <w:tc>
          <w:tcPr>
            <w:tcW w:w="1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8,664</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tcBorders>
              <w:bottom w:val="single" w:sz="8" w:color="CFF0FC"/>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49"/>
        </w:trPr>
        <w:tc>
          <w:tcPr>
            <w:tcW w:w="5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9,989</w:t>
            </w:r>
          </w:p>
        </w:tc>
        <w:tc>
          <w:tcPr>
            <w:tcW w:w="14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14,389</w:t>
            </w:r>
          </w:p>
        </w:tc>
        <w:tc>
          <w:tcPr>
            <w:tcW w:w="1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-25400</wp:posOffset>
            </wp:positionV>
            <wp:extent cx="774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774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-170815</wp:posOffset>
            </wp:positionV>
            <wp:extent cx="77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reportable and single operating segment, which is the development and commercialization of treatments across a broad range of diseases driven by complement. The Company defines its segment on the basis in which internally reported financial information is regularly reviewed by CODM to analyze financial performance, make decisions, and allocate resources. The Company’s CODM reviews consolidated net income/(loss) for purposes of assessing performance, making operating decisions, strategically allocating future resources, and planning and forecasting for future periods.</w:t>
      </w:r>
    </w:p>
    <w:p>
      <w:pPr>
        <w:spacing w:after="0" w:line="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segment loss, and significant segment expenses as provided to the CODM with respect to the Company’s single operating segment for the years ended December 31, 2025, 2024 and 2023:</w:t>
      </w:r>
    </w:p>
    <w:p>
      <w:pPr>
        <w:sectPr>
          <w:pgSz w:w="11900" w:h="16838" w:orient="portrait"/>
          <w:cols w:equalWidth="0" w:num="1">
            <w:col w:w="11240"/>
          </w:cols>
          <w:pgMar w:left="320" w:top="124"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1,003,782</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781,367</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396,591</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88,182</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121,931</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Internal selling, general and administrative costs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176,778</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External commercial costs</w:t>
            </w: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228,986</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229,991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230,166</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186,812</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External general and administrative costs</w:t>
            </w: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76,548</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segment items (1)</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102,369</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59,237</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104,003</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105,945</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(13,143)</w:t>
            </w:r>
          </w:p>
        </w:tc>
        <w:tc>
          <w:tcPr>
            <w:tcW w:w="4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(20,933)</w:t>
            </w:r>
          </w:p>
        </w:tc>
      </w:tr>
      <w:tr>
        <w:trPr>
          <w:trHeight w:val="216"/>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8"/>
                <w:szCs w:val="18"/>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8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(197,878)</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(528,628)</w:t>
            </w: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cost of sales, loss on conversion of debt, and other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as of December 31, 2025.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December 31, 2025, the Company’s chief executive officer and chief financial officer concluded that, as of such date, the Company’s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 13a-15(f) or 15d-15(f) under the Exchange Act. Our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500" w:right="420" w:hanging="369"/>
        <w:spacing w:after="0" w:line="282" w:lineRule="auto"/>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1500" w:right="180" w:hanging="369"/>
        <w:spacing w:after="0" w:line="266" w:lineRule="auto"/>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500" w:right="840" w:hanging="369"/>
        <w:spacing w:after="0" w:line="282"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2025. In making this assessment, our management used the criteria set forth by the Committee of Sponsoring Organizations of the Treadway Commission in Internal Control-Integrated Framework (2013).</w:t>
      </w:r>
    </w:p>
    <w:p>
      <w:pPr>
        <w:spacing w:after="0" w:line="17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concluded that, as of December 31, 2025, our internal control over financial reporting is effective based on those criteria.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6" w:lineRule="exact"/>
        <w:rPr>
          <w:sz w:val="20"/>
          <w:szCs w:val="20"/>
          <w:color w:val="auto"/>
        </w:rPr>
      </w:pPr>
    </w:p>
    <w:p>
      <w:pPr>
        <w:ind w:right="180" w:firstLine="749"/>
        <w:spacing w:after="0" w:line="228" w:lineRule="exact"/>
        <w:rPr>
          <w:sz w:val="20"/>
          <w:szCs w:val="20"/>
          <w:color w:val="auto"/>
        </w:rPr>
      </w:pPr>
      <w:r>
        <w:rPr>
          <w:rFonts w:ascii="Times New Roman" w:cs="Times New Roman" w:eastAsia="Times New Roman" w:hAnsi="Times New Roman"/>
          <w:sz w:val="18"/>
          <w:szCs w:val="18"/>
          <w:color w:val="auto"/>
        </w:rPr>
        <w:t>As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our management, including our principal executive officer and our principal financial officer, conducted an evaluation of the internal control over financial reporting to determine whether any changes occurred during the year ended December 31, 2025 that have materially affected, or are reasonably likely to materially affect, our internal control over financial reporting. Based on that evaluation, our principal executive officer and principal financial officer concluded no such changes during the year ended December 31, 2025 materially affected, or were reasonably likely to materially affect, our internal control over financial reporting.</w:t>
      </w:r>
    </w:p>
    <w:p>
      <w:pPr>
        <w:spacing w:after="0" w:line="198"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Deloitte &amp; Touche LLP, an independent registered public accounting firm, as stated in their report, which is included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Apellis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Apellis Pharmaceuticals,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ectPr>
          <w:pgSz w:w="11900" w:h="16838" w:orient="portrait"/>
          <w:cols w:equalWidth="0" w:num="1">
            <w:col w:w="11240"/>
          </w:cols>
          <w:pgMar w:left="320" w:top="124" w:right="3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r>
        <w:rPr>
          <w:rFonts w:ascii="Verdana" w:cs="Verdana" w:eastAsia="Verdana" w:hAnsi="Verdana"/>
          <w:sz w:val="16"/>
          <w:szCs w:val="16"/>
          <w:b w:val="1"/>
          <w:bCs w:val="1"/>
          <w:color w:val="auto"/>
        </w:rPr>
        <w:t>.</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Action Taken</w:t>
            </w: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of</w:t>
            </w:r>
          </w:p>
        </w:tc>
        <w:tc>
          <w:tcPr>
            <w:tcW w:w="1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Type of Trading</w:t>
            </w: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Nature of Trading</w:t>
            </w:r>
          </w:p>
        </w:tc>
        <w:tc>
          <w:tcPr>
            <w:tcW w:w="12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1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w:t>
            </w:r>
          </w:p>
        </w:tc>
      </w:tr>
      <w:tr>
        <w:trPr>
          <w:trHeight w:val="215"/>
        </w:trPr>
        <w:tc>
          <w:tcPr>
            <w:tcW w:w="1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Name (Title)</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Action)</w:t>
            </w:r>
          </w:p>
        </w:tc>
        <w:tc>
          <w:tcPr>
            <w:tcW w:w="14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20" w:type="dxa"/>
            <w:vAlign w:val="bottom"/>
          </w:tcPr>
          <w:p>
            <w:pPr>
              <w:spacing w:after="0"/>
              <w:rPr>
                <w:sz w:val="18"/>
                <w:szCs w:val="18"/>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r>
      <w:tr>
        <w:trPr>
          <w:trHeight w:val="185"/>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 Sullivan</w:t>
            </w: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Until 9/30/2026, or such earlier date</w:t>
            </w:r>
          </w:p>
        </w:tc>
        <w:tc>
          <w:tcPr>
            <w:tcW w:w="1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r>
      <w:tr>
        <w:trPr>
          <w:trHeight w:val="203"/>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Financial Officer and</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shd w:val="clear" w:color="auto" w:fill="CFF0FC"/>
          </w:tcPr>
          <w:p>
            <w:pPr>
              <w:spacing w:after="0"/>
              <w:rPr>
                <w:sz w:val="17"/>
                <w:szCs w:val="17"/>
                <w:color w:val="auto"/>
              </w:rPr>
            </w:pPr>
          </w:p>
        </w:tc>
        <w:tc>
          <w:tcPr>
            <w:tcW w:w="2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16"/>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Treasurer</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12/11/2025</w:t>
            </w:r>
          </w:p>
        </w:tc>
        <w:tc>
          <w:tcPr>
            <w:tcW w:w="21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Sale</w:t>
            </w:r>
          </w:p>
        </w:tc>
        <w:tc>
          <w:tcPr>
            <w:tcW w:w="2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to 30,000 shares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78"/>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Securities and Exchange Commission on Schedule 14A in connection with our 2026 Annual Meeting of Stockholders, or the Proxy Statement, which we intend to file not later than 120 days after the end of our fiscal year ended December 31, 2025, under the headings “Our Executive Officers,” “Our Board of Directors,” “How our Board of Directors is Organized and Governed,” and “ Delinquent Section 16(a) Reports,” and is incorporated in this Annual Report on Form 10-K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set forth in the sections titled “Our Executive Compensation Programs” and “How our Directors are Compensated” in our Proxy Statement and, other than the information required by Item 402(v) of Regulation S-K, is incorporated in this Annual Report on Form 10-K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will be set forth in the sections titled “Principal Stockholders” and “Securities Authorized for Issuance Under Equity Compensation” in our Proxy Statement and is incorporated in this Annual Report on Form 10-K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set forth in the sections titled “Transactions with Related Persons,” “Election of Directors,” and “Corporate Governance,” respectively, in our Proxy Statement and is incorporated in this Annual Report on Form 10-K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will be set forth in the section titled “Our Auditors” in our Proxy Statement and is incorporated in this Annual Report on Form 10-K by reference.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40" w:type="dxa"/>
            <w:vAlign w:val="bottom"/>
          </w:tcPr>
          <w:p>
            <w:pPr>
              <w:spacing w:after="0"/>
              <w:rPr>
                <w:sz w:val="20"/>
                <w:szCs w:val="20"/>
                <w:color w:val="auto"/>
              </w:rPr>
            </w:pPr>
          </w:p>
        </w:tc>
      </w:tr>
      <w:tr>
        <w:trPr>
          <w:trHeight w:val="540"/>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40" w:type="dxa"/>
            <w:vAlign w:val="bottom"/>
          </w:tcPr>
          <w:p>
            <w:pPr>
              <w:spacing w:after="0"/>
              <w:rPr>
                <w:sz w:val="24"/>
                <w:szCs w:val="24"/>
                <w:color w:val="auto"/>
              </w:rPr>
            </w:pPr>
          </w:p>
        </w:tc>
      </w:tr>
      <w:tr>
        <w:trPr>
          <w:trHeight w:val="324"/>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 Documents filed as a part of this Report:</w:t>
            </w:r>
          </w:p>
        </w:tc>
        <w:tc>
          <w:tcPr>
            <w:tcW w:w="540" w:type="dxa"/>
            <w:vAlign w:val="bottom"/>
          </w:tcPr>
          <w:p>
            <w:pPr>
              <w:spacing w:after="0"/>
              <w:rPr>
                <w:sz w:val="24"/>
                <w:szCs w:val="24"/>
                <w:color w:val="auto"/>
              </w:rPr>
            </w:pPr>
          </w:p>
        </w:tc>
      </w:tr>
      <w:tr>
        <w:trPr>
          <w:trHeight w:val="324"/>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r>
              <w:rPr>
                <w:rFonts w:ascii="Times New Roman" w:cs="Times New Roman" w:eastAsia="Times New Roman" w:hAnsi="Times New Roman"/>
                <w:sz w:val="18"/>
                <w:szCs w:val="18"/>
                <w:color w:val="auto"/>
              </w:rPr>
              <w:t>—Included in Item 8 of this Annual Report on Form 10-K.</w:t>
            </w:r>
          </w:p>
        </w:tc>
        <w:tc>
          <w:tcPr>
            <w:tcW w:w="540" w:type="dxa"/>
            <w:vAlign w:val="bottom"/>
          </w:tcPr>
          <w:p>
            <w:pPr>
              <w:spacing w:after="0"/>
              <w:rPr>
                <w:sz w:val="24"/>
                <w:szCs w:val="24"/>
                <w:color w:val="auto"/>
              </w:rPr>
            </w:pPr>
          </w:p>
        </w:tc>
      </w:tr>
      <w:tr>
        <w:trPr>
          <w:trHeight w:val="392"/>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3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 as of and for the years ended December 31, 2024 and 2023 and for each of the three years in the period ended</w:t>
            </w:r>
          </w:p>
        </w:tc>
        <w:tc>
          <w:tcPr>
            <w:tcW w:w="540" w:type="dxa"/>
            <w:vAlign w:val="bottom"/>
          </w:tcPr>
          <w:p>
            <w:pPr>
              <w:spacing w:after="0"/>
              <w:rPr>
                <w:sz w:val="18"/>
                <w:szCs w:val="18"/>
                <w:color w:val="auto"/>
              </w:rPr>
            </w:pPr>
          </w:p>
        </w:tc>
      </w:tr>
      <w:tr>
        <w:trPr>
          <w:trHeight w:val="216"/>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540" w:type="dxa"/>
            <w:vAlign w:val="bottom"/>
          </w:tcPr>
          <w:p>
            <w:pPr>
              <w:spacing w:after="0"/>
              <w:rPr>
                <w:sz w:val="18"/>
                <w:szCs w:val="18"/>
                <w:color w:val="auto"/>
              </w:rPr>
            </w:pPr>
          </w:p>
        </w:tc>
      </w:tr>
      <w:tr>
        <w:trPr>
          <w:trHeight w:val="194"/>
        </w:trPr>
        <w:tc>
          <w:tcPr>
            <w:tcW w:w="466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16"/>
                <w:szCs w:val="16"/>
                <w:color w:val="auto"/>
              </w:rPr>
            </w:pPr>
          </w:p>
        </w:tc>
        <w:tc>
          <w:tcPr>
            <w:tcW w:w="6020" w:type="dxa"/>
            <w:vAlign w:val="bottom"/>
            <w:gridSpan w:val="4"/>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86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2025,2024 and 2023</w:t>
            </w:r>
          </w:p>
        </w:tc>
        <w:tc>
          <w:tcPr>
            <w:tcW w:w="20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86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period from January 1, 2023 to December 31, 2025</w:t>
            </w:r>
          </w:p>
        </w:tc>
        <w:tc>
          <w:tcPr>
            <w:tcW w:w="20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196"/>
        </w:trPr>
        <w:tc>
          <w:tcPr>
            <w:tcW w:w="6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7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6"/>
        </w:trPr>
        <w:tc>
          <w:tcPr>
            <w:tcW w:w="31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7"/>
                <w:szCs w:val="17"/>
                <w:color w:val="auto"/>
              </w:rPr>
            </w:pPr>
          </w:p>
        </w:tc>
        <w:tc>
          <w:tcPr>
            <w:tcW w:w="752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have been filed as part of this Annual Report on Form 10-K because they are not applicable, not required or the required information is otherwise included in our consolidated financial statements or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Index to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24"/>
          </w:tcPr>
          <w:p>
            <w:pPr>
              <w:ind w:left="40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8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00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192"/>
        </w:trPr>
        <w:tc>
          <w:tcPr>
            <w:tcW w:w="980" w:type="dxa"/>
            <w:vAlign w:val="bottom"/>
          </w:tcPr>
          <w:p>
            <w:pPr>
              <w:ind w:left="100"/>
              <w:spacing w:after="0" w:line="192" w:lineRule="exact"/>
              <w:rPr>
                <w:sz w:val="20"/>
                <w:szCs w:val="20"/>
                <w:color w:val="auto"/>
              </w:rPr>
            </w:pPr>
            <w:r>
              <w:rPr>
                <w:rFonts w:ascii="Arial" w:cs="Arial" w:eastAsia="Arial" w:hAnsi="Arial"/>
                <w:sz w:val="20"/>
                <w:szCs w:val="20"/>
                <w:b w:val="1"/>
                <w:bCs w:val="1"/>
                <w:color w:val="auto"/>
              </w:rPr>
              <w:t>Exhibit</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ind w:left="240"/>
              <w:spacing w:after="0" w:line="192" w:lineRule="exact"/>
              <w:rPr>
                <w:sz w:val="20"/>
                <w:szCs w:val="20"/>
                <w:color w:val="auto"/>
              </w:rPr>
            </w:pPr>
            <w:r>
              <w:rPr>
                <w:rFonts w:ascii="Times New Roman" w:cs="Times New Roman" w:eastAsia="Times New Roman" w:hAnsi="Times New Roman"/>
                <w:sz w:val="20"/>
                <w:szCs w:val="20"/>
                <w:b w:val="1"/>
                <w:bCs w:val="1"/>
                <w:color w:val="auto"/>
              </w:rPr>
              <w:t>Form</w:t>
            </w:r>
          </w:p>
        </w:tc>
        <w:tc>
          <w:tcPr>
            <w:tcW w:w="1280" w:type="dxa"/>
            <w:vAlign w:val="bottom"/>
          </w:tcPr>
          <w:p>
            <w:pPr>
              <w:ind w:left="180"/>
              <w:spacing w:after="0" w:line="192" w:lineRule="exact"/>
              <w:rPr>
                <w:sz w:val="20"/>
                <w:szCs w:val="20"/>
                <w:color w:val="auto"/>
              </w:rPr>
            </w:pPr>
            <w:r>
              <w:rPr>
                <w:rFonts w:ascii="Times New Roman" w:cs="Times New Roman" w:eastAsia="Times New Roman" w:hAnsi="Times New Roman"/>
                <w:sz w:val="20"/>
                <w:szCs w:val="20"/>
                <w:b w:val="1"/>
                <w:bCs w:val="1"/>
                <w:color w:val="auto"/>
                <w:w w:val="99"/>
              </w:rPr>
              <w:t>File Number</w:t>
            </w:r>
          </w:p>
        </w:tc>
        <w:tc>
          <w:tcPr>
            <w:tcW w:w="1220" w:type="dxa"/>
            <w:vAlign w:val="bottom"/>
          </w:tcPr>
          <w:p>
            <w:pPr>
              <w:ind w:left="200"/>
              <w:spacing w:after="0" w:line="192" w:lineRule="exact"/>
              <w:rPr>
                <w:sz w:val="20"/>
                <w:szCs w:val="20"/>
                <w:color w:val="auto"/>
              </w:rPr>
            </w:pPr>
            <w:r>
              <w:rPr>
                <w:rFonts w:ascii="Times New Roman" w:cs="Times New Roman" w:eastAsia="Times New Roman" w:hAnsi="Times New Roman"/>
                <w:sz w:val="20"/>
                <w:szCs w:val="20"/>
                <w:b w:val="1"/>
                <w:bCs w:val="1"/>
                <w:color w:val="auto"/>
              </w:rPr>
              <w:t>Date of</w:t>
            </w:r>
          </w:p>
        </w:tc>
        <w:tc>
          <w:tcPr>
            <w:tcW w:w="1000" w:type="dxa"/>
            <w:vAlign w:val="bottom"/>
          </w:tcPr>
          <w:p>
            <w:pPr>
              <w:jc w:val="right"/>
              <w:ind w:right="229"/>
              <w:spacing w:after="0" w:line="192"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160" w:type="dxa"/>
            <w:vAlign w:val="bottom"/>
          </w:tcPr>
          <w:p>
            <w:pPr>
              <w:ind w:left="340"/>
              <w:spacing w:after="0" w:line="192" w:lineRule="exact"/>
              <w:rPr>
                <w:sz w:val="20"/>
                <w:szCs w:val="20"/>
                <w:color w:val="auto"/>
              </w:rPr>
            </w:pPr>
            <w:r>
              <w:rPr>
                <w:rFonts w:ascii="Times New Roman" w:cs="Times New Roman" w:eastAsia="Times New Roman" w:hAnsi="Times New Roman"/>
                <w:sz w:val="20"/>
                <w:szCs w:val="20"/>
                <w:b w:val="1"/>
                <w:bCs w:val="1"/>
                <w:color w:val="auto"/>
              </w:rPr>
              <w:t>Filed</w:t>
            </w:r>
          </w:p>
        </w:tc>
      </w:tr>
      <w:tr>
        <w:trPr>
          <w:trHeight w:val="287"/>
        </w:trPr>
        <w:tc>
          <w:tcPr>
            <w:tcW w:w="980" w:type="dxa"/>
            <w:vAlign w:val="bottom"/>
            <w:tcBorders>
              <w:bottom w:val="single" w:sz="8" w:color="auto"/>
            </w:tcBorders>
          </w:tcPr>
          <w:p>
            <w:pPr>
              <w:ind w:left="120"/>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0"/>
                <w:szCs w:val="20"/>
                <w:b w:val="1"/>
                <w:bCs w:val="1"/>
                <w:color w:val="auto"/>
              </w:rPr>
              <w:t>Filing</w:t>
            </w:r>
          </w:p>
        </w:tc>
        <w:tc>
          <w:tcPr>
            <w:tcW w:w="10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Herewith</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4760" w:type="dxa"/>
            <w:vAlign w:val="bottom"/>
            <w:gridSpan w:val="28"/>
          </w:tcPr>
          <w:p>
            <w:pPr>
              <w:spacing w:after="0" w:line="17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Asset Purchase Agreement</w:t>
              </w:r>
            </w:hyperlink>
          </w:p>
        </w:tc>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760" w:type="dxa"/>
            <w:vAlign w:val="bottom"/>
            <w:gridSpan w:val="28"/>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Restated Certificate of Incorporation of the Registrant</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11/13/2017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62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Amended and Restated By-Laws of the Registrant</w:t>
              </w:r>
            </w:hyperlink>
          </w:p>
        </w:tc>
        <w:tc>
          <w:tcPr>
            <w:tcW w:w="20" w:type="dxa"/>
            <w:vAlign w:val="bottom"/>
            <w:tcBorders>
              <w:top w:val="single" w:sz="8" w:color="0000FF"/>
              <w:bottom w:val="single" w:sz="8" w:color="0000EE"/>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80" w:type="dxa"/>
            <w:vAlign w:val="bottom"/>
            <w:gridSpan w:val="11"/>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11/13/2017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5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Specimen Stock Certificate evidencing the shares of common</w:t>
              </w:r>
            </w:hyperlink>
          </w:p>
        </w:tc>
        <w:tc>
          <w:tcPr>
            <w:tcW w:w="260" w:type="dxa"/>
            <w:vAlign w:val="bottom"/>
            <w:gridSpan w:val="5"/>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79">
              <w:r>
                <w:rPr>
                  <w:rFonts w:ascii="Times New Roman" w:cs="Times New Roman" w:eastAsia="Times New Roman" w:hAnsi="Times New Roman"/>
                  <w:sz w:val="18"/>
                  <w:szCs w:val="18"/>
                  <w:color w:val="0000FF"/>
                  <w:w w:val="94"/>
                </w:rPr>
                <w:t>stock</w:t>
              </w:r>
            </w:hyperlink>
          </w:p>
        </w:tc>
        <w:tc>
          <w:tcPr>
            <w:tcW w:w="20" w:type="dxa"/>
            <w:vAlign w:val="bottom"/>
            <w:tcBorders>
              <w:bottom w:val="single" w:sz="8" w:color="0000EE"/>
            </w:tcBorders>
          </w:tcPr>
          <w:p>
            <w:pPr>
              <w:spacing w:after="0"/>
              <w:rPr>
                <w:sz w:val="17"/>
                <w:szCs w:val="17"/>
                <w:color w:val="auto"/>
              </w:rPr>
            </w:pPr>
          </w:p>
        </w:tc>
        <w:tc>
          <w:tcPr>
            <w:tcW w:w="4360" w:type="dxa"/>
            <w:vAlign w:val="bottom"/>
            <w:gridSpan w:val="26"/>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6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Investors’ Rights Agreement dated as of August 7, 2017, among</w:t>
              </w:r>
            </w:hyperlink>
          </w:p>
        </w:tc>
        <w:tc>
          <w:tcPr>
            <w:tcW w:w="80" w:type="dxa"/>
            <w:vAlign w:val="bottom"/>
            <w:gridSpan w:val="2"/>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0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the Registrant and the other parties thereto</w:t>
              </w:r>
            </w:hyperlink>
          </w:p>
        </w:tc>
        <w:tc>
          <w:tcPr>
            <w:tcW w:w="20" w:type="dxa"/>
            <w:vAlign w:val="bottom"/>
            <w:tcBorders>
              <w:bottom w:val="single" w:sz="8" w:color="0000EE"/>
            </w:tcBorders>
          </w:tcPr>
          <w:p>
            <w:pPr>
              <w:spacing w:after="0"/>
              <w:rPr>
                <w:sz w:val="17"/>
                <w:szCs w:val="17"/>
                <w:color w:val="auto"/>
              </w:rPr>
            </w:pPr>
          </w:p>
        </w:tc>
        <w:tc>
          <w:tcPr>
            <w:tcW w:w="168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5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Indenture (including form of Note), dated as of September 16,</w:t>
              </w:r>
            </w:hyperlink>
          </w:p>
        </w:tc>
        <w:tc>
          <w:tcPr>
            <w:tcW w:w="240" w:type="dxa"/>
            <w:vAlign w:val="bottom"/>
            <w:gridSpan w:val="4"/>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9/16/2019</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4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2019, by and between Apellis Pharmaceuticals, Inc. and U.S.</w:t>
              </w:r>
            </w:hyperlink>
          </w:p>
        </w:tc>
        <w:tc>
          <w:tcPr>
            <w:tcW w:w="32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760" w:type="dxa"/>
            <w:vAlign w:val="bottom"/>
            <w:gridSpan w:val="28"/>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Bank National Association, as trustee</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44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Description of Securities Registered Under Section 12 of the</w:t>
              </w:r>
            </w:hyperlink>
          </w:p>
        </w:tc>
        <w:tc>
          <w:tcPr>
            <w:tcW w:w="340" w:type="dxa"/>
            <w:vAlign w:val="bottom"/>
            <w:gridSpan w:val="8"/>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2/28/2022</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82">
              <w:r>
                <w:rPr>
                  <w:rFonts w:ascii="Times New Roman" w:cs="Times New Roman" w:eastAsia="Times New Roman" w:hAnsi="Times New Roman"/>
                  <w:sz w:val="18"/>
                  <w:szCs w:val="18"/>
                  <w:color w:val="0000FF"/>
                  <w:w w:val="98"/>
                </w:rPr>
                <w:t>Exchange Act</w:t>
              </w:r>
            </w:hyperlink>
          </w:p>
        </w:tc>
        <w:tc>
          <w:tcPr>
            <w:tcW w:w="20" w:type="dxa"/>
            <w:vAlign w:val="bottom"/>
            <w:tcBorders>
              <w:bottom w:val="single" w:sz="8" w:color="0000EE"/>
            </w:tcBorders>
          </w:tcPr>
          <w:p>
            <w:pPr>
              <w:spacing w:after="0"/>
              <w:rPr>
                <w:sz w:val="17"/>
                <w:szCs w:val="17"/>
                <w:color w:val="auto"/>
              </w:rPr>
            </w:pPr>
          </w:p>
        </w:tc>
        <w:tc>
          <w:tcPr>
            <w:tcW w:w="3720" w:type="dxa"/>
            <w:vAlign w:val="bottom"/>
            <w:gridSpan w:val="24"/>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4760" w:type="dxa"/>
            <w:vAlign w:val="bottom"/>
            <w:gridSpan w:val="28"/>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Form of Pre-Funded Warrant</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2/24/2023</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9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2010 Equity Incentive Plan, as amended</w:t>
              </w:r>
            </w:hyperlink>
          </w:p>
        </w:tc>
        <w:tc>
          <w:tcPr>
            <w:tcW w:w="20" w:type="dxa"/>
            <w:vAlign w:val="bottom"/>
            <w:tcBorders>
              <w:bottom w:val="single" w:sz="8" w:color="0000EE"/>
            </w:tcBorders>
          </w:tcPr>
          <w:p>
            <w:pPr>
              <w:spacing w:after="0"/>
              <w:rPr>
                <w:sz w:val="17"/>
                <w:szCs w:val="17"/>
                <w:color w:val="auto"/>
              </w:rPr>
            </w:pPr>
          </w:p>
        </w:tc>
        <w:tc>
          <w:tcPr>
            <w:tcW w:w="1840" w:type="dxa"/>
            <w:vAlign w:val="bottom"/>
            <w:gridSpan w:val="17"/>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4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Form of Incentive Stock Option Grant Notice and Agreement</w:t>
              </w:r>
            </w:hyperlink>
          </w:p>
        </w:tc>
        <w:tc>
          <w:tcPr>
            <w:tcW w:w="280" w:type="dxa"/>
            <w:vAlign w:val="bottom"/>
            <w:gridSpan w:val="6"/>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4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under 2010 Equity Incentive Plan</w:t>
              </w:r>
            </w:hyperlink>
          </w:p>
        </w:tc>
        <w:tc>
          <w:tcPr>
            <w:tcW w:w="20" w:type="dxa"/>
            <w:vAlign w:val="bottom"/>
            <w:tcBorders>
              <w:bottom w:val="single" w:sz="8" w:color="0000EE"/>
            </w:tcBorders>
          </w:tcPr>
          <w:p>
            <w:pPr>
              <w:spacing w:after="0"/>
              <w:rPr>
                <w:sz w:val="17"/>
                <w:szCs w:val="17"/>
                <w:color w:val="auto"/>
              </w:rPr>
            </w:pPr>
          </w:p>
        </w:tc>
        <w:tc>
          <w:tcPr>
            <w:tcW w:w="232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5600" w:type="dxa"/>
            <w:vAlign w:val="bottom"/>
            <w:gridSpan w:val="29"/>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 xml:space="preserve">Form of Nonstatutory Stock Option Grant Notice and Agreement </w:t>
              </w:r>
            </w:hyperlink>
            <w:r>
              <w:rPr>
                <w:rFonts w:ascii="Times New Roman" w:cs="Times New Roman" w:eastAsia="Times New Roman" w:hAnsi="Times New Roman"/>
                <w:sz w:val="18"/>
                <w:szCs w:val="18"/>
                <w:color w:val="000000"/>
              </w:rPr>
              <w:t>S-1</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under 2010 Equity Incentive Plan</w:t>
              </w:r>
            </w:hyperlink>
          </w:p>
        </w:tc>
        <w:tc>
          <w:tcPr>
            <w:tcW w:w="2320" w:type="dxa"/>
            <w:vAlign w:val="bottom"/>
            <w:tcBorders>
              <w:top w:val="single" w:sz="8" w:color="0000FF"/>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9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2017 Stock Incentive Plan</w:t>
              </w:r>
            </w:hyperlink>
          </w:p>
        </w:tc>
        <w:tc>
          <w:tcPr>
            <w:tcW w:w="2820" w:type="dxa"/>
            <w:vAlign w:val="bottom"/>
            <w:gridSpan w:val="23"/>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10/30/2017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5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Form of Incentive Stock Option Agreement under 2017 Stock</w:t>
              </w:r>
            </w:hyperlink>
          </w:p>
        </w:tc>
        <w:tc>
          <w:tcPr>
            <w:tcW w:w="260" w:type="dxa"/>
            <w:vAlign w:val="bottom"/>
            <w:gridSpan w:val="5"/>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88">
              <w:r>
                <w:rPr>
                  <w:rFonts w:ascii="Times New Roman" w:cs="Times New Roman" w:eastAsia="Times New Roman" w:hAnsi="Times New Roman"/>
                  <w:sz w:val="18"/>
                  <w:szCs w:val="18"/>
                  <w:color w:val="0000FF"/>
                  <w:w w:val="98"/>
                </w:rPr>
                <w:t>Incentive Plan</w:t>
              </w:r>
            </w:hyperlink>
          </w:p>
        </w:tc>
        <w:tc>
          <w:tcPr>
            <w:tcW w:w="3720" w:type="dxa"/>
            <w:vAlign w:val="bottom"/>
            <w:gridSpan w:val="24"/>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5600" w:type="dxa"/>
            <w:vAlign w:val="bottom"/>
            <w:gridSpan w:val="29"/>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 xml:space="preserve">Form of Nonstatutory Stock Option Agreement under 2017 Stock </w:t>
              </w:r>
            </w:hyperlink>
            <w:r>
              <w:rPr>
                <w:rFonts w:ascii="Times New Roman" w:cs="Times New Roman" w:eastAsia="Times New Roman" w:hAnsi="Times New Roman"/>
                <w:sz w:val="18"/>
                <w:szCs w:val="18"/>
                <w:color w:val="000000"/>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89">
              <w:r>
                <w:rPr>
                  <w:rFonts w:ascii="Times New Roman" w:cs="Times New Roman" w:eastAsia="Times New Roman" w:hAnsi="Times New Roman"/>
                  <w:sz w:val="18"/>
                  <w:szCs w:val="18"/>
                  <w:color w:val="0000FF"/>
                  <w:w w:val="98"/>
                </w:rPr>
                <w:t>Incentive Plan</w:t>
              </w:r>
            </w:hyperlink>
          </w:p>
        </w:tc>
        <w:tc>
          <w:tcPr>
            <w:tcW w:w="3700" w:type="dxa"/>
            <w:vAlign w:val="bottom"/>
            <w:tcBorders>
              <w:top w:val="single" w:sz="8" w:color="0000FF"/>
            </w:tcBorders>
            <w:gridSpan w:val="23"/>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41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Form of Director and Officer Indemnification Agreement</w:t>
              </w:r>
            </w:hyperlink>
          </w:p>
        </w:tc>
        <w:tc>
          <w:tcPr>
            <w:tcW w:w="20" w:type="dxa"/>
            <w:vAlign w:val="bottom"/>
            <w:tcBorders>
              <w:bottom w:val="single" w:sz="8" w:color="0000EE"/>
            </w:tcBorders>
          </w:tcPr>
          <w:p>
            <w:pPr>
              <w:spacing w:after="0"/>
              <w:rPr>
                <w:sz w:val="17"/>
                <w:szCs w:val="17"/>
                <w:color w:val="auto"/>
              </w:rPr>
            </w:pPr>
          </w:p>
        </w:tc>
        <w:tc>
          <w:tcPr>
            <w:tcW w:w="600" w:type="dxa"/>
            <w:vAlign w:val="bottom"/>
            <w:gridSpan w:val="9"/>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5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Patent License Agreement, dated as of March 28, 2008, by and</w:t>
              </w:r>
            </w:hyperlink>
          </w:p>
        </w:tc>
        <w:tc>
          <w:tcPr>
            <w:tcW w:w="180" w:type="dxa"/>
            <w:vAlign w:val="bottom"/>
            <w:gridSpan w:val="3"/>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2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between Apellis AG and The Trustees of the</w:t>
              </w:r>
            </w:hyperlink>
          </w:p>
        </w:tc>
        <w:tc>
          <w:tcPr>
            <w:tcW w:w="150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117" w:lineRule="exact"/>
        <w:rPr>
          <w:sz w:val="20"/>
          <w:szCs w:val="20"/>
          <w:color w:val="auto"/>
        </w:rPr>
      </w:pPr>
    </w:p>
    <w:p>
      <w:pPr>
        <w:sectPr>
          <w:pgSz w:w="11900" w:h="16838" w:orient="portrait"/>
          <w:cols w:equalWidth="0" w:num="1">
            <w:col w:w="11240"/>
          </w:cols>
          <w:pgMar w:left="320" w:top="124"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1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University of Pennsylvania, as assigned to the Registrant</w:t>
              </w:r>
            </w:hyperlink>
          </w:p>
        </w:tc>
        <w:tc>
          <w:tcPr>
            <w:tcW w:w="640" w:type="dxa"/>
            <w:vAlign w:val="bottom"/>
            <w:gridSpan w:val="18"/>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5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393">
              <w:r>
                <w:rPr>
                  <w:rFonts w:ascii="Times New Roman" w:cs="Times New Roman" w:eastAsia="Times New Roman" w:hAnsi="Times New Roman"/>
                  <w:sz w:val="18"/>
                  <w:szCs w:val="18"/>
                  <w:color w:val="0000FF"/>
                  <w:w w:val="99"/>
                </w:rPr>
                <w:t>Amended and Restated Patent License Agreement, dated as of</w:t>
              </w:r>
            </w:hyperlink>
          </w:p>
        </w:tc>
        <w:tc>
          <w:tcPr>
            <w:tcW w:w="220" w:type="dxa"/>
            <w:vAlign w:val="bottom"/>
            <w:gridSpan w:val="9"/>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2"/>
              </w:rPr>
              <w:t>S-1/A</w:t>
            </w:r>
          </w:p>
        </w:tc>
      </w:tr>
      <w:tr>
        <w:trPr>
          <w:trHeight w:val="196"/>
        </w:trPr>
        <w:tc>
          <w:tcPr>
            <w:tcW w:w="980" w:type="dxa"/>
            <w:vAlign w:val="bottom"/>
          </w:tcPr>
          <w:p>
            <w:pPr>
              <w:spacing w:after="0"/>
              <w:rPr>
                <w:sz w:val="17"/>
                <w:szCs w:val="17"/>
                <w:color w:val="auto"/>
              </w:rPr>
            </w:pPr>
          </w:p>
        </w:tc>
        <w:tc>
          <w:tcPr>
            <w:tcW w:w="46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March 28, 2008, by and between Potentia Pharmaceuticals, Inc.</w:t>
              </w:r>
            </w:hyperlink>
          </w:p>
        </w:tc>
        <w:tc>
          <w:tcPr>
            <w:tcW w:w="10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7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and The Trustees of the University of Pennsylvania, as amended</w:t>
              </w:r>
            </w:hyperlink>
          </w:p>
        </w:tc>
        <w:tc>
          <w:tcPr>
            <w:tcW w:w="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4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by the First Amendment to the Amended and Restated Patent</w:t>
              </w:r>
            </w:hyperlink>
          </w:p>
        </w:tc>
        <w:tc>
          <w:tcPr>
            <w:tcW w:w="26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74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w w:val="99"/>
              </w:rPr>
            </w:pPr>
            <w:hyperlink r:id="rId393">
              <w:r>
                <w:rPr>
                  <w:rFonts w:ascii="Times New Roman" w:cs="Times New Roman" w:eastAsia="Times New Roman" w:hAnsi="Times New Roman"/>
                  <w:sz w:val="18"/>
                  <w:szCs w:val="18"/>
                  <w:color w:val="0000FF"/>
                  <w:w w:val="99"/>
                </w:rPr>
                <w:t>License Agreement, dated as of October 14, 2009 and as assigned</w:t>
              </w:r>
            </w:hyperlink>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740" w:type="dxa"/>
            <w:vAlign w:val="bottom"/>
            <w:gridSpan w:val="37"/>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to the Registrant</w:t>
              </w:r>
            </w:hyperlink>
          </w:p>
        </w:tc>
        <w:tc>
          <w:tcPr>
            <w:tcW w:w="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4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Summary of Non-Employee Director Compensation Program</w:t>
              </w:r>
            </w:hyperlink>
          </w:p>
        </w:tc>
        <w:tc>
          <w:tcPr>
            <w:tcW w:w="20" w:type="dxa"/>
            <w:vAlign w:val="bottom"/>
            <w:tcBorders>
              <w:bottom w:val="single" w:sz="8" w:color="0000EE"/>
            </w:tcBorders>
          </w:tcPr>
          <w:p>
            <w:pPr>
              <w:spacing w:after="0"/>
              <w:rPr>
                <w:sz w:val="17"/>
                <w:szCs w:val="17"/>
                <w:color w:val="auto"/>
              </w:rPr>
            </w:pPr>
          </w:p>
        </w:tc>
        <w:tc>
          <w:tcPr>
            <w:tcW w:w="280" w:type="dxa"/>
            <w:vAlign w:val="bottom"/>
            <w:gridSpan w:val="11"/>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47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Lease, dated as of April 27, 2017, by and between the Registrant</w:t>
              </w:r>
            </w:hyperlink>
          </w:p>
        </w:tc>
        <w:tc>
          <w:tcPr>
            <w:tcW w:w="20" w:type="dxa"/>
            <w:vAlign w:val="bottom"/>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2"/>
              </w:rPr>
              <w:t>S-1/A</w:t>
            </w:r>
          </w:p>
        </w:tc>
      </w:tr>
      <w:tr>
        <w:trPr>
          <w:trHeight w:val="196"/>
        </w:trPr>
        <w:tc>
          <w:tcPr>
            <w:tcW w:w="980" w:type="dxa"/>
            <w:vAlign w:val="bottom"/>
          </w:tcPr>
          <w:p>
            <w:pPr>
              <w:spacing w:after="0"/>
              <w:rPr>
                <w:sz w:val="17"/>
                <w:szCs w:val="17"/>
                <w:color w:val="auto"/>
              </w:rPr>
            </w:pPr>
          </w:p>
        </w:tc>
        <w:tc>
          <w:tcPr>
            <w:tcW w:w="30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95">
              <w:r>
                <w:rPr>
                  <w:rFonts w:ascii="Times New Roman" w:cs="Times New Roman" w:eastAsia="Times New Roman" w:hAnsi="Times New Roman"/>
                  <w:sz w:val="18"/>
                  <w:szCs w:val="18"/>
                  <w:color w:val="0000FF"/>
                  <w:w w:val="99"/>
                </w:rPr>
                <w:t>and NWALP PHOP Property Owner, LLC</w:t>
              </w:r>
            </w:hyperlink>
          </w:p>
        </w:tc>
        <w:tc>
          <w:tcPr>
            <w:tcW w:w="1660" w:type="dxa"/>
            <w:vAlign w:val="bottom"/>
            <w:gridSpan w:val="25"/>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740" w:type="dxa"/>
            <w:vAlign w:val="bottom"/>
            <w:gridSpan w:val="37"/>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2017 Employee Stock Purchase Plan</w:t>
              </w:r>
            </w:hyperlink>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2"/>
              </w:rPr>
              <w:t>S-1/A</w:t>
            </w: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4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Offer Letter, dated as of October 9, 2017, by and between the</w:t>
              </w:r>
            </w:hyperlink>
          </w:p>
        </w:tc>
        <w:tc>
          <w:tcPr>
            <w:tcW w:w="260" w:type="dxa"/>
            <w:vAlign w:val="bottom"/>
            <w:gridSpan w:val="10"/>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2"/>
              </w:rPr>
              <w:t>S-1/A</w:t>
            </w:r>
          </w:p>
        </w:tc>
      </w:tr>
      <w:tr>
        <w:trPr>
          <w:trHeight w:val="196"/>
        </w:trPr>
        <w:tc>
          <w:tcPr>
            <w:tcW w:w="980" w:type="dxa"/>
            <w:vAlign w:val="bottom"/>
          </w:tcPr>
          <w:p>
            <w:pPr>
              <w:spacing w:after="0"/>
              <w:rPr>
                <w:sz w:val="17"/>
                <w:szCs w:val="17"/>
                <w:color w:val="auto"/>
              </w:rPr>
            </w:pPr>
          </w:p>
        </w:tc>
        <w:tc>
          <w:tcPr>
            <w:tcW w:w="23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97">
              <w:r>
                <w:rPr>
                  <w:rFonts w:ascii="Times New Roman" w:cs="Times New Roman" w:eastAsia="Times New Roman" w:hAnsi="Times New Roman"/>
                  <w:sz w:val="18"/>
                  <w:szCs w:val="18"/>
                  <w:color w:val="0000FF"/>
                  <w:w w:val="99"/>
                </w:rPr>
                <w:t>Registrant and Timothy Sullivan</w:t>
              </w:r>
            </w:hyperlink>
          </w:p>
        </w:tc>
        <w:tc>
          <w:tcPr>
            <w:tcW w:w="40" w:type="dxa"/>
            <w:vAlign w:val="bottom"/>
            <w:tcBorders>
              <w:bottom w:val="single" w:sz="8" w:color="0000EE"/>
            </w:tcBorders>
          </w:tcPr>
          <w:p>
            <w:pPr>
              <w:spacing w:after="0"/>
              <w:rPr>
                <w:sz w:val="17"/>
                <w:szCs w:val="17"/>
                <w:color w:val="auto"/>
              </w:rPr>
            </w:pPr>
          </w:p>
        </w:tc>
        <w:tc>
          <w:tcPr>
            <w:tcW w:w="2340" w:type="dxa"/>
            <w:vAlign w:val="bottom"/>
            <w:gridSpan w:val="28"/>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46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First Amendment to Lease, dated July 25, 2018, by and between</w:t>
              </w:r>
            </w:hyperlink>
          </w:p>
        </w:tc>
        <w:tc>
          <w:tcPr>
            <w:tcW w:w="60" w:type="dxa"/>
            <w:vAlign w:val="bottom"/>
            <w:gridSpan w:val="3"/>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40" w:type="dxa"/>
            <w:vAlign w:val="bottom"/>
            <w:gridSpan w:val="37"/>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Registrant and NWALP PHOP Property Owner LLC.</w:t>
              </w:r>
            </w:hyperlink>
          </w:p>
        </w:tc>
        <w:tc>
          <w:tcPr>
            <w:tcW w:w="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1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Second Amendment to Lease, dated June 5, 2019, by and</w:t>
              </w:r>
            </w:hyperlink>
          </w:p>
        </w:tc>
        <w:tc>
          <w:tcPr>
            <w:tcW w:w="560" w:type="dxa"/>
            <w:vAlign w:val="bottom"/>
            <w:gridSpan w:val="17"/>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40" w:type="dxa"/>
            <w:vAlign w:val="bottom"/>
            <w:gridSpan w:val="37"/>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between Registrant and NWALP PHOP Property Owner LLC.</w:t>
              </w:r>
            </w:hyperlink>
          </w:p>
        </w:tc>
        <w:tc>
          <w:tcPr>
            <w:tcW w:w="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45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Third Amendment to Lease, dated September 25, 2019, by and</w:t>
              </w:r>
            </w:hyperlink>
          </w:p>
        </w:tc>
        <w:tc>
          <w:tcPr>
            <w:tcW w:w="160" w:type="dxa"/>
            <w:vAlign w:val="bottom"/>
            <w:gridSpan w:val="6"/>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40" w:type="dxa"/>
            <w:vAlign w:val="bottom"/>
            <w:gridSpan w:val="37"/>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between Registrant and NWALP PHOP Property Owner LLC.</w:t>
              </w:r>
            </w:hyperlink>
          </w:p>
        </w:tc>
        <w:tc>
          <w:tcPr>
            <w:tcW w:w="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46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Fourth Amendment to Lease, dated November 13, 2020, by and</w:t>
              </w:r>
            </w:hyperlink>
          </w:p>
        </w:tc>
        <w:tc>
          <w:tcPr>
            <w:tcW w:w="100" w:type="dxa"/>
            <w:vAlign w:val="bottom"/>
            <w:gridSpan w:val="4"/>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45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401">
              <w:r>
                <w:rPr>
                  <w:rFonts w:ascii="Times New Roman" w:cs="Times New Roman" w:eastAsia="Times New Roman" w:hAnsi="Times New Roman"/>
                  <w:sz w:val="18"/>
                  <w:szCs w:val="18"/>
                  <w:color w:val="0000FF"/>
                  <w:w w:val="99"/>
                </w:rPr>
                <w:t>between Registrant and NWALP PHOP Property Owner LLC.</w:t>
              </w:r>
            </w:hyperlink>
          </w:p>
        </w:tc>
        <w:tc>
          <w:tcPr>
            <w:tcW w:w="22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43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Standard Office Lease, dated as of March 29, 2019, by and</w:t>
              </w:r>
            </w:hyperlink>
          </w:p>
        </w:tc>
        <w:tc>
          <w:tcPr>
            <w:tcW w:w="440" w:type="dxa"/>
            <w:vAlign w:val="bottom"/>
            <w:gridSpan w:val="13"/>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between the Registrant and Geary-Market Investment Company,</w:t>
              </w:r>
            </w:hyperlink>
          </w:p>
        </w:tc>
        <w:tc>
          <w:tcPr>
            <w:tcW w:w="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02">
              <w:r>
                <w:rPr>
                  <w:rFonts w:ascii="Times New Roman" w:cs="Times New Roman" w:eastAsia="Times New Roman" w:hAnsi="Times New Roman"/>
                  <w:sz w:val="18"/>
                  <w:szCs w:val="18"/>
                  <w:color w:val="0000FF"/>
                  <w:w w:val="94"/>
                </w:rPr>
                <w:t>Ltd.</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35"/>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34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Form of Capped Call Transaction Confirmation</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23"/>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4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Amendment No. 1 to 2017 Employee Stock Purchase Plan</w:t>
              </w:r>
            </w:hyperlink>
          </w:p>
        </w:tc>
        <w:tc>
          <w:tcPr>
            <w:tcW w:w="480" w:type="dxa"/>
            <w:vAlign w:val="bottom"/>
            <w:gridSpan w:val="15"/>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46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Collaboration and License Agreement, dated October 27, 2020,</w:t>
              </w:r>
            </w:hyperlink>
          </w:p>
        </w:tc>
        <w:tc>
          <w:tcPr>
            <w:tcW w:w="120" w:type="dxa"/>
            <w:vAlign w:val="bottom"/>
            <w:gridSpan w:val="5"/>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46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by and among, the Registrant, Apellis Switzerland GmbH, APL</w:t>
              </w:r>
            </w:hyperlink>
          </w:p>
        </w:tc>
        <w:tc>
          <w:tcPr>
            <w:tcW w:w="10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5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405">
              <w:r>
                <w:rPr>
                  <w:rFonts w:ascii="Times New Roman" w:cs="Times New Roman" w:eastAsia="Times New Roman" w:hAnsi="Times New Roman"/>
                  <w:sz w:val="18"/>
                  <w:szCs w:val="18"/>
                  <w:color w:val="0000FF"/>
                  <w:w w:val="99"/>
                </w:rPr>
                <w:t>DEL holdings, LLC and Swedish Orphan Biovitrum AB (publ)</w:t>
              </w:r>
            </w:hyperlink>
          </w:p>
        </w:tc>
        <w:tc>
          <w:tcPr>
            <w:tcW w:w="18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45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Commercial Supply Agreement, dated December 30, 2020, by</w:t>
              </w:r>
            </w:hyperlink>
          </w:p>
        </w:tc>
        <w:tc>
          <w:tcPr>
            <w:tcW w:w="200" w:type="dxa"/>
            <w:vAlign w:val="bottom"/>
            <w:gridSpan w:val="8"/>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40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406">
              <w:r>
                <w:rPr>
                  <w:rFonts w:ascii="Times New Roman" w:cs="Times New Roman" w:eastAsia="Times New Roman" w:hAnsi="Times New Roman"/>
                  <w:sz w:val="18"/>
                  <w:szCs w:val="18"/>
                  <w:color w:val="0000FF"/>
                  <w:w w:val="99"/>
                </w:rPr>
                <w:t>and between the Registrant and Bachem Americas, Inc.</w:t>
              </w:r>
            </w:hyperlink>
          </w:p>
        </w:tc>
        <w:tc>
          <w:tcPr>
            <w:tcW w:w="20" w:type="dxa"/>
            <w:vAlign w:val="bottom"/>
            <w:tcBorders>
              <w:bottom w:val="single" w:sz="8" w:color="0000EE"/>
            </w:tcBorders>
          </w:tcPr>
          <w:p>
            <w:pPr>
              <w:spacing w:after="0"/>
              <w:rPr>
                <w:sz w:val="17"/>
                <w:szCs w:val="17"/>
                <w:color w:val="auto"/>
              </w:rPr>
            </w:pPr>
          </w:p>
        </w:tc>
        <w:tc>
          <w:tcPr>
            <w:tcW w:w="720" w:type="dxa"/>
            <w:vAlign w:val="bottom"/>
            <w:gridSpan w:val="20"/>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47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Sales Agreement, dated as of November 1, 2023 by and between</w:t>
              </w:r>
            </w:hyperlink>
          </w:p>
        </w:tc>
        <w:tc>
          <w:tcPr>
            <w:tcW w:w="20" w:type="dxa"/>
            <w:vAlign w:val="bottom"/>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980" w:type="dxa"/>
            <w:vAlign w:val="bottom"/>
          </w:tcPr>
          <w:p>
            <w:pPr>
              <w:spacing w:after="0"/>
              <w:rPr>
                <w:sz w:val="17"/>
                <w:szCs w:val="17"/>
                <w:color w:val="auto"/>
              </w:rPr>
            </w:pPr>
          </w:p>
        </w:tc>
        <w:tc>
          <w:tcPr>
            <w:tcW w:w="45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Apellis Pharmaceuticals, Inc. and Cowen and Company, LLC.</w:t>
              </w:r>
            </w:hyperlink>
          </w:p>
        </w:tc>
        <w:tc>
          <w:tcPr>
            <w:tcW w:w="22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45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408">
              <w:r>
                <w:rPr>
                  <w:rFonts w:ascii="Times New Roman" w:cs="Times New Roman" w:eastAsia="Times New Roman" w:hAnsi="Times New Roman"/>
                  <w:sz w:val="18"/>
                  <w:szCs w:val="18"/>
                  <w:color w:val="0000FF"/>
                  <w:w w:val="99"/>
                </w:rPr>
                <w:t>Amended and Restated Commercial Supply Agreement, dated</w:t>
              </w:r>
            </w:hyperlink>
          </w:p>
        </w:tc>
        <w:tc>
          <w:tcPr>
            <w:tcW w:w="220" w:type="dxa"/>
            <w:vAlign w:val="bottom"/>
            <w:gridSpan w:val="9"/>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0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March 10, 2021, by and between the Registrant, Apellis</w:t>
              </w:r>
            </w:hyperlink>
          </w:p>
        </w:tc>
        <w:tc>
          <w:tcPr>
            <w:tcW w:w="680" w:type="dxa"/>
            <w:vAlign w:val="bottom"/>
            <w:gridSpan w:val="19"/>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0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08">
              <w:r>
                <w:rPr>
                  <w:rFonts w:ascii="Times New Roman" w:cs="Times New Roman" w:eastAsia="Times New Roman" w:hAnsi="Times New Roman"/>
                  <w:sz w:val="18"/>
                  <w:szCs w:val="18"/>
                  <w:color w:val="0000FF"/>
                  <w:w w:val="99"/>
                </w:rPr>
                <w:t>Switzerland GmbH and NOF Corporation</w:t>
              </w:r>
            </w:hyperlink>
          </w:p>
        </w:tc>
        <w:tc>
          <w:tcPr>
            <w:tcW w:w="1720" w:type="dxa"/>
            <w:vAlign w:val="bottom"/>
            <w:gridSpan w:val="26"/>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4740" w:type="dxa"/>
            <w:vAlign w:val="bottom"/>
            <w:gridSpan w:val="37"/>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Inducement Stock Incentive Plan</w:t>
              </w:r>
            </w:hyperlink>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98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4720" w:type="dxa"/>
            <w:vAlign w:val="bottom"/>
            <w:tcBorders>
              <w:bottom w:val="single" w:sz="8" w:color="0000FF"/>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Offer Letter, dated as of December 25, 2022, by and between the</w:t>
            </w:r>
          </w:p>
        </w:tc>
        <w:tc>
          <w:tcPr>
            <w:tcW w:w="20" w:type="dxa"/>
            <w:vAlign w:val="bottom"/>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23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Registrant and Baumal Caroline</w:t>
            </w:r>
          </w:p>
        </w:tc>
        <w:tc>
          <w:tcPr>
            <w:tcW w:w="20" w:type="dxa"/>
            <w:vAlign w:val="bottom"/>
            <w:tcBorders>
              <w:bottom w:val="single" w:sz="8" w:color="0000EE"/>
            </w:tcBorders>
          </w:tcPr>
          <w:p>
            <w:pPr>
              <w:spacing w:after="0"/>
              <w:rPr>
                <w:sz w:val="17"/>
                <w:szCs w:val="17"/>
                <w:color w:val="auto"/>
              </w:rPr>
            </w:pPr>
          </w:p>
        </w:tc>
        <w:tc>
          <w:tcPr>
            <w:tcW w:w="2400" w:type="dxa"/>
            <w:vAlign w:val="bottom"/>
            <w:gridSpan w:val="30"/>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47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Separation Agreement, dated February 21, 2025, by and between</w:t>
              </w:r>
            </w:hyperlink>
          </w:p>
        </w:tc>
        <w:tc>
          <w:tcPr>
            <w:tcW w:w="20" w:type="dxa"/>
            <w:vAlign w:val="bottom"/>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40" w:type="dxa"/>
            <w:vAlign w:val="bottom"/>
            <w:gridSpan w:val="37"/>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the Registrant and Adam Townsend</w:t>
              </w:r>
            </w:hyperlink>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26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Form of Exchange Agreement</w:t>
              </w:r>
            </w:hyperlink>
          </w:p>
        </w:tc>
        <w:tc>
          <w:tcPr>
            <w:tcW w:w="2080" w:type="dxa"/>
            <w:vAlign w:val="bottom"/>
            <w:gridSpan w:val="27"/>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20"/>
        </w:trPr>
        <w:tc>
          <w:tcPr>
            <w:tcW w:w="98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6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46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Form of Restricted Stock Unit Agreement under the 2017 Stock</w:t>
              </w:r>
            </w:hyperlink>
          </w:p>
        </w:tc>
        <w:tc>
          <w:tcPr>
            <w:tcW w:w="100" w:type="dxa"/>
            <w:vAlign w:val="bottom"/>
            <w:gridSpan w:val="4"/>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10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412">
              <w:r>
                <w:rPr>
                  <w:rFonts w:ascii="Times New Roman" w:cs="Times New Roman" w:eastAsia="Times New Roman" w:hAnsi="Times New Roman"/>
                  <w:sz w:val="18"/>
                  <w:szCs w:val="18"/>
                  <w:color w:val="0000FF"/>
                  <w:w w:val="98"/>
                </w:rPr>
                <w:t>Incentive Plan</w:t>
              </w:r>
            </w:hyperlink>
          </w:p>
        </w:tc>
        <w:tc>
          <w:tcPr>
            <w:tcW w:w="3700" w:type="dxa"/>
            <w:vAlign w:val="bottom"/>
            <w:gridSpan w:val="34"/>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42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Royalty Buy-Down Agreement dated July 1, 2025, by and</w:t>
              </w:r>
            </w:hyperlink>
          </w:p>
        </w:tc>
        <w:tc>
          <w:tcPr>
            <w:tcW w:w="500" w:type="dxa"/>
            <w:vAlign w:val="bottom"/>
            <w:gridSpan w:val="16"/>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2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between Swedish Orphan Biovitrum AB and the Registrant</w:t>
              </w:r>
            </w:hyperlink>
          </w:p>
        </w:tc>
        <w:tc>
          <w:tcPr>
            <w:tcW w:w="46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r>
      <w:tr>
        <w:trPr>
          <w:trHeight w:val="345"/>
        </w:trPr>
        <w:tc>
          <w:tcPr>
            <w:tcW w:w="980" w:type="dxa"/>
            <w:vAlign w:val="bottom"/>
          </w:tcPr>
          <w:p>
            <w:pPr>
              <w:spacing w:after="0"/>
              <w:rPr>
                <w:sz w:val="24"/>
                <w:szCs w:val="24"/>
                <w:color w:val="auto"/>
              </w:rPr>
            </w:pPr>
          </w:p>
        </w:tc>
        <w:tc>
          <w:tcPr>
            <w:tcW w:w="5180" w:type="dxa"/>
            <w:vAlign w:val="bottom"/>
            <w:gridSpan w:val="38"/>
          </w:tcPr>
          <w:p>
            <w:pPr>
              <w:ind w:left="4500"/>
              <w:spacing w:after="0"/>
              <w:rPr>
                <w:sz w:val="20"/>
                <w:szCs w:val="20"/>
                <w:color w:val="auto"/>
              </w:rPr>
            </w:pPr>
            <w:r>
              <w:rPr>
                <w:rFonts w:ascii="Times New Roman" w:cs="Times New Roman" w:eastAsia="Times New Roman" w:hAnsi="Times New Roman"/>
                <w:sz w:val="18"/>
                <w:szCs w:val="18"/>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180" w:val="left"/>
          <w:tab w:leader="none" w:pos="3040" w:val="left"/>
        </w:tabs>
        <w:rPr>
          <w:sz w:val="20"/>
          <w:szCs w:val="20"/>
          <w:color w:val="auto"/>
        </w:rPr>
      </w:pPr>
      <w:r>
        <w:rPr>
          <w:rFonts w:ascii="Times New Roman" w:cs="Times New Roman" w:eastAsia="Times New Roman" w:hAnsi="Times New Roman"/>
          <w:sz w:val="18"/>
          <w:szCs w:val="18"/>
          <w:color w:val="auto"/>
        </w:rPr>
        <w:t>333-220941</w:t>
      </w:r>
      <w:r>
        <w:rPr>
          <w:sz w:val="20"/>
          <w:szCs w:val="20"/>
          <w:color w:val="auto"/>
        </w:rPr>
        <w:tab/>
      </w:r>
      <w:r>
        <w:rPr>
          <w:rFonts w:ascii="Times New Roman" w:cs="Times New Roman" w:eastAsia="Times New Roman" w:hAnsi="Times New Roman"/>
          <w:sz w:val="18"/>
          <w:szCs w:val="18"/>
          <w:color w:val="auto"/>
        </w:rPr>
        <w:t>10/13/2017</w:t>
      </w:r>
      <w:r>
        <w:rPr>
          <w:sz w:val="20"/>
          <w:szCs w:val="20"/>
          <w:color w:val="auto"/>
        </w:rPr>
        <w:tab/>
      </w:r>
      <w:r>
        <w:rPr>
          <w:rFonts w:ascii="Times New Roman" w:cs="Times New Roman" w:eastAsia="Times New Roman" w:hAnsi="Times New Roman"/>
          <w:sz w:val="17"/>
          <w:szCs w:val="17"/>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2/28/2022</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10/13/2017</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10/30/2017</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10/20/2017</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7/31/2018</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7/31/2019</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11/5/2019</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5/7/2019</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5/7/2020</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11/2/2020</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11/01/2023</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4/28/2022</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333-236710</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2/27/2020</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vMerge w:val="restart"/>
          </w:tcPr>
          <w:p>
            <w:pPr>
              <w:ind w:left="260"/>
              <w:spacing w:after="0"/>
              <w:rPr>
                <w:sz w:val="20"/>
                <w:szCs w:val="20"/>
                <w:color w:val="auto"/>
              </w:rPr>
            </w:pPr>
            <w:r>
              <w:rPr>
                <w:rFonts w:ascii="Arial" w:cs="Arial" w:eastAsia="Arial" w:hAnsi="Arial"/>
                <w:sz w:val="20"/>
                <w:szCs w:val="20"/>
                <w:color w:val="auto"/>
                <w:w w:val="89"/>
              </w:rPr>
              <w:t>X</w:t>
            </w: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2/27/2024</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10.28</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5/7/2025</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7/8/2021</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2/21/2023</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10.33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01-38276</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10/30/2025</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160" w:space="540"/>
            <w:col w:w="4020"/>
          </w:cols>
          <w:pgMar w:left="320" w:top="124" w:right="8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46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Amended and Restated Fee Letter, dated June 30, 2025, by and</w:t>
            </w:r>
          </w:p>
        </w:tc>
        <w:tc>
          <w:tcPr>
            <w:tcW w:w="140" w:type="dxa"/>
            <w:vAlign w:val="bottom"/>
            <w:gridSpan w:val="3"/>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40" w:type="dxa"/>
            <w:vAlign w:val="bottom"/>
          </w:tcPr>
          <w:p>
            <w:pPr>
              <w:ind w:left="1400"/>
              <w:spacing w:after="0"/>
              <w:rPr>
                <w:sz w:val="20"/>
                <w:szCs w:val="20"/>
                <w:color w:val="auto"/>
              </w:rPr>
            </w:pPr>
            <w:r>
              <w:rPr>
                <w:rFonts w:ascii="Arial" w:cs="Arial" w:eastAsia="Arial" w:hAnsi="Arial"/>
                <w:sz w:val="20"/>
                <w:szCs w:val="20"/>
                <w:color w:val="auto"/>
                <w:w w:val="89"/>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between the Company and Sixth Street Lending Partners</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restart"/>
          </w:tcPr>
          <w:p>
            <w:pPr>
              <w:ind w:left="1400"/>
              <w:spacing w:after="0"/>
              <w:rPr>
                <w:sz w:val="20"/>
                <w:szCs w:val="20"/>
                <w:color w:val="auto"/>
              </w:rPr>
            </w:pPr>
            <w:r>
              <w:rPr>
                <w:rFonts w:ascii="Arial" w:cs="Arial" w:eastAsia="Arial" w:hAnsi="Arial"/>
                <w:sz w:val="20"/>
                <w:szCs w:val="20"/>
                <w:color w:val="auto"/>
                <w:w w:val="89"/>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10.32</w:t>
            </w:r>
          </w:p>
        </w:tc>
        <w:tc>
          <w:tcPr>
            <w:tcW w:w="444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Fifth Amendment to Lease, dated September 5, 2025, by and</w:t>
            </w:r>
          </w:p>
        </w:tc>
        <w:tc>
          <w:tcPr>
            <w:tcW w:w="3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1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between the Apellis Pharmaceuticals, Inc. and Delaware</w:t>
            </w:r>
          </w:p>
        </w:tc>
        <w:tc>
          <w:tcPr>
            <w:tcW w:w="6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Corporation</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restart"/>
          </w:tcPr>
          <w:p>
            <w:pPr>
              <w:ind w:left="1400"/>
              <w:spacing w:after="0"/>
              <w:rPr>
                <w:sz w:val="20"/>
                <w:szCs w:val="20"/>
                <w:color w:val="auto"/>
              </w:rPr>
            </w:pPr>
            <w:r>
              <w:rPr>
                <w:rFonts w:ascii="Arial" w:cs="Arial" w:eastAsia="Arial" w:hAnsi="Arial"/>
                <w:sz w:val="20"/>
                <w:szCs w:val="20"/>
                <w:color w:val="auto"/>
                <w:w w:val="89"/>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10.33 +</w:t>
            </w:r>
          </w:p>
        </w:tc>
        <w:tc>
          <w:tcPr>
            <w:tcW w:w="4460" w:type="dxa"/>
            <w:vAlign w:val="bottom"/>
            <w:tcBorders>
              <w:bottom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Form of Restricted Stock Unit Award Agreement under 2017</w:t>
            </w:r>
          </w:p>
        </w:tc>
        <w:tc>
          <w:tcPr>
            <w:tcW w:w="2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Stock Incentive Plan</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restart"/>
          </w:tcPr>
          <w:p>
            <w:pPr>
              <w:ind w:left="1400"/>
              <w:spacing w:after="0"/>
              <w:rPr>
                <w:sz w:val="20"/>
                <w:szCs w:val="20"/>
                <w:color w:val="auto"/>
              </w:rPr>
            </w:pPr>
            <w:r>
              <w:rPr>
                <w:rFonts w:ascii="Arial" w:cs="Arial" w:eastAsia="Arial" w:hAnsi="Arial"/>
                <w:sz w:val="20"/>
                <w:szCs w:val="20"/>
                <w:color w:val="auto"/>
                <w:w w:val="89"/>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21.1</w:t>
            </w:r>
          </w:p>
        </w:tc>
        <w:tc>
          <w:tcPr>
            <w:tcW w:w="474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vMerge w:val="restart"/>
          </w:tcPr>
          <w:p>
            <w:pPr>
              <w:ind w:left="1400"/>
              <w:spacing w:after="0" w:line="196" w:lineRule="exact"/>
              <w:rPr>
                <w:sz w:val="20"/>
                <w:szCs w:val="20"/>
                <w:color w:val="auto"/>
              </w:rPr>
            </w:pPr>
            <w:r>
              <w:rPr>
                <w:rFonts w:ascii="Arial" w:cs="Arial" w:eastAsia="Arial" w:hAnsi="Arial"/>
                <w:sz w:val="20"/>
                <w:szCs w:val="20"/>
                <w:color w:val="auto"/>
                <w:w w:val="89"/>
              </w:rPr>
              <w:t>X</w:t>
            </w: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474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Consent of Deloitte &amp; Touche, LLP</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vMerge w:val="restart"/>
          </w:tcPr>
          <w:p>
            <w:pPr>
              <w:ind w:left="1400"/>
              <w:spacing w:after="0" w:line="196" w:lineRule="exact"/>
              <w:rPr>
                <w:sz w:val="20"/>
                <w:szCs w:val="20"/>
                <w:color w:val="auto"/>
              </w:rPr>
            </w:pPr>
            <w:r>
              <w:rPr>
                <w:rFonts w:ascii="Arial" w:cs="Arial" w:eastAsia="Arial" w:hAnsi="Arial"/>
                <w:sz w:val="20"/>
                <w:szCs w:val="20"/>
                <w:color w:val="auto"/>
                <w:w w:val="89"/>
              </w:rPr>
              <w:t>X</w:t>
            </w: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474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4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 Exchange</w:t>
            </w:r>
          </w:p>
        </w:tc>
        <w:tc>
          <w:tcPr>
            <w:tcW w:w="2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as Adopted Pursuant to Section 302 of the Sarbanes-</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restart"/>
          </w:tcPr>
          <w:p>
            <w:pPr>
              <w:ind w:left="1400"/>
              <w:spacing w:after="0"/>
              <w:rPr>
                <w:sz w:val="20"/>
                <w:szCs w:val="20"/>
                <w:color w:val="auto"/>
              </w:rPr>
            </w:pPr>
            <w:r>
              <w:rPr>
                <w:rFonts w:ascii="Arial" w:cs="Arial" w:eastAsia="Arial" w:hAnsi="Arial"/>
                <w:sz w:val="20"/>
                <w:szCs w:val="20"/>
                <w:color w:val="auto"/>
                <w:w w:val="89"/>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444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3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5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20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2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restart"/>
          </w:tcPr>
          <w:p>
            <w:pPr>
              <w:ind w:left="1400"/>
              <w:spacing w:after="0"/>
              <w:rPr>
                <w:sz w:val="20"/>
                <w:szCs w:val="20"/>
                <w:color w:val="auto"/>
              </w:rPr>
            </w:pPr>
            <w:r>
              <w:rPr>
                <w:rFonts w:ascii="Arial" w:cs="Arial" w:eastAsia="Arial" w:hAnsi="Arial"/>
                <w:sz w:val="20"/>
                <w:szCs w:val="20"/>
                <w:color w:val="auto"/>
                <w:w w:val="89"/>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4260" w:type="dxa"/>
            <w:vAlign w:val="bottom"/>
            <w:tcBorders>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4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6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w:t>
            </w:r>
          </w:p>
        </w:tc>
        <w:tc>
          <w:tcPr>
            <w:tcW w:w="10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1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62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restart"/>
          </w:tcPr>
          <w:p>
            <w:pPr>
              <w:ind w:left="1400"/>
              <w:spacing w:after="0"/>
              <w:rPr>
                <w:sz w:val="20"/>
                <w:szCs w:val="20"/>
                <w:color w:val="auto"/>
              </w:rPr>
            </w:pPr>
            <w:r>
              <w:rPr>
                <w:rFonts w:ascii="Arial" w:cs="Arial" w:eastAsia="Arial" w:hAnsi="Arial"/>
                <w:sz w:val="20"/>
                <w:szCs w:val="20"/>
                <w:color w:val="auto"/>
                <w:w w:val="89"/>
              </w:rPr>
              <w:t>X</w:t>
            </w:r>
          </w:p>
        </w:tc>
        <w:tc>
          <w:tcPr>
            <w:tcW w:w="0" w:type="dxa"/>
            <w:vAlign w:val="bottom"/>
          </w:tcPr>
          <w:p>
            <w:pPr>
              <w:spacing w:after="0"/>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32.2*</w:t>
            </w:r>
          </w:p>
        </w:tc>
        <w:tc>
          <w:tcPr>
            <w:tcW w:w="4740" w:type="dxa"/>
            <w:vAlign w:val="bottom"/>
            <w:tcBorders>
              <w:bottom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1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6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1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62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740" w:type="dxa"/>
            <w:vAlign w:val="bottom"/>
            <w:gridSpan w:val="20"/>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Dodd-Frank Compensation Recovery Policy</w:t>
              </w:r>
            </w:hyperlink>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50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2/27/2024</w:t>
            </w:r>
          </w:p>
        </w:tc>
        <w:tc>
          <w:tcPr>
            <w:tcW w:w="1540" w:type="dxa"/>
            <w:vAlign w:val="bottom"/>
          </w:tcPr>
          <w:p>
            <w:pPr>
              <w:ind w:left="58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20" w:type="dxa"/>
            <w:vAlign w:val="bottom"/>
            <w:tcBorders>
              <w:right w:val="single" w:sz="8" w:color="0000EE"/>
            </w:tcBorders>
            <w:gridSpan w:val="7"/>
            <w:shd w:val="clear" w:color="auto" w:fill="0000FF"/>
          </w:tcPr>
          <w:p>
            <w:pPr>
              <w:spacing w:after="0" w:line="20" w:lineRule="exact"/>
              <w:rPr>
                <w:sz w:val="1"/>
                <w:szCs w:val="1"/>
                <w:color w:val="auto"/>
              </w:rPr>
            </w:pPr>
          </w:p>
        </w:tc>
        <w:tc>
          <w:tcPr>
            <w:tcW w:w="152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80" w:right="5360" w:hanging="972"/>
        <w:spacing w:after="0" w:line="260"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5" w:lineRule="exact"/>
        <w:rPr>
          <w:sz w:val="20"/>
          <w:szCs w:val="20"/>
          <w:color w:val="auto"/>
        </w:rPr>
      </w:pPr>
    </w:p>
    <w:p>
      <w:pPr>
        <w:ind w:right="160" w:firstLine="8"/>
        <w:spacing w:after="0" w:line="261" w:lineRule="auto"/>
        <w:tabs>
          <w:tab w:leader="none" w:pos="1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 of Regulation S-K, the Registrant agrees to furnish supplementally a copy of any omitted schedule or exhibit to the Asset Purchase Agreement to the Securities and Exchange Commission upon request.</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as to certain portions, which portions have been omitted and separately filed with the Securities and Exchange Commission.</w:t>
      </w:r>
    </w:p>
    <w:p>
      <w:pPr>
        <w:ind w:right="40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pursuant to Item 601(b)(10)(iv) of Regulation S-K.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11912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4" w:right="5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25" w:lineRule="exact"/>
        <w:rPr>
          <w:sz w:val="20"/>
          <w:szCs w:val="20"/>
          <w:color w:val="auto"/>
        </w:rPr>
      </w:pPr>
    </w:p>
    <w:p>
      <w:pPr>
        <w:spacing w:after="0"/>
        <w:tabs>
          <w:tab w:leader="none" w:pos="6300" w:val="left"/>
          <w:tab w:leader="none" w:pos="834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6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Jim Chopas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Jim Chopas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Gerald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Gerald Chan</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 Sinclair Dunlop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A. Sinclair Dunlop</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Alec Machiels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Alec Machiels</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/s/ Stephanie 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Stephanie M. O’Brien</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Paul Fonteyne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Paul Fonteyne</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Keli Walbert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Keli Walbert</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Craig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Craig Wheeler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February 24,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(Principal Financial Officer)</w:t>
      </w:r>
      <w:r>
        <w:rPr>
          <w:sz w:val="20"/>
          <w:szCs w:val="20"/>
          <w:color w:val="auto"/>
        </w:rPr>
        <w:tab/>
      </w: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223" w:lineRule="exact"/>
        <w:rPr>
          <w:sz w:val="20"/>
          <w:szCs w:val="20"/>
          <w:color w:val="auto"/>
        </w:rPr>
      </w:pPr>
    </w:p>
    <w:p>
      <w:pPr>
        <w:ind w:right="2980" w:firstLine="45"/>
        <w:spacing w:after="0" w:line="261" w:lineRule="auto"/>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(Principal Accounting Officer)</w:t>
      </w:r>
      <w:r>
        <w:rPr>
          <w:sz w:val="20"/>
          <w:szCs w:val="20"/>
          <w:color w:val="auto"/>
        </w:rPr>
        <w:tab/>
      </w: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23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266"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266"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2026</w:t>
      </w:r>
    </w:p>
    <w:p>
      <w:pPr>
        <w:spacing w:after="0" w:line="432" w:lineRule="exact"/>
        <w:rPr>
          <w:sz w:val="20"/>
          <w:szCs w:val="20"/>
          <w:color w:val="auto"/>
        </w:rPr>
      </w:pPr>
    </w:p>
    <w:p>
      <w:pPr>
        <w:sectPr>
          <w:pgSz w:w="11900" w:h="16838" w:orient="portrait"/>
          <w:cols w:equalWidth="0" w:num="2">
            <w:col w:w="3120" w:space="720"/>
            <w:col w:w="7300"/>
          </w:cols>
          <w:pgMar w:left="320" w:top="124" w:right="439" w:bottom="1440" w:gutter="0" w:footer="0" w:header="0"/>
          <w:type w:val="continuous"/>
        </w:sect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type w:val="continuous"/>
        </w:sectPr>
      </w:pPr>
    </w:p>
    <w:bookmarkStart w:id="151" w:name="page152"/>
    <w:bookmarkEnd w:id="151"/>
    <w:p>
      <w:pPr>
        <w:spacing w:after="0" w:line="3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500380</wp:posOffset>
            </wp:positionV>
            <wp:extent cx="1962785" cy="6254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1962785" cy="6254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100 5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Waltham, MA 02451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 617.977.5700</w:t>
      </w:r>
    </w:p>
    <w:p>
      <w:pPr>
        <w:spacing w:after="0" w:line="200" w:lineRule="exact"/>
        <w:rPr>
          <w:sz w:val="20"/>
          <w:szCs w:val="20"/>
          <w:color w:val="auto"/>
        </w:rPr>
      </w:pPr>
    </w:p>
    <w:p>
      <w:pPr>
        <w:spacing w:after="0" w:line="278"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Revised December 25, 2022</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Caroline Baumal, M.D.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Dear Caroline:</w:t>
      </w:r>
    </w:p>
    <w:p>
      <w:pPr>
        <w:spacing w:after="0" w:line="258"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We are pleased to extend you an offer to join Apellis Pharmaceuticals, Inc. (“Apellis” or the “Company) as Chief Medical Officer. You will be responsible for developing and executing the Medical Affairs strategy in support of our overall business plan and strategic direction. You will lead the Company’s external medical messaging and engagement with key opinion leaders, health care professionals, the patient community and other stakeholders; representing the Company at medical, scientific and investor forums; strategic leadership in support of the Company’s business plan; oversight of the medical affairs division and personnel. You will be responsible for the entire product portfolio, including ophthalmology, rare disease, and future therapeutic areas of focus. All employees in the medical affairs function will report to you as the Chief Medical Officer. You will provide input to all portfolio decisions at Apellis.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You will work from our offices in the Waltham area, with travel as may be reasonably required from time to time to properly fulfill your employment duties and responsibilities. You will report to the Chief Executive Officer.</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Subject to satisfaction of the conditions described in this letter, you will begin employment on, or before, January 3, 2023 (or another mutually acceptable start date). From your start date until January 31, 2023, you will be permitted to wind down your current medical practice and otherwise transition your current employment duties in a manner consistent with your professional obligations, on such terms as mutually agreed with senior management of the Company. On and after February 1, 2023, you may continue to provide up to one day per week of patient care, outside of normal business hours for the Company, on such terms as mutually agreed with senior management of the Company.</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You may continue to participate in the speaking engagements and consulting services outlined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to this offer letter and incorporated by reference), so long as your time spent on these matters is outside of normal business hours and does not interfere with the performance of your duties with the Company, subject to ongoing assessment by you and the Company to ensure that there is no impact on the Company or its business. You have represented and certified that these speaking engagements and consulting services are not competitive with the present or currently planned business of the Company. The Company acknowledges and agrees that, notwithstanding any other agreements being entered into by you with the Company, that the Company has no right, claim, or interest 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198755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40" w:right="459" w:bottom="1440" w:gutter="0" w:footer="0" w:header="0"/>
        </w:sectPr>
      </w:pPr>
    </w:p>
    <w:bookmarkStart w:id="152" w:name="page153"/>
    <w:bookmarkEnd w:id="152"/>
    <w:p>
      <w:pPr>
        <w:jc w:val="both"/>
        <w:ind w:right="20"/>
        <w:spacing w:after="0" w:line="273" w:lineRule="auto"/>
        <w:rPr>
          <w:sz w:val="20"/>
          <w:szCs w:val="20"/>
          <w:color w:val="auto"/>
        </w:rPr>
      </w:pPr>
      <w:r>
        <w:rPr>
          <w:rFonts w:ascii="Arial" w:cs="Arial" w:eastAsia="Arial" w:hAnsi="Arial"/>
          <w:sz w:val="21"/>
          <w:szCs w:val="21"/>
          <w:color w:val="auto"/>
        </w:rPr>
        <w:t>to any intellectual property rights or trade secrets related to or arising from any such consulting services provided by you to such third parties.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Otherwise, you agree to devote substantially all your full business time, attention, and commercially reasonable efforts to the performance of your duties and to the furtherance of the Company’s interests. During the period of your employment, you agree not to engage in any other employment, consulting or other business activity that is currently or potentially competitive, or that represents a conflict of interest, with the current or planned business of the Company without the prior written consent of the Company. You may continue to engage in patient care activities, consulting and other business activities that are not competitive and that do not represent a conflict of interest with the business of the Company, provided any such activities shall (x) not conflict or materially interfere with the effective discharge of your duties and responsibilities to the Company, (y) not be provided during the Company’s regular business hours or on Company premises or using any of the Company’s property or equipment, and (z) be conducted strictly in accordance with applicable laws, regulations, and professional standards (including those regarding disclosure of financial or professional interest). You must disclose any outside engagements or business activities to the Company on a periodic basis. Any exceptions must be approved in writing by the Chief Executive Officer after consultation with the Board of Directors.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Your initial salary will be an annualized base salary of $575,000 paid in accordance with our standard payroll practices and subject to all withholdings and deductions as required by law. You will also be eligible to participate in the 2023 Apellis Bonus Program on a pro-rated basis from your start date with an annual target bonus of 45% of your annualized base salary. All bonus payments, if any, will be pro-rated from your start date and are subject to the approval of the Board of Directors based upon company, departmental, and individual performance. You must remain employed with the Company through the date of the bonus payment to receive such payment.</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You will be eligible for Apellis’ standard benefits package offered to every full-time employee, which includes health insurance, LTD/ADD/life insurance, and 401(k). You will be reimbursed for travel and other expenses in accordance with our reimbursement policy. You will be eligible for Apellis’ Flexible Time Off program, which does not restrict employees to a specific number of personal or vacation days. Apellis reserves the right to amend, modify or terminate any of its benefit plans, policies or programs at any time and for any reason.</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You will be eligible for a sign-on bonus in the amount of $250,000 paid in two installments. The first payment of $125,000 will be paid with your first payroll and subject to all withholdings and deductions as required by law. Upon the one-year anniversary of your date of hire, you will be eligible for the second sign-on in the amount of $125,000 and subject to all withholdings and deductions as required by law. If Apellis is acquired prior to one year of service, or you are terminated by Apellis without “Cause” or you resign for “Good Reason” (as such terms are defined in the Executive Separation Benefits and Retention Plan, with the modifications noted herein), the second payment will be accelerated and payable on the effective date of any Change in Control or your last date of employment, as applicable. If you leave Apellis prior to your first anniversary you will be required to pay back this bonus in full, other than in the case of a reduction in force or termination without cause or you resign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596265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17" w:right="459" w:bottom="1440" w:gutter="0" w:footer="0" w:header="0"/>
        </w:sectPr>
      </w:pPr>
    </w:p>
    <w:bookmarkStart w:id="153" w:name="page154"/>
    <w:bookmarkEnd w:id="153"/>
    <w:p>
      <w:pPr>
        <w:jc w:val="both"/>
        <w:spacing w:after="0" w:line="252" w:lineRule="auto"/>
        <w:rPr>
          <w:sz w:val="20"/>
          <w:szCs w:val="20"/>
          <w:color w:val="auto"/>
        </w:rPr>
      </w:pPr>
      <w:r>
        <w:rPr>
          <w:rFonts w:ascii="Arial" w:cs="Arial" w:eastAsia="Arial" w:hAnsi="Arial"/>
          <w:sz w:val="21"/>
          <w:szCs w:val="21"/>
          <w:color w:val="auto"/>
        </w:rPr>
        <w:t>You will be eligible to receive separation benefits under the terms and conditions of our Executive Separation Benefits and Retention Plan, adopted on October 1, 2019 (the “Separation Benefits Plan”), a copy of which is provided for your reference. All forms of cash compensation paid to you as an employee pursuant to this offer letter or the Separation Benefits Plan shall be less all applicable withholdings.</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Subject to the approval of the Board of Directors, you will receive a grant of 35,549 Restricted Stock Units (RSUs) and an option to purchase 49,000 shares of Common Stock at an exercise price equal to the fair market value as determined by the Board at the time of the grant, with such option to vest in equal monthly installments over four years from the Grant Date, subject to a one-year vesting cliff. The RSUs will vest over four years with 25% of the RSUs vesting on the first anniversary of the Grant Date and 25% on each anniversary of the Grant Date thereafter. The Grant Date will be the first trading day of the month following your date of hire. The terms of these grants will be set forth in one or more agreements and shall be subject to the provisions of the Separation Benefits Plan, except as agreed herein.</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Along with this letter, you are being provided a copy of the Apellis Executive Separation Benefits and Retention Plan. You will be entitled to the benefits and rights of a C-Level Officer under this plan. If the Company determines that geographic atrophy will no longer be a strategic focus (whether because the Company does not get approval for intravitreal pegcetacoplan as a treatment for geographic atrophy or for any other reason), or if you are required to relocate more than 20 miles from Waltham, Massachusetts, these circumstances would also constitute a "Good Reason" termination event with respect to the sign-on bonus described above and the provisions of the Executive Separation Benefits and Retention Plan.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You will also be subject to the provisions of our Stock Ownership Guidelines and Recoupment Policy, which are also provided.</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This offer letter is intended to comply with Section 409A of the Internal Revenue Code (“Section 409A”) or an exemption thereunder and shall be construed and administered in accordance with Section 409A. Notwithstanding any other provision of this offer letter, payments provided under this offer letter may only be made upon an event and in a manner that complies with Section 409A or an applicable exemption. Any payments under this offer letter that may be excluded from Section 409A either as separation pay due to an involuntary separation from service or a short-term deferral shall be excluded from Section 409A to the maximum extent possible. For purposes of Section 409A, any installment payment provided under this offer letter shall be treated as a separate payment. Any payments to be made under this offer letter upon a termination of employment shall only be made upon a “separation from service” under Section 409A. Notwithstanding the foregoing, the Company makes no representations that the payments and benefits provided under this offer letter comply with Section 409A and in no event shall the Company be liable for all or any portion of any taxes, penalties, interest or other expenses that may be incurred by you on account of non-compliance with Section 409A. If any payment or benefit provided to you in connection with termination of employment is determined to constitute “nonqualified deferred compensation” and you are determined to be a “specified employee,” in each case within the meaning of Section 409A, the Company agrees to negotiate with you in good faith to appropriately and lawfully modify the contractual terms relating to such payment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601980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17" w:right="459" w:bottom="1440" w:gutter="0" w:footer="0" w:header="0"/>
        </w:sectPr>
      </w:pPr>
    </w:p>
    <w:bookmarkStart w:id="154" w:name="page155"/>
    <w:bookmarkEnd w:id="154"/>
    <w:p>
      <w:pPr>
        <w:jc w:val="both"/>
        <w:ind w:left="120"/>
        <w:spacing w:after="0" w:line="257" w:lineRule="auto"/>
        <w:rPr>
          <w:sz w:val="20"/>
          <w:szCs w:val="20"/>
          <w:color w:val="auto"/>
        </w:rPr>
      </w:pPr>
      <w:r>
        <w:rPr>
          <w:rFonts w:ascii="Arial" w:cs="Arial" w:eastAsia="Arial" w:hAnsi="Arial"/>
          <w:sz w:val="21"/>
          <w:szCs w:val="21"/>
          <w:color w:val="auto"/>
        </w:rPr>
        <w:t>On your first day of employment, you will be given additional information about our procedures, policies, and benefit programs. We will require you, as a condition of employment, to verify your right to work in the United States and to enter into the standard noncompetition, nondisclosure, and development agreement on your first day of employment.</w:t>
      </w:r>
    </w:p>
    <w:p>
      <w:pPr>
        <w:spacing w:after="0" w:line="196" w:lineRule="exact"/>
        <w:rPr>
          <w:sz w:val="20"/>
          <w:szCs w:val="20"/>
          <w:color w:val="auto"/>
        </w:rPr>
      </w:pPr>
    </w:p>
    <w:p>
      <w:pPr>
        <w:jc w:val="both"/>
        <w:ind w:left="120"/>
        <w:spacing w:after="0" w:line="247" w:lineRule="auto"/>
        <w:rPr>
          <w:sz w:val="20"/>
          <w:szCs w:val="20"/>
          <w:color w:val="auto"/>
        </w:rPr>
      </w:pPr>
      <w:r>
        <w:rPr>
          <w:rFonts w:ascii="Arial" w:cs="Arial" w:eastAsia="Arial" w:hAnsi="Arial"/>
          <w:sz w:val="21"/>
          <w:szCs w:val="21"/>
          <w:color w:val="auto"/>
        </w:rPr>
        <w:t>By signing below, you represent that (i) your employment with the Company and your execution of this offer letter does not and will not violate or conflict with agreements you may have with any former employer and (ii) you have provided the Company with all written agreements that describe any continuing post-employment obligations to any former employer. Your employment will be at will, and this letter does not represent any guarantee of employment for any period. If you wish to resign from your employment with the Company, we request not less than 15 calendar days’ written notice.</w:t>
      </w:r>
    </w:p>
    <w:p>
      <w:pPr>
        <w:spacing w:after="0" w:line="210" w:lineRule="exact"/>
        <w:rPr>
          <w:sz w:val="20"/>
          <w:szCs w:val="20"/>
          <w:color w:val="auto"/>
        </w:rPr>
      </w:pPr>
    </w:p>
    <w:p>
      <w:pPr>
        <w:jc w:val="both"/>
        <w:ind w:left="120"/>
        <w:spacing w:after="0" w:line="245" w:lineRule="auto"/>
        <w:rPr>
          <w:sz w:val="20"/>
          <w:szCs w:val="20"/>
          <w:color w:val="auto"/>
        </w:rPr>
      </w:pPr>
      <w:r>
        <w:rPr>
          <w:rFonts w:ascii="Arial" w:cs="Arial" w:eastAsia="Arial" w:hAnsi="Arial"/>
          <w:sz w:val="21"/>
          <w:szCs w:val="21"/>
          <w:color w:val="auto"/>
        </w:rPr>
        <w:t>This offer letter, along with the agreements regarding stock options and RSUs, the non- competition, non-solicitation, nondisclosure and development agreement, the separation benefits plan, the stock ownership guidelines and the recoupment policy, constitute the complete agreement between you and the Company, contain all the terms of your employment, and supersede any prior agreements, representation or understanding (whether written, oral or implied) between you and the Company. The terms of this offer letter and the resolution of any disputes as to the meaning, effect, performance or validity of this offer letter or arising out of, related to, or in any way connected with, this offer letter, your employment with the Company or any other relationship between you and the Company (the “Disputes”) will be governed by Massachusetts law, excluding laws relating to conflict of choice of law. You and the Company agree to submit to the exclusive personal jurisdiction of the federal and state courts located in the Commonwealth of Massachusetts in connection with any dispute or any claim related to any dispute.</w:t>
      </w:r>
    </w:p>
    <w:p>
      <w:pPr>
        <w:spacing w:after="0" w:line="208" w:lineRule="exact"/>
        <w:rPr>
          <w:sz w:val="20"/>
          <w:szCs w:val="20"/>
          <w:color w:val="auto"/>
        </w:rPr>
      </w:pPr>
    </w:p>
    <w:p>
      <w:pPr>
        <w:jc w:val="both"/>
        <w:ind w:left="120"/>
        <w:spacing w:after="0" w:line="257" w:lineRule="auto"/>
        <w:rPr>
          <w:sz w:val="20"/>
          <w:szCs w:val="20"/>
          <w:color w:val="auto"/>
        </w:rPr>
      </w:pPr>
      <w:r>
        <w:rPr>
          <w:rFonts w:ascii="Arial" w:cs="Arial" w:eastAsia="Arial" w:hAnsi="Arial"/>
          <w:sz w:val="21"/>
          <w:szCs w:val="21"/>
          <w:color w:val="auto"/>
        </w:rPr>
        <w:t>This offer will expire at the close of business, December 26, 2022, unless accepted by you prior to that time. This offer and your continued employment is contingent upon the successful completion of a background check and satisfactory reference check.</w:t>
      </w:r>
    </w:p>
    <w:p>
      <w:pPr>
        <w:spacing w:after="0" w:line="16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21"/>
          <w:szCs w:val="21"/>
          <w:color w:val="auto"/>
        </w:rPr>
        <w:t>We are excited at the prospect of your joining our team. Feel free to contact me if you have questions or if you need any additional information.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21"/>
          <w:szCs w:val="21"/>
          <w:color w:val="auto"/>
        </w:rPr>
        <w:t>Karen Lewis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Chief People Officer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Apellis Pharmaceuticals, Inc. ACCEPTED AND AGREED: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Name : Caroline Baumal, M.D.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12/25/2022</w:t>
      </w:r>
      <w:r>
        <w:rPr>
          <w:rFonts w:ascii="Arial" w:cs="Arial" w:eastAsia="Arial" w:hAnsi="Arial"/>
          <w:sz w:val="20"/>
          <w:szCs w:val="20"/>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624205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-5080</wp:posOffset>
            </wp:positionV>
            <wp:extent cx="2660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ectPr>
          <w:pgSz w:w="11900" w:h="16838" w:orient="portrait"/>
          <w:cols w:equalWidth="0" w:num="1">
            <w:col w:w="11060"/>
          </w:cols>
          <w:pgMar w:left="380" w:top="1417" w:right="45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auto"/>
        </w:rPr>
        <w:t>EXHIBIT A</w:t>
      </w:r>
    </w:p>
    <w:p>
      <w:pPr>
        <w:spacing w:after="0" w:line="231"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auto"/>
        </w:rPr>
        <w:t>Approved Outside Activities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Speaking Engagements</w:t>
      </w:r>
    </w:p>
    <w:p>
      <w:pPr>
        <w:spacing w:after="0" w:line="23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20"/>
          <w:szCs w:val="20"/>
          <w:color w:val="auto"/>
        </w:rPr>
        <w:t>Hawaii Retina (January 16-19, 2023)</w:t>
      </w:r>
    </w:p>
    <w:p>
      <w:pPr>
        <w:spacing w:after="0" w:line="22" w:lineRule="exact"/>
        <w:rPr>
          <w:sz w:val="20"/>
          <w:szCs w:val="20"/>
          <w:color w:val="auto"/>
        </w:rPr>
      </w:pPr>
    </w:p>
    <w:p>
      <w:pPr>
        <w:ind w:left="1500" w:right="160"/>
        <w:spacing w:after="0" w:line="241" w:lineRule="auto"/>
        <w:rPr>
          <w:sz w:val="20"/>
          <w:szCs w:val="20"/>
          <w:color w:val="auto"/>
        </w:rPr>
      </w:pPr>
      <w:r>
        <w:rPr>
          <w:rFonts w:ascii="Arial" w:cs="Arial" w:eastAsia="Arial" w:hAnsi="Arial"/>
          <w:sz w:val="21"/>
          <w:szCs w:val="21"/>
          <w:color w:val="auto"/>
        </w:rPr>
        <w:t>Moderator-Pediatric retina/tumor/uveitis, talk-pediatric retinal detachment Will be working with the Apellis team</w:t>
      </w:r>
    </w:p>
    <w:p>
      <w:pPr>
        <w:spacing w:after="0" w:line="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1"/>
          <w:szCs w:val="21"/>
          <w:color w:val="auto"/>
        </w:rPr>
        <w:t>2.</w:t>
      </w:r>
      <w:r>
        <w:rPr>
          <w:sz w:val="20"/>
          <w:szCs w:val="20"/>
          <w:color w:val="auto"/>
        </w:rPr>
        <w:tab/>
      </w:r>
      <w:r>
        <w:rPr>
          <w:rFonts w:ascii="Arial" w:cs="Arial" w:eastAsia="Arial" w:hAnsi="Arial"/>
          <w:sz w:val="20"/>
          <w:szCs w:val="20"/>
          <w:color w:val="auto"/>
        </w:rPr>
        <w:t>Fuji Retina (Tokyo, March 25-26, 2023)</w:t>
      </w:r>
    </w:p>
    <w:p>
      <w:pPr>
        <w:spacing w:after="0" w:line="2" w:lineRule="exact"/>
        <w:rPr>
          <w:sz w:val="20"/>
          <w:szCs w:val="20"/>
          <w:color w:val="auto"/>
        </w:rPr>
      </w:pPr>
    </w:p>
    <w:p>
      <w:pPr>
        <w:ind w:left="1640"/>
        <w:spacing w:after="0"/>
        <w:rPr>
          <w:sz w:val="20"/>
          <w:szCs w:val="20"/>
          <w:color w:val="auto"/>
        </w:rPr>
      </w:pPr>
      <w:r>
        <w:rPr>
          <w:rFonts w:ascii="Arial" w:cs="Arial" w:eastAsia="Arial" w:hAnsi="Arial"/>
          <w:sz w:val="21"/>
          <w:szCs w:val="21"/>
          <w:color w:val="auto"/>
        </w:rPr>
        <w:t>Talks-Complement inhibition in GA and pediatric retinal detachment</w:t>
      </w:r>
    </w:p>
    <w:p>
      <w:pPr>
        <w:spacing w:after="0" w:line="2" w:lineRule="exact"/>
        <w:rPr>
          <w:sz w:val="20"/>
          <w:szCs w:val="20"/>
          <w:color w:val="auto"/>
        </w:rPr>
      </w:pPr>
    </w:p>
    <w:p>
      <w:pPr>
        <w:ind w:left="820" w:hanging="453"/>
        <w:spacing w:after="0"/>
        <w:tabs>
          <w:tab w:leader="none" w:pos="820" w:val="left"/>
        </w:tabs>
        <w:numPr>
          <w:ilvl w:val="0"/>
          <w:numId w:val="63"/>
        </w:numPr>
        <w:rPr>
          <w:rFonts w:ascii="Arial" w:cs="Arial" w:eastAsia="Arial" w:hAnsi="Arial"/>
          <w:sz w:val="21"/>
          <w:szCs w:val="21"/>
          <w:color w:val="auto"/>
        </w:rPr>
      </w:pPr>
      <w:r>
        <w:rPr>
          <w:rFonts w:ascii="Arial" w:cs="Arial" w:eastAsia="Arial" w:hAnsi="Arial"/>
          <w:sz w:val="21"/>
          <w:szCs w:val="21"/>
          <w:color w:val="auto"/>
        </w:rPr>
        <w:t>Macula Society (February 23, 2023)</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Talk- Update on TKI inhibitor for wet AMD</w:t>
      </w:r>
    </w:p>
    <w:p>
      <w:pPr>
        <w:spacing w:after="0" w:line="2"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1"/>
          <w:szCs w:val="21"/>
          <w:color w:val="auto"/>
        </w:rPr>
        <w:t>4.</w:t>
      </w:r>
      <w:r>
        <w:rPr>
          <w:sz w:val="20"/>
          <w:szCs w:val="20"/>
          <w:color w:val="auto"/>
        </w:rPr>
        <w:tab/>
      </w:r>
      <w:r>
        <w:rPr>
          <w:rFonts w:ascii="Arial" w:cs="Arial" w:eastAsia="Arial" w:hAnsi="Arial"/>
          <w:sz w:val="20"/>
          <w:szCs w:val="20"/>
          <w:color w:val="auto"/>
        </w:rPr>
        <w:t>Angiogenesis – Virtual (February 10-11, 2023)</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Talk- update on faricimab (for diabetic Macular edema and wet AMD)</w:t>
      </w:r>
    </w:p>
    <w:p>
      <w:pPr>
        <w:spacing w:after="0" w:line="2" w:lineRule="exact"/>
        <w:rPr>
          <w:sz w:val="20"/>
          <w:szCs w:val="20"/>
          <w:color w:val="auto"/>
        </w:rPr>
      </w:pPr>
    </w:p>
    <w:p>
      <w:pPr>
        <w:ind w:left="740" w:hanging="373"/>
        <w:spacing w:after="0"/>
        <w:tabs>
          <w:tab w:leader="none" w:pos="740" w:val="left"/>
        </w:tabs>
        <w:numPr>
          <w:ilvl w:val="0"/>
          <w:numId w:val="64"/>
        </w:numPr>
        <w:rPr>
          <w:rFonts w:ascii="Arial" w:cs="Arial" w:eastAsia="Arial" w:hAnsi="Arial"/>
          <w:sz w:val="21"/>
          <w:szCs w:val="21"/>
          <w:color w:val="auto"/>
        </w:rPr>
      </w:pPr>
      <w:r>
        <w:rPr>
          <w:rFonts w:ascii="Arial" w:cs="Arial" w:eastAsia="Arial" w:hAnsi="Arial"/>
          <w:sz w:val="21"/>
          <w:szCs w:val="21"/>
          <w:color w:val="auto"/>
        </w:rPr>
        <w:t>Investigator Meeting – (February 10-11, 2023) - Faricimab update</w:t>
      </w:r>
    </w:p>
    <w:p>
      <w:pPr>
        <w:spacing w:after="0" w:line="1" w:lineRule="exact"/>
        <w:rPr>
          <w:rFonts w:ascii="Arial" w:cs="Arial" w:eastAsia="Arial" w:hAnsi="Arial"/>
          <w:sz w:val="21"/>
          <w:szCs w:val="21"/>
          <w:color w:val="auto"/>
        </w:rPr>
      </w:pPr>
    </w:p>
    <w:p>
      <w:pPr>
        <w:ind w:left="740" w:hanging="373"/>
        <w:spacing w:after="0"/>
        <w:tabs>
          <w:tab w:leader="none" w:pos="740" w:val="left"/>
        </w:tabs>
        <w:numPr>
          <w:ilvl w:val="0"/>
          <w:numId w:val="64"/>
        </w:numPr>
        <w:rPr>
          <w:rFonts w:ascii="Arial" w:cs="Arial" w:eastAsia="Arial" w:hAnsi="Arial"/>
          <w:sz w:val="21"/>
          <w:szCs w:val="21"/>
          <w:color w:val="auto"/>
        </w:rPr>
      </w:pPr>
      <w:r>
        <w:rPr>
          <w:rFonts w:ascii="Arial" w:cs="Arial" w:eastAsia="Arial" w:hAnsi="Arial"/>
          <w:sz w:val="21"/>
          <w:szCs w:val="21"/>
          <w:color w:val="auto"/>
        </w:rPr>
        <w:t>Johns Hopkins - Vail retina meeting</w:t>
      </w:r>
    </w:p>
    <w:p>
      <w:pPr>
        <w:spacing w:after="0" w:line="2" w:lineRule="exact"/>
        <w:rPr>
          <w:sz w:val="20"/>
          <w:szCs w:val="20"/>
          <w:color w:val="auto"/>
        </w:rPr>
      </w:pPr>
    </w:p>
    <w:p>
      <w:pPr>
        <w:ind w:left="740" w:firstLine="66"/>
        <w:spacing w:after="0" w:line="241" w:lineRule="auto"/>
        <w:rPr>
          <w:sz w:val="20"/>
          <w:szCs w:val="20"/>
          <w:color w:val="auto"/>
        </w:rPr>
      </w:pPr>
      <w:r>
        <w:rPr>
          <w:rFonts w:ascii="Arial" w:cs="Arial" w:eastAsia="Arial" w:hAnsi="Arial"/>
          <w:sz w:val="21"/>
          <w:szCs w:val="21"/>
          <w:color w:val="auto"/>
        </w:rPr>
        <w:t>"Faricimab and High-Dose Aflibercept: Newest Anti-VEGF Agents on the Block, "Port Delivery Systems for Retinal Diseases</w:t>
      </w:r>
    </w:p>
    <w:p>
      <w:pPr>
        <w:spacing w:after="0" w:line="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1"/>
          <w:szCs w:val="21"/>
          <w:color w:val="auto"/>
        </w:rPr>
        <w:t>7.</w:t>
      </w:r>
      <w:r>
        <w:rPr>
          <w:sz w:val="20"/>
          <w:szCs w:val="20"/>
          <w:color w:val="auto"/>
        </w:rPr>
        <w:tab/>
      </w:r>
      <w:r>
        <w:rPr>
          <w:rFonts w:ascii="Arial" w:cs="Arial" w:eastAsia="Arial" w:hAnsi="Arial"/>
          <w:sz w:val="20"/>
          <w:szCs w:val="20"/>
          <w:color w:val="auto"/>
        </w:rPr>
        <w:t>Wade Hanson meeting (Boston February 23, 2023) – Complement in GA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Consulting Engagements</w:t>
      </w:r>
    </w:p>
    <w:p>
      <w:pPr>
        <w:spacing w:after="0" w:line="200" w:lineRule="exact"/>
        <w:rPr>
          <w:sz w:val="20"/>
          <w:szCs w:val="20"/>
          <w:color w:val="auto"/>
        </w:rPr>
      </w:pPr>
    </w:p>
    <w:p>
      <w:pPr>
        <w:spacing w:after="0" w:line="288" w:lineRule="exact"/>
        <w:rPr>
          <w:sz w:val="20"/>
          <w:szCs w:val="20"/>
          <w:color w:val="auto"/>
        </w:rPr>
      </w:pPr>
    </w:p>
    <w:p>
      <w:pPr>
        <w:ind w:left="740" w:hanging="373"/>
        <w:spacing w:after="0"/>
        <w:tabs>
          <w:tab w:leader="none" w:pos="740" w:val="left"/>
        </w:tabs>
        <w:numPr>
          <w:ilvl w:val="0"/>
          <w:numId w:val="65"/>
        </w:numPr>
        <w:rPr>
          <w:rFonts w:ascii="Arial" w:cs="Arial" w:eastAsia="Arial" w:hAnsi="Arial"/>
          <w:sz w:val="21"/>
          <w:szCs w:val="21"/>
          <w:color w:val="auto"/>
        </w:rPr>
      </w:pPr>
      <w:r>
        <w:rPr>
          <w:rFonts w:ascii="Arial" w:cs="Arial" w:eastAsia="Arial" w:hAnsi="Arial"/>
          <w:sz w:val="21"/>
          <w:szCs w:val="21"/>
          <w:b w:val="1"/>
          <w:bCs w:val="1"/>
          <w:color w:val="auto"/>
        </w:rPr>
        <w:t xml:space="preserve">CROs </w:t>
      </w:r>
      <w:r>
        <w:rPr>
          <w:rFonts w:ascii="Arial" w:cs="Arial" w:eastAsia="Arial" w:hAnsi="Arial"/>
          <w:sz w:val="21"/>
          <w:szCs w:val="21"/>
          <w:color w:val="auto"/>
        </w:rPr>
        <w:t>– Ora, Infocus</w:t>
      </w:r>
    </w:p>
    <w:p>
      <w:pPr>
        <w:spacing w:after="0" w:line="21" w:lineRule="exact"/>
        <w:rPr>
          <w:rFonts w:ascii="Arial" w:cs="Arial" w:eastAsia="Arial" w:hAnsi="Arial"/>
          <w:sz w:val="21"/>
          <w:szCs w:val="21"/>
          <w:color w:val="auto"/>
        </w:rPr>
      </w:pPr>
    </w:p>
    <w:p>
      <w:pPr>
        <w:ind w:left="740" w:hanging="373"/>
        <w:spacing w:after="0"/>
        <w:tabs>
          <w:tab w:leader="none" w:pos="740" w:val="left"/>
        </w:tabs>
        <w:numPr>
          <w:ilvl w:val="0"/>
          <w:numId w:val="65"/>
        </w:numPr>
        <w:rPr>
          <w:rFonts w:ascii="Arial" w:cs="Arial" w:eastAsia="Arial" w:hAnsi="Arial"/>
          <w:sz w:val="21"/>
          <w:szCs w:val="21"/>
          <w:color w:val="auto"/>
        </w:rPr>
      </w:pPr>
      <w:r>
        <w:rPr>
          <w:rFonts w:ascii="Arial" w:cs="Arial" w:eastAsia="Arial" w:hAnsi="Arial"/>
          <w:sz w:val="21"/>
          <w:szCs w:val="21"/>
          <w:b w:val="1"/>
          <w:bCs w:val="1"/>
          <w:color w:val="auto"/>
        </w:rPr>
        <w:t xml:space="preserve">Data safety monitoring </w:t>
      </w:r>
      <w:r>
        <w:rPr>
          <w:rFonts w:ascii="Arial" w:cs="Arial" w:eastAsia="Arial" w:hAnsi="Arial"/>
          <w:sz w:val="21"/>
          <w:szCs w:val="21"/>
          <w:color w:val="auto"/>
        </w:rPr>
        <w:t>– Regenexbio</w:t>
      </w:r>
    </w:p>
    <w:p>
      <w:pPr>
        <w:spacing w:after="0" w:line="1" w:lineRule="exact"/>
        <w:rPr>
          <w:rFonts w:ascii="Arial" w:cs="Arial" w:eastAsia="Arial" w:hAnsi="Arial"/>
          <w:sz w:val="21"/>
          <w:szCs w:val="21"/>
          <w:color w:val="auto"/>
        </w:rPr>
      </w:pPr>
    </w:p>
    <w:p>
      <w:pPr>
        <w:ind w:left="740" w:hanging="373"/>
        <w:spacing w:after="0"/>
        <w:tabs>
          <w:tab w:leader="none" w:pos="740" w:val="left"/>
        </w:tabs>
        <w:numPr>
          <w:ilvl w:val="0"/>
          <w:numId w:val="65"/>
        </w:numPr>
        <w:rPr>
          <w:rFonts w:ascii="Arial" w:cs="Arial" w:eastAsia="Arial" w:hAnsi="Arial"/>
          <w:sz w:val="21"/>
          <w:szCs w:val="21"/>
          <w:color w:val="auto"/>
        </w:rPr>
      </w:pPr>
      <w:r>
        <w:rPr>
          <w:rFonts w:ascii="Arial" w:cs="Arial" w:eastAsia="Arial" w:hAnsi="Arial"/>
          <w:sz w:val="21"/>
          <w:szCs w:val="21"/>
          <w:b w:val="1"/>
          <w:bCs w:val="1"/>
          <w:color w:val="auto"/>
        </w:rPr>
        <w:t>Consulting</w:t>
      </w:r>
    </w:p>
    <w:p>
      <w:pPr>
        <w:spacing w:after="0" w:line="1" w:lineRule="exact"/>
        <w:rPr>
          <w:rFonts w:ascii="Arial" w:cs="Arial" w:eastAsia="Arial" w:hAnsi="Arial"/>
          <w:sz w:val="21"/>
          <w:szCs w:val="21"/>
          <w:color w:val="auto"/>
        </w:rPr>
      </w:pPr>
    </w:p>
    <w:p>
      <w:pPr>
        <w:ind w:left="740"/>
        <w:spacing w:after="0"/>
        <w:rPr>
          <w:rFonts w:ascii="Arial" w:cs="Arial" w:eastAsia="Arial" w:hAnsi="Arial"/>
          <w:sz w:val="21"/>
          <w:szCs w:val="21"/>
          <w:color w:val="auto"/>
        </w:rPr>
      </w:pPr>
      <w:r>
        <w:rPr>
          <w:rFonts w:ascii="Arial" w:cs="Arial" w:eastAsia="Arial" w:hAnsi="Arial"/>
          <w:sz w:val="21"/>
          <w:szCs w:val="21"/>
          <w:b w:val="1"/>
          <w:bCs w:val="1"/>
          <w:color w:val="auto"/>
        </w:rPr>
        <w:t xml:space="preserve">Surgical </w:t>
      </w:r>
      <w:r>
        <w:rPr>
          <w:rFonts w:ascii="Arial" w:cs="Arial" w:eastAsia="Arial" w:hAnsi="Arial"/>
          <w:sz w:val="21"/>
          <w:szCs w:val="21"/>
          <w:color w:val="auto"/>
        </w:rPr>
        <w:t>– Alcon, DORC, Zeiss, B and L, I Luemns</w:t>
      </w:r>
    </w:p>
    <w:p>
      <w:pPr>
        <w:spacing w:after="0" w:line="1" w:lineRule="exact"/>
        <w:rPr>
          <w:rFonts w:ascii="Arial" w:cs="Arial" w:eastAsia="Arial" w:hAnsi="Arial"/>
          <w:sz w:val="21"/>
          <w:szCs w:val="21"/>
          <w:color w:val="auto"/>
        </w:rPr>
      </w:pPr>
    </w:p>
    <w:p>
      <w:pPr>
        <w:ind w:left="740"/>
        <w:spacing w:after="0"/>
        <w:rPr>
          <w:rFonts w:ascii="Arial" w:cs="Arial" w:eastAsia="Arial" w:hAnsi="Arial"/>
          <w:sz w:val="21"/>
          <w:szCs w:val="21"/>
          <w:color w:val="auto"/>
        </w:rPr>
      </w:pPr>
      <w:r>
        <w:rPr>
          <w:rFonts w:ascii="Arial" w:cs="Arial" w:eastAsia="Arial" w:hAnsi="Arial"/>
          <w:sz w:val="21"/>
          <w:szCs w:val="21"/>
          <w:b w:val="1"/>
          <w:bCs w:val="1"/>
          <w:color w:val="auto"/>
        </w:rPr>
        <w:t xml:space="preserve">Consultant – </w:t>
      </w:r>
      <w:r>
        <w:rPr>
          <w:rFonts w:ascii="Arial" w:cs="Arial" w:eastAsia="Arial" w:hAnsi="Arial"/>
          <w:sz w:val="21"/>
          <w:szCs w:val="21"/>
          <w:color w:val="auto"/>
        </w:rPr>
        <w:t>Roche/Genentech, Regeneron, Apellis, Eyepoint, Ocuphire, Ocuterra, Opthea, Allergan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604520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500" w:top="1440" w:right="859" w:bottom="1440" w:gutter="0" w:footer="0" w:header="0"/>
        </w:sectPr>
      </w:pPr>
    </w:p>
    <w:bookmarkStart w:id="156" w:name="page157"/>
    <w:bookmarkEnd w:id="156"/>
    <w:p>
      <w:pPr>
        <w:jc w:val="center"/>
        <w:ind w:left="360" w:right="38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SIXTH STREET LENDING PARTNERS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2100 McKinney Avenue, Suite 1500</w:t>
      </w:r>
    </w:p>
    <w:p>
      <w:pPr>
        <w:jc w:val="center"/>
        <w:ind w:right="-19"/>
        <w:spacing w:after="0"/>
        <w:rPr>
          <w:sz w:val="20"/>
          <w:szCs w:val="20"/>
          <w:color w:val="auto"/>
        </w:rPr>
      </w:pPr>
      <w:r>
        <w:rPr>
          <w:rFonts w:ascii="Times New Roman" w:cs="Times New Roman" w:eastAsia="Times New Roman" w:hAnsi="Times New Roman"/>
          <w:sz w:val="22"/>
          <w:szCs w:val="22"/>
          <w:color w:val="auto"/>
        </w:rPr>
        <w:t>Dallas, Texas 75201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PERSONAL AND CONFIDENTIAL</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June 30,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Apellis Pharmaceuticals,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5th Avenue</w:t>
      </w:r>
    </w:p>
    <w:p>
      <w:pPr>
        <w:spacing w:after="0"/>
        <w:rPr>
          <w:sz w:val="20"/>
          <w:szCs w:val="20"/>
          <w:color w:val="auto"/>
        </w:rPr>
      </w:pPr>
      <w:r>
        <w:rPr>
          <w:rFonts w:ascii="Times New Roman" w:cs="Times New Roman" w:eastAsia="Times New Roman" w:hAnsi="Times New Roman"/>
          <w:sz w:val="20"/>
          <w:szCs w:val="20"/>
          <w:color w:val="auto"/>
        </w:rPr>
        <w:t>Waltham, MA 02451</w:t>
      </w:r>
    </w:p>
    <w:p>
      <w:pPr>
        <w:spacing w:after="0"/>
        <w:rPr>
          <w:sz w:val="20"/>
          <w:szCs w:val="20"/>
          <w:color w:val="auto"/>
        </w:rPr>
      </w:pPr>
      <w:r>
        <w:rPr>
          <w:rFonts w:ascii="Times New Roman" w:cs="Times New Roman" w:eastAsia="Times New Roman" w:hAnsi="Times New Roman"/>
          <w:sz w:val="20"/>
          <w:szCs w:val="20"/>
          <w:color w:val="auto"/>
        </w:rPr>
        <w:t>Timothy Sullivan, Chief Financial Officer</w:t>
      </w:r>
    </w:p>
    <w:p>
      <w:pPr>
        <w:spacing w:after="0"/>
        <w:rPr>
          <w:sz w:val="20"/>
          <w:szCs w:val="20"/>
          <w:color w:val="auto"/>
        </w:rPr>
      </w:pPr>
      <w:r>
        <w:rPr>
          <w:rFonts w:ascii="Times New Roman" w:cs="Times New Roman" w:eastAsia="Times New Roman" w:hAnsi="Times New Roman"/>
          <w:sz w:val="20"/>
          <w:szCs w:val="20"/>
          <w:color w:val="auto"/>
        </w:rPr>
        <w:t>Mark DeLong, Chief Business &amp; Strategy Officer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Amended and Restated Fee Letter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Ladies and Gentlemen:</w:t>
      </w:r>
    </w:p>
    <w:p>
      <w:pPr>
        <w:spacing w:after="0" w:line="206" w:lineRule="exact"/>
        <w:rPr>
          <w:sz w:val="20"/>
          <w:szCs w:val="20"/>
          <w:color w:val="auto"/>
        </w:rPr>
      </w:pPr>
    </w:p>
    <w:p>
      <w:pPr>
        <w:ind w:right="60" w:firstLine="1497"/>
        <w:spacing w:after="0" w:line="235" w:lineRule="auto"/>
        <w:rPr>
          <w:sz w:val="20"/>
          <w:szCs w:val="20"/>
          <w:color w:val="auto"/>
        </w:rPr>
      </w:pPr>
      <w:r>
        <w:rPr>
          <w:rFonts w:ascii="Times New Roman" w:cs="Times New Roman" w:eastAsia="Times New Roman" w:hAnsi="Times New Roman"/>
          <w:sz w:val="22"/>
          <w:szCs w:val="22"/>
          <w:color w:val="auto"/>
        </w:rPr>
        <w:t>Reference is hereby made to (a) the Financing Agreement, dated as of May 13, 2024 (as amended, restated, replaced, supplemented or otherwise modified from time to time, the "</w:t>
      </w:r>
      <w:r>
        <w:rPr>
          <w:rFonts w:ascii="Times New Roman" w:cs="Times New Roman" w:eastAsia="Times New Roman" w:hAnsi="Times New Roman"/>
          <w:sz w:val="22"/>
          <w:szCs w:val="22"/>
          <w:u w:val="single" w:color="auto"/>
          <w:color w:val="auto"/>
        </w:rPr>
        <w:t>Financing Agreement</w:t>
      </w:r>
      <w:r>
        <w:rPr>
          <w:rFonts w:ascii="Times New Roman" w:cs="Times New Roman" w:eastAsia="Times New Roman" w:hAnsi="Times New Roman"/>
          <w:sz w:val="22"/>
          <w:szCs w:val="22"/>
          <w:color w:val="auto"/>
        </w:rPr>
        <w:t>"; terms not otherwise defined herein shall have the meaning set forth in the Financing Agreement or the Consent (as defined below), as applicable) by and among APELLIS PHARMACEUTICALS, INC., a Delaware corporation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certain Subsidiaries of Borrower, as Guarantors, the lenders from time to time party thereto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SIXTH STREET LENDING PARTNERS ("</w:t>
      </w:r>
      <w:r>
        <w:rPr>
          <w:rFonts w:ascii="Times New Roman" w:cs="Times New Roman" w:eastAsia="Times New Roman" w:hAnsi="Times New Roman"/>
          <w:sz w:val="22"/>
          <w:szCs w:val="22"/>
          <w:u w:val="single" w:color="auto"/>
          <w:color w:val="auto"/>
        </w:rPr>
        <w:t>SSLP</w:t>
      </w:r>
      <w:r>
        <w:rPr>
          <w:rFonts w:ascii="Times New Roman" w:cs="Times New Roman" w:eastAsia="Times New Roman" w:hAnsi="Times New Roman"/>
          <w:sz w:val="22"/>
          <w:szCs w:val="22"/>
          <w:color w:val="auto"/>
        </w:rPr>
        <w:t>"), as administrative agent for the Lenders (in such capacity,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(b) the Consent No. 1 to the Financing Agreement, dated as of the date hereof (the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by and among Borrower, the other Loan Parties party thereto, the Lenders party thereto and Administrative Agent.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Borrower and Administrative Agent hereby agree to the following:</w:t>
      </w:r>
    </w:p>
    <w:p>
      <w:pPr>
        <w:spacing w:after="0" w:line="206" w:lineRule="exact"/>
        <w:rPr>
          <w:sz w:val="20"/>
          <w:szCs w:val="20"/>
          <w:color w:val="auto"/>
        </w:rPr>
      </w:pPr>
    </w:p>
    <w:p>
      <w:pPr>
        <w:jc w:val="both"/>
        <w:ind w:firstLine="1505"/>
        <w:spacing w:after="0" w:line="238"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agrees to pay to Administrative Agent, solely for its own account, an administration fee (the “</w:t>
      </w:r>
      <w:r>
        <w:rPr>
          <w:rFonts w:ascii="Times New Roman" w:cs="Times New Roman" w:eastAsia="Times New Roman" w:hAnsi="Times New Roman"/>
          <w:sz w:val="22"/>
          <w:szCs w:val="22"/>
          <w:u w:val="single" w:color="auto"/>
          <w:color w:val="auto"/>
        </w:rPr>
        <w:t>Administration Fee</w:t>
      </w:r>
      <w:r>
        <w:rPr>
          <w:rFonts w:ascii="Times New Roman" w:cs="Times New Roman" w:eastAsia="Times New Roman" w:hAnsi="Times New Roman"/>
          <w:sz w:val="22"/>
          <w:szCs w:val="22"/>
          <w:color w:val="auto"/>
        </w:rPr>
        <w:t>”) in an amount per year equal to $[**] payable annually in advance on the Closing Date, and on each anniversary of the Closing Date thereafter, until payment in full of the Obligations (other than any contingent obligations or liabilities thereunder that by the express terms thereof survive such payment in full of all Obligations) under the Financing Agreement, or otherwise as agreed by Borrower and Administrative Agent.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consideration for the services, agreements and undertakings of each Lender that is Sixth Street Lending Partners, Sixth Street Specialty Lending, Inc. and TAO Talents, LLC (each a “</w:t>
      </w:r>
      <w:r>
        <w:rPr>
          <w:rFonts w:ascii="Times New Roman" w:cs="Times New Roman" w:eastAsia="Times New Roman" w:hAnsi="Times New Roman"/>
          <w:sz w:val="22"/>
          <w:szCs w:val="22"/>
          <w:u w:val="single" w:color="auto"/>
          <w:color w:val="auto"/>
        </w:rPr>
        <w:t>Sixth Street 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Street Lenders</w:t>
      </w:r>
      <w:r>
        <w:rPr>
          <w:rFonts w:ascii="Times New Roman" w:cs="Times New Roman" w:eastAsia="Times New Roman" w:hAnsi="Times New Roman"/>
          <w:sz w:val="22"/>
          <w:szCs w:val="22"/>
          <w:color w:val="auto"/>
        </w:rPr>
        <w:t>”) under the Financing Agreement, Borrower agrees to pay (or cause to be paid) to Administrative Agent, for the account of each Sixth Street Lender, on the Closing Date, a fee equal to (x) [**]% of the aggregate principal amount of Initial Term Loans of each such Sixth Street Lender that is actually funded under the Financing Agreement on the Closing Date (the “</w:t>
      </w:r>
      <w:r>
        <w:rPr>
          <w:rFonts w:ascii="Times New Roman" w:cs="Times New Roman" w:eastAsia="Times New Roman" w:hAnsi="Times New Roman"/>
          <w:sz w:val="22"/>
          <w:szCs w:val="22"/>
          <w:u w:val="single" w:color="auto"/>
          <w:color w:val="auto"/>
        </w:rPr>
        <w:t>Initial Term Loan Arrangement Fee</w:t>
      </w:r>
      <w:r>
        <w:rPr>
          <w:rFonts w:ascii="Times New Roman" w:cs="Times New Roman" w:eastAsia="Times New Roman" w:hAnsi="Times New Roman"/>
          <w:sz w:val="22"/>
          <w:szCs w:val="22"/>
          <w:color w:val="auto"/>
        </w:rPr>
        <w:t>”) and (y) [**]% of the aggregate principal amount of the Delayed Draw Term Loan Commitments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1141095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30, 2025</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such Sixth Street Lender as of the Closing Date (the “</w:t>
      </w:r>
      <w:r>
        <w:rPr>
          <w:rFonts w:ascii="Times New Roman" w:cs="Times New Roman" w:eastAsia="Times New Roman" w:hAnsi="Times New Roman"/>
          <w:sz w:val="21"/>
          <w:szCs w:val="21"/>
          <w:u w:val="single" w:color="auto"/>
          <w:color w:val="auto"/>
        </w:rPr>
        <w:t>Delayed Draw Arrangement Fee</w:t>
      </w:r>
      <w:r>
        <w:rPr>
          <w:rFonts w:ascii="Times New Roman" w:cs="Times New Roman" w:eastAsia="Times New Roman" w:hAnsi="Times New Roman"/>
          <w:sz w:val="21"/>
          <w:szCs w:val="21"/>
          <w:color w:val="auto"/>
        </w:rPr>
        <w:t>” and, together with the Initial Term Loan Arrangement Fee, the “</w:t>
      </w:r>
      <w:r>
        <w:rPr>
          <w:rFonts w:ascii="Times New Roman" w:cs="Times New Roman" w:eastAsia="Times New Roman" w:hAnsi="Times New Roman"/>
          <w:sz w:val="21"/>
          <w:szCs w:val="21"/>
          <w:u w:val="single" w:color="auto"/>
          <w:color w:val="auto"/>
        </w:rPr>
        <w:t>Arrangement Fee</w:t>
      </w:r>
      <w:r>
        <w:rPr>
          <w:rFonts w:ascii="Times New Roman" w:cs="Times New Roman" w:eastAsia="Times New Roman" w:hAnsi="Times New Roman"/>
          <w:sz w:val="21"/>
          <w:szCs w:val="21"/>
          <w:color w:val="auto"/>
        </w:rPr>
        <w:t>”). The Arrangement Fee shall be fully earned and shall be paid (and once paid shall be non-refundable) on the Closing Date. For the avoidance of doubt, the Arrangement Fee may, in each Sixth Street Lender’s sole discretion, be netted out of the proceeds of the Initial Term Loans funded on the Closing Date by such Sixth Street Lender.</w:t>
      </w:r>
    </w:p>
    <w:p>
      <w:pPr>
        <w:spacing w:after="0" w:line="162" w:lineRule="exact"/>
        <w:rPr>
          <w:sz w:val="20"/>
          <w:szCs w:val="20"/>
          <w:color w:val="auto"/>
        </w:rPr>
      </w:pPr>
    </w:p>
    <w:p>
      <w:pPr>
        <w:jc w:val="both"/>
        <w:ind w:firstLine="1505"/>
        <w:spacing w:after="0" w:line="236" w:lineRule="auto"/>
        <w:tabs>
          <w:tab w:leader="none" w:pos="192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agrees to pay (or cause to be paid) to Administrative Agent, for the account of each Sixth Street Lender on the Closing Date, an upfront fee in an amount equal to [**]% of the aggregate principal amount of the Initial Term Loans funded on the Closing Date by each such Sixth Street Lender (the “</w:t>
      </w:r>
      <w:r>
        <w:rPr>
          <w:rFonts w:ascii="Times New Roman" w:cs="Times New Roman" w:eastAsia="Times New Roman" w:hAnsi="Times New Roman"/>
          <w:sz w:val="22"/>
          <w:szCs w:val="22"/>
          <w:u w:val="single" w:color="auto"/>
          <w:color w:val="auto"/>
        </w:rPr>
        <w:t>Sixth Street Upfront Fee</w:t>
      </w:r>
      <w:r>
        <w:rPr>
          <w:rFonts w:ascii="Times New Roman" w:cs="Times New Roman" w:eastAsia="Times New Roman" w:hAnsi="Times New Roman"/>
          <w:sz w:val="22"/>
          <w:szCs w:val="22"/>
          <w:color w:val="auto"/>
        </w:rPr>
        <w:t>”), which is fully earned and due and payable to Administrative Agent, for the account of each such Sixth Street Lender, on the Closing Date. For the avoidance of doubt, the Sixth Street Upfront Fee may, in each Sixth Street Lender’s sole discretion, be netted out of the proceeds of the Initial Term Loans funded on the Closing Date by such Sixth Street Lender.</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agrees to pay (or cause to be paid) to Administrative Agent, for the account of each Sixth Street Lender making Delayed Draw Term Loans, as of the funding date of the Delayed Draw Term Loan, a funding fee (the “</w:t>
      </w:r>
      <w:r>
        <w:rPr>
          <w:rFonts w:ascii="Times New Roman" w:cs="Times New Roman" w:eastAsia="Times New Roman" w:hAnsi="Times New Roman"/>
          <w:sz w:val="22"/>
          <w:szCs w:val="22"/>
          <w:u w:val="single" w:color="auto"/>
          <w:color w:val="auto"/>
        </w:rPr>
        <w:t>Delayed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Draw Upfront Fee</w:t>
      </w:r>
      <w:r>
        <w:rPr>
          <w:rFonts w:ascii="Times New Roman" w:cs="Times New Roman" w:eastAsia="Times New Roman" w:hAnsi="Times New Roman"/>
          <w:sz w:val="22"/>
          <w:szCs w:val="22"/>
          <w:color w:val="auto"/>
        </w:rPr>
        <w:t>”) equal to [**]% of the aggregate principal amount of the Delayed Draw Term Loan actually funded on such date, which shall be divided among such Sixth Street Lenders based on their pro rata share of the amount of the Delayed Draw Term Loan actually funded on such date, which will be fully earned and due and payable to such Sixth Street Lenders on, and subject to the occurrence of, the funding date of Delayed Draw Term Loan.</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agrees to pay (or cause to be paid) to the Administrative Agent, for the account of each Lender holding Delayed Draw Term Loan Commitments, a commitment fee (the “</w:t>
      </w:r>
      <w:r>
        <w:rPr>
          <w:rFonts w:ascii="Times New Roman" w:cs="Times New Roman" w:eastAsia="Times New Roman" w:hAnsi="Times New Roman"/>
          <w:sz w:val="22"/>
          <w:szCs w:val="22"/>
          <w:u w:val="single" w:color="auto"/>
          <w:color w:val="auto"/>
        </w:rPr>
        <w:t>Delayed Draw Commitment Fee</w:t>
      </w:r>
      <w:r>
        <w:rPr>
          <w:rFonts w:ascii="Times New Roman" w:cs="Times New Roman" w:eastAsia="Times New Roman" w:hAnsi="Times New Roman"/>
          <w:sz w:val="22"/>
          <w:szCs w:val="22"/>
          <w:color w:val="auto"/>
        </w:rPr>
        <w:t>”) at a rate per annum equal to [**]% on the average daily undrawn portion of the Delayed Draw Term Loan Commitment, payable monthly in arrears on the last Business Day of each fiscal month of Borrower, calculated based upon the actual number of days elapsed for the period from and including the Closing Date to but not including the Delayed Draw Commitment Termination Date. The Delayed Draw Commitment Fee shall be distributed to such Lenders pro rata in accordance with the amount of each such Lender’s Delayed Draw Term Loan Commitment as of such date.</w:t>
      </w:r>
    </w:p>
    <w:p>
      <w:pPr>
        <w:spacing w:after="0" w:line="183" w:lineRule="exact"/>
        <w:rPr>
          <w:rFonts w:ascii="Times New Roman" w:cs="Times New Roman" w:eastAsia="Times New Roman" w:hAnsi="Times New Roman"/>
          <w:sz w:val="22"/>
          <w:szCs w:val="22"/>
          <w:color w:val="auto"/>
        </w:rPr>
      </w:pPr>
    </w:p>
    <w:p>
      <w:pPr>
        <w:ind w:firstLine="1505"/>
        <w:spacing w:after="0" w:line="235" w:lineRule="auto"/>
        <w:tabs>
          <w:tab w:leader="none" w:pos="192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or prior to the twelve (12) month anniversary of (i) with respect to the Initial Term Loan, the Consent Effective Date (as defined in the Consent) and (ii) with respect to the Delayed Draw Term Loan, the funding date of the Delayed Draw Term Loan (each of the foregoing clauses (i) and (ii), as applicable, a “</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Borrower pays (or is deemed to pay in the case of an acceleration of the Loans), for any reason (including, but not limited to, any optional or mandatory payment after the occurrence of an Event of Default or after acceleration of the Term Loans including in connection with the commencement of any Insolvency Proceeding or other proceeding pursuant to any Debtor Relief Laws), all or any part of the principal balance of any Term Loan, Borrower shall pay to Administrative Agent, for the ratable benefit of all Lenders entitled to a portion of such prepayment, an amount (the "</w:t>
      </w:r>
      <w:r>
        <w:rPr>
          <w:rFonts w:ascii="Times New Roman" w:cs="Times New Roman" w:eastAsia="Times New Roman" w:hAnsi="Times New Roman"/>
          <w:sz w:val="22"/>
          <w:szCs w:val="22"/>
          <w:u w:val="single" w:color="auto"/>
          <w:color w:val="auto"/>
        </w:rPr>
        <w:t>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30, 2025</w:t>
      </w: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u w:val="single" w:color="auto"/>
          <w:color w:val="auto"/>
        </w:rPr>
        <w:t>Maintenance Premium</w:t>
      </w:r>
      <w:r>
        <w:rPr>
          <w:rFonts w:ascii="Times New Roman" w:cs="Times New Roman" w:eastAsia="Times New Roman" w:hAnsi="Times New Roman"/>
          <w:sz w:val="22"/>
          <w:szCs w:val="22"/>
          <w:color w:val="auto"/>
        </w:rPr>
        <w:t xml:space="preserve">") equal to (A) the aggregate amount of interest (calculated, in the case of all SOFR Loans, using Term SOFR for an Interest Period of three months) (including, without limitation, interest payable in cash, in kind or deferred) which would have otherwise been payable on the amount of the principal prepayment from the date of prepayment (or deemed prepayment in the case of an acceleration of the Loans) until the twelve (12) month anniversary of the applicable Funding Date discounted at the Treasury Rate plus [**]%,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an amount equal to the Prepayment Premium that would otherwise be payable as if such prepayment (or deemed prepayment in the case of an acceleration of the Loans) had occurred on the day after the twelve (12) month anniversary of the applicable Funding Date. Notwithstanding the foregoing, to the extent the Yield Maintenance Premium becomes due and payable as a result of the occurrence of an Event of Default or acceleration of the Loans (including in connection with the commencement of any Insolvency Proceeding or other proceeding pursuant to any Debtor Relief Laws), the interest rate to be used in calculating the Yield Maintenance Premium pursuant to clause (A) of the preceding sentence shall be the interest rate applicable to Base Rate Loans plus [**]% per annum for the period from the occurrence of such Event of Default or acceleration (including in connection with the commencement of any Insolvency Proceeding or other proceeding pursuant to any Debtor Relief Laws) until the twelve (12) month anniversary of the applicable Funding Date. The term "</w:t>
      </w:r>
      <w:r>
        <w:rPr>
          <w:rFonts w:ascii="Times New Roman" w:cs="Times New Roman" w:eastAsia="Times New Roman" w:hAnsi="Times New Roman"/>
          <w:sz w:val="22"/>
          <w:szCs w:val="22"/>
          <w:u w:val="single" w:color="auto"/>
          <w:color w:val="auto"/>
        </w:rPr>
        <w:t>Treasury Rate</w:t>
      </w:r>
      <w:r>
        <w:rPr>
          <w:rFonts w:ascii="Times New Roman" w:cs="Times New Roman" w:eastAsia="Times New Roman" w:hAnsi="Times New Roman"/>
          <w:sz w:val="22"/>
          <w:szCs w:val="22"/>
          <w:color w:val="auto"/>
        </w:rPr>
        <w:t>" shall mean, as of any date of determination, a rate per annum (computed on the basis of actual days elapsed over a year of 360 days) equal to the rate determined by the Administrative Agent on the date [**] prior to the date of prepayment, to be the yield expressed as a rate listed in The Wall Street Journal (or, if such rate is not available in The Wall Street Journal, such other recognized data source as selected by the Administrative Agent in its sole discretion) for United States Treasury securities having a term of no greater than the period for the remaining months until the twelve (12) month anniversary of the applicable Funding Date. Nothing contained in this Section 6 shall permit any voluntary prepayment not otherwise permitted by the terms of the Financing Agreement.</w:t>
      </w:r>
    </w:p>
    <w:p>
      <w:pPr>
        <w:spacing w:after="0" w:line="185" w:lineRule="exact"/>
        <w:rPr>
          <w:sz w:val="20"/>
          <w:szCs w:val="20"/>
          <w:color w:val="auto"/>
        </w:rPr>
      </w:pPr>
    </w:p>
    <w:p>
      <w:pPr>
        <w:jc w:val="both"/>
        <w:ind w:firstLine="1505"/>
        <w:spacing w:after="0" w:line="234" w:lineRule="auto"/>
        <w:tabs>
          <w:tab w:leader="none" w:pos="192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pays (or is deemed to pay in the case of an acceleration of the Loans), for any reason (including, but not limited to, any optional or mandatory payment after the occurrence of an Event of Default or after acceleration of the Loans including in connection with the commencement of any Insolvency Proceeding or other proceeding pursuant to any Debtor Relief Laws), all or any part of the principal balance of any Term Loan during the period commencing with the date immediately following the 12 month anniversary of the applicable Funding Date and ending on the 36 month anniversary of the applicable Funding Date (inclusive of such date), in addition to the Yield Maintenance Premium set forth above (if any), Borrower shall pay to Administrative Agent, for the ratable benefit of all Lenders entitled to a portion of such prepayment a prepayment premium (the "</w:t>
      </w:r>
      <w:r>
        <w:rPr>
          <w:rFonts w:ascii="Times New Roman" w:cs="Times New Roman" w:eastAsia="Times New Roman" w:hAnsi="Times New Roman"/>
          <w:sz w:val="22"/>
          <w:szCs w:val="22"/>
          <w:u w:val="single" w:color="auto"/>
          <w:color w:val="auto"/>
        </w:rPr>
        <w:t>Prepayment Premium</w:t>
      </w:r>
      <w:r>
        <w:rPr>
          <w:rFonts w:ascii="Times New Roman" w:cs="Times New Roman" w:eastAsia="Times New Roman" w:hAnsi="Times New Roman"/>
          <w:sz w:val="22"/>
          <w:szCs w:val="22"/>
          <w:color w:val="auto"/>
        </w:rPr>
        <w:t>") on the amount so prepaid (or deemed prepaid in the case of an acceleration of the Loans)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1175385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30, 2025</w:t>
      </w: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49" w:lineRule="exact"/>
        <w:rPr>
          <w:sz w:val="20"/>
          <w:szCs w:val="20"/>
          <w:color w:val="auto"/>
        </w:rPr>
      </w:pPr>
    </w:p>
    <w:tbl>
      <w:tblPr>
        <w:tblLayout w:type="fixed"/>
        <w:tblInd w:w="1620" w:type="dxa"/>
        <w:tblCellMar>
          <w:top w:w="0" w:type="dxa"/>
          <w:left w:w="0" w:type="dxa"/>
          <w:bottom w:w="0" w:type="dxa"/>
          <w:right w:w="0" w:type="dxa"/>
        </w:tblCellMar>
      </w:tblPr>
      <w:tr>
        <w:trPr>
          <w:trHeight w:val="253"/>
        </w:trPr>
        <w:tc>
          <w:tcPr>
            <w:tcW w:w="44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Relevant period (number of calendar months</w:t>
            </w:r>
          </w:p>
        </w:tc>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Prepayment   Premium   as   a</w:t>
            </w:r>
          </w:p>
        </w:tc>
      </w:tr>
      <w:tr>
        <w:trPr>
          <w:trHeight w:val="243"/>
        </w:trPr>
        <w:tc>
          <w:tcPr>
            <w:tcW w:w="4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elapsed since the applicable Funding Date)</w:t>
            </w:r>
          </w:p>
        </w:tc>
        <w:tc>
          <w:tcPr>
            <w:tcW w:w="3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percentage  of  the  amount  so</w:t>
            </w:r>
          </w:p>
        </w:tc>
      </w:tr>
      <w:tr>
        <w:trPr>
          <w:trHeight w:val="286"/>
        </w:trPr>
        <w:tc>
          <w:tcPr>
            <w:tcW w:w="4420" w:type="dxa"/>
            <w:vAlign w:val="bottom"/>
          </w:tcPr>
          <w:p>
            <w:pPr>
              <w:spacing w:after="0"/>
              <w:rPr>
                <w:sz w:val="24"/>
                <w:szCs w:val="24"/>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prepaid</w:t>
            </w:r>
          </w:p>
        </w:tc>
      </w:tr>
      <w:tr>
        <w:trPr>
          <w:trHeight w:val="63"/>
        </w:trPr>
        <w:tc>
          <w:tcPr>
            <w:tcW w:w="44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r>
      <w:tr>
        <w:trPr>
          <w:trHeight w:val="270"/>
        </w:trPr>
        <w:tc>
          <w:tcPr>
            <w:tcW w:w="4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After the 12 month anniversary of the applicable</w:t>
            </w:r>
          </w:p>
        </w:tc>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4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Funding Date but on or prior to the 24 month</w:t>
            </w:r>
          </w:p>
        </w:tc>
        <w:tc>
          <w:tcPr>
            <w:tcW w:w="3320" w:type="dxa"/>
            <w:vAlign w:val="bottom"/>
          </w:tcPr>
          <w:p>
            <w:pPr>
              <w:spacing w:after="0"/>
              <w:rPr>
                <w:sz w:val="21"/>
                <w:szCs w:val="21"/>
                <w:color w:val="auto"/>
              </w:rPr>
            </w:pPr>
          </w:p>
        </w:tc>
      </w:tr>
      <w:tr>
        <w:trPr>
          <w:trHeight w:val="282"/>
        </w:trPr>
        <w:tc>
          <w:tcPr>
            <w:tcW w:w="4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anniversary of the applicable Funding Date</w:t>
            </w:r>
          </w:p>
        </w:tc>
        <w:tc>
          <w:tcPr>
            <w:tcW w:w="3320" w:type="dxa"/>
            <w:vAlign w:val="bottom"/>
          </w:tcPr>
          <w:p>
            <w:pPr>
              <w:spacing w:after="0"/>
              <w:rPr>
                <w:sz w:val="24"/>
                <w:szCs w:val="24"/>
                <w:color w:val="auto"/>
              </w:rPr>
            </w:pPr>
          </w:p>
        </w:tc>
      </w:tr>
      <w:tr>
        <w:trPr>
          <w:trHeight w:val="325"/>
        </w:trPr>
        <w:tc>
          <w:tcPr>
            <w:tcW w:w="4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After the 24 month anniversary of the applicable</w:t>
            </w:r>
          </w:p>
        </w:tc>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4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Funding Date but on or prior to the 36 month</w:t>
            </w:r>
          </w:p>
        </w:tc>
        <w:tc>
          <w:tcPr>
            <w:tcW w:w="3320" w:type="dxa"/>
            <w:vAlign w:val="bottom"/>
          </w:tcPr>
          <w:p>
            <w:pPr>
              <w:spacing w:after="0"/>
              <w:rPr>
                <w:sz w:val="21"/>
                <w:szCs w:val="21"/>
                <w:color w:val="auto"/>
              </w:rPr>
            </w:pPr>
          </w:p>
        </w:tc>
      </w:tr>
      <w:tr>
        <w:trPr>
          <w:trHeight w:val="282"/>
        </w:trPr>
        <w:tc>
          <w:tcPr>
            <w:tcW w:w="4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anniversary of the applicable Funding Date</w:t>
            </w:r>
          </w:p>
        </w:tc>
        <w:tc>
          <w:tcPr>
            <w:tcW w:w="3320" w:type="dxa"/>
            <w:vAlign w:val="bottom"/>
          </w:tcPr>
          <w:p>
            <w:pPr>
              <w:spacing w:after="0"/>
              <w:rPr>
                <w:sz w:val="24"/>
                <w:szCs w:val="24"/>
                <w:color w:val="auto"/>
              </w:rPr>
            </w:pPr>
          </w:p>
        </w:tc>
      </w:tr>
      <w:tr>
        <w:trPr>
          <w:trHeight w:val="325"/>
        </w:trPr>
        <w:tc>
          <w:tcPr>
            <w:tcW w:w="4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After the 36 month anniversary of the applicable</w:t>
            </w:r>
          </w:p>
        </w:tc>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4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Funding Date</w:t>
            </w:r>
          </w:p>
        </w:tc>
        <w:tc>
          <w:tcPr>
            <w:tcW w:w="3320" w:type="dxa"/>
            <w:vAlign w:val="bottom"/>
          </w:tcPr>
          <w:p>
            <w:pPr>
              <w:spacing w:after="0"/>
              <w:rPr>
                <w:sz w:val="24"/>
                <w:szCs w:val="24"/>
                <w:color w:val="auto"/>
              </w:rPr>
            </w:pPr>
          </w:p>
        </w:tc>
      </w:tr>
    </w:tbl>
    <w:p>
      <w:pPr>
        <w:spacing w:after="0" w:line="200" w:lineRule="exact"/>
        <w:rPr>
          <w:sz w:val="20"/>
          <w:szCs w:val="20"/>
          <w:color w:val="auto"/>
        </w:rPr>
      </w:pPr>
    </w:p>
    <w:p>
      <w:pPr>
        <w:spacing w:after="0" w:line="287" w:lineRule="exact"/>
        <w:rPr>
          <w:sz w:val="20"/>
          <w:szCs w:val="20"/>
          <w:color w:val="auto"/>
        </w:rPr>
      </w:pPr>
    </w:p>
    <w:p>
      <w:pPr>
        <w:ind w:firstLine="1505"/>
        <w:spacing w:after="0" w:line="232" w:lineRule="auto"/>
        <w:tabs>
          <w:tab w:leader="none" w:pos="192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it is understood and agreed that if the Obligations are accelerated for any reason, including because of default, the commencement of any Insolvency Proceeding or other proceeding pursuant to any Debtor Relief Laws, sale, disposition or encumbrance (including that by operation of law or otherwise), the Yield Maintenance Premium, if any, and the Prepayment Premium, if any, determined as of the date of acceleration will also be due and payable as though said Indebtedness was voluntarily prepaid as of such date and shall constitute part of the Obligations, in view of the impracticability and extreme difficulty of ascertaining actual damages and by mutual agreement of the parties as to a reasonable calculation of each Lender's lost profits as a result thereof. Any Yield Maintenance Premium and Prepayment Premium payable in accordance with the immediately preceding sentence shall be presumed to be the liquidated damages sustained by each Lender as the result of the early termination and Borrower agrees that it is reasonable under the circumstances currently existing. The Yield Maintenance Premium, if any, and Prepayment Premium, if any, shall also be payable (i) in the event the Obligations (and/or the Financing Agreement or the Notes evidencing the Obligations) are satisfied or released by foreclosure (whether by power of judicial proceeding or otherwise), deed in lieu of foreclosure or by any other means and/or (ii) upon the satisfaction, release, payment, restructuring, reorganization, replacement, reinstatement, defeasance or compromise of any of the Obligations (and/or the Financing Agreement or the Notes evidencing the Obligations) in any Insolvency Proceeding or other proceeding pursuant to any Debtor Relief Laws, foreclosure (whether by power of judicial proceeding or otherwise), deed in lieu of foreclosure or by any other means or the making of a distribution of any kind in any Insolvency Proceeding or other proceeding pursuant to any Debtor Relief Laws to the Administrative Agent, for the account of the Lenders, in full or partial satisfaction of the Obligations. BORROWER EXPRESSLY WAIVES THE PROVISIONS OF ANY PRESENT OR FUTURE STATUTE OR LAW THAT PROHIBITS OR MAY PROHIBIT THE COLLECTION OF THE FOREGOING YIELD MAINTENANCE PREMIUM AND PREPAYMENT PREMIUM IN CONNECTION WITH ANY SUCH ACCELERATION INCLUDING IN CONNECTION WITH ANY VOLUNTARY OR INVOLUNTARY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30, 2025</w:t>
      </w: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9"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1"/>
          <w:szCs w:val="21"/>
          <w:color w:val="auto"/>
        </w:rPr>
        <w:t>ACCELERATION OF THE OBLIGATIONS PURSUANT TO ANY INSOLVENCY PROCEEDING OR OTHER PROCEEDING PURSUANT TO ANY DEBTOR RELIEF LAWS OR PURSUANT TO A PLAN OF REORGANIZATION. Borrower expressly agrees that: (A) the Yield Maintenance Premium and Prepayment Premium are reasonable and are the product of an arm's length transaction between sophisticated business people, ably represented by counsel; (B) the Yield Maintenance Premium and Prepayment Premium shall be payable notwithstanding the then prevailing market rates at the time payment is made; (C) there has been a course of conduct between Lenders and Borrower giving specific consideration in this transaction for such agreement to pay the Yield Maintenance Premium and Prepayment Premium; and (D) Borrower shall be estopped hereafter from claiming differently than as agreed to in this paragraph. Borrower expressly acknowledges that its agreement to pay the Yield Maintenance Premium and Prepayment Premium to Lenders as herein described is a material inducement to Lenders to provide the Commitments and make the Loans and other extensions of credit.</w:t>
      </w:r>
    </w:p>
    <w:p>
      <w:pPr>
        <w:spacing w:after="0" w:line="171" w:lineRule="exact"/>
        <w:rPr>
          <w:sz w:val="20"/>
          <w:szCs w:val="20"/>
          <w:color w:val="auto"/>
        </w:rPr>
      </w:pPr>
    </w:p>
    <w:p>
      <w:pPr>
        <w:ind w:firstLine="1505"/>
        <w:spacing w:after="0" w:line="236"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further acknowledges and agrees that no fees will be paid to any other Lender in connection with the Financing Agreement and the other Loan Documents except as expressly set forth in the Loan Documents or as may otherwise be agreed in writing by SSLP. All fees payable hereunder shall be fully earned when due and non-refundable when paid and shall be in addition to any other fees, costs and expenses payable pursuant to the Financing Agreement or the other Loan Documents. SSLP reserves the right to allocate, in whole or in part, to any of its affiliates certain fees payable to SSLP hereunder in such manner as SSLP and such affiliates shall agree in their sole discretion.</w:t>
      </w:r>
    </w:p>
    <w:p>
      <w:pPr>
        <w:spacing w:after="0" w:line="181" w:lineRule="exact"/>
        <w:rPr>
          <w:rFonts w:ascii="Times New Roman" w:cs="Times New Roman" w:eastAsia="Times New Roman" w:hAnsi="Times New Roman"/>
          <w:sz w:val="22"/>
          <w:szCs w:val="22"/>
          <w:color w:val="auto"/>
        </w:rPr>
      </w:pPr>
    </w:p>
    <w:p>
      <w:pPr>
        <w:ind w:right="80" w:firstLine="1505"/>
        <w:spacing w:after="0" w:line="236"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Borrower's obligation to pay the foregoing fees will not be subject to counterclaim or setoff for, or be otherwise affected by, any claim or dispute Borrower may have. In addition, all such payments shall be made without deduction for any taxes, levies, imposts, duties, deductions, charges or withholdings imposed by any national, state or local taxing authority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or, if Borrower is compelled by applicable law to deduct or withhold such Taxes, such payments will be grossed up by Borrower for such amounts to the extent provided in the Financing Agreement (as if the payments had been made pursuant to the Financing Agreement).</w:t>
      </w:r>
    </w:p>
    <w:p>
      <w:pPr>
        <w:spacing w:after="0" w:line="181" w:lineRule="exact"/>
        <w:rPr>
          <w:rFonts w:ascii="Times New Roman" w:cs="Times New Roman" w:eastAsia="Times New Roman" w:hAnsi="Times New Roman"/>
          <w:sz w:val="22"/>
          <w:szCs w:val="22"/>
          <w:color w:val="auto"/>
        </w:rPr>
      </w:pPr>
    </w:p>
    <w:p>
      <w:pPr>
        <w:jc w:val="both"/>
        <w:ind w:right="80" w:firstLine="1505"/>
        <w:spacing w:after="0" w:line="239"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note that this Amended and Restated Fee Letter is exclusively for the information of the senior management of Borrower and may not be disclosed to any third party other than to Borrower's officers, directors, agents and advisors who are directly involved in the negotiation of the Loan Documents to the extent such persons agree to hold the same in confidence or circulated or referred to publicly, except to the extent expressly set forth in the Financing Agreement.</w:t>
      </w:r>
    </w:p>
    <w:p>
      <w:pPr>
        <w:spacing w:after="0" w:line="180" w:lineRule="exact"/>
        <w:rPr>
          <w:rFonts w:ascii="Times New Roman" w:cs="Times New Roman" w:eastAsia="Times New Roman" w:hAnsi="Times New Roman"/>
          <w:sz w:val="22"/>
          <w:szCs w:val="22"/>
          <w:color w:val="auto"/>
        </w:rPr>
      </w:pPr>
    </w:p>
    <w:p>
      <w:pPr>
        <w:ind w:right="20" w:firstLine="1505"/>
        <w:spacing w:after="0" w:line="238"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and Restated Fee Letter is the “Fee Letter” referred to in the Financing Agreement and shall be governed by and construed in accordance with the laws of the State of New York without regard to principles of conflicts of law. If this Amended and Restated Fee Letter becomes the subject of a dispute, each of the parties hereto hereby waives trial by jury. Borrower agrees that any suit or proceeding arising in respect to this Amended and Restated Fee Letter or any matter referred to in this Amended and Restated Fee Letter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30, 2025</w:t>
      </w: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tried exclusively in the U.S. District Court for the Southern District of New York or, if that court does not have subject matter jurisdiction, in any state court located in the City of New York and Borrower agrees to submit to the jurisdiction of, and to venue in, such courts.</w:t>
      </w:r>
    </w:p>
    <w:p>
      <w:pPr>
        <w:spacing w:after="0" w:line="173" w:lineRule="exact"/>
        <w:rPr>
          <w:sz w:val="20"/>
          <w:szCs w:val="20"/>
          <w:color w:val="auto"/>
        </w:rPr>
      </w:pPr>
    </w:p>
    <w:p>
      <w:pPr>
        <w:ind w:right="400" w:firstLine="1505"/>
        <w:spacing w:after="0" w:line="244"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amends and restates in its entirety the Fee Letter, dated as of May 13, 2024 (the “</w:t>
      </w:r>
      <w:r>
        <w:rPr>
          <w:rFonts w:ascii="Times New Roman" w:cs="Times New Roman" w:eastAsia="Times New Roman" w:hAnsi="Times New Roman"/>
          <w:sz w:val="22"/>
          <w:szCs w:val="22"/>
          <w:u w:val="single" w:color="auto"/>
          <w:color w:val="auto"/>
        </w:rPr>
        <w:t>Existing Fee Letter</w:t>
      </w:r>
      <w:r>
        <w:rPr>
          <w:rFonts w:ascii="Times New Roman" w:cs="Times New Roman" w:eastAsia="Times New Roman" w:hAnsi="Times New Roman"/>
          <w:sz w:val="22"/>
          <w:szCs w:val="22"/>
          <w:color w:val="auto"/>
        </w:rPr>
        <w:t>”), between Borrower and Administrative Agent. On the Consent Effective Date, the Existing Fee Letter shall be superseded and replaced in its entirety by this Amended and Restated Fee Letter.</w:t>
      </w:r>
    </w:p>
    <w:p>
      <w:pPr>
        <w:spacing w:after="0" w:line="173" w:lineRule="exact"/>
        <w:rPr>
          <w:rFonts w:ascii="Times New Roman" w:cs="Times New Roman" w:eastAsia="Times New Roman" w:hAnsi="Times New Roman"/>
          <w:sz w:val="22"/>
          <w:szCs w:val="22"/>
          <w:color w:val="auto"/>
        </w:rPr>
      </w:pPr>
    </w:p>
    <w:p>
      <w:pPr>
        <w:ind w:firstLine="1505"/>
        <w:spacing w:after="0" w:line="239"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and Restated Fee Letter may be executed in any number of counterparts, each of which when executed shall be an original, and all of which, when taken together, shall constitute one agreement. Delivery of an executed counterpart of a signature page of this Amended and Restated Fee Letter by facsimile or electronic transmission shall be effective as delivery of a manually executed counterpart hereof.</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1052830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162" w:name="page163"/>
    <w:bookmarkEnd w:id="162"/>
    <w:p>
      <w:pPr>
        <w:spacing w:after="0" w:line="212"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Please confirm that the foregoing is in accordance with your understanding by signing and returning to us the enclosed copy of this Amended and Restated Fee Letter, which shall become a binding agreement upon our receipt.</w:t>
      </w:r>
    </w:p>
    <w:p>
      <w:pPr>
        <w:spacing w:after="0" w:line="200" w:lineRule="exact"/>
        <w:rPr>
          <w:sz w:val="20"/>
          <w:szCs w:val="20"/>
          <w:color w:val="auto"/>
        </w:rPr>
      </w:pPr>
    </w:p>
    <w:p>
      <w:pPr>
        <w:spacing w:after="0" w:line="20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SIXTH STREET LENDING PARTNERS</w:t>
      </w:r>
    </w:p>
    <w:p>
      <w:pPr>
        <w:spacing w:after="0" w:line="200" w:lineRule="exact"/>
        <w:rPr>
          <w:sz w:val="20"/>
          <w:szCs w:val="20"/>
          <w:color w:val="auto"/>
        </w:rPr>
      </w:pPr>
    </w:p>
    <w:p>
      <w:pPr>
        <w:spacing w:after="0" w:line="22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Robert Stanley</w:t>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Name: Robert (Bo) Stanley</w:t>
      </w:r>
    </w:p>
    <w:p>
      <w:pPr>
        <w:ind w:left="60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1449070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63" w:name="page164"/>
    <w:bookmarkEnd w:id="163"/>
    <w:p>
      <w:pPr>
        <w:ind w:left="4140"/>
        <w:spacing w:after="0"/>
        <w:rPr>
          <w:sz w:val="20"/>
          <w:szCs w:val="20"/>
          <w:color w:val="auto"/>
        </w:rPr>
      </w:pPr>
      <w:r>
        <w:rPr>
          <w:rFonts w:ascii="Times New Roman" w:cs="Times New Roman" w:eastAsia="Times New Roman" w:hAnsi="Times New Roman"/>
          <w:sz w:val="20"/>
          <w:szCs w:val="20"/>
          <w:color w:val="auto"/>
        </w:rPr>
        <w:t>ACCEPTED AS OF THE DATE ABOVE:</w:t>
      </w:r>
    </w:p>
    <w:p>
      <w:pPr>
        <w:spacing w:after="0" w:line="16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1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Timothy Sullivan</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Timothy Sullivan</w:t>
      </w:r>
    </w:p>
    <w:p>
      <w:pPr>
        <w:ind w:left="48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1894840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6" w:right="1440"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FIFTH AMENDMENT TO LEASE</w:t>
      </w:r>
    </w:p>
    <w:p>
      <w:pPr>
        <w:spacing w:after="0" w:line="233" w:lineRule="exact"/>
        <w:rPr>
          <w:sz w:val="20"/>
          <w:szCs w:val="20"/>
          <w:color w:val="auto"/>
        </w:rPr>
      </w:pPr>
    </w:p>
    <w:p>
      <w:pPr>
        <w:ind w:right="220" w:firstLine="747"/>
        <w:spacing w:after="0" w:line="246" w:lineRule="auto"/>
        <w:rPr>
          <w:sz w:val="20"/>
          <w:szCs w:val="20"/>
          <w:color w:val="auto"/>
        </w:rPr>
      </w:pPr>
      <w:r>
        <w:rPr>
          <w:rFonts w:ascii="Times New Roman" w:cs="Times New Roman" w:eastAsia="Times New Roman" w:hAnsi="Times New Roman"/>
          <w:sz w:val="22"/>
          <w:szCs w:val="22"/>
          <w:color w:val="auto"/>
        </w:rPr>
        <w:t>This FIFTH AMENDMENT TO LEASE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entered into this 5th day of September 2025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NWALP PHOP Property Owner LLC, a Delaware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Apellis Pharmaceuticals,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33" w:lineRule="exact"/>
        <w:rPr>
          <w:sz w:val="20"/>
          <w:szCs w:val="20"/>
          <w:color w:val="auto"/>
        </w:rPr>
      </w:pPr>
    </w:p>
    <w:p>
      <w:pPr>
        <w:ind w:firstLine="747"/>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Landlord and Tenant entered into that certain Lease dated as of April 27, 2017 (the “</w:t>
      </w:r>
      <w:r>
        <w:rPr>
          <w:rFonts w:ascii="Times New Roman" w:cs="Times New Roman" w:eastAsia="Times New Roman" w:hAnsi="Times New Roman"/>
          <w:sz w:val="22"/>
          <w:szCs w:val="22"/>
          <w:b w:val="1"/>
          <w:bCs w:val="1"/>
          <w:color w:val="auto"/>
        </w:rPr>
        <w:t>Original Lease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premises consisting of approximately 6,126 rentable</w:t>
      </w:r>
    </w:p>
    <w:p>
      <w:pPr>
        <w:spacing w:after="0" w:line="2" w:lineRule="exact"/>
        <w:rPr>
          <w:sz w:val="20"/>
          <w:szCs w:val="20"/>
          <w:color w:val="auto"/>
        </w:rPr>
      </w:pPr>
    </w:p>
    <w:p>
      <w:pPr>
        <w:ind w:right="1020"/>
        <w:spacing w:after="0" w:line="237" w:lineRule="auto"/>
        <w:rPr>
          <w:sz w:val="20"/>
          <w:szCs w:val="20"/>
          <w:color w:val="auto"/>
        </w:rPr>
      </w:pPr>
      <w:r>
        <w:rPr>
          <w:rFonts w:ascii="Times New Roman" w:cs="Times New Roman" w:eastAsia="Times New Roman" w:hAnsi="Times New Roman"/>
          <w:sz w:val="22"/>
          <w:szCs w:val="22"/>
          <w:color w:val="auto"/>
        </w:rPr>
        <w:t>square feet (the “</w:t>
      </w:r>
      <w:r>
        <w:rPr>
          <w:rFonts w:ascii="Times New Roman" w:cs="Times New Roman" w:eastAsia="Times New Roman" w:hAnsi="Times New Roman"/>
          <w:sz w:val="22"/>
          <w:szCs w:val="22"/>
          <w:b w:val="1"/>
          <w:bCs w:val="1"/>
          <w:color w:val="auto"/>
        </w:rPr>
        <w:t>Original Premises</w:t>
      </w:r>
      <w:r>
        <w:rPr>
          <w:rFonts w:ascii="Times New Roman" w:cs="Times New Roman" w:eastAsia="Times New Roman" w:hAnsi="Times New Roman"/>
          <w:sz w:val="22"/>
          <w:szCs w:val="22"/>
          <w:color w:val="auto"/>
        </w:rPr>
        <w:t>”) and situated in that certain building located at 200 Fifth Avenue, Waltham, Massachusetts;</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Landlord and Tenant entered into that certain First Amendment to Lease dated July 25, 2018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Amendment</w:t>
      </w:r>
      <w:r>
        <w:rPr>
          <w:rFonts w:ascii="Times New Roman" w:cs="Times New Roman" w:eastAsia="Times New Roman" w:hAnsi="Times New Roman"/>
          <w:sz w:val="21"/>
          <w:szCs w:val="21"/>
          <w:color w:val="auto"/>
        </w:rPr>
        <w:t>”) pursuant to which Landlord and Tenant amended the Original Lease so as to relocate Tenant from the</w:t>
      </w:r>
    </w:p>
    <w:p>
      <w:pPr>
        <w:spacing w:after="0" w:line="192" w:lineRule="auto"/>
        <w:rPr>
          <w:sz w:val="20"/>
          <w:szCs w:val="20"/>
          <w:color w:val="auto"/>
        </w:rPr>
      </w:pPr>
      <w:r>
        <w:rPr>
          <w:rFonts w:ascii="Times New Roman" w:cs="Times New Roman" w:eastAsia="Times New Roman" w:hAnsi="Times New Roman"/>
          <w:sz w:val="22"/>
          <w:szCs w:val="22"/>
          <w:color w:val="auto"/>
        </w:rPr>
        <w:t>Original Premises to certain space in the Building located at 100 Fifth Avenue, Waltham, Massachusetts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floor thereof consisting of approximately 22,600 rentable square feet (the “</w:t>
      </w:r>
      <w:r>
        <w:rPr>
          <w:rFonts w:ascii="Times New Roman" w:cs="Times New Roman" w:eastAsia="Times New Roman" w:hAnsi="Times New Roman"/>
          <w:sz w:val="22"/>
          <w:szCs w:val="22"/>
          <w:b w:val="1"/>
          <w:bCs w:val="1"/>
          <w:color w:val="auto"/>
        </w:rPr>
        <w:t>New Premises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80" w:firstLine="747"/>
        <w:spacing w:after="0" w:line="28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Landlord and Tenant entered into that certain Second Amendment to Lease dated June 5, 2019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Amendment</w:t>
      </w:r>
      <w:r>
        <w:rPr>
          <w:rFonts w:ascii="Times New Roman" w:cs="Times New Roman" w:eastAsia="Times New Roman" w:hAnsi="Times New Roman"/>
          <w:sz w:val="21"/>
          <w:szCs w:val="21"/>
          <w:color w:val="auto"/>
        </w:rPr>
        <w:t>”) pursuant to which Landlord and Tenant agreed to expand the Premises so as to rent certain space located on the sixth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 of the Building consisting of 8,821 rentable square feet of space (the “</w:t>
      </w:r>
      <w:r>
        <w:rPr>
          <w:rFonts w:ascii="Times New Roman" w:cs="Times New Roman" w:eastAsia="Times New Roman" w:hAnsi="Times New Roman"/>
          <w:sz w:val="21"/>
          <w:szCs w:val="21"/>
          <w:b w:val="1"/>
          <w:bCs w:val="1"/>
          <w:color w:val="auto"/>
        </w:rPr>
        <w:t>Expansion Premises</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right="240" w:firstLine="747"/>
        <w:spacing w:after="0" w:line="23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Landlord and Tenant entered into that certain Third Amendment to Lease dated September 25, 2019</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Third Amendment</w:t>
      </w:r>
      <w:r>
        <w:rPr>
          <w:rFonts w:ascii="Times New Roman" w:cs="Times New Roman" w:eastAsia="Times New Roman" w:hAnsi="Times New Roman"/>
          <w:sz w:val="21"/>
          <w:szCs w:val="21"/>
          <w:color w:val="auto"/>
        </w:rPr>
        <w:t>”) pursuant to which Landlord and Tenant agreed to expand the Premises so as to rent (i) certain space located on the seventh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 of the Building consisting of 18,140 rentable square feet of space (the “</w:t>
      </w:r>
      <w:r>
        <w:rPr>
          <w:rFonts w:ascii="Times New Roman" w:cs="Times New Roman" w:eastAsia="Times New Roman" w:hAnsi="Times New Roman"/>
          <w:sz w:val="21"/>
          <w:szCs w:val="21"/>
          <w:b w:val="1"/>
          <w:bCs w:val="1"/>
          <w:color w:val="auto"/>
        </w:rPr>
        <w:t>7</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Floor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Space</w:t>
      </w:r>
      <w:r>
        <w:rPr>
          <w:rFonts w:ascii="Times New Roman" w:cs="Times New Roman" w:eastAsia="Times New Roman" w:hAnsi="Times New Roman"/>
          <w:sz w:val="21"/>
          <w:szCs w:val="21"/>
          <w:color w:val="auto"/>
        </w:rPr>
        <w:t>”), and (ii) certain space located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 of the Building consisting of 11,856 rentable square feet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space (the “</w:t>
      </w:r>
      <w:r>
        <w:rPr>
          <w:rFonts w:ascii="Times New Roman" w:cs="Times New Roman" w:eastAsia="Times New Roman" w:hAnsi="Times New Roman"/>
          <w:sz w:val="21"/>
          <w:szCs w:val="21"/>
          <w:b w:val="1"/>
          <w:bCs w:val="1"/>
          <w:color w:val="auto"/>
        </w:rPr>
        <w:t>5</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Floor Space</w:t>
      </w:r>
      <w:r>
        <w:rPr>
          <w:rFonts w:ascii="Times New Roman" w:cs="Times New Roman" w:eastAsia="Times New Roman" w:hAnsi="Times New Roman"/>
          <w:sz w:val="21"/>
          <w:szCs w:val="21"/>
          <w:color w:val="auto"/>
        </w:rPr>
        <w:t>,” and together, with the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Space, the “</w:t>
      </w:r>
      <w:r>
        <w:rPr>
          <w:rFonts w:ascii="Times New Roman" w:cs="Times New Roman" w:eastAsia="Times New Roman" w:hAnsi="Times New Roman"/>
          <w:sz w:val="21"/>
          <w:szCs w:val="21"/>
          <w:b w:val="1"/>
          <w:bCs w:val="1"/>
          <w:color w:val="auto"/>
        </w:rPr>
        <w:t>Second Expansion Premises</w:t>
      </w:r>
      <w:r>
        <w:rPr>
          <w:rFonts w:ascii="Times New Roman" w:cs="Times New Roman" w:eastAsia="Times New Roman" w:hAnsi="Times New Roman"/>
          <w:sz w:val="21"/>
          <w:szCs w:val="21"/>
          <w:color w:val="auto"/>
        </w:rPr>
        <w:t>”);</w:t>
      </w:r>
    </w:p>
    <w:p>
      <w:pPr>
        <w:spacing w:after="0" w:line="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Landlord and Tenant entered into that certain Fourth Amendment of Lease dated as of November 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2020 (the “</w:t>
      </w:r>
      <w:r>
        <w:rPr>
          <w:rFonts w:ascii="Times New Roman" w:cs="Times New Roman" w:eastAsia="Times New Roman" w:hAnsi="Times New Roman"/>
          <w:sz w:val="22"/>
          <w:szCs w:val="22"/>
          <w:b w:val="1"/>
          <w:bCs w:val="1"/>
          <w:color w:val="auto"/>
        </w:rPr>
        <w:t>Fourth Amendment</w:t>
      </w:r>
      <w:r>
        <w:rPr>
          <w:rFonts w:ascii="Times New Roman" w:cs="Times New Roman" w:eastAsia="Times New Roman" w:hAnsi="Times New Roman"/>
          <w:sz w:val="22"/>
          <w:szCs w:val="22"/>
          <w:color w:val="auto"/>
        </w:rPr>
        <w:t>”) pursuant to which Landlord and Tenant agreed to expand the Premises so as to rent (i)</w:t>
      </w:r>
    </w:p>
    <w:p>
      <w:pPr>
        <w:spacing w:after="0" w:line="230" w:lineRule="auto"/>
        <w:rPr>
          <w:sz w:val="20"/>
          <w:szCs w:val="20"/>
          <w:color w:val="auto"/>
        </w:rPr>
      </w:pPr>
      <w:r>
        <w:rPr>
          <w:rFonts w:ascii="Times New Roman" w:cs="Times New Roman" w:eastAsia="Times New Roman" w:hAnsi="Times New Roman"/>
          <w:sz w:val="22"/>
          <w:szCs w:val="22"/>
          <w:color w:val="auto"/>
        </w:rPr>
        <w:t>certain space located on the sixth (6th) floor of the Building consisting of 12,179 rentable square feet of space (the “</w:t>
      </w:r>
      <w:r>
        <w:rPr>
          <w:rFonts w:ascii="Times New Roman" w:cs="Times New Roman" w:eastAsia="Times New Roman" w:hAnsi="Times New Roman"/>
          <w:sz w:val="22"/>
          <w:szCs w:val="22"/>
          <w:b w:val="1"/>
          <w:bCs w:val="1"/>
          <w:color w:val="auto"/>
        </w:rPr>
        <w:t>Sixth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Floor Expansion Premises,</w:t>
      </w:r>
      <w:r>
        <w:rPr>
          <w:rFonts w:ascii="Times New Roman" w:cs="Times New Roman" w:eastAsia="Times New Roman" w:hAnsi="Times New Roman"/>
          <w:sz w:val="20"/>
          <w:szCs w:val="20"/>
          <w:color w:val="auto"/>
        </w:rPr>
        <w:t>” and together with the Expansion Premises, the “</w:t>
      </w: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20"/>
          <w:szCs w:val="20"/>
          <w:b w:val="1"/>
          <w:bCs w:val="1"/>
          <w:color w:val="auto"/>
        </w:rPr>
        <w:t xml:space="preserve"> Floor Space</w:t>
      </w:r>
      <w:r>
        <w:rPr>
          <w:rFonts w:ascii="Times New Roman" w:cs="Times New Roman" w:eastAsia="Times New Roman" w:hAnsi="Times New Roman"/>
          <w:sz w:val="20"/>
          <w:szCs w:val="20"/>
          <w:color w:val="auto"/>
        </w:rPr>
        <w:t>”), (ii) certain space located 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lower level of the Building consisting of 3,315 rentable square feet of space, and (iii) certain space located on the lower</w:t>
      </w:r>
    </w:p>
    <w:p>
      <w:pPr>
        <w:spacing w:after="0" w:line="230" w:lineRule="auto"/>
        <w:rPr>
          <w:sz w:val="20"/>
          <w:szCs w:val="20"/>
          <w:color w:val="auto"/>
        </w:rPr>
      </w:pPr>
      <w:r>
        <w:rPr>
          <w:rFonts w:ascii="Times New Roman" w:cs="Times New Roman" w:eastAsia="Times New Roman" w:hAnsi="Times New Roman"/>
          <w:sz w:val="22"/>
          <w:szCs w:val="22"/>
          <w:color w:val="auto"/>
        </w:rPr>
        <w:t>level of the Building consisting of 907 rentable square feet of space (items (ii) and (iii), together, the “</w:t>
      </w:r>
      <w:r>
        <w:rPr>
          <w:rFonts w:ascii="Times New Roman" w:cs="Times New Roman" w:eastAsia="Times New Roman" w:hAnsi="Times New Roman"/>
          <w:sz w:val="22"/>
          <w:szCs w:val="22"/>
          <w:b w:val="1"/>
          <w:bCs w:val="1"/>
          <w:color w:val="auto"/>
        </w:rPr>
        <w:t>Lower Level</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Expansion Premises</w:t>
      </w:r>
      <w:r>
        <w:rPr>
          <w:rFonts w:ascii="Times New Roman" w:cs="Times New Roman" w:eastAsia="Times New Roman" w:hAnsi="Times New Roman"/>
          <w:sz w:val="22"/>
          <w:szCs w:val="22"/>
          <w:color w:val="auto"/>
        </w:rPr>
        <w:t>”) (the Sixth Floor Expansion Premises and the Lower Level Expansion Premises, collectively, the</w:t>
      </w:r>
    </w:p>
    <w:p>
      <w:pP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Expansion Premises</w:t>
      </w:r>
      <w:r>
        <w:rPr>
          <w:rFonts w:ascii="Times New Roman" w:cs="Times New Roman" w:eastAsia="Times New Roman" w:hAnsi="Times New Roman"/>
          <w:sz w:val="22"/>
          <w:szCs w:val="22"/>
          <w:color w:val="auto"/>
        </w:rPr>
        <w:t>”) (the New Premises, the Expansion Premises, the Second Expansion Premises and the Third</w:t>
      </w:r>
    </w:p>
    <w:p>
      <w:pPr>
        <w:spacing w:after="0" w:line="231" w:lineRule="auto"/>
        <w:rPr>
          <w:sz w:val="20"/>
          <w:szCs w:val="20"/>
          <w:color w:val="auto"/>
        </w:rPr>
      </w:pPr>
      <w:r>
        <w:rPr>
          <w:rFonts w:ascii="Times New Roman" w:cs="Times New Roman" w:eastAsia="Times New Roman" w:hAnsi="Times New Roman"/>
          <w:sz w:val="22"/>
          <w:szCs w:val="22"/>
          <w:color w:val="auto"/>
        </w:rPr>
        <w:t>Expansion Premises, collectively, the “</w:t>
      </w:r>
      <w:r>
        <w:rPr>
          <w:rFonts w:ascii="Times New Roman" w:cs="Times New Roman" w:eastAsia="Times New Roman" w:hAnsi="Times New Roman"/>
          <w:sz w:val="22"/>
          <w:szCs w:val="22"/>
          <w:b w:val="1"/>
          <w:bCs w:val="1"/>
          <w:color w:val="auto"/>
        </w:rPr>
        <w:t>Current Premises</w:t>
      </w:r>
      <w:r>
        <w:rPr>
          <w:rFonts w:ascii="Times New Roman" w:cs="Times New Roman" w:eastAsia="Times New Roman" w:hAnsi="Times New Roman"/>
          <w:sz w:val="22"/>
          <w:szCs w:val="22"/>
          <w:color w:val="auto"/>
        </w:rPr>
        <w:t>”) (the Original Lease, as amended by the First Amendment, the</w:t>
      </w:r>
    </w:p>
    <w:p>
      <w:pPr>
        <w:spacing w:after="0"/>
        <w:rPr>
          <w:sz w:val="20"/>
          <w:szCs w:val="20"/>
          <w:color w:val="auto"/>
        </w:rPr>
      </w:pPr>
      <w:r>
        <w:rPr>
          <w:rFonts w:ascii="Times New Roman" w:cs="Times New Roman" w:eastAsia="Times New Roman" w:hAnsi="Times New Roman"/>
          <w:sz w:val="22"/>
          <w:szCs w:val="22"/>
          <w:color w:val="auto"/>
        </w:rPr>
        <w:t>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92" w:right="71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Third Amendment and Fourth Amendment, is referred to in this Amendment as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and</w:t>
      </w:r>
    </w:p>
    <w:p>
      <w:pPr>
        <w:spacing w:after="0" w:line="233" w:lineRule="exact"/>
        <w:rPr>
          <w:sz w:val="20"/>
          <w:szCs w:val="20"/>
          <w:color w:val="auto"/>
        </w:rPr>
      </w:pPr>
    </w:p>
    <w:p>
      <w:pPr>
        <w:ind w:right="260" w:firstLine="747"/>
        <w:spacing w:after="0" w:line="29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Landlord and Tenant mutually desire to alter the Premises so as to remove the Expansion Space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Space , all as further provided for below.</w:t>
      </w:r>
    </w:p>
    <w:p>
      <w:pPr>
        <w:spacing w:after="0" w:line="41" w:lineRule="exact"/>
        <w:rPr>
          <w:sz w:val="20"/>
          <w:szCs w:val="20"/>
          <w:color w:val="auto"/>
        </w:rPr>
      </w:pPr>
    </w:p>
    <w:p>
      <w:pPr>
        <w:ind w:right="160" w:firstLine="747"/>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in this Amendment, the Lease and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good and valuable consideration, the receipt and sufficiency of which are hereby acknowledged, Landlord and Tenant hereby agree as follows effective as of the Effective Date:</w:t>
      </w:r>
    </w:p>
    <w:p>
      <w:pPr>
        <w:spacing w:after="0" w:line="194" w:lineRule="exact"/>
        <w:rPr>
          <w:sz w:val="20"/>
          <w:szCs w:val="20"/>
          <w:color w:val="auto"/>
        </w:rPr>
      </w:pPr>
    </w:p>
    <w:p>
      <w:pPr>
        <w:ind w:left="1460" w:hanging="703"/>
        <w:spacing w:after="0"/>
        <w:tabs>
          <w:tab w:leader="none" w:pos="14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Expiration Date of December 31, 2026 is extended to December 31, 2029.</w:t>
      </w:r>
    </w:p>
    <w:p>
      <w:pPr>
        <w:spacing w:after="0" w:line="233" w:lineRule="exact"/>
        <w:rPr>
          <w:rFonts w:ascii="Times New Roman" w:cs="Times New Roman" w:eastAsia="Times New Roman" w:hAnsi="Times New Roman"/>
          <w:sz w:val="22"/>
          <w:szCs w:val="22"/>
          <w:color w:val="auto"/>
        </w:rPr>
      </w:pPr>
    </w:p>
    <w:p>
      <w:pPr>
        <w:ind w:left="1480" w:right="500" w:hanging="723"/>
        <w:spacing w:after="0" w:line="246" w:lineRule="auto"/>
        <w:tabs>
          <w:tab w:leader="none" w:pos="14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Rent</w:t>
      </w:r>
      <w:r>
        <w:rPr>
          <w:rFonts w:ascii="Times New Roman" w:cs="Times New Roman" w:eastAsia="Times New Roman" w:hAnsi="Times New Roman"/>
          <w:sz w:val="22"/>
          <w:szCs w:val="22"/>
          <w:color w:val="auto"/>
        </w:rPr>
        <w:t>. Notwithstanding anything in the Lease to the contrary, as of January 1, 2027, the Basic Rent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Tenant to Landlord pursuant to Section 3.1 for the Premises shall be payable as set forth in the following rent table:</w:t>
      </w:r>
    </w:p>
    <w:p>
      <w:pPr>
        <w:spacing w:after="0" w:line="243" w:lineRule="exact"/>
        <w:rPr>
          <w:sz w:val="20"/>
          <w:szCs w:val="20"/>
          <w:color w:val="auto"/>
        </w:rPr>
      </w:pPr>
    </w:p>
    <w:tbl>
      <w:tblPr>
        <w:tblLayout w:type="fixed"/>
        <w:tblInd w:w="1510" w:type="dxa"/>
        <w:tblCellMar>
          <w:top w:w="0" w:type="dxa"/>
          <w:left w:w="0" w:type="dxa"/>
          <w:bottom w:w="0" w:type="dxa"/>
          <w:right w:w="0" w:type="dxa"/>
        </w:tblCellMar>
      </w:tblPr>
      <w:tr>
        <w:trPr>
          <w:trHeight w:val="228"/>
        </w:trPr>
        <w:tc>
          <w:tcPr>
            <w:tcW w:w="3280" w:type="dxa"/>
            <w:vAlign w:val="bottom"/>
            <w:tcBorders>
              <w:top w:val="single" w:sz="8" w:color="auto"/>
              <w:left w:val="single" w:sz="8" w:color="auto"/>
              <w:right w:val="single" w:sz="8" w:color="auto"/>
            </w:tcBorders>
          </w:tcPr>
          <w:p>
            <w:pPr>
              <w:spacing w:after="0"/>
              <w:rPr>
                <w:sz w:val="19"/>
                <w:szCs w:val="19"/>
                <w:color w:val="auto"/>
              </w:rPr>
            </w:pPr>
          </w:p>
        </w:tc>
        <w:tc>
          <w:tcPr>
            <w:tcW w:w="3340" w:type="dxa"/>
            <w:vAlign w:val="bottom"/>
            <w:tcBorders>
              <w:top w:val="single" w:sz="8" w:color="auto"/>
              <w:right w:val="single" w:sz="8" w:color="auto"/>
            </w:tcBorders>
          </w:tcPr>
          <w:p>
            <w:pPr>
              <w:spacing w:after="0"/>
              <w:rPr>
                <w:sz w:val="19"/>
                <w:szCs w:val="19"/>
                <w:color w:val="auto"/>
              </w:rPr>
            </w:pPr>
          </w:p>
        </w:tc>
        <w:tc>
          <w:tcPr>
            <w:tcW w:w="2480" w:type="dxa"/>
            <w:vAlign w:val="bottom"/>
            <w:tcBorders>
              <w:top w:val="single" w:sz="8" w:color="auto"/>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2"/>
                <w:szCs w:val="22"/>
                <w:b w:val="1"/>
                <w:bCs w:val="1"/>
                <w:color w:val="auto"/>
              </w:rPr>
              <w:t>MONTHLY</w:t>
            </w:r>
          </w:p>
        </w:tc>
      </w:tr>
      <w:tr>
        <w:trPr>
          <w:trHeight w:val="286"/>
        </w:trPr>
        <w:tc>
          <w:tcPr>
            <w:tcW w:w="3280" w:type="dxa"/>
            <w:vAlign w:val="bottom"/>
            <w:tcBorders>
              <w:left w:val="single" w:sz="8" w:color="auto"/>
              <w:right w:val="single" w:sz="8" w:color="auto"/>
            </w:tcBorders>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8"/>
              </w:rPr>
              <w:t>RENTAL PERIOD</w:t>
            </w:r>
          </w:p>
        </w:tc>
        <w:tc>
          <w:tcPr>
            <w:tcW w:w="3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ANNUAL BASIC RENT</w:t>
            </w:r>
          </w:p>
        </w:tc>
        <w:tc>
          <w:tcPr>
            <w:tcW w:w="24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PAYMENT</w:t>
            </w:r>
          </w:p>
        </w:tc>
      </w:tr>
      <w:tr>
        <w:trPr>
          <w:trHeight w:val="227"/>
        </w:trPr>
        <w:tc>
          <w:tcPr>
            <w:tcW w:w="3280" w:type="dxa"/>
            <w:vAlign w:val="bottom"/>
            <w:tcBorders>
              <w:left w:val="single" w:sz="8" w:color="auto"/>
              <w:bottom w:val="single" w:sz="8" w:color="auto"/>
              <w:right w:val="single" w:sz="8" w:color="auto"/>
            </w:tcBorders>
          </w:tcPr>
          <w:p>
            <w:pPr>
              <w:spacing w:after="0"/>
              <w:rPr>
                <w:sz w:val="19"/>
                <w:szCs w:val="19"/>
                <w:color w:val="auto"/>
              </w:rPr>
            </w:pPr>
          </w:p>
        </w:tc>
        <w:tc>
          <w:tcPr>
            <w:tcW w:w="334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r>
      <w:tr>
        <w:trPr>
          <w:trHeight w:val="242"/>
        </w:trPr>
        <w:tc>
          <w:tcPr>
            <w:tcW w:w="3280" w:type="dxa"/>
            <w:vAlign w:val="bottom"/>
            <w:tcBorders>
              <w:right w:val="single" w:sz="8" w:color="auto"/>
            </w:tcBorders>
          </w:tcPr>
          <w:p>
            <w:pPr>
              <w:jc w:val="center"/>
              <w:ind w:right="1132"/>
              <w:spacing w:after="0" w:line="243" w:lineRule="exact"/>
              <w:rPr>
                <w:sz w:val="20"/>
                <w:szCs w:val="20"/>
                <w:color w:val="auto"/>
              </w:rPr>
            </w:pPr>
            <w:r>
              <w:rPr>
                <w:rFonts w:ascii="Times New Roman" w:cs="Times New Roman" w:eastAsia="Times New Roman" w:hAnsi="Times New Roman"/>
                <w:sz w:val="22"/>
                <w:szCs w:val="22"/>
                <w:color w:val="auto"/>
                <w:w w:val="97"/>
              </w:rPr>
              <w:t>1/1/2027 - 12/31/2027</w:t>
            </w:r>
          </w:p>
        </w:tc>
        <w:tc>
          <w:tcPr>
            <w:tcW w:w="334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$2,628,486.00</w:t>
            </w:r>
          </w:p>
        </w:tc>
        <w:tc>
          <w:tcPr>
            <w:tcW w:w="2480" w:type="dxa"/>
            <w:vAlign w:val="bottom"/>
            <w:tcBorders>
              <w:right w:val="single" w:sz="8" w:color="auto"/>
            </w:tcBorders>
          </w:tcPr>
          <w:p>
            <w:pPr>
              <w:jc w:val="right"/>
              <w:ind w:right="1252"/>
              <w:spacing w:after="0" w:line="243" w:lineRule="exact"/>
              <w:rPr>
                <w:sz w:val="20"/>
                <w:szCs w:val="20"/>
                <w:color w:val="auto"/>
              </w:rPr>
            </w:pPr>
            <w:r>
              <w:rPr>
                <w:rFonts w:ascii="Times New Roman" w:cs="Times New Roman" w:eastAsia="Times New Roman" w:hAnsi="Times New Roman"/>
                <w:sz w:val="22"/>
                <w:szCs w:val="22"/>
                <w:color w:val="auto"/>
                <w:w w:val="99"/>
              </w:rPr>
              <w:t>$219,040.50</w:t>
            </w:r>
          </w:p>
        </w:tc>
      </w:tr>
      <w:tr>
        <w:trPr>
          <w:trHeight w:val="173"/>
        </w:trPr>
        <w:tc>
          <w:tcPr>
            <w:tcW w:w="328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6"/>
        </w:trPr>
        <w:tc>
          <w:tcPr>
            <w:tcW w:w="3280" w:type="dxa"/>
            <w:vAlign w:val="bottom"/>
            <w:tcBorders>
              <w:right w:val="single" w:sz="8" w:color="auto"/>
            </w:tcBorders>
          </w:tcPr>
          <w:p>
            <w:pPr>
              <w:jc w:val="center"/>
              <w:ind w:right="1132"/>
              <w:spacing w:after="0"/>
              <w:rPr>
                <w:sz w:val="20"/>
                <w:szCs w:val="20"/>
                <w:color w:val="auto"/>
              </w:rPr>
            </w:pPr>
            <w:r>
              <w:rPr>
                <w:rFonts w:ascii="Times New Roman" w:cs="Times New Roman" w:eastAsia="Times New Roman" w:hAnsi="Times New Roman"/>
                <w:sz w:val="22"/>
                <w:szCs w:val="22"/>
                <w:color w:val="auto"/>
                <w:w w:val="97"/>
              </w:rPr>
              <w:t>1/1/2028 - 12/31/2028</w:t>
            </w:r>
          </w:p>
        </w:tc>
        <w:tc>
          <w:tcPr>
            <w:tcW w:w="3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$2,685,627.00</w:t>
            </w:r>
          </w:p>
        </w:tc>
        <w:tc>
          <w:tcPr>
            <w:tcW w:w="2480" w:type="dxa"/>
            <w:vAlign w:val="bottom"/>
            <w:tcBorders>
              <w:right w:val="single" w:sz="8" w:color="auto"/>
            </w:tcBorders>
          </w:tcPr>
          <w:p>
            <w:pPr>
              <w:jc w:val="right"/>
              <w:ind w:right="1252"/>
              <w:spacing w:after="0"/>
              <w:rPr>
                <w:sz w:val="20"/>
                <w:szCs w:val="20"/>
                <w:color w:val="auto"/>
              </w:rPr>
            </w:pPr>
            <w:r>
              <w:rPr>
                <w:rFonts w:ascii="Times New Roman" w:cs="Times New Roman" w:eastAsia="Times New Roman" w:hAnsi="Times New Roman"/>
                <w:sz w:val="22"/>
                <w:szCs w:val="22"/>
                <w:color w:val="auto"/>
                <w:w w:val="99"/>
              </w:rPr>
              <w:t>$223,802.25</w:t>
            </w:r>
          </w:p>
        </w:tc>
      </w:tr>
      <w:tr>
        <w:trPr>
          <w:trHeight w:val="177"/>
        </w:trPr>
        <w:tc>
          <w:tcPr>
            <w:tcW w:w="328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6"/>
        </w:trPr>
        <w:tc>
          <w:tcPr>
            <w:tcW w:w="3280" w:type="dxa"/>
            <w:vAlign w:val="bottom"/>
            <w:tcBorders>
              <w:right w:val="single" w:sz="8" w:color="auto"/>
            </w:tcBorders>
          </w:tcPr>
          <w:p>
            <w:pPr>
              <w:jc w:val="center"/>
              <w:ind w:right="1132"/>
              <w:spacing w:after="0"/>
              <w:rPr>
                <w:sz w:val="20"/>
                <w:szCs w:val="20"/>
                <w:color w:val="auto"/>
              </w:rPr>
            </w:pPr>
            <w:r>
              <w:rPr>
                <w:rFonts w:ascii="Times New Roman" w:cs="Times New Roman" w:eastAsia="Times New Roman" w:hAnsi="Times New Roman"/>
                <w:sz w:val="22"/>
                <w:szCs w:val="22"/>
                <w:color w:val="auto"/>
                <w:w w:val="97"/>
              </w:rPr>
              <w:t>1/1/2029 - 12/31/2029</w:t>
            </w:r>
          </w:p>
        </w:tc>
        <w:tc>
          <w:tcPr>
            <w:tcW w:w="3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$2,742,768.00</w:t>
            </w:r>
          </w:p>
        </w:tc>
        <w:tc>
          <w:tcPr>
            <w:tcW w:w="2480" w:type="dxa"/>
            <w:vAlign w:val="bottom"/>
            <w:tcBorders>
              <w:right w:val="single" w:sz="8" w:color="auto"/>
            </w:tcBorders>
          </w:tcPr>
          <w:p>
            <w:pPr>
              <w:jc w:val="right"/>
              <w:ind w:right="1252"/>
              <w:spacing w:after="0"/>
              <w:rPr>
                <w:sz w:val="20"/>
                <w:szCs w:val="20"/>
                <w:color w:val="auto"/>
              </w:rPr>
            </w:pPr>
            <w:r>
              <w:rPr>
                <w:rFonts w:ascii="Times New Roman" w:cs="Times New Roman" w:eastAsia="Times New Roman" w:hAnsi="Times New Roman"/>
                <w:sz w:val="22"/>
                <w:szCs w:val="22"/>
                <w:color w:val="auto"/>
                <w:w w:val="99"/>
              </w:rPr>
              <w:t>$228,564.00</w:t>
            </w:r>
          </w:p>
        </w:tc>
      </w:tr>
      <w:tr>
        <w:trPr>
          <w:trHeight w:val="177"/>
        </w:trPr>
        <w:tc>
          <w:tcPr>
            <w:tcW w:w="328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bl>
    <w:p>
      <w:pPr>
        <w:spacing w:after="0" w:line="212" w:lineRule="exact"/>
        <w:rPr>
          <w:sz w:val="20"/>
          <w:szCs w:val="20"/>
          <w:color w:val="auto"/>
        </w:rPr>
      </w:pPr>
    </w:p>
    <w:p>
      <w:pPr>
        <w:ind w:left="1480" w:hanging="723"/>
        <w:spacing w:after="0"/>
        <w:tabs>
          <w:tab w:leader="none" w:pos="14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Notwithstanding anything in the Lease to the contrary, as January 1, 2027: (A) the Premises</w:t>
      </w:r>
    </w:p>
    <w:p>
      <w:pPr>
        <w:spacing w:after="0" w:line="18"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shall consist of the following: (i) 22,600 rentable square feet located on the third (3rd) floor of the Building;</w:t>
      </w:r>
    </w:p>
    <w:p>
      <w:pPr>
        <w:spacing w:after="0" w:line="1" w:lineRule="exact"/>
        <w:rPr>
          <w:rFonts w:ascii="Times New Roman" w:cs="Times New Roman" w:eastAsia="Times New Roman" w:hAnsi="Times New Roman"/>
          <w:sz w:val="22"/>
          <w:szCs w:val="22"/>
          <w:color w:val="auto"/>
        </w:rPr>
      </w:pPr>
    </w:p>
    <w:p>
      <w:pPr>
        <w:jc w:val="both"/>
        <w:ind w:left="1480" w:right="80" w:hanging="6"/>
        <w:spacing w:after="0" w:line="230" w:lineRule="auto"/>
        <w:tabs>
          <w:tab w:leader="none" w:pos="179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12,179 rentable square feet of space located on the sixth (6th) floor of the Building; (iii) 18,140 rentable square feet of space located on the seventh (7th) floor of the Building; and (iv) 4,222 rentable square feet of space located on the lower level of the Building; and</w:t>
      </w:r>
    </w:p>
    <w:p>
      <w:pPr>
        <w:spacing w:after="0" w:line="1" w:lineRule="exact"/>
        <w:rPr>
          <w:rFonts w:ascii="Times New Roman" w:cs="Times New Roman" w:eastAsia="Times New Roman" w:hAnsi="Times New Roman"/>
          <w:sz w:val="22"/>
          <w:szCs w:val="22"/>
          <w:color w:val="auto"/>
        </w:rPr>
      </w:pPr>
    </w:p>
    <w:p>
      <w:pPr>
        <w:ind w:left="1840" w:hanging="335"/>
        <w:spacing w:after="0"/>
        <w:tabs>
          <w:tab w:leader="none" w:pos="1840"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Premises Rentable Area shall consist of 57,141 rentable square feet.</w:t>
      </w:r>
    </w:p>
    <w:p>
      <w:pPr>
        <w:spacing w:after="0" w:line="205" w:lineRule="exact"/>
        <w:rPr>
          <w:rFonts w:ascii="Times New Roman" w:cs="Times New Roman" w:eastAsia="Times New Roman" w:hAnsi="Times New Roman"/>
          <w:sz w:val="22"/>
          <w:szCs w:val="22"/>
          <w:color w:val="auto"/>
        </w:rPr>
      </w:pPr>
    </w:p>
    <w:p>
      <w:pPr>
        <w:ind w:left="1460" w:right="400" w:hanging="703"/>
        <w:spacing w:after="0" w:line="262" w:lineRule="auto"/>
        <w:tabs>
          <w:tab w:leader="none" w:pos="14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Proportionate Share</w:t>
      </w:r>
      <w:r>
        <w:rPr>
          <w:rFonts w:ascii="Times New Roman" w:cs="Times New Roman" w:eastAsia="Times New Roman" w:hAnsi="Times New Roman"/>
          <w:sz w:val="22"/>
          <w:szCs w:val="22"/>
          <w:color w:val="auto"/>
        </w:rPr>
        <w:t>: Notwithstanding anything in the Lease to the contrary, as of January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2027, Tenant’s Proportionate Share shall be thirty-six and four hundredths’ percent (36.4%).</w:t>
      </w:r>
    </w:p>
    <w:p>
      <w:pPr>
        <w:spacing w:after="0" w:line="176" w:lineRule="exact"/>
        <w:rPr>
          <w:rFonts w:ascii="Times New Roman" w:cs="Times New Roman" w:eastAsia="Times New Roman" w:hAnsi="Times New Roman"/>
          <w:sz w:val="22"/>
          <w:szCs w:val="22"/>
          <w:color w:val="auto"/>
        </w:rPr>
      </w:pPr>
    </w:p>
    <w:p>
      <w:pPr>
        <w:ind w:left="1480" w:right="160" w:hanging="723"/>
        <w:spacing w:after="0" w:line="238" w:lineRule="auto"/>
        <w:tabs>
          <w:tab w:leader="none" w:pos="14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Exhibits</w:t>
      </w:r>
      <w:r>
        <w:rPr>
          <w:rFonts w:ascii="Times New Roman" w:cs="Times New Roman" w:eastAsia="Times New Roman" w:hAnsi="Times New Roman"/>
          <w:sz w:val="22"/>
          <w:szCs w:val="22"/>
          <w:color w:val="auto"/>
        </w:rPr>
        <w:t>: As of January 1, 2027, Exhibit A-(i) [i.e., the Plan of the New Premises], Exhibit A-(ii) [i.e.,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Plan of the Expansion Premises], Exhibit A-(iii) [i.e., the Plan of the Second Expansion Premises], Exhibit A-(iv) [i.e., the Plan of the Sixth Floor Expansion Premises] and Exhibit A-(v) [i.e., the Plan of the Lower Level Expansion Premises] shall be deleted and replaced with the plan of the Premises attached to this Amendment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92" w:right="7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23" w:right="20" w:hanging="723"/>
        <w:spacing w:after="0" w:line="235" w:lineRule="auto"/>
        <w:tabs>
          <w:tab w:leader="none" w:pos="72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Landlord and Tenant hereby represents that such party has not dealt with any brokers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transactions contemplated by this Amendment other Tenant’s broker, Perry Real Estate (the “Broker”). Each of Landlord and Tenant hereby agrees to defend, indemnify and hold harmless the other, and its successors and assigns, against and from all claims, losses, liabilities and expenses including, without limitation, reasonable attorney’s fees, arising out of any claim by any broker, consultant, finder or like agent, other than the Broker, which are based upon alleged dealings by such party with respect to this Amendment. Landlord shall pay a commission to the Broker in connection with this Amendment pursuant to a separate agreement.</w:t>
      </w:r>
    </w:p>
    <w:p>
      <w:pPr>
        <w:spacing w:after="0" w:line="205" w:lineRule="exact"/>
        <w:rPr>
          <w:rFonts w:ascii="Times New Roman" w:cs="Times New Roman" w:eastAsia="Times New Roman" w:hAnsi="Times New Roman"/>
          <w:sz w:val="22"/>
          <w:szCs w:val="22"/>
          <w:color w:val="auto"/>
        </w:rPr>
      </w:pPr>
    </w:p>
    <w:p>
      <w:pPr>
        <w:ind w:left="723" w:right="500" w:hanging="723"/>
        <w:spacing w:after="0" w:line="262" w:lineRule="auto"/>
        <w:tabs>
          <w:tab w:leader="none" w:pos="72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Capitalized Terms</w:t>
      </w:r>
      <w:r>
        <w:rPr>
          <w:rFonts w:ascii="Times New Roman" w:cs="Times New Roman" w:eastAsia="Times New Roman" w:hAnsi="Times New Roman"/>
          <w:sz w:val="22"/>
          <w:szCs w:val="22"/>
          <w:color w:val="auto"/>
        </w:rPr>
        <w:t>. Capitalized terms that are not otherwise defined herein shall have the meaning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Lease.</w:t>
      </w:r>
    </w:p>
    <w:p>
      <w:pPr>
        <w:spacing w:after="0" w:line="176" w:lineRule="exact"/>
        <w:rPr>
          <w:rFonts w:ascii="Times New Roman" w:cs="Times New Roman" w:eastAsia="Times New Roman" w:hAnsi="Times New Roman"/>
          <w:sz w:val="22"/>
          <w:szCs w:val="22"/>
          <w:color w:val="auto"/>
        </w:rPr>
      </w:pPr>
    </w:p>
    <w:p>
      <w:pPr>
        <w:ind w:left="703" w:right="300" w:hanging="703"/>
        <w:spacing w:after="0" w:line="286" w:lineRule="auto"/>
        <w:tabs>
          <w:tab w:leader="none" w:pos="70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Ratification of Existing Lease Terms</w:t>
      </w:r>
      <w:r>
        <w:rPr>
          <w:rFonts w:ascii="Times New Roman" w:cs="Times New Roman" w:eastAsia="Times New Roman" w:hAnsi="Times New Roman"/>
          <w:sz w:val="21"/>
          <w:szCs w:val="21"/>
          <w:color w:val="auto"/>
        </w:rPr>
        <w:t>. Other than as expressly set forth herein, the terms and provisions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Lease are hereby ratified, confirmed and shall remain unmodified and in full force and effect.</w:t>
      </w:r>
    </w:p>
    <w:p>
      <w:pPr>
        <w:spacing w:after="0" w:line="153" w:lineRule="exact"/>
        <w:rPr>
          <w:rFonts w:ascii="Times New Roman" w:cs="Times New Roman" w:eastAsia="Times New Roman" w:hAnsi="Times New Roman"/>
          <w:sz w:val="21"/>
          <w:szCs w:val="21"/>
          <w:color w:val="auto"/>
        </w:rPr>
      </w:pPr>
    </w:p>
    <w:p>
      <w:pPr>
        <w:ind w:left="723" w:right="200" w:hanging="723"/>
        <w:spacing w:after="0" w:line="262" w:lineRule="auto"/>
        <w:tabs>
          <w:tab w:leader="none" w:pos="72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Amendment shall be governed by the laws of the Commonwealth of Massachusetts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its conflict of law provisions.</w:t>
      </w:r>
    </w:p>
    <w:p>
      <w:pPr>
        <w:spacing w:after="0" w:line="176" w:lineRule="exact"/>
        <w:rPr>
          <w:rFonts w:ascii="Times New Roman" w:cs="Times New Roman" w:eastAsia="Times New Roman" w:hAnsi="Times New Roman"/>
          <w:sz w:val="22"/>
          <w:szCs w:val="22"/>
          <w:color w:val="auto"/>
        </w:rPr>
      </w:pPr>
    </w:p>
    <w:p>
      <w:pPr>
        <w:ind w:left="723" w:right="20" w:hanging="723"/>
        <w:spacing w:after="0" w:line="235" w:lineRule="auto"/>
        <w:tabs>
          <w:tab w:leader="none" w:pos="72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 Signatures</w:t>
      </w:r>
      <w:r>
        <w:rPr>
          <w:rFonts w:ascii="Times New Roman" w:cs="Times New Roman" w:eastAsia="Times New Roman" w:hAnsi="Times New Roman"/>
          <w:sz w:val="22"/>
          <w:szCs w:val="22"/>
          <w:color w:val="auto"/>
        </w:rPr>
        <w:t>. This Amendment may be executed in counterparts, each of which shall constitute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original document and all of which, together, shall constitute one and the same instrument. Signed copies of this Amendment or of the signature pages hereto may be exchanged by (a) mail (either United States Postal Service or via reputable overnight carrier) or (b) Docusign or other similar e-signature commercial software provided that such e-signature process is initiated by Landlord or, if initiated by Tenant, Tenant shall provide a certificate of completion for the same that is satisfactory to Landlord. Any such method shall be equally binding on the parties and shall have the same legal effect as delivery of an original executed copy of this Amendment for all purposes, and in all circumstances, including, but not limited to, collection, admissibility, authentication, or any other legal purpose.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03"/>
        <w:spacing w:after="0"/>
        <w:rPr>
          <w:sz w:val="20"/>
          <w:szCs w:val="20"/>
          <w:color w:val="auto"/>
        </w:rPr>
      </w:pPr>
      <w:r>
        <w:rPr>
          <w:rFonts w:ascii="Times New Roman" w:cs="Times New Roman" w:eastAsia="Times New Roman" w:hAnsi="Times New Roman"/>
          <w:sz w:val="22"/>
          <w:szCs w:val="22"/>
          <w:color w:val="auto"/>
        </w:rPr>
        <w:t>[Signatures Appear on the Following Page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23"/>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443865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3"/>
          </w:cols>
          <w:pgMar w:left="1077" w:top="392" w:right="71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80"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Landlord and Tenant have each caused this Amendment to be executed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above written.</w:t>
      </w:r>
    </w:p>
    <w:p>
      <w:pPr>
        <w:spacing w:after="0" w:line="17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3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NWALP PHOP PROPERTY OWNER LLC, a Delaware</w:t>
      </w:r>
    </w:p>
    <w:p>
      <w:pPr>
        <w:spacing w:after="0" w:line="1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limited liability company</w:t>
      </w:r>
    </w:p>
    <w:p>
      <w:pPr>
        <w:spacing w:after="0" w:line="169" w:lineRule="exact"/>
        <w:rPr>
          <w:sz w:val="20"/>
          <w:szCs w:val="20"/>
          <w:color w:val="auto"/>
        </w:rPr>
      </w:pPr>
    </w:p>
    <w:p>
      <w:pPr>
        <w:ind w:left="4500" w:right="740"/>
        <w:spacing w:after="0" w:line="258" w:lineRule="auto"/>
        <w:rPr>
          <w:sz w:val="20"/>
          <w:szCs w:val="20"/>
          <w:color w:val="auto"/>
        </w:rPr>
      </w:pPr>
      <w:r>
        <w:rPr>
          <w:rFonts w:ascii="Times New Roman" w:cs="Times New Roman" w:eastAsia="Times New Roman" w:hAnsi="Times New Roman"/>
          <w:sz w:val="22"/>
          <w:szCs w:val="22"/>
          <w:color w:val="auto"/>
        </w:rPr>
        <w:t>By: ALP PHOP Manager, LLC, a Massachusetts limited liability company, its appointed representative</w:t>
      </w:r>
    </w:p>
    <w:p>
      <w:pPr>
        <w:spacing w:after="0" w:line="200" w:lineRule="exact"/>
        <w:rPr>
          <w:sz w:val="20"/>
          <w:szCs w:val="20"/>
          <w:color w:val="auto"/>
        </w:rPr>
      </w:pP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Brian Chaisson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5462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extLst>
                        <a:ext uri="{28A0092B-C50C-407E-A947-70E740481C1C}"/>
                      </a:extLst>
                    </a:blip>
                    <a:srcRect/>
                    <a:stretch>
                      <a:fillRect/>
                    </a:stretch>
                  </pic:blipFill>
                  <pic:spPr bwMode="auto">
                    <a:xfrm>
                      <a:off x="0" y="0"/>
                      <a:ext cx="15462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Brian Chaisson</w:t>
      </w:r>
    </w:p>
    <w:p>
      <w:pPr>
        <w:ind w:left="4500"/>
        <w:spacing w:after="0"/>
        <w:rPr>
          <w:sz w:val="20"/>
          <w:szCs w:val="20"/>
          <w:color w:val="auto"/>
        </w:rPr>
      </w:pPr>
      <w:r>
        <w:rPr>
          <w:rFonts w:ascii="Times New Roman" w:cs="Times New Roman" w:eastAsia="Times New Roman" w:hAnsi="Times New Roman"/>
          <w:sz w:val="20"/>
          <w:szCs w:val="20"/>
          <w:color w:val="auto"/>
        </w:rPr>
        <w:t>Title: Manager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APELLIS PHARMACEUTICALS, INC., a Delaware corporation</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5455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Cedric Francois</w:t>
      </w:r>
    </w:p>
    <w:p>
      <w:pPr>
        <w:ind w:left="4500"/>
        <w:spacing w:after="0"/>
        <w:rPr>
          <w:sz w:val="20"/>
          <w:szCs w:val="20"/>
          <w:color w:val="auto"/>
        </w:rPr>
      </w:pPr>
      <w:r>
        <w:rPr>
          <w:rFonts w:ascii="Times New Roman" w:cs="Times New Roman" w:eastAsia="Times New Roman" w:hAnsi="Times New Roman"/>
          <w:sz w:val="20"/>
          <w:szCs w:val="2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92" w:right="719" w:bottom="1440" w:gutter="0" w:footer="0" w:header="0"/>
        </w:sectPr>
      </w:pPr>
    </w:p>
    <w:bookmarkStart w:id="168" w:name="page169"/>
    <w:bookmarkEnd w:id="168"/>
    <w:p>
      <w:pPr>
        <w:jc w:val="center"/>
        <w:ind w:right="-59"/>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RESTRICTED STOCK UNIT AWARD AGREEMENT (the “Agreement”)</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Apellis Pharmaceuticals,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selected you to receive an award of restricted stock units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pursuant to the Company’s 2017 Stock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terms and conditions attached hereto are</w:t>
      </w:r>
    </w:p>
    <w:p>
      <w:pPr>
        <w:spacing w:after="0" w:line="231" w:lineRule="auto"/>
        <w:rPr>
          <w:sz w:val="20"/>
          <w:szCs w:val="20"/>
          <w:color w:val="auto"/>
        </w:rPr>
      </w:pPr>
      <w:r>
        <w:rPr>
          <w:rFonts w:ascii="Times New Roman" w:cs="Times New Roman" w:eastAsia="Times New Roman" w:hAnsi="Times New Roman"/>
          <w:sz w:val="22"/>
          <w:szCs w:val="22"/>
          <w:color w:val="auto"/>
        </w:rPr>
        <w:t>also a part hereof. Terms used in this Agreement which are not defined in this Agreement shall have the meanings used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defined in the Plan.</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Notice of Grant</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Name of recipient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6774180" cy="17252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2">
                      <a:extLst>
                        <a:ext uri="{28A0092B-C50C-407E-A947-70E740481C1C}"/>
                      </a:extLst>
                    </a:blip>
                    <a:srcRect/>
                    <a:stretch>
                      <a:fillRect/>
                    </a:stretch>
                  </pic:blipFill>
                  <pic:spPr bwMode="auto">
                    <a:xfrm>
                      <a:off x="0" y="0"/>
                      <a:ext cx="6774180" cy="1725295"/>
                    </a:xfrm>
                    <a:prstGeom prst="rect">
                      <a:avLst/>
                    </a:prstGeom>
                    <a:noFill/>
                  </pic:spPr>
                </pic:pic>
              </a:graphicData>
            </a:graphic>
          </wp:anchor>
        </w:drawing>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Grant Date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Number of RSUs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Vesting Start Date:</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Please confirm your acceptance of this restricted stock unit award and of the terms and conditions of this Agreement by signing a copy of this Agreement where indicated below.</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39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7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Name: Tim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-151130</wp:posOffset>
            </wp:positionV>
            <wp:extent cx="13284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3">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Signature of Participant</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Street Address</w:t>
      </w:r>
    </w:p>
    <w:p>
      <w:pPr>
        <w:spacing w:after="0" w:line="26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City/State/Zip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306705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600" w:top="328" w:right="479" w:bottom="1440" w:gutter="0" w:footer="0" w:header="0"/>
        </w:sectPr>
      </w:pPr>
    </w:p>
    <w:bookmarkStart w:id="169" w:name="page170"/>
    <w:bookmarkEnd w:id="169"/>
    <w:p>
      <w:pPr>
        <w:ind w:left="2920"/>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20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Restricted Stock Unit Award Agreement</w:t>
      </w:r>
    </w:p>
    <w:p>
      <w:pPr>
        <w:spacing w:after="0" w:line="1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u w:val="single" w:color="auto"/>
          <w:color w:val="auto"/>
        </w:rPr>
        <w:t>Incorporated Terms and Conditions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award of RSUs granted to the Participant hereunder is made pursuant to the Plan.</w:t>
      </w:r>
    </w:p>
    <w:p>
      <w:pPr>
        <w:spacing w:after="0" w:line="14"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2"/>
          <w:szCs w:val="22"/>
          <w:color w:val="auto"/>
        </w:rPr>
        <w:t>The terms and conditions of the award of RSUs made to the Participant, as set forth in the Notice of Grant that forms part of this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are as follows:</w:t>
      </w:r>
    </w:p>
    <w:p>
      <w:pPr>
        <w:spacing w:after="0" w:line="192" w:lineRule="exact"/>
        <w:rPr>
          <w:sz w:val="20"/>
          <w:szCs w:val="20"/>
          <w:color w:val="auto"/>
        </w:rPr>
      </w:pPr>
    </w:p>
    <w:p>
      <w:pPr>
        <w:ind w:left="760" w:hanging="754"/>
        <w:spacing w:after="0"/>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The RSUs are issued to the Participant, effective as of the Grant Date set forth in the Notice of Grant, in consideration of employment services to be rendered by the Participant to the Company.</w:t>
      </w:r>
    </w:p>
    <w:p>
      <w:pPr>
        <w:spacing w:after="0" w:line="145" w:lineRule="exact"/>
        <w:rPr>
          <w:sz w:val="20"/>
          <w:szCs w:val="20"/>
          <w:color w:val="auto"/>
        </w:rPr>
      </w:pPr>
    </w:p>
    <w:p>
      <w:pPr>
        <w:ind w:right="160" w:firstLine="6"/>
        <w:spacing w:after="0" w:line="235" w:lineRule="auto"/>
        <w:tabs>
          <w:tab w:leader="none" w:pos="46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Unless otherwise provided in this Agreement or in the Plan, the RSUs shall vest in accordance with the vesting schedule set forth in the Notice of Grant. Any fractional shares that would otherwise vest as of a particular date will be rounded down and carried forward to the next vesting date until a whole share can be issued. Upon the vesting of this award, the Company shall deliver, for each RSU that becomes vested, one (1) share of Common Stock (as defined in the Plan). The Common Stock shall be delivered as soon as practicable following each vesting date or event set forth in the Notice of Grant, but in any case, within thirty (30) days after such date or event.</w:t>
      </w:r>
    </w:p>
    <w:p>
      <w:pPr>
        <w:spacing w:after="0" w:line="196" w:lineRule="exact"/>
        <w:rPr>
          <w:rFonts w:ascii="Times New Roman" w:cs="Times New Roman" w:eastAsia="Times New Roman" w:hAnsi="Times New Roman"/>
          <w:sz w:val="22"/>
          <w:szCs w:val="22"/>
          <w:color w:val="auto"/>
        </w:rPr>
      </w:pPr>
    </w:p>
    <w:p>
      <w:pPr>
        <w:ind w:left="760" w:hanging="754"/>
        <w:spacing w:after="0"/>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749"/>
        <w:spacing w:after="0" w:line="248" w:lineRule="auto"/>
        <w:rPr>
          <w:sz w:val="20"/>
          <w:szCs w:val="20"/>
          <w:color w:val="auto"/>
        </w:rPr>
      </w:pPr>
      <w:r>
        <w:rPr>
          <w:rFonts w:ascii="Times New Roman" w:cs="Times New Roman" w:eastAsia="Times New Roman" w:hAnsi="Times New Roman"/>
          <w:sz w:val="21"/>
          <w:szCs w:val="21"/>
          <w:color w:val="auto"/>
        </w:rPr>
        <w:t>Notwithstanding any other provision of the Plan to the contrary, if the Participant ceases to be an employee of the Company for any reason or no reason, with or without cause, all of the RSUs that are unvested as of the time of such cessation shall be forfeited immediately and automatically to the Company, without the payment of any consideration to the Participant, effective as of such cessation. The Participant shall have no further rights with respect to any RSUs that are so forfeited. If the Participant is an employee of a subsidiary of the Company, any references in this Agreement to employment by the Company shall instead be deemed to refer to employment by or a relationship with such subsidiary.</w:t>
      </w:r>
    </w:p>
    <w:p>
      <w:pPr>
        <w:spacing w:after="0" w:line="184"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 other provision of the Plan, this Agreement or any other agreement (written or oral) to the contrary, the Participant shall not be entitled (and by entering into this Agreement, hereby irrevocably waives any such entitlement) to any payment or other benefit to compensate the Participant for the loss of any rights under the Plan as a result of the termination or expiration of an award in connection with any termination of the Participant’s employment with the Company.</w:t>
      </w:r>
    </w:p>
    <w:p>
      <w:pPr>
        <w:spacing w:after="0" w:line="163" w:lineRule="exact"/>
        <w:rPr>
          <w:sz w:val="20"/>
          <w:szCs w:val="20"/>
          <w:color w:val="auto"/>
        </w:rPr>
      </w:pPr>
    </w:p>
    <w:p>
      <w:pPr>
        <w:ind w:left="760" w:hanging="754"/>
        <w:spacing w:after="0"/>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700" w:firstLine="749"/>
        <w:spacing w:after="0" w:line="258" w:lineRule="auto"/>
        <w:rPr>
          <w:sz w:val="20"/>
          <w:szCs w:val="20"/>
          <w:color w:val="auto"/>
        </w:rPr>
      </w:pPr>
      <w:r>
        <w:rPr>
          <w:rFonts w:ascii="Times New Roman" w:cs="Times New Roman" w:eastAsia="Times New Roman" w:hAnsi="Times New Roman"/>
          <w:sz w:val="22"/>
          <w:szCs w:val="22"/>
          <w:color w:val="auto"/>
        </w:rPr>
        <w:t>Except as set forth in the Plan, this award may not be sold, assigned, transferred, pledged or otherwise encumbered by the Participant, either voluntarily or by operation of law or otherwise.</w:t>
      </w:r>
    </w:p>
    <w:p>
      <w:pPr>
        <w:spacing w:after="0" w:line="200" w:lineRule="exact"/>
        <w:rPr>
          <w:sz w:val="20"/>
          <w:szCs w:val="20"/>
          <w:color w:val="auto"/>
        </w:rPr>
      </w:pPr>
    </w:p>
    <w:p>
      <w:pPr>
        <w:spacing w:after="0" w:line="2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906780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80"/>
          </w:cols>
          <w:pgMar w:left="1340" w:top="1395" w:right="1179" w:bottom="1440" w:gutter="0" w:footer="0" w:header="0"/>
        </w:sectPr>
      </w:pPr>
    </w:p>
    <w:bookmarkStart w:id="170" w:name="page171"/>
    <w:bookmarkEnd w:id="170"/>
    <w:p>
      <w:pPr>
        <w:ind w:left="760" w:hanging="754"/>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The Participant shall have no rights as a stockholder of the Company with respect to any shares of Common Stock underlying or relating to any award until the issuance of such Common Stock to the Participant in respect of such award.</w:t>
      </w:r>
    </w:p>
    <w:p>
      <w:pPr>
        <w:spacing w:after="0" w:line="173" w:lineRule="exact"/>
        <w:rPr>
          <w:sz w:val="20"/>
          <w:szCs w:val="20"/>
          <w:color w:val="auto"/>
        </w:rPr>
      </w:pPr>
    </w:p>
    <w:p>
      <w:pPr>
        <w:ind w:left="760" w:hanging="754"/>
        <w:spacing w:after="0"/>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60" w:firstLine="749"/>
        <w:spacing w:after="0" w:line="258" w:lineRule="auto"/>
        <w:rPr>
          <w:sz w:val="20"/>
          <w:szCs w:val="20"/>
          <w:color w:val="auto"/>
        </w:rPr>
      </w:pPr>
      <w:r>
        <w:rPr>
          <w:rFonts w:ascii="Times New Roman" w:cs="Times New Roman" w:eastAsia="Times New Roman" w:hAnsi="Times New Roman"/>
          <w:sz w:val="22"/>
          <w:szCs w:val="22"/>
          <w:color w:val="auto"/>
        </w:rPr>
        <w:t>This Agreement is subject to the provisions of the Plan, a copy of which is furnished to the Participant with this Agreement.</w:t>
      </w:r>
    </w:p>
    <w:p>
      <w:pPr>
        <w:spacing w:after="0" w:line="145" w:lineRule="exact"/>
        <w:rPr>
          <w:sz w:val="20"/>
          <w:szCs w:val="20"/>
          <w:color w:val="auto"/>
        </w:rPr>
      </w:pPr>
    </w:p>
    <w:p>
      <w:pPr>
        <w:ind w:left="760" w:hanging="754"/>
        <w:spacing w:after="0"/>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Acknowledgments; No Section 83(b) Election</w:t>
      </w:r>
      <w:r>
        <w:rPr>
          <w:rFonts w:ascii="Times New Roman" w:cs="Times New Roman" w:eastAsia="Times New Roman" w:hAnsi="Times New Roman"/>
          <w:sz w:val="22"/>
          <w:szCs w:val="22"/>
          <w:color w:val="auto"/>
        </w:rPr>
        <w:t>. The Participant acknowledges that he or she is responsible for obtaining the advice of the Participant’s own tax advisors with respect to the award of RSUs and the Participant is relying solely on such advisors and not on any statements or representations of the Company or any of its agents with respect to the tax consequences relating to the RSUs. The Participant understands that the Participant (and not the Company) shall be responsible for the Participant’s tax liability that may arise in connection with the acquisition, vesting and/or disposition of the RSUs. The Participant acknowledges that no election under Section 83(b) of the Internal Revenue Code, as amended, is available with respect to RSUs.</w:t>
      </w:r>
    </w:p>
    <w:p>
      <w:pPr>
        <w:spacing w:after="0" w:line="165"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Withholding. The</w:t>
      </w:r>
      <w:r>
        <w:rPr>
          <w:rFonts w:ascii="Times New Roman" w:cs="Times New Roman" w:eastAsia="Times New Roman" w:hAnsi="Times New Roman"/>
          <w:sz w:val="22"/>
          <w:szCs w:val="22"/>
          <w:color w:val="auto"/>
        </w:rPr>
        <w:t xml:space="preserve"> Participant acknowledges and agrees that the Company has the right to deduct from payments of any kind otherwise due to the Participant any federal, state, local or other taxes of any kind required by law to be withheld with respect to the vesting of the RSUs. At such time as the Participant is not aware of any material nonpublic information about the Company or the Common Stock and is not subject to a blackout period under the Company’s insider trading policy, the Participant shall execute the instructions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Automatic Sale Instructions</w:t>
      </w:r>
      <w:r>
        <w:rPr>
          <w:rFonts w:ascii="Times New Roman" w:cs="Times New Roman" w:eastAsia="Times New Roman" w:hAnsi="Times New Roman"/>
          <w:sz w:val="22"/>
          <w:szCs w:val="22"/>
          <w:color w:val="auto"/>
        </w:rPr>
        <w:t>”) as the means of satisfying such tax obligation. If the Participant does not execute the Automatic Sale Instructions prior to an applicable vesting date, then the Participant agrees that, if under applicable law the Participant will owe taxes at such vesting date on the portion of the Award then vested, the Company shall be entitled to immediate payment from the Participant of the amount of any tax required to be withheld by the Company. Notwithstanding the foregoing, if the Participant is unable to execute the Automatic Sale Instructions prior to one or more vesting dates or events under this RSU Award because the Participant has been in continuous possession of material nonpublic information about the Company or the Common Stock or otherwise subject to a blackout period between the Grant Date of the RSU Award and the applicable vesting date or event, then the Participant acknowledges and agrees that the withholding shall be satisfied by the Company retaining from the number of shares of Common Stock otherwise issuable to the Participant on the applicable vesting date or event a number of shares of Common Stock having a fair market value equal to the amount of withholding tax required to be paid to the Company by the Participant. The Company is not obligated to, and shall not, deliver any shares of Common Stock to the Participant until it is satisfied that all required withholdings have been made.</w:t>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906780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40" w:top="1395" w:right="1299" w:bottom="1440" w:gutter="0" w:footer="0" w:header="0"/>
        </w:sectPr>
      </w:pPr>
    </w:p>
    <w:bookmarkStart w:id="171" w:name="page172"/>
    <w:bookmarkEnd w:id="171"/>
    <w:p>
      <w:pPr>
        <w:ind w:left="760" w:hanging="754"/>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No Right to Continued Employment</w:t>
      </w:r>
      <w:r>
        <w:rPr>
          <w:rFonts w:ascii="Times New Roman" w:cs="Times New Roman" w:eastAsia="Times New Roman" w:hAnsi="Times New Roman"/>
          <w:sz w:val="21"/>
          <w:szCs w:val="21"/>
          <w:color w:val="auto"/>
        </w:rPr>
        <w:t>. The Participant acknowledges and agrees that, notwithstanding the fact that the vesting of the RSUs is contingent upon his continued employment by the Company, this Agreement does not constitute an express or implied promise of continued employment or confer upon the Participant any rights with respect to continued employment with the Company.</w:t>
      </w:r>
    </w:p>
    <w:p>
      <w:pPr>
        <w:spacing w:after="0" w:line="175" w:lineRule="exact"/>
        <w:rPr>
          <w:sz w:val="20"/>
          <w:szCs w:val="20"/>
          <w:color w:val="auto"/>
        </w:rPr>
      </w:pPr>
    </w:p>
    <w:p>
      <w:pPr>
        <w:ind w:right="400" w:firstLine="749"/>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interpreted and enforced in accordance with the internal laws of the State of Delaware without regard to any applicable conflicts of laws provisions.</w:t>
      </w:r>
    </w:p>
    <w:p>
      <w:pPr>
        <w:spacing w:after="0" w:line="16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Participant’s Acknowledgments</w:t>
      </w:r>
      <w:r>
        <w:rPr>
          <w:rFonts w:ascii="Times New Roman" w:cs="Times New Roman" w:eastAsia="Times New Roman" w:hAnsi="Times New Roman"/>
          <w:sz w:val="22"/>
          <w:szCs w:val="22"/>
          <w:color w:val="auto"/>
        </w:rPr>
        <w:t>. The Participant acknowledges that he or she has read this Agreement, has received and read the Plan, and understands the terms and conditions of this Agreement and the Plan.</w:t>
      </w: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898525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340" w:top="1395" w:right="1199" w:bottom="1440" w:gutter="0" w:footer="0" w:header="0"/>
        </w:sectPr>
      </w:pPr>
    </w:p>
    <w:bookmarkStart w:id="172" w:name="page173"/>
    <w:bookmarkEnd w:id="172"/>
    <w:p>
      <w:pPr>
        <w:ind w:left="4340"/>
        <w:spacing w:after="0"/>
        <w:rPr>
          <w:sz w:val="20"/>
          <w:szCs w:val="20"/>
          <w:color w:val="auto"/>
        </w:rPr>
      </w:pPr>
      <w:r>
        <w:rPr>
          <w:rFonts w:ascii="Times New Roman" w:cs="Times New Roman" w:eastAsia="Times New Roman" w:hAnsi="Times New Roman"/>
          <w:sz w:val="22"/>
          <w:szCs w:val="22"/>
          <w:b w:val="1"/>
          <w:bCs w:val="1"/>
          <w:color w:val="auto"/>
        </w:rPr>
        <w:t>Exhibit A Automatic</w:t>
      </w:r>
    </w:p>
    <w:p>
      <w:pPr>
        <w:spacing w:after="0" w:line="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Sale Instructions</w:t>
      </w:r>
    </w:p>
    <w:p>
      <w:pPr>
        <w:spacing w:after="0" w:line="230" w:lineRule="auto"/>
        <w:rPr>
          <w:sz w:val="20"/>
          <w:szCs w:val="20"/>
          <w:color w:val="auto"/>
        </w:rPr>
      </w:pPr>
      <w:r>
        <w:rPr>
          <w:rFonts w:ascii="Times New Roman" w:cs="Times New Roman" w:eastAsia="Times New Roman" w:hAnsi="Times New Roman"/>
          <w:sz w:val="22"/>
          <w:szCs w:val="22"/>
          <w:color w:val="auto"/>
        </w:rPr>
        <w:t>The undersigned hereby consents and agrees that any taxes due on a vesting date as a result of the vesting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RSUs on such date shall be paid through an automatic sale of shares as follows:</w:t>
      </w:r>
    </w:p>
    <w:p>
      <w:pPr>
        <w:spacing w:after="0" w:line="182" w:lineRule="exact"/>
        <w:rPr>
          <w:sz w:val="20"/>
          <w:szCs w:val="20"/>
          <w:color w:val="auto"/>
        </w:rPr>
      </w:pPr>
    </w:p>
    <w:p>
      <w:pPr>
        <w:ind w:right="260" w:firstLine="744"/>
        <w:spacing w:after="0" w:line="235" w:lineRule="auto"/>
        <w:tabs>
          <w:tab w:leader="none" w:pos="102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vesting of RSUs pursuant to Section 2 hereof, the Company shall arrange for the sale of such number of shares of Common Stock issuable with respect to the RSUs that vest pursuant to Section 2 as is sufficient to generate net proceeds sufficient to satisfy the Company’s minimum statutory withholding obligations with respect to the income recognized by the Participant upon the vesting of the RSUs (based on minimum statutory withholding rates for all tax purposes, including payroll and social security taxes, that are applicable to such income), and the Company shall retain such net proceeds in satisfaction of such tax withholding obligations.</w:t>
      </w:r>
    </w:p>
    <w:p>
      <w:pPr>
        <w:spacing w:after="0" w:line="183" w:lineRule="exact"/>
        <w:rPr>
          <w:sz w:val="20"/>
          <w:szCs w:val="20"/>
          <w:color w:val="auto"/>
        </w:rPr>
      </w:pPr>
    </w:p>
    <w:p>
      <w:pPr>
        <w:ind w:right="760" w:firstLine="749"/>
        <w:spacing w:after="0" w:line="239" w:lineRule="auto"/>
        <w:rPr>
          <w:sz w:val="20"/>
          <w:szCs w:val="20"/>
          <w:color w:val="auto"/>
        </w:rPr>
      </w:pPr>
      <w:r>
        <w:rPr>
          <w:rFonts w:ascii="Times New Roman" w:cs="Times New Roman" w:eastAsia="Times New Roman" w:hAnsi="Times New Roman"/>
          <w:sz w:val="22"/>
          <w:szCs w:val="22"/>
          <w:color w:val="auto"/>
        </w:rPr>
        <w:t>(b)The Participant hereby appoints the Chief Financial Officer and/ or the General Counsel of the Company as his attorney in fact to sell the Participant’s Common Stock in accordance with this Exhibit A. The Participant agrees to execute and deliver such documents, instruments and certificates as may reasonably be required in connection with the sale of the Shares pursuant to this Exhibit A.</w:t>
      </w:r>
    </w:p>
    <w:p>
      <w:pPr>
        <w:spacing w:after="0" w:line="194" w:lineRule="exact"/>
        <w:rPr>
          <w:sz w:val="20"/>
          <w:szCs w:val="20"/>
          <w:color w:val="auto"/>
        </w:rPr>
      </w:pPr>
    </w:p>
    <w:p>
      <w:pPr>
        <w:ind w:right="220" w:firstLine="744"/>
        <w:spacing w:after="0" w:line="236" w:lineRule="auto"/>
        <w:tabs>
          <w:tab w:leader="none" w:pos="103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represents to the Company that, as of the date hereof, he or she is not aware of any material nonpublic information about the Company or the Common Stock and is not subject to a blackout period under the Company’s insider trading policy. The Participant and the Company have structured this Agreement, including this Exhibit A, to constitute a “binding contract” relating to the sale of Common Stock, consistent with the affirmative defense to liability under Section 10(b) of the Securities Exchange Act of 1934 under Rule 10b5-1(c) promulgated under such Act.</w:t>
      </w:r>
    </w:p>
    <w:p>
      <w:pPr>
        <w:spacing w:after="0" w:line="181" w:lineRule="exact"/>
        <w:rPr>
          <w:rFonts w:ascii="Times New Roman" w:cs="Times New Roman" w:eastAsia="Times New Roman" w:hAnsi="Times New Roman"/>
          <w:sz w:val="22"/>
          <w:szCs w:val="22"/>
          <w:color w:val="auto"/>
        </w:rPr>
      </w:pPr>
    </w:p>
    <w:p>
      <w:pPr>
        <w:ind w:right="320" w:firstLine="744"/>
        <w:spacing w:after="0" w:line="251" w:lineRule="auto"/>
        <w:tabs>
          <w:tab w:leader="none" w:pos="102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Participant may tender cash sufficient to satisfy the Company’s minimum statutory withholding obligations with respect to the income recognized by the Participant upon the vesting of the RSUs (based on minimum statutory withholding rates for all tax purposes, including payroll and social security taxes, that are applicable to such income) by providing the Company with written notice and sufficient funds at least five (5) business days before the applicable vesting.</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Participant acknowledges that the Company is not obligated to, and will not, deliver any shares of Common Stock to the Participant until it is satisfied that all required withholdings have been made.</w:t>
      </w:r>
    </w:p>
    <w:p>
      <w:pPr>
        <w:spacing w:after="0" w:line="200" w:lineRule="exact"/>
        <w:rPr>
          <w:sz w:val="20"/>
          <w:szCs w:val="20"/>
          <w:color w:val="auto"/>
        </w:rPr>
      </w:pPr>
    </w:p>
    <w:p>
      <w:pPr>
        <w:spacing w:after="0" w:line="2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Participant Name:</w:t>
      </w:r>
    </w:p>
    <w:p>
      <w:pPr>
        <w:spacing w:after="0" w:line="200" w:lineRule="exact"/>
        <w:rPr>
          <w:sz w:val="20"/>
          <w:szCs w:val="20"/>
          <w:color w:val="auto"/>
        </w:rPr>
      </w:pP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3902710</wp:posOffset>
            </wp:positionH>
            <wp:positionV relativeFrom="paragraph">
              <wp:posOffset>-13970</wp:posOffset>
            </wp:positionV>
            <wp:extent cx="2171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8">
                      <a:extLst>
                        <a:ext uri="{28A0092B-C50C-407E-A947-70E740481C1C}"/>
                      </a:extLst>
                    </a:blip>
                    <a:srcRect/>
                    <a:stretch>
                      <a:fillRect/>
                    </a:stretch>
                  </pic:blipFill>
                  <pic:spPr bwMode="auto">
                    <a:xfrm>
                      <a:off x="0" y="0"/>
                      <a:ext cx="21717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906780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320" w:top="891" w:right="819" w:bottom="1440" w:gutter="0" w:footer="0" w:header="0"/>
        </w:sectPr>
      </w:pPr>
    </w:p>
    <w:bookmarkStart w:id="173" w:name="page174"/>
    <w:bookmarkEnd w:id="173"/>
    <w:p>
      <w:pPr>
        <w:spacing w:after="0" w:line="217"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APELLIS PHARMACEUTICALS, INC.</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191"/>
        </w:trPr>
        <w:tc>
          <w:tcPr>
            <w:tcW w:w="1820" w:type="dxa"/>
            <w:vAlign w:val="bottom"/>
          </w:tcPr>
          <w:p>
            <w:pPr>
              <w:spacing w:after="0"/>
              <w:rPr>
                <w:sz w:val="16"/>
                <w:szCs w:val="16"/>
                <w:color w:val="auto"/>
              </w:rPr>
            </w:pPr>
          </w:p>
        </w:tc>
        <w:tc>
          <w:tcPr>
            <w:tcW w:w="3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Apellis Australia Pty Ltd.</w:t>
            </w:r>
          </w:p>
        </w:tc>
        <w:tc>
          <w:tcPr>
            <w:tcW w:w="420" w:type="dxa"/>
            <w:vAlign w:val="bottom"/>
          </w:tcPr>
          <w:p>
            <w:pPr>
              <w:spacing w:after="0"/>
              <w:rPr>
                <w:sz w:val="16"/>
                <w:szCs w:val="16"/>
                <w:color w:val="auto"/>
              </w:rPr>
            </w:pPr>
          </w:p>
        </w:tc>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Australia</w:t>
            </w:r>
          </w:p>
        </w:tc>
        <w:tc>
          <w:tcPr>
            <w:tcW w:w="1800" w:type="dxa"/>
            <w:vAlign w:val="bottom"/>
          </w:tcPr>
          <w:p>
            <w:pPr>
              <w:spacing w:after="0"/>
              <w:rPr>
                <w:sz w:val="16"/>
                <w:szCs w:val="16"/>
                <w:color w:val="auto"/>
              </w:rPr>
            </w:pP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Austria GmbH</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Bermuda Ltd.</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Bermuda</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Canada Inc.</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DEL Holdings, LLC</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Europe B.V.</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Germany GmbH</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France S.A.S.</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International GmbH</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Ireland Ltd.</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Italy S.r.I.</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Netherlands, B.V.</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Schweiz GmbH</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Sweden AB</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U.K. Limited</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MA Securities, Inc.</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Sales I LLC</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PRG I Corporation</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1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APLSPRJ MRS, Inc.</w:t>
            </w:r>
          </w:p>
        </w:tc>
        <w:tc>
          <w:tcPr>
            <w:tcW w:w="5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23"/>
        </w:trPr>
        <w:tc>
          <w:tcPr>
            <w:tcW w:w="18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333-221528, 333-229876, 333-236708, 333-236710, 333-253518, 333-263100, 333-269888, 333-277381 and 333-285393 on Form S-8 of our reports dated February 24, 2026, relating to the financial statements of Apellis Pharmaceuticals, Inc. and the effectiveness of Apellis Pharmaceuticals, Inc.’s internal control over financial reporting appearing in this Annual Report on Form 10-K for the year ended December 31,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198"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Apellis Pharmaceuticals,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60" w:val="left"/>
          <w:tab w:leader="none" w:pos="798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3">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E. Sullivan, certify that:</w:t>
      </w:r>
    </w:p>
    <w:p>
      <w:pPr>
        <w:spacing w:after="0" w:line="198"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Apellis Pharmaceuticals,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60" w:val="left"/>
          <w:tab w:leader="none" w:pos="782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Apellis Pharmaceuticals, Inc. (the “Company”) on Form 10-K for the year ending December 31, 2025 as filed with the Securities and Exchange Commission on the date hereof (the “Report”), the undersigned, Cedric Francois, the Chief Executive Officer and President of the Company, hereby certifies, pursuant to 18 U.S.C. § 1350, as adopted pursuant to § 906 of the Sarbanes-Oxley Act of 2002, that, to the best of his knowledge:</w:t>
      </w:r>
    </w:p>
    <w:p>
      <w:pPr>
        <w:spacing w:after="0" w:line="180" w:lineRule="exact"/>
        <w:rPr>
          <w:sz w:val="20"/>
          <w:szCs w:val="20"/>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Apellis Pharmaceuticals, Inc. (the “Company”) on Form 10-K for the year ending December 31, 2025 as filed with the Securities and Exchange Commission on the date hereof (the “Report”), the undersigned, Timothy Sullivan, Chief Financial Officer and Treasurer of the Company, hereby certifies, pursuant to 18 U.S.C. § 1350, as adopted pursuant to § 906 of the Sarbanes-Oxley Act of 2002, that, to the best of his knowledge:</w:t>
      </w:r>
    </w:p>
    <w:p>
      <w:pPr>
        <w:spacing w:after="0" w:line="180"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9" w:name="page180"/>
    <w:bookmarkEnd w:id="1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lvl w:ilvl="1">
      <w:lvlJc w:val="left"/>
      <w:lvlText w:val="o"/>
      <w:numFmt w:val="bullet"/>
      <w:start w:val="1"/>
    </w:lvl>
  </w:abstractNum>
  <w:abstractNum w:abstractNumId="52">
    <w:nsid w:val="5F5E7FD0"/>
    <w:multiLevelType w:val="hybridMultilevel"/>
    <w:lvl w:ilvl="0">
      <w:lvlJc w:val="left"/>
      <w:lvlText w:val="%1."/>
      <w:numFmt w:val="decimal"/>
      <w:start w:val="2"/>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1"/>
      <w:numFmt w:val="decimal"/>
      <w:start w:val="104"/>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1."/>
      <w:numFmt w:val="decimal"/>
      <w:start w:val="3"/>
    </w:lvl>
  </w:abstractNum>
  <w:abstractNum w:abstractNumId="63">
    <w:nsid w:val="51D9C564"/>
    <w:multiLevelType w:val="hybridMultilevel"/>
    <w:lvl w:ilvl="0">
      <w:lvlJc w:val="left"/>
      <w:lvlText w:val="%1."/>
      <w:numFmt w:val="decimal"/>
      <w:start w:val="5"/>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3"/>
    </w:lvl>
  </w:abstractNum>
  <w:abstractNum w:abstractNumId="67">
    <w:nsid w:val="42963E5A"/>
    <w:multiLevelType w:val="hybridMultilevel"/>
    <w:lvl w:ilvl="0">
      <w:lvlJc w:val="left"/>
      <w:lvlText w:val="%1."/>
      <w:numFmt w:val="decimal"/>
      <w:start w:val="7"/>
    </w:lvl>
  </w:abstractNum>
  <w:abstractNum w:abstractNumId="68">
    <w:nsid w:val="A0382C5"/>
    <w:multiLevelType w:val="hybridMultilevel"/>
    <w:lvl w:ilvl="0">
      <w:lvlJc w:val="left"/>
      <w:lvlText w:val="%1."/>
      <w:numFmt w:val="decimal"/>
      <w:start w:val="8"/>
    </w:lvl>
  </w:abstractNum>
  <w:abstractNum w:abstractNumId="69">
    <w:nsid w:val="8F2B15E"/>
    <w:multiLevelType w:val="hybridMultilevel"/>
    <w:lvl w:ilvl="0">
      <w:lvlJc w:val="left"/>
      <w:lvlText w:val="%1."/>
      <w:numFmt w:val="decimal"/>
      <w:start w:val="9"/>
    </w:lvl>
  </w:abstractNum>
  <w:abstractNum w:abstractNumId="70">
    <w:nsid w:val="1A32234B"/>
    <w:multiLevelType w:val="hybridMultilevel"/>
    <w:lvl w:ilvl="0">
      <w:lvlJc w:val="left"/>
      <w:lvlText w:val="%1."/>
      <w:numFmt w:val="decimal"/>
      <w:start w:val="13"/>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1."/>
      <w:numFmt w:val="decimal"/>
      <w:start w:val="3"/>
    </w:lvl>
    <w:lvl w:ilvl="1">
      <w:lvlJc w:val="left"/>
      <w:lvlText w:val="(%2)"/>
      <w:numFmt w:val="lowerRoman"/>
      <w:start w:val="2"/>
    </w:lvl>
    <w:lvl w:ilvl="2">
      <w:lvlJc w:val="left"/>
      <w:lvlText w:val="(%3)"/>
      <w:numFmt w:val="upperLetter"/>
      <w:start w:val="2"/>
    </w:lvl>
  </w:abstractNum>
  <w:abstractNum w:abstractNumId="73">
    <w:nsid w:val="4962813B"/>
    <w:multiLevelType w:val="hybridMultilevel"/>
    <w:lvl w:ilvl="0">
      <w:lvlJc w:val="left"/>
      <w:lvlText w:val="%1."/>
      <w:numFmt w:val="decimal"/>
      <w:start w:val="6"/>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decimal"/>
      <w:start w:val="2"/>
    </w:lvl>
  </w:abstractNum>
  <w:abstractNum w:abstractNumId="76">
    <w:nsid w:val="14330624"/>
    <w:multiLevelType w:val="hybridMultilevel"/>
    <w:lvl w:ilvl="0">
      <w:lvlJc w:val="left"/>
      <w:lvlText w:val="%1."/>
      <w:numFmt w:val="decimal"/>
      <w:start w:val="4"/>
    </w:lvl>
  </w:abstractNum>
  <w:abstractNum w:abstractNumId="77">
    <w:nsid w:val="7FFFCA11"/>
    <w:multiLevelType w:val="hybridMultilevel"/>
    <w:lvl w:ilvl="0">
      <w:lvlJc w:val="left"/>
      <w:lvlText w:val="%1."/>
      <w:numFmt w:val="decimal"/>
      <w:start w:val="5"/>
    </w:lvl>
  </w:abstractNum>
  <w:abstractNum w:abstractNumId="78">
    <w:nsid w:val="1A27709E"/>
    <w:multiLevelType w:val="hybridMultilevel"/>
    <w:lvl w:ilvl="0">
      <w:lvlJc w:val="left"/>
      <w:lvlText w:val="%1."/>
      <w:numFmt w:val="decimal"/>
      <w:start w:val="6"/>
    </w:lvl>
  </w:abstractNum>
  <w:abstractNum w:abstractNumId="79">
    <w:nsid w:val="71EA1109"/>
    <w:multiLevelType w:val="hybridMultilevel"/>
    <w:lvl w:ilvl="0">
      <w:lvlJc w:val="left"/>
      <w:lvlText w:val="%1."/>
      <w:numFmt w:val="decimal"/>
      <w:start w:val="7"/>
    </w:lvl>
  </w:abstractNum>
  <w:abstractNum w:abstractNumId="80">
    <w:nsid w:val="100F59DC"/>
    <w:multiLevelType w:val="hybridMultilevel"/>
    <w:lvl w:ilvl="0">
      <w:lvlJc w:val="left"/>
      <w:lvlText w:val="%1."/>
      <w:numFmt w:val="decimal"/>
      <w:start w:val="8"/>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1)"/>
      <w:numFmt w:val="lowerLetter"/>
      <w:start w:val="3"/>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92" Type="http://schemas.openxmlformats.org/officeDocument/2006/relationships/image" Target="media/image369.png"/><Relationship Id="rId414" Type="http://schemas.openxmlformats.org/officeDocument/2006/relationships/image" Target="media/image370.png"/><Relationship Id="rId416" Type="http://schemas.openxmlformats.org/officeDocument/2006/relationships/image" Target="media/image371.png"/><Relationship Id="rId417" Type="http://schemas.openxmlformats.org/officeDocument/2006/relationships/image" Target="media/image372.png"/><Relationship Id="rId418" Type="http://schemas.openxmlformats.org/officeDocument/2006/relationships/image" Target="media/image373.png"/><Relationship Id="rId419" Type="http://schemas.openxmlformats.org/officeDocument/2006/relationships/image" Target="media/image374.png"/><Relationship Id="rId420" Type="http://schemas.openxmlformats.org/officeDocument/2006/relationships/image" Target="media/image375.png"/><Relationship Id="rId421" Type="http://schemas.openxmlformats.org/officeDocument/2006/relationships/image" Target="media/image376.png"/><Relationship Id="rId422" Type="http://schemas.openxmlformats.org/officeDocument/2006/relationships/image" Target="media/image377.png"/><Relationship Id="rId423" Type="http://schemas.openxmlformats.org/officeDocument/2006/relationships/image" Target="media/image378.png"/><Relationship Id="rId424" Type="http://schemas.openxmlformats.org/officeDocument/2006/relationships/image" Target="media/image379.png"/><Relationship Id="rId425" Type="http://schemas.openxmlformats.org/officeDocument/2006/relationships/image" Target="media/image380.png"/><Relationship Id="rId426" Type="http://schemas.openxmlformats.org/officeDocument/2006/relationships/image" Target="media/image381.png"/><Relationship Id="rId427" Type="http://schemas.openxmlformats.org/officeDocument/2006/relationships/image" Target="media/image382.png"/><Relationship Id="rId428" Type="http://schemas.openxmlformats.org/officeDocument/2006/relationships/image" Target="media/image383.png"/><Relationship Id="rId429" Type="http://schemas.openxmlformats.org/officeDocument/2006/relationships/image" Target="media/image384.png"/><Relationship Id="rId430" Type="http://schemas.openxmlformats.org/officeDocument/2006/relationships/image" Target="media/image385.png"/><Relationship Id="rId431" Type="http://schemas.openxmlformats.org/officeDocument/2006/relationships/image" Target="media/image386.jpeg"/><Relationship Id="rId432" Type="http://schemas.openxmlformats.org/officeDocument/2006/relationships/image" Target="media/image387.png"/><Relationship Id="rId433" Type="http://schemas.openxmlformats.org/officeDocument/2006/relationships/image" Target="media/image388.png"/><Relationship Id="rId434" Type="http://schemas.openxmlformats.org/officeDocument/2006/relationships/image" Target="media/image389.png"/><Relationship Id="rId435" Type="http://schemas.openxmlformats.org/officeDocument/2006/relationships/image" Target="media/image390.png"/><Relationship Id="rId436" Type="http://schemas.openxmlformats.org/officeDocument/2006/relationships/image" Target="media/image391.png"/><Relationship Id="rId437" Type="http://schemas.openxmlformats.org/officeDocument/2006/relationships/image" Target="media/image392.png"/><Relationship Id="rId438" Type="http://schemas.openxmlformats.org/officeDocument/2006/relationships/image" Target="media/image393.png"/><Relationship Id="rId439" Type="http://schemas.openxmlformats.org/officeDocument/2006/relationships/image" Target="media/image394.png"/><Relationship Id="rId440" Type="http://schemas.openxmlformats.org/officeDocument/2006/relationships/image" Target="media/image395.png"/><Relationship Id="rId441" Type="http://schemas.openxmlformats.org/officeDocument/2006/relationships/image" Target="media/image396.png"/><Relationship Id="rId442" Type="http://schemas.openxmlformats.org/officeDocument/2006/relationships/image" Target="media/image397.png"/><Relationship Id="rId443" Type="http://schemas.openxmlformats.org/officeDocument/2006/relationships/image" Target="media/image398.png"/><Relationship Id="rId444" Type="http://schemas.openxmlformats.org/officeDocument/2006/relationships/image" Target="media/image399.png"/><Relationship Id="rId445" Type="http://schemas.openxmlformats.org/officeDocument/2006/relationships/image" Target="media/image400.png"/><Relationship Id="rId446" Type="http://schemas.openxmlformats.org/officeDocument/2006/relationships/image" Target="media/image401.png"/><Relationship Id="rId447" Type="http://schemas.openxmlformats.org/officeDocument/2006/relationships/image" Target="media/image402.png"/><Relationship Id="rId448" Type="http://schemas.openxmlformats.org/officeDocument/2006/relationships/image" Target="media/image403.png"/><Relationship Id="rId449" Type="http://schemas.openxmlformats.org/officeDocument/2006/relationships/image" Target="media/image404.png"/><Relationship Id="rId450" Type="http://schemas.openxmlformats.org/officeDocument/2006/relationships/image" Target="media/image405.png"/><Relationship Id="rId451" Type="http://schemas.openxmlformats.org/officeDocument/2006/relationships/image" Target="media/image406.png"/><Relationship Id="rId452" Type="http://schemas.openxmlformats.org/officeDocument/2006/relationships/image" Target="media/image407.png"/><Relationship Id="rId453" Type="http://schemas.openxmlformats.org/officeDocument/2006/relationships/image" Target="media/image408.png"/><Relationship Id="rId454" Type="http://schemas.openxmlformats.org/officeDocument/2006/relationships/image" Target="media/image409.png"/><Relationship Id="rId455" Type="http://schemas.openxmlformats.org/officeDocument/2006/relationships/image" Target="media/image410.png"/><Relationship Id="rId456" Type="http://schemas.openxmlformats.org/officeDocument/2006/relationships/image" Target="media/image411.png"/><Relationship Id="rId457" Type="http://schemas.openxmlformats.org/officeDocument/2006/relationships/image" Target="media/image412.png"/><Relationship Id="rId458" Type="http://schemas.openxmlformats.org/officeDocument/2006/relationships/image" Target="media/image413.png"/><Relationship Id="rId459" Type="http://schemas.openxmlformats.org/officeDocument/2006/relationships/image" Target="media/image414.png"/><Relationship Id="rId460" Type="http://schemas.openxmlformats.org/officeDocument/2006/relationships/image" Target="media/image415.png"/><Relationship Id="rId461" Type="http://schemas.openxmlformats.org/officeDocument/2006/relationships/image" Target="media/image416.png"/><Relationship Id="rId462" Type="http://schemas.openxmlformats.org/officeDocument/2006/relationships/image" Target="media/image417.png"/><Relationship Id="rId463" Type="http://schemas.openxmlformats.org/officeDocument/2006/relationships/image" Target="media/image418.png"/><Relationship Id="rId464" Type="http://schemas.openxmlformats.org/officeDocument/2006/relationships/image" Target="media/image419.png"/><Relationship Id="rId465" Type="http://schemas.openxmlformats.org/officeDocument/2006/relationships/image" Target="media/image420.png"/><Relationship Id="rId466" Type="http://schemas.openxmlformats.org/officeDocument/2006/relationships/image" Target="media/image421.png"/><Relationship Id="rId467" Type="http://schemas.openxmlformats.org/officeDocument/2006/relationships/image" Target="media/image422.png"/><Relationship Id="rId468" Type="http://schemas.openxmlformats.org/officeDocument/2006/relationships/image" Target="media/image423.png"/><Relationship Id="rId469" Type="http://schemas.openxmlformats.org/officeDocument/2006/relationships/image" Target="media/image424.png"/><Relationship Id="rId470" Type="http://schemas.openxmlformats.org/officeDocument/2006/relationships/image" Target="media/image425.png"/><Relationship Id="rId376" Type="http://schemas.openxmlformats.org/officeDocument/2006/relationships/hyperlink" Target="https://www.sec.gov/Archives/edgar/data/1492422/000119312517309813/d445089dex21.htm" TargetMode="External"/><Relationship Id="rId377" Type="http://schemas.openxmlformats.org/officeDocument/2006/relationships/hyperlink" Target="https://www.sec.gov/Archives/edgar/data/1492422/000119312517340923/d493537dex31.htm" TargetMode="External"/><Relationship Id="rId378" Type="http://schemas.openxmlformats.org/officeDocument/2006/relationships/hyperlink" Target="https://www.sec.gov/Archives/edgar/data/1492422/000119312517340923/d493537dex32.htm" TargetMode="External"/><Relationship Id="rId379" Type="http://schemas.openxmlformats.org/officeDocument/2006/relationships/hyperlink" Target="https://www.sec.gov/Archives/edgar/data/1492422/000119312517323102/d445089dex41.htm" TargetMode="External"/><Relationship Id="rId380" Type="http://schemas.openxmlformats.org/officeDocument/2006/relationships/hyperlink" Target="https://www.sec.gov/Archives/edgar/data/1492422/000119312517309813/d445089dex42.htm" TargetMode="External"/><Relationship Id="rId381" Type="http://schemas.openxmlformats.org/officeDocument/2006/relationships/hyperlink" Target="https://www.sec.gov/Archives/edgar/data/1492422/000119312519245912/d802733dex41.htm" TargetMode="External"/><Relationship Id="rId382" Type="http://schemas.openxmlformats.org/officeDocument/2006/relationships/hyperlink" Target="https://www.sec.gov/Archives/edgar/data/1492422/000156459022007606/apls-ex44_16.htm" TargetMode="External"/><Relationship Id="rId383" Type="http://schemas.openxmlformats.org/officeDocument/2006/relationships/hyperlink" Target="https://www.sec.gov/Archives/edgar/data/1492422/000119312523047759/d454389dex41.htm" TargetMode="External"/><Relationship Id="rId384" Type="http://schemas.openxmlformats.org/officeDocument/2006/relationships/hyperlink" Target="https://www.sec.gov/Archives/edgar/data/1492422/000119312517309813/d445089dex101.htm" TargetMode="External"/><Relationship Id="rId385" Type="http://schemas.openxmlformats.org/officeDocument/2006/relationships/hyperlink" Target="https://www.sec.gov/Archives/edgar/data/1492422/000119312517309813/d445089dex102.htm" TargetMode="External"/><Relationship Id="rId386" Type="http://schemas.openxmlformats.org/officeDocument/2006/relationships/hyperlink" Target="https://www.sec.gov/Archives/edgar/data/1492422/000119312517309813/d445089dex103.htm" TargetMode="External"/><Relationship Id="rId387" Type="http://schemas.openxmlformats.org/officeDocument/2006/relationships/hyperlink" Target="https://www.sec.gov/Archives/edgar/data/1492422/000119312517324222/d445089dex104.htm" TargetMode="External"/><Relationship Id="rId388" Type="http://schemas.openxmlformats.org/officeDocument/2006/relationships/hyperlink" Target="https://www.sec.gov/Archives/edgar/data/1492422/000119312517323102/d445089dex105.htm" TargetMode="External"/><Relationship Id="rId389" Type="http://schemas.openxmlformats.org/officeDocument/2006/relationships/hyperlink" Target="https://www.sec.gov/Archives/edgar/data/1492422/000119312517323102/d445089dex106.htm" TargetMode="External"/><Relationship Id="rId390" Type="http://schemas.openxmlformats.org/officeDocument/2006/relationships/hyperlink" Target="https://www.sec.gov/Archives/edgar/data/1492422/000119312517323102/d445089dex107.htm" TargetMode="External"/><Relationship Id="rId391" Type="http://schemas.openxmlformats.org/officeDocument/2006/relationships/hyperlink" Target="https://www.sec.gov/Archives/edgar/data/1492422/000095012317008317/filename10.htm" TargetMode="External"/><Relationship Id="rId393" Type="http://schemas.openxmlformats.org/officeDocument/2006/relationships/hyperlink" Target="https://www.sec.gov/Archives/edgar/data/1492422/000119312517309813/d445089dex109.htm" TargetMode="External"/><Relationship Id="rId394" Type="http://schemas.openxmlformats.org/officeDocument/2006/relationships/hyperlink" Target="https://www.sec.gov/Archives/edgar/data/1492422/000119312517324222/d445089dex1011.htm" TargetMode="External"/><Relationship Id="rId395" Type="http://schemas.openxmlformats.org/officeDocument/2006/relationships/hyperlink" Target="https://www.sec.gov/Archives/edgar/data/1492422/000119312517309813/d445089dex1013.htm" TargetMode="External"/><Relationship Id="rId396" Type="http://schemas.openxmlformats.org/officeDocument/2006/relationships/hyperlink" Target="https://www.sec.gov/Archives/edgar/data/1492422/000119312517324222/d445089dex1015.htm" TargetMode="External"/><Relationship Id="rId397" Type="http://schemas.openxmlformats.org/officeDocument/2006/relationships/hyperlink" Target="https://www.sec.gov/Archives/edgar/data/1492422/000119312517315537/d445089dex1016.htm" TargetMode="External"/><Relationship Id="rId398" Type="http://schemas.openxmlformats.org/officeDocument/2006/relationships/hyperlink" Target="https://www.sec.gov/Archives/edgar/data/1492422/000156459018018096/apls-ex102_41.htm" TargetMode="External"/><Relationship Id="rId399" Type="http://schemas.openxmlformats.org/officeDocument/2006/relationships/hyperlink" Target="https://www.sec.gov/Archives/edgar/data/1492422/000156459019027462/apls-ex102_184.htm" TargetMode="External"/><Relationship Id="rId400" Type="http://schemas.openxmlformats.org/officeDocument/2006/relationships/hyperlink" Target="https://www.sec.gov/Archives/edgar/data/1492422/000156459019040063/apls-ex101_36.htm" TargetMode="External"/><Relationship Id="rId401" Type="http://schemas.openxmlformats.org/officeDocument/2006/relationships/hyperlink" Target="https://www.sec.gov/Archives/edgar/data/1492422/000156459021008800/apls-ex1017_217.htm" TargetMode="External"/><Relationship Id="rId402" Type="http://schemas.openxmlformats.org/officeDocument/2006/relationships/hyperlink" Target="https://www.sec.gov/Archives/edgar/data/1492422/000156459019016638/apls-ex102_113.htm" TargetMode="External"/><Relationship Id="rId403" Type="http://schemas.openxmlformats.org/officeDocument/2006/relationships/hyperlink" Target="https://www.sec.gov/Archives/edgar/data/1492422/000119312520135621/d922186dex101.htm" TargetMode="External"/><Relationship Id="rId404" Type="http://schemas.openxmlformats.org/officeDocument/2006/relationships/hyperlink" Target="https://www.sec.gov/Archives/edgar/data/1492422/000156459020049423/apls-ex102_46.htm" TargetMode="External"/><Relationship Id="rId405" Type="http://schemas.openxmlformats.org/officeDocument/2006/relationships/hyperlink" Target="https://www.sec.gov/Archives/edgar/data/1492422/000156459021008800/apls-ex1025_88.htm" TargetMode="External"/><Relationship Id="rId406" Type="http://schemas.openxmlformats.org/officeDocument/2006/relationships/hyperlink" Target="https://www.sec.gov/Archives/edgar/data/1492422/000156459021008800/apls-ex1026_87.htm" TargetMode="External"/><Relationship Id="rId407" Type="http://schemas.openxmlformats.org/officeDocument/2006/relationships/hyperlink" Target="https://www.sec.gov/Archives/edgar/data/1492422/000119312523267745/d282676dex11.htm" TargetMode="External"/><Relationship Id="rId408" Type="http://schemas.openxmlformats.org/officeDocument/2006/relationships/hyperlink" Target="https://www.sec.gov/Archives/edgar/data/1492422/000156459021021318/apls-ex101_47.htm" TargetMode="External"/><Relationship Id="rId409" Type="http://schemas.openxmlformats.org/officeDocument/2006/relationships/hyperlink" Target="https://www.sec.gov/Archives/edgar/data/1492422/000119312520052867/d896625dex991.htm" TargetMode="External"/><Relationship Id="rId410" Type="http://schemas.openxmlformats.org/officeDocument/2006/relationships/hyperlink" Target="https://www.sec.gov/Archives/edgar/data/1492422/000095017025064976/apls-ex10_1.htm" TargetMode="External"/><Relationship Id="rId411" Type="http://schemas.openxmlformats.org/officeDocument/2006/relationships/hyperlink" Target="https://www.sec.gov/Archives/edgar/data/1492422/000119312521210295/d198376dex101.htm" TargetMode="External"/><Relationship Id="rId412" Type="http://schemas.openxmlformats.org/officeDocument/2006/relationships/hyperlink" Target="https://www.sec.gov/Archives/edgar/data/1492422/000095017023003438/apls-ex10_33.htm" TargetMode="External"/><Relationship Id="rId413" Type="http://schemas.openxmlformats.org/officeDocument/2006/relationships/hyperlink" Target="https://www.sec.gov/Archives/edgar/data/1492422/000119312525257374/apls-ex10_1.htm" TargetMode="External"/><Relationship Id="rId415" Type="http://schemas.openxmlformats.org/officeDocument/2006/relationships/hyperlink" Target="https://www.sec.gov/Archives/edgar/data/1492422/000095017024020614/apls-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2026-02-24T06:06:05Z</dcterms:created>
  <dcterms:modified xsi:type="dcterms:W3CDTF">2026-02-24T06:06:05Z</dcterms:modified>
</cp:coreProperties>
</file>