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158750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28"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8"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jc w:val="center"/>
        <w:ind w:right="-1060"/>
        <w:spacing w:after="0"/>
        <w:rPr>
          <w:sz w:val="20"/>
          <w:szCs w:val="20"/>
          <w:color w:val="auto"/>
        </w:rPr>
      </w:pPr>
      <w:r>
        <w:rPr>
          <w:rFonts w:ascii="Times New Roman" w:cs="Times New Roman" w:eastAsia="Times New Roman" w:hAnsi="Times New Roman"/>
          <w:sz w:val="22"/>
          <w:szCs w:val="22"/>
          <w:b w:val="1"/>
          <w:bCs w:val="1"/>
          <w:color w:val="auto"/>
        </w:rPr>
        <w:t>(Amendment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158750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40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1"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29"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sz w:val="24"/>
          <w:szCs w:val="24"/>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196"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32"/>
          <w:szCs w:val="32"/>
          <w:b w:val="1"/>
          <w:bCs w:val="1"/>
          <w:color w:val="auto"/>
        </w:rPr>
        <w:t>APELLIS PHARMACEUTICALS, INC.</w:t>
      </w:r>
    </w:p>
    <w:p>
      <w:pPr>
        <w:spacing w:after="0" w:line="45"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360" w:hanging="352"/>
        <w:spacing w:after="0"/>
        <w:tabs>
          <w:tab w:leader="none" w:pos="3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360" w:hanging="352"/>
        <w:spacing w:after="0"/>
        <w:tabs>
          <w:tab w:leader="none" w:pos="3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1050290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415" w:right="1440" w:bottom="1440" w:gutter="0" w:footer="0" w:header="0"/>
        </w:sectPr>
      </w:pPr>
    </w:p>
    <w:bookmarkStart w:id="1" w:name="page2"/>
    <w:bookmarkEnd w:id="1"/>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 LETTER FROM CEDRIC FRANCOIS, OUR CHIEF EXECUTIVE OFFICER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Dear Apellis Stockholders,</w:t>
      </w:r>
    </w:p>
    <w:p>
      <w:pPr>
        <w:spacing w:after="0" w:line="167"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6"/>
          <w:szCs w:val="16"/>
          <w:color w:val="auto"/>
        </w:rPr>
        <w:t>At Apellis, we are driven by a relentless commitment to creating value for both patients and shareholders alike. We brought EMPAVELI and SYFOVRE to the market, two blockbuster potential products that are making a meaningful difference for patients, advanced our robust pipeline of clinical and pre-clinical programs and fortified our financial position. I am proud of our team and all we have accomplished together. With the expected approval and launch of EMPAVELI in two additional indications, we expect that 2025 will be another important year for Apellis.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2024, we accomplished several things that strengthened our business and positions Apellis for continued success. This includes:</w:t>
      </w:r>
    </w:p>
    <w:p>
      <w:pPr>
        <w:spacing w:after="0" w:line="260" w:lineRule="exact"/>
        <w:rPr>
          <w:sz w:val="20"/>
          <w:szCs w:val="20"/>
          <w:color w:val="auto"/>
        </w:rPr>
      </w:pPr>
    </w:p>
    <w:p>
      <w:pPr>
        <w:ind w:left="1020" w:right="20" w:hanging="503"/>
        <w:spacing w:after="0" w:line="276" w:lineRule="auto"/>
        <w:tabs>
          <w:tab w:leader="none" w:pos="10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Continuing to bring SYFOVRE to the estimated 1.5 million patients with geographic atrophy (GA) in the United States. </w:t>
      </w:r>
      <w:r>
        <w:rPr>
          <w:rFonts w:ascii="Times New Roman" w:cs="Times New Roman" w:eastAsia="Times New Roman" w:hAnsi="Times New Roman"/>
          <w:sz w:val="16"/>
          <w:szCs w:val="16"/>
          <w:color w:val="auto"/>
        </w:rPr>
        <w:t>SYFOVRE is the only GA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product approved for as few as six doses per year, the only product in a preferred position with many payers, and which has consistently demonstrated robust and increasing effects over time. With more than 510 thousand SYFOVRE injections administered as of year-end 2024, SYFOVRE remains the market leading treatment for GA.</w:t>
      </w:r>
    </w:p>
    <w:p>
      <w:pPr>
        <w:spacing w:after="0" w:line="85" w:lineRule="exact"/>
        <w:rPr>
          <w:rFonts w:ascii="Times New Roman" w:cs="Times New Roman" w:eastAsia="Times New Roman" w:hAnsi="Times New Roman"/>
          <w:sz w:val="16"/>
          <w:szCs w:val="16"/>
          <w:color w:val="auto"/>
        </w:rPr>
      </w:pPr>
    </w:p>
    <w:p>
      <w:pPr>
        <w:ind w:left="1020" w:hanging="503"/>
        <w:spacing w:after="0" w:line="273" w:lineRule="auto"/>
        <w:tabs>
          <w:tab w:leader="none" w:pos="10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Presenting positive results with EMPAVELI from the Phase 3 VALIANT study in patients with C3 glomerulopathy (C3G) and primary immune complex membranoproliferative glomerulonephritis (IC-MPGN), two severe and rare kidney diseases. </w:t>
      </w:r>
      <w:r>
        <w:rPr>
          <w:rFonts w:ascii="Times New Roman" w:cs="Times New Roman" w:eastAsia="Times New Roman" w:hAnsi="Times New Roman"/>
          <w:sz w:val="16"/>
          <w:szCs w:val="16"/>
          <w:color w:val="auto"/>
        </w:rPr>
        <w:t>These results hit the trifecta with unprecedented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reductions in proteinuria, significant clearance of C3 deposits and stabilization of eGFR. Even more compelling was that these results were consistent regardless of disease type, transplant status, or age. If approved, we believe EMPAVELI has the potential to become the standard of care for both of these diseases.</w:t>
      </w:r>
    </w:p>
    <w:p>
      <w:pPr>
        <w:spacing w:after="0" w:line="101" w:lineRule="exact"/>
        <w:rPr>
          <w:rFonts w:ascii="Times New Roman" w:cs="Times New Roman" w:eastAsia="Times New Roman" w:hAnsi="Times New Roman"/>
          <w:sz w:val="16"/>
          <w:szCs w:val="16"/>
          <w:color w:val="auto"/>
        </w:rPr>
      </w:pPr>
    </w:p>
    <w:p>
      <w:pPr>
        <w:jc w:val="both"/>
        <w:ind w:left="1020" w:right="200" w:hanging="503"/>
        <w:spacing w:after="0" w:line="282" w:lineRule="auto"/>
        <w:tabs>
          <w:tab w:leader="none" w:pos="10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Advancing our development pipeline, enabling a new generation of therapies for patients. </w:t>
      </w:r>
      <w:r>
        <w:rPr>
          <w:rFonts w:ascii="Times New Roman" w:cs="Times New Roman" w:eastAsia="Times New Roman" w:hAnsi="Times New Roman"/>
          <w:sz w:val="16"/>
          <w:szCs w:val="16"/>
          <w:color w:val="auto"/>
        </w:rPr>
        <w:t>For example, we are excited to be advancing the first-ever,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gene-editing approach targeting the neonatal Fc gamma receptor with our partner, Beam Therapeutics. We are also developing a next generation treatment for GA by combining SYFOVRE with APL-3007, our siRNA, to provide comprehensive complement blockade in the retina and in the choroid.</w:t>
      </w:r>
    </w:p>
    <w:p>
      <w:pPr>
        <w:spacing w:after="0" w:line="80" w:lineRule="exact"/>
        <w:rPr>
          <w:rFonts w:ascii="Times New Roman" w:cs="Times New Roman" w:eastAsia="Times New Roman" w:hAnsi="Times New Roman"/>
          <w:sz w:val="16"/>
          <w:szCs w:val="16"/>
          <w:color w:val="auto"/>
        </w:rPr>
      </w:pPr>
    </w:p>
    <w:p>
      <w:pPr>
        <w:ind w:left="1020" w:right="60" w:hanging="503"/>
        <w:spacing w:after="0" w:line="282" w:lineRule="auto"/>
        <w:tabs>
          <w:tab w:leader="none" w:pos="10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Strengthening our balance sheet. </w:t>
      </w:r>
      <w:r>
        <w:rPr>
          <w:rFonts w:ascii="Times New Roman" w:cs="Times New Roman" w:eastAsia="Times New Roman" w:hAnsi="Times New Roman"/>
          <w:sz w:val="16"/>
          <w:szCs w:val="16"/>
          <w:color w:val="auto"/>
        </w:rPr>
        <w:t>In May 2024, we completed a non-dilutive credit facility with Sixth Street of up to $475 million. This transaction,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combined with the $411 million in cash and cash equivalents as of December 31, 2024 and future product sales, well positions Apellis to fund its business to profitability.</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entered 2025 in a strong position, and we have immediately begun to see successes.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SYFOVRE</w:t>
      </w:r>
    </w:p>
    <w:p>
      <w:pPr>
        <w:spacing w:after="0" w:line="129"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January, we received marketing approval from the Therapeutics Goods Administration in Australia.</w:t>
      </w:r>
    </w:p>
    <w:p>
      <w:pPr>
        <w:spacing w:after="0" w:line="153" w:lineRule="exact"/>
        <w:rPr>
          <w:rFonts w:ascii="Times New Roman" w:cs="Times New Roman" w:eastAsia="Times New Roman" w:hAnsi="Times New Roman"/>
          <w:sz w:val="16"/>
          <w:szCs w:val="16"/>
          <w:color w:val="auto"/>
        </w:rPr>
      </w:pPr>
    </w:p>
    <w:p>
      <w:pPr>
        <w:ind w:left="1020" w:right="80" w:hanging="503"/>
        <w:spacing w:after="0" w:line="281" w:lineRule="auto"/>
        <w:tabs>
          <w:tab w:leader="none" w:pos="10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February, we presented 48-month data from the GALE extension study, which reinforce SYFOVRE’s increasing effects over time. These data demonstrated that early treatment with SYFOVRE leads to preservation of retinal tissue at magnitudes of </w:t>
      </w:r>
      <w:r>
        <w:rPr>
          <w:rFonts w:ascii="Times New Roman" w:cs="Times New Roman" w:eastAsia="Times New Roman" w:hAnsi="Times New Roman"/>
          <w:sz w:val="15"/>
          <w:szCs w:val="15"/>
          <w:color w:val="auto"/>
        </w:rPr>
        <w:t>approximately 1.5</w:t>
      </w:r>
      <w:r>
        <w:rPr>
          <w:rFonts w:ascii="Times New Roman" w:cs="Times New Roman" w:eastAsia="Times New Roman" w:hAnsi="Times New Roman"/>
          <w:sz w:val="16"/>
          <w:szCs w:val="16"/>
          <w:color w:val="auto"/>
        </w:rPr>
        <w:t xml:space="preserve"> disc areas on average, the size of approximately two foveal areas, in non-subfoveal GA patients dosed monthly.</w:t>
      </w:r>
    </w:p>
    <w:p>
      <w:pPr>
        <w:spacing w:after="0" w:line="204"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remain on track to initiate a Phase 2 study with SYFOVRE and APL-3007 in the second quarter of 2025.</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EMPAVELI</w:t>
      </w:r>
    </w:p>
    <w:p>
      <w:pPr>
        <w:spacing w:after="0" w:line="129" w:lineRule="exact"/>
        <w:rPr>
          <w:sz w:val="20"/>
          <w:szCs w:val="20"/>
          <w:color w:val="auto"/>
        </w:rPr>
      </w:pPr>
    </w:p>
    <w:p>
      <w:pPr>
        <w:ind w:left="1020" w:right="300" w:hanging="503"/>
        <w:spacing w:after="0" w:line="281" w:lineRule="auto"/>
        <w:tabs>
          <w:tab w:leader="none" w:pos="10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March, the U.S. Food and Drug Administration (FDA) accepted our submission of the new drug application (sNDA) for the treatment of patients with C3G and IC-MPGN with EMPAVELI. The Prescription Drug User Fee Act (PDUFA) target action date is July 28, 2025 and we expect to launch EMPAVELI for these diseases in the third quarter.</w:t>
      </w:r>
    </w:p>
    <w:p>
      <w:pPr>
        <w:spacing w:after="0" w:line="204" w:lineRule="exact"/>
        <w:rPr>
          <w:rFonts w:ascii="Times New Roman" w:cs="Times New Roman" w:eastAsia="Times New Roman" w:hAnsi="Times New Roman"/>
          <w:sz w:val="16"/>
          <w:szCs w:val="16"/>
          <w:color w:val="auto"/>
        </w:rPr>
      </w:pPr>
    </w:p>
    <w:p>
      <w:pPr>
        <w:ind w:left="1020" w:right="280" w:hanging="503"/>
        <w:spacing w:after="0" w:line="298" w:lineRule="auto"/>
        <w:tabs>
          <w:tab w:leader="none" w:pos="10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plan to initiate two Phase 3 clinical trials with EMPAVELI in two new rare nephrology indications – focal segmental glomerulosclerosis (FSGS) and delayed graft function (DGF) – in the second half of 2025.</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Organization</w:t>
      </w:r>
    </w:p>
    <w:p>
      <w:pPr>
        <w:spacing w:after="0" w:line="129" w:lineRule="exact"/>
        <w:rPr>
          <w:sz w:val="20"/>
          <w:szCs w:val="20"/>
          <w:color w:val="auto"/>
        </w:rPr>
      </w:pPr>
    </w:p>
    <w:p>
      <w:pPr>
        <w:ind w:left="1020" w:right="300" w:hanging="503"/>
        <w:spacing w:after="0" w:line="298" w:lineRule="auto"/>
        <w:tabs>
          <w:tab w:leader="none" w:pos="10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pleased to welcome Keli Walbert and Craig Wheeler to our Board of Directors. Ms. Walbert and Mr. Wheeler bring extensive biopharmaceutical commercial leadership experience to the Board, each with a proven track record of successfully bringing novel medicines to patients.</w:t>
      </w:r>
    </w:p>
    <w:p>
      <w:pPr>
        <w:spacing w:after="0" w:line="83" w:lineRule="exact"/>
        <w:rPr>
          <w:sz w:val="20"/>
          <w:szCs w:val="20"/>
          <w:color w:val="auto"/>
        </w:rPr>
      </w:pPr>
    </w:p>
    <w:p>
      <w:pPr>
        <w:ind w:right="360"/>
        <w:spacing w:after="0" w:line="298" w:lineRule="auto"/>
        <w:rPr>
          <w:sz w:val="20"/>
          <w:szCs w:val="20"/>
          <w:color w:val="auto"/>
        </w:rPr>
      </w:pPr>
      <w:r>
        <w:rPr>
          <w:rFonts w:ascii="Times New Roman" w:cs="Times New Roman" w:eastAsia="Times New Roman" w:hAnsi="Times New Roman"/>
          <w:sz w:val="16"/>
          <w:szCs w:val="16"/>
          <w:color w:val="auto"/>
        </w:rPr>
        <w:t>I would like to underscore my appreciation to our employees, physicians, partners, and the patients who inspire us every day as we continue this exciting journey. Their continued support and collaboration are essential to our success.</w:t>
      </w:r>
    </w:p>
    <w:p>
      <w:pPr>
        <w:spacing w:after="0" w:line="83" w:lineRule="exact"/>
        <w:rPr>
          <w:sz w:val="20"/>
          <w:szCs w:val="20"/>
          <w:color w:val="auto"/>
        </w:rPr>
      </w:pPr>
    </w:p>
    <w:p>
      <w:pPr>
        <w:ind w:right="620"/>
        <w:spacing w:after="0" w:line="298" w:lineRule="auto"/>
        <w:rPr>
          <w:sz w:val="20"/>
          <w:szCs w:val="20"/>
          <w:color w:val="auto"/>
        </w:rPr>
      </w:pPr>
      <w:r>
        <w:rPr>
          <w:rFonts w:ascii="Times New Roman" w:cs="Times New Roman" w:eastAsia="Times New Roman" w:hAnsi="Times New Roman"/>
          <w:sz w:val="16"/>
          <w:szCs w:val="16"/>
          <w:color w:val="auto"/>
        </w:rPr>
        <w:t>And to our stockholders, your gracious, unwavering support and confidence in Apellis will enable us to continue pushing the boundaries of scientific discovery and redefining the future of healthcare.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Sincerely,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Cedric Francois</w:t>
      </w:r>
    </w:p>
    <w:p>
      <w:pPr>
        <w:spacing w:after="0" w:line="2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6"/>
          <w:szCs w:val="16"/>
          <w:color w:val="auto"/>
        </w:rPr>
        <w:t>Cedric Francois, Chief Executive Officer</w:t>
      </w:r>
    </w:p>
    <w:p>
      <w:pPr>
        <w:spacing w:after="0" w:line="11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6"/>
          <w:szCs w:val="16"/>
          <w:color w:val="auto"/>
        </w:rPr>
        <w:t>April 23,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744855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2" w:name="page3"/>
    <w:bookmarkEnd w:id="2"/>
    <w:p>
      <w:pPr>
        <w:spacing w:after="0" w:line="3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2976880</wp:posOffset>
            </wp:positionH>
            <wp:positionV relativeFrom="page">
              <wp:posOffset>500380</wp:posOffset>
            </wp:positionV>
            <wp:extent cx="1611630" cy="514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611630" cy="51435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100 Fifth Avenue</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Waltham, Massachusetts 02451</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(617) 977-5700</w:t>
      </w:r>
    </w:p>
    <w:p>
      <w:pPr>
        <w:spacing w:after="0" w:line="1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NOTICE OF 2025 ANNUAL MEETING OF STOCKHOLDERS</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on June 3,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Stockholders:</w:t>
      </w:r>
    </w:p>
    <w:p>
      <w:pPr>
        <w:spacing w:after="0" w:line="230"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 xml:space="preserve">You are cordially invited to attend the 2025 annual meeting of stockholders, or the Annual Meeting, of Apellis Pharmaceuticals, Inc. The meeting is scheduled to be held via the Internet at </w:t>
      </w:r>
      <w:r>
        <w:rPr>
          <w:rFonts w:ascii="Times New Roman" w:cs="Times New Roman" w:eastAsia="Times New Roman" w:hAnsi="Times New Roman"/>
          <w:sz w:val="16"/>
          <w:szCs w:val="16"/>
          <w:b w:val="1"/>
          <w:bCs w:val="1"/>
          <w:i w:val="1"/>
          <w:iCs w:val="1"/>
          <w:color w:val="auto"/>
        </w:rPr>
        <w:t>https://www.proxydocs.com/APLS</w:t>
      </w:r>
      <w:r>
        <w:rPr>
          <w:rFonts w:ascii="Times New Roman" w:cs="Times New Roman" w:eastAsia="Times New Roman" w:hAnsi="Times New Roman"/>
          <w:sz w:val="16"/>
          <w:szCs w:val="16"/>
          <w:color w:val="auto"/>
        </w:rPr>
        <w:t xml:space="preserve"> on Tuesday, June 3, 2025 at 9:30 a.m., Eastern time.</w:t>
      </w:r>
    </w:p>
    <w:p>
      <w:pPr>
        <w:spacing w:after="0" w:line="164" w:lineRule="exact"/>
        <w:rPr>
          <w:sz w:val="20"/>
          <w:szCs w:val="20"/>
          <w:color w:val="auto"/>
        </w:rPr>
      </w:pPr>
    </w:p>
    <w:p>
      <w:pPr>
        <w:ind w:right="220"/>
        <w:spacing w:after="0" w:line="298" w:lineRule="auto"/>
        <w:rPr>
          <w:sz w:val="20"/>
          <w:szCs w:val="20"/>
          <w:color w:val="auto"/>
        </w:rPr>
      </w:pPr>
      <w:r>
        <w:rPr>
          <w:rFonts w:ascii="Times New Roman" w:cs="Times New Roman" w:eastAsia="Times New Roman" w:hAnsi="Times New Roman"/>
          <w:sz w:val="16"/>
          <w:szCs w:val="16"/>
          <w:color w:val="auto"/>
        </w:rPr>
        <w:t>Only stockholders who owned shares of our common stock at the close of business on April 7, 2025 can vote at the Annual Meeting or any adjournment or postponement that may take place. At the Annual Meeting, stockholders will consider and vote on the following matters:</w:t>
      </w:r>
    </w:p>
    <w:p>
      <w:pPr>
        <w:spacing w:after="0" w:line="56"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Election of three Class II directors to hold office until the 2028 annual meeting of stockholders;</w:t>
      </w:r>
    </w:p>
    <w:p>
      <w:pPr>
        <w:spacing w:after="0" w:line="126" w:lineRule="exact"/>
        <w:rPr>
          <w:rFonts w:ascii="Times New Roman" w:cs="Times New Roman" w:eastAsia="Times New Roman" w:hAnsi="Times New Roman"/>
          <w:sz w:val="16"/>
          <w:szCs w:val="16"/>
          <w:color w:val="auto"/>
        </w:rPr>
      </w:pPr>
    </w:p>
    <w:p>
      <w:pPr>
        <w:ind w:left="1020" w:right="340" w:hanging="503"/>
        <w:spacing w:after="0" w:line="298" w:lineRule="auto"/>
        <w:tabs>
          <w:tab w:leader="none" w:pos="10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Ratification of the appointment of Deloitte &amp; Touche LLP as our independent registered public accounting firm for the fiscal year ending December 31, 2025;</w:t>
      </w:r>
    </w:p>
    <w:p>
      <w:pPr>
        <w:spacing w:after="0" w:line="5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hold an advisory vote on the compensation paid to our named executive officers;</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hold an advisory vote on the frequency of future advisory votes on the compensation paid to our named executive officers; and</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Transaction of any other business that may properly come before the Annual Meeting or any adjournment or postponement thereof.</w:t>
      </w:r>
    </w:p>
    <w:p>
      <w:pPr>
        <w:spacing w:after="0" w:line="235"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6"/>
          <w:szCs w:val="16"/>
          <w:color w:val="auto"/>
        </w:rPr>
        <w:t xml:space="preserve">As noted above, our Annual Meeting will be a “virtual meeting” of stockholders, which will be conducted exclusively via the Internet. There will not be a physical meeting location, and stockholders will not be able to attend the Annual Meeting in person. This means that you can attend the Annual Meeting online, vote your shares during the online meeting and submit questions before the virtual meeting by visiting </w:t>
      </w:r>
      <w:r>
        <w:rPr>
          <w:rFonts w:ascii="Times New Roman" w:cs="Times New Roman" w:eastAsia="Times New Roman" w:hAnsi="Times New Roman"/>
          <w:sz w:val="16"/>
          <w:szCs w:val="16"/>
          <w:b w:val="1"/>
          <w:bCs w:val="1"/>
          <w:i w:val="1"/>
          <w:iCs w:val="1"/>
          <w:color w:val="auto"/>
        </w:rPr>
        <w:t>https://www.proxydocs.com/APLS</w:t>
      </w:r>
      <w:r>
        <w:rPr>
          <w:rFonts w:ascii="Times New Roman" w:cs="Times New Roman" w:eastAsia="Times New Roman" w:hAnsi="Times New Roman"/>
          <w:sz w:val="16"/>
          <w:szCs w:val="16"/>
          <w:color w:val="auto"/>
        </w:rPr>
        <w:t>.</w:t>
      </w:r>
    </w:p>
    <w:p>
      <w:pPr>
        <w:spacing w:after="0" w:line="173"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6"/>
          <w:szCs w:val="16"/>
          <w:color w:val="auto"/>
        </w:rPr>
        <w:t xml:space="preserve">In order to attend the meeting online and vote your shares electronically during the meeting, you must register in advance at </w:t>
      </w:r>
      <w:r>
        <w:rPr>
          <w:rFonts w:ascii="Times New Roman" w:cs="Times New Roman" w:eastAsia="Times New Roman" w:hAnsi="Times New Roman"/>
          <w:sz w:val="16"/>
          <w:szCs w:val="16"/>
          <w:b w:val="1"/>
          <w:bCs w:val="1"/>
          <w:i w:val="1"/>
          <w:iCs w:val="1"/>
          <w:u w:val="single" w:color="auto"/>
          <w:color w:val="auto"/>
        </w:rPr>
        <w:t>https://www.proxydocs.com/APLS</w:t>
      </w:r>
      <w:r>
        <w:rPr>
          <w:rFonts w:ascii="Times New Roman" w:cs="Times New Roman" w:eastAsia="Times New Roman" w:hAnsi="Times New Roman"/>
          <w:sz w:val="16"/>
          <w:szCs w:val="16"/>
          <w:color w:val="auto"/>
        </w:rPr>
        <w:t xml:space="preserve"> prior to the deadline of Monday, June 2, 2025 at 5:00 p.m., Eastern Time. Upon completing your registration, you will receive further instructions via email, including your unique links that will allow you to access the meeting and will permit you to submit questions. Further information about how to attend the Annual Meeting online, vote your shares and submit questions is included in the accompanying proxy statement for the Annual Meeting. Whether or not you expect to attend the Annual Meeting, please vote your shares to ensure your representation and the presence of a quorum at the Annual Meeting.</w:t>
      </w:r>
    </w:p>
    <w:p>
      <w:pPr>
        <w:spacing w:after="0" w:line="18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 xml:space="preserve">You can find more information, including the nominees for director, in the accompanying proxy statement, which is available for viewing, printing and downloading at </w:t>
      </w:r>
      <w:r>
        <w:rPr>
          <w:rFonts w:ascii="Times New Roman" w:cs="Times New Roman" w:eastAsia="Times New Roman" w:hAnsi="Times New Roman"/>
          <w:sz w:val="16"/>
          <w:szCs w:val="16"/>
          <w:b w:val="1"/>
          <w:bCs w:val="1"/>
          <w:i w:val="1"/>
          <w:iCs w:val="1"/>
          <w:color w:val="auto"/>
        </w:rPr>
        <w:t>https://www.proxydocs.com/APLS</w:t>
      </w:r>
      <w:r>
        <w:rPr>
          <w:rFonts w:ascii="Times New Roman" w:cs="Times New Roman" w:eastAsia="Times New Roman" w:hAnsi="Times New Roman"/>
          <w:sz w:val="16"/>
          <w:szCs w:val="16"/>
          <w:color w:val="auto"/>
        </w:rPr>
        <w:t>. As outlined in the accompanying proxy statement, the board of directors recommends that you vote in favor of each director nominee, in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favor of proposals two and three, and in favor of annual voting for proposal four.</w:t>
      </w:r>
    </w:p>
    <w:p>
      <w:pPr>
        <w:spacing w:after="0" w:line="164"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Instead of mailing a paper copy of our proxy materials to all of our stockholders, we are providing access to our proxy materials via the Internet under the “notice and access” rules of the Securities and Exchange Commission. As a result, we are sending to our stockholders a Notice of Internet Availability of Proxy Materials, or the Notice, instead of a paper copy of the proxy statement and our annual report for the fiscal year ended December 31</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2024, or the 2024 Annual Report. We plan to send the Notice on or about April 23, 2025. The Notice contains instructions on how to access those documents over the Internet. The Notice also contains instructions on how each of our stockholders can receive a paper copy of our proxy materials, including the proxy statement, our 2024 Annual Report, and a form of proxy card.</w:t>
      </w:r>
    </w:p>
    <w:p>
      <w:pPr>
        <w:spacing w:after="0" w:line="186"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6"/>
          <w:szCs w:val="16"/>
          <w:color w:val="auto"/>
        </w:rPr>
        <w:t xml:space="preserve">Stockholders of record at the close of business on Monday, April 7, 2025, the record date for the Annual Meeting, are entitled to notice of, and to vote at, the Annual Meeting or any adjournment or postponement of the Annual Meeting. If you are a stockholder of record, you may vote your shares on the Internet prior to the Annual Meeting by visiting </w:t>
      </w:r>
      <w:r>
        <w:rPr>
          <w:rFonts w:ascii="Times New Roman" w:cs="Times New Roman" w:eastAsia="Times New Roman" w:hAnsi="Times New Roman"/>
          <w:sz w:val="16"/>
          <w:szCs w:val="16"/>
          <w:b w:val="1"/>
          <w:bCs w:val="1"/>
          <w:i w:val="1"/>
          <w:iCs w:val="1"/>
          <w:color w:val="auto"/>
        </w:rPr>
        <w:t>https://www.proxypush.com/APLS</w:t>
      </w:r>
      <w:r>
        <w:rPr>
          <w:rFonts w:ascii="Times New Roman" w:cs="Times New Roman" w:eastAsia="Times New Roman" w:hAnsi="Times New Roman"/>
          <w:sz w:val="16"/>
          <w:szCs w:val="16"/>
          <w:color w:val="auto"/>
        </w:rPr>
        <w:t>, by telephone by calling 866-362-4346 and following the recorded instructions or by completing, signing, dating, and returning a proxy card. You may also vote your shares online at the Annual Meeting. Your vote is important regardless of the number of shares you own. If you mail your proxy card or vote by telephone or the Internet and then decide to vote your shares online during the Annual Meeting, you may still do so. Your proxy is revocable in accordance with the procedures set forth in the accompanying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850265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 w:name="page4"/>
    <w:bookmarkEnd w:id="3"/>
    <w:p>
      <w:pPr>
        <w:spacing w:after="0" w:line="281" w:lineRule="auto"/>
        <w:rPr>
          <w:sz w:val="20"/>
          <w:szCs w:val="20"/>
          <w:color w:val="auto"/>
        </w:rPr>
      </w:pPr>
      <w:r>
        <w:rPr>
          <w:rFonts w:ascii="Times New Roman" w:cs="Times New Roman" w:eastAsia="Times New Roman" w:hAnsi="Times New Roman"/>
          <w:sz w:val="16"/>
          <w:szCs w:val="16"/>
          <w:color w:val="auto"/>
        </w:rPr>
        <w:t>If your shares are held in “street name,” that is, held for your account by a bank, broker or other nominee, you will receive instructions from the holder of record that you must follow for your shares to be voted. Stockholders that own shares in “street name” must demonstrate proof of beneficial ownership to virtually attend the Annual Meeting and must obtain a legal proxy from their bank, broker or other nominee to vote during the Annual Meeting.</w:t>
      </w:r>
    </w:p>
    <w:p>
      <w:pPr>
        <w:spacing w:after="0" w:line="177"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6"/>
          <w:szCs w:val="16"/>
          <w:color w:val="auto"/>
        </w:rPr>
        <w:t>A list of stockholders as of the close of business on the record date will be available for examination by our stockholders of record during the Annual Meeting using the unique link provided via email following the completion of registration. Further information about how to register for the Annual Meeting, attend the Annual Meeting online, vote your shares and submit questions is included in the accompanying proxy statement.</w:t>
      </w:r>
    </w:p>
    <w:p>
      <w:pPr>
        <w:spacing w:after="0" w:line="20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6"/>
          <w:szCs w:val="16"/>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6"/>
          <w:szCs w:val="16"/>
          <w:color w:val="auto"/>
        </w:rPr>
        <w:t>/s/ Cedric Francois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29210</wp:posOffset>
            </wp:positionV>
            <wp:extent cx="28289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5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6"/>
          <w:szCs w:val="16"/>
          <w:color w:val="auto"/>
        </w:rPr>
        <w:t>Cedric Francois</w:t>
      </w:r>
    </w:p>
    <w:p>
      <w:pPr>
        <w:spacing w:after="0" w:line="2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6"/>
          <w:szCs w:val="16"/>
          <w:color w:val="auto"/>
        </w:rPr>
        <w:t>President and Chief Executive Officer</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Waltham, Massachusetts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774" w:right="59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 w:type="dxa"/>
            <w:vAlign w:val="bottom"/>
          </w:tcPr>
          <w:p>
            <w:pPr>
              <w:spacing w:after="0"/>
              <w:rPr>
                <w:sz w:val="15"/>
                <w:szCs w:val="15"/>
                <w:color w:val="auto"/>
              </w:rPr>
            </w:pPr>
          </w:p>
        </w:tc>
        <w:tc>
          <w:tcPr>
            <w:tcW w:w="10200" w:type="dxa"/>
            <w:vAlign w:val="bottom"/>
            <w:gridSpan w:val="15"/>
            <w:vMerge w:val="restart"/>
          </w:tcPr>
          <w:p>
            <w:pPr>
              <w:spacing w:after="0"/>
              <w:rPr>
                <w:sz w:val="20"/>
                <w:szCs w:val="20"/>
                <w:color w:val="auto"/>
              </w:rPr>
            </w:pPr>
            <w:r>
              <w:rPr>
                <w:rFonts w:ascii="Times New Roman" w:cs="Times New Roman" w:eastAsia="Times New Roman" w:hAnsi="Times New Roman"/>
                <w:sz w:val="18"/>
                <w:szCs w:val="18"/>
                <w:color w:val="0000FF"/>
              </w:rPr>
              <w:t>BUSINESS HIGHLIGHTS</w:t>
            </w:r>
          </w:p>
        </w:tc>
        <w:tc>
          <w:tcPr>
            <w:tcW w:w="94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10200" w:type="dxa"/>
            <w:vAlign w:val="bottom"/>
            <w:gridSpan w:val="15"/>
            <w:vMerge w:val="continue"/>
          </w:tcPr>
          <w:p>
            <w:pPr>
              <w:spacing w:after="0"/>
              <w:rPr>
                <w:sz w:val="15"/>
                <w:szCs w:val="15"/>
                <w:color w:val="auto"/>
              </w:rPr>
            </w:pPr>
          </w:p>
        </w:tc>
        <w:tc>
          <w:tcPr>
            <w:tcW w:w="88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0" w:type="dxa"/>
            <w:vAlign w:val="bottom"/>
          </w:tcPr>
          <w:p>
            <w:pPr>
              <w:spacing w:after="0"/>
              <w:rPr>
                <w:sz w:val="24"/>
                <w:szCs w:val="24"/>
                <w:color w:val="auto"/>
              </w:rPr>
            </w:pPr>
          </w:p>
        </w:tc>
        <w:tc>
          <w:tcPr>
            <w:tcW w:w="102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INFORMATION CONCERNING SOLICITATION AND VOTING</w:t>
            </w:r>
          </w:p>
        </w:tc>
        <w:tc>
          <w:tcPr>
            <w:tcW w:w="88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1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0" w:type="dxa"/>
            <w:vAlign w:val="bottom"/>
          </w:tcPr>
          <w:p>
            <w:pPr>
              <w:spacing w:after="0"/>
              <w:rPr>
                <w:sz w:val="24"/>
                <w:szCs w:val="24"/>
                <w:color w:val="auto"/>
              </w:rPr>
            </w:pPr>
          </w:p>
        </w:tc>
        <w:tc>
          <w:tcPr>
            <w:tcW w:w="102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IMPORTANT INFORMATION ABOUT THE ANNUAL MEETING AND VOTING</w:t>
            </w:r>
          </w:p>
        </w:tc>
        <w:tc>
          <w:tcPr>
            <w:tcW w:w="88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1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0" w:type="dxa"/>
            <w:vAlign w:val="bottom"/>
          </w:tcPr>
          <w:p>
            <w:pPr>
              <w:spacing w:after="0"/>
              <w:rPr>
                <w:sz w:val="24"/>
                <w:szCs w:val="24"/>
                <w:color w:val="auto"/>
              </w:rPr>
            </w:pPr>
          </w:p>
        </w:tc>
        <w:tc>
          <w:tcPr>
            <w:tcW w:w="102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OUR BOARD OF DIRECTORS</w:t>
            </w:r>
          </w:p>
        </w:tc>
        <w:tc>
          <w:tcPr>
            <w:tcW w:w="88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EE"/>
            </w:tcBorders>
            <w:gridSpan w:val="2"/>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80" w:type="dxa"/>
            <w:vAlign w:val="bottom"/>
            <w:gridSpan w:val="2"/>
          </w:tcPr>
          <w:p>
            <w:pPr>
              <w:spacing w:after="0" w:line="20" w:lineRule="exact"/>
              <w:rPr>
                <w:sz w:val="1"/>
                <w:szCs w:val="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0" w:type="dxa"/>
            <w:vAlign w:val="bottom"/>
          </w:tcPr>
          <w:p>
            <w:pPr>
              <w:spacing w:after="0"/>
              <w:rPr>
                <w:sz w:val="24"/>
                <w:szCs w:val="24"/>
                <w:color w:val="auto"/>
              </w:rPr>
            </w:pPr>
          </w:p>
        </w:tc>
        <w:tc>
          <w:tcPr>
            <w:tcW w:w="102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HOW OUR DIRECTORS ARE SELECTED AND ELECTED</w:t>
            </w:r>
          </w:p>
        </w:tc>
        <w:tc>
          <w:tcPr>
            <w:tcW w:w="88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1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80" w:type="dxa"/>
            <w:vAlign w:val="bottom"/>
            <w:gridSpan w:val="2"/>
          </w:tcPr>
          <w:p>
            <w:pPr>
              <w:spacing w:after="0" w:line="20" w:lineRule="exact"/>
              <w:rPr>
                <w:sz w:val="1"/>
                <w:szCs w:val="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0" w:type="dxa"/>
            <w:vAlign w:val="bottom"/>
          </w:tcPr>
          <w:p>
            <w:pPr>
              <w:spacing w:after="0"/>
              <w:rPr>
                <w:sz w:val="24"/>
                <w:szCs w:val="24"/>
                <w:color w:val="auto"/>
              </w:rPr>
            </w:pPr>
          </w:p>
        </w:tc>
        <w:tc>
          <w:tcPr>
            <w:tcW w:w="102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HOW OUR BOARD OF DIRECTORS IS ORGANIZED AND GOVERNED</w:t>
            </w:r>
          </w:p>
        </w:tc>
        <w:tc>
          <w:tcPr>
            <w:tcW w:w="88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1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380" w:type="dxa"/>
            <w:vAlign w:val="bottom"/>
            <w:tcBorders>
              <w:left w:val="single" w:sz="8" w:color="0000FF"/>
            </w:tcBorders>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80" w:type="dxa"/>
            <w:vAlign w:val="bottom"/>
            <w:gridSpan w:val="2"/>
          </w:tcPr>
          <w:p>
            <w:pPr>
              <w:spacing w:after="0" w:line="20" w:lineRule="exact"/>
              <w:rPr>
                <w:sz w:val="1"/>
                <w:szCs w:val="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0" w:type="dxa"/>
            <w:vAlign w:val="bottom"/>
          </w:tcPr>
          <w:p>
            <w:pPr>
              <w:spacing w:after="0"/>
              <w:rPr>
                <w:sz w:val="24"/>
                <w:szCs w:val="24"/>
                <w:color w:val="auto"/>
              </w:rPr>
            </w:pPr>
          </w:p>
        </w:tc>
        <w:tc>
          <w:tcPr>
            <w:tcW w:w="102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HOW OUR DIRECTORS ARE COMPENSATED</w:t>
            </w:r>
          </w:p>
        </w:tc>
        <w:tc>
          <w:tcPr>
            <w:tcW w:w="88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1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480" w:type="dxa"/>
            <w:vAlign w:val="bottom"/>
            <w:gridSpan w:val="2"/>
          </w:tcPr>
          <w:p>
            <w:pPr>
              <w:spacing w:after="0" w:line="20" w:lineRule="exact"/>
              <w:rPr>
                <w:sz w:val="1"/>
                <w:szCs w:val="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0" w:type="dxa"/>
            <w:vAlign w:val="bottom"/>
          </w:tcPr>
          <w:p>
            <w:pPr>
              <w:spacing w:after="0"/>
              <w:rPr>
                <w:sz w:val="24"/>
                <w:szCs w:val="24"/>
                <w:color w:val="auto"/>
              </w:rPr>
            </w:pPr>
          </w:p>
        </w:tc>
        <w:tc>
          <w:tcPr>
            <w:tcW w:w="102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OUR AUDITORS</w:t>
            </w:r>
          </w:p>
        </w:tc>
        <w:tc>
          <w:tcPr>
            <w:tcW w:w="88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134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480" w:type="dxa"/>
            <w:vAlign w:val="bottom"/>
            <w:gridSpan w:val="2"/>
          </w:tcPr>
          <w:p>
            <w:pPr>
              <w:spacing w:after="0" w:line="20" w:lineRule="exact"/>
              <w:rPr>
                <w:sz w:val="1"/>
                <w:szCs w:val="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0" w:type="dxa"/>
            <w:vAlign w:val="bottom"/>
          </w:tcPr>
          <w:p>
            <w:pPr>
              <w:spacing w:after="0"/>
              <w:rPr>
                <w:sz w:val="24"/>
                <w:szCs w:val="24"/>
                <w:color w:val="auto"/>
              </w:rPr>
            </w:pPr>
          </w:p>
        </w:tc>
        <w:tc>
          <w:tcPr>
            <w:tcW w:w="102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OUR EXECUTIVES</w:t>
            </w:r>
          </w:p>
        </w:tc>
        <w:tc>
          <w:tcPr>
            <w:tcW w:w="88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14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480" w:type="dxa"/>
            <w:vAlign w:val="bottom"/>
            <w:gridSpan w:val="2"/>
          </w:tcPr>
          <w:p>
            <w:pPr>
              <w:spacing w:after="0" w:line="20" w:lineRule="exact"/>
              <w:rPr>
                <w:sz w:val="1"/>
                <w:szCs w:val="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0" w:type="dxa"/>
            <w:vAlign w:val="bottom"/>
          </w:tcPr>
          <w:p>
            <w:pPr>
              <w:spacing w:after="0"/>
              <w:rPr>
                <w:sz w:val="24"/>
                <w:szCs w:val="24"/>
                <w:color w:val="auto"/>
              </w:rPr>
            </w:pPr>
          </w:p>
        </w:tc>
        <w:tc>
          <w:tcPr>
            <w:tcW w:w="102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OUR EXECUTIVE COMPENSATION PROGRAMS</w:t>
            </w:r>
          </w:p>
        </w:tc>
        <w:tc>
          <w:tcPr>
            <w:tcW w:w="88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14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11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1380" w:type="dxa"/>
            <w:vAlign w:val="bottom"/>
            <w:tcBorders>
              <w:left w:val="single" w:sz="8" w:color="0000FF"/>
            </w:tcBorders>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480" w:type="dxa"/>
            <w:vAlign w:val="bottom"/>
            <w:gridSpan w:val="2"/>
          </w:tcPr>
          <w:p>
            <w:pPr>
              <w:spacing w:after="0" w:line="20" w:lineRule="exact"/>
              <w:rPr>
                <w:sz w:val="1"/>
                <w:szCs w:val="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0" w:type="dxa"/>
            <w:vAlign w:val="bottom"/>
          </w:tcPr>
          <w:p>
            <w:pPr>
              <w:spacing w:after="0"/>
              <w:rPr>
                <w:sz w:val="24"/>
                <w:szCs w:val="24"/>
                <w:color w:val="auto"/>
              </w:rPr>
            </w:pPr>
          </w:p>
        </w:tc>
        <w:tc>
          <w:tcPr>
            <w:tcW w:w="102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COMPENSATION DISCUSSION AND ANALYSIS</w:t>
            </w:r>
          </w:p>
        </w:tc>
        <w:tc>
          <w:tcPr>
            <w:tcW w:w="88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14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11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EE"/>
            </w:tcBorders>
            <w:gridSpan w:val="2"/>
            <w:shd w:val="clear" w:color="auto" w:fill="0000FF"/>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480" w:type="dxa"/>
            <w:vAlign w:val="bottom"/>
            <w:gridSpan w:val="2"/>
          </w:tcPr>
          <w:p>
            <w:pPr>
              <w:spacing w:after="0" w:line="20" w:lineRule="exact"/>
              <w:rPr>
                <w:sz w:val="1"/>
                <w:szCs w:val="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0" w:type="dxa"/>
            <w:vAlign w:val="bottom"/>
          </w:tcPr>
          <w:p>
            <w:pPr>
              <w:spacing w:after="0"/>
              <w:rPr>
                <w:sz w:val="24"/>
                <w:szCs w:val="24"/>
                <w:color w:val="auto"/>
              </w:rPr>
            </w:pPr>
          </w:p>
        </w:tc>
        <w:tc>
          <w:tcPr>
            <w:tcW w:w="102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FURTHER INFORMATION REGARDING EXECUTIVE COMPENSATION</w:t>
            </w:r>
          </w:p>
        </w:tc>
        <w:tc>
          <w:tcPr>
            <w:tcW w:w="88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14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1180" w:type="dxa"/>
            <w:vAlign w:val="bottom"/>
            <w:tcBorders>
              <w:left w:val="single" w:sz="8" w:color="0000FF"/>
            </w:tcBorders>
            <w:shd w:val="clear" w:color="auto" w:fill="0000FF"/>
          </w:tcPr>
          <w:p>
            <w:pPr>
              <w:spacing w:after="0" w:line="20" w:lineRule="exact"/>
              <w:rPr>
                <w:sz w:val="1"/>
                <w:szCs w:val="1"/>
                <w:color w:val="auto"/>
              </w:rPr>
            </w:pPr>
          </w:p>
        </w:tc>
        <w:tc>
          <w:tcPr>
            <w:tcW w:w="1700" w:type="dxa"/>
            <w:vAlign w:val="bottom"/>
            <w:gridSpan w:val="5"/>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480" w:type="dxa"/>
            <w:vAlign w:val="bottom"/>
            <w:gridSpan w:val="2"/>
          </w:tcPr>
          <w:p>
            <w:pPr>
              <w:spacing w:after="0" w:line="20" w:lineRule="exact"/>
              <w:rPr>
                <w:sz w:val="1"/>
                <w:szCs w:val="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0" w:type="dxa"/>
            <w:vAlign w:val="bottom"/>
          </w:tcPr>
          <w:p>
            <w:pPr>
              <w:spacing w:after="0"/>
              <w:rPr>
                <w:sz w:val="24"/>
                <w:szCs w:val="24"/>
                <w:color w:val="auto"/>
              </w:rPr>
            </w:pPr>
          </w:p>
        </w:tc>
        <w:tc>
          <w:tcPr>
            <w:tcW w:w="102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TRANSACTIONS WITH RELATED PERSONS</w:t>
            </w:r>
          </w:p>
        </w:tc>
        <w:tc>
          <w:tcPr>
            <w:tcW w:w="88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14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1180" w:type="dxa"/>
            <w:vAlign w:val="bottom"/>
            <w:tcBorders>
              <w:left w:val="single" w:sz="8" w:color="0000FF"/>
            </w:tcBorders>
            <w:shd w:val="clear" w:color="auto" w:fill="0000FF"/>
          </w:tcPr>
          <w:p>
            <w:pPr>
              <w:spacing w:after="0" w:line="20" w:lineRule="exact"/>
              <w:rPr>
                <w:sz w:val="1"/>
                <w:szCs w:val="1"/>
                <w:color w:val="auto"/>
              </w:rPr>
            </w:pPr>
          </w:p>
        </w:tc>
        <w:tc>
          <w:tcPr>
            <w:tcW w:w="1700" w:type="dxa"/>
            <w:vAlign w:val="bottom"/>
            <w:gridSpan w:val="5"/>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480" w:type="dxa"/>
            <w:vAlign w:val="bottom"/>
            <w:gridSpan w:val="2"/>
          </w:tcPr>
          <w:p>
            <w:pPr>
              <w:spacing w:after="0" w:line="20" w:lineRule="exact"/>
              <w:rPr>
                <w:sz w:val="1"/>
                <w:szCs w:val="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0" w:type="dxa"/>
            <w:vAlign w:val="bottom"/>
          </w:tcPr>
          <w:p>
            <w:pPr>
              <w:spacing w:after="0"/>
              <w:rPr>
                <w:sz w:val="24"/>
                <w:szCs w:val="24"/>
                <w:color w:val="auto"/>
              </w:rPr>
            </w:pPr>
          </w:p>
        </w:tc>
        <w:tc>
          <w:tcPr>
            <w:tcW w:w="102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PRINCIPAL STOCKHOLDERS</w:t>
            </w:r>
          </w:p>
        </w:tc>
        <w:tc>
          <w:tcPr>
            <w:tcW w:w="88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14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2880" w:type="dxa"/>
            <w:vAlign w:val="bottom"/>
            <w:tcBorders>
              <w:left w:val="single" w:sz="8" w:color="0000EE"/>
            </w:tcBorders>
            <w:gridSpan w:val="6"/>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480" w:type="dxa"/>
            <w:vAlign w:val="bottom"/>
            <w:gridSpan w:val="2"/>
          </w:tcPr>
          <w:p>
            <w:pPr>
              <w:spacing w:after="0" w:line="20" w:lineRule="exact"/>
              <w:rPr>
                <w:sz w:val="1"/>
                <w:szCs w:val="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0" w:type="dxa"/>
            <w:vAlign w:val="bottom"/>
          </w:tcPr>
          <w:p>
            <w:pPr>
              <w:spacing w:after="0"/>
              <w:rPr>
                <w:sz w:val="24"/>
                <w:szCs w:val="24"/>
                <w:color w:val="auto"/>
              </w:rPr>
            </w:pPr>
          </w:p>
        </w:tc>
        <w:tc>
          <w:tcPr>
            <w:tcW w:w="102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REPORT OF THE AUDIT COMMITTEE OF THE BOARD OF DIRECTORS</w:t>
            </w:r>
          </w:p>
        </w:tc>
        <w:tc>
          <w:tcPr>
            <w:tcW w:w="88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14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720" w:type="dxa"/>
            <w:vAlign w:val="bottom"/>
            <w:gridSpan w:val="8"/>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480" w:type="dxa"/>
            <w:vAlign w:val="bottom"/>
            <w:gridSpan w:val="2"/>
          </w:tcPr>
          <w:p>
            <w:pPr>
              <w:spacing w:after="0" w:line="20" w:lineRule="exact"/>
              <w:rPr>
                <w:sz w:val="1"/>
                <w:szCs w:val="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0" w:type="dxa"/>
            <w:vAlign w:val="bottom"/>
          </w:tcPr>
          <w:p>
            <w:pPr>
              <w:spacing w:after="0"/>
              <w:rPr>
                <w:sz w:val="24"/>
                <w:szCs w:val="24"/>
                <w:color w:val="auto"/>
              </w:rPr>
            </w:pPr>
          </w:p>
        </w:tc>
        <w:tc>
          <w:tcPr>
            <w:tcW w:w="102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HOUSEHOLDING</w:t>
            </w:r>
          </w:p>
        </w:tc>
        <w:tc>
          <w:tcPr>
            <w:tcW w:w="88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1420" w:type="dxa"/>
            <w:vAlign w:val="bottom"/>
            <w:tcBorders>
              <w:right w:val="single" w:sz="8" w:color="0000EE"/>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20" w:type="dxa"/>
            <w:vAlign w:val="bottom"/>
            <w:gridSpan w:val="8"/>
          </w:tcPr>
          <w:p>
            <w:pPr>
              <w:spacing w:after="0" w:line="20" w:lineRule="exact"/>
              <w:rPr>
                <w:sz w:val="1"/>
                <w:szCs w:val="1"/>
                <w:color w:val="auto"/>
              </w:rPr>
            </w:pPr>
          </w:p>
        </w:tc>
        <w:tc>
          <w:tcPr>
            <w:tcW w:w="4940" w:type="dxa"/>
            <w:vAlign w:val="bottom"/>
            <w:gridSpan w:val="4"/>
          </w:tcPr>
          <w:p>
            <w:pPr>
              <w:spacing w:after="0" w:line="20" w:lineRule="exact"/>
              <w:rPr>
                <w:sz w:val="1"/>
                <w:szCs w:val="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0" w:type="dxa"/>
            <w:vAlign w:val="bottom"/>
          </w:tcPr>
          <w:p>
            <w:pPr>
              <w:spacing w:after="0"/>
              <w:rPr>
                <w:sz w:val="24"/>
                <w:szCs w:val="24"/>
                <w:color w:val="auto"/>
              </w:rPr>
            </w:pPr>
          </w:p>
        </w:tc>
        <w:tc>
          <w:tcPr>
            <w:tcW w:w="102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STOCKHOLDER PROPOSALS FOR OUR 2025 ANNUAL MEETING</w:t>
            </w:r>
          </w:p>
        </w:tc>
        <w:tc>
          <w:tcPr>
            <w:tcW w:w="88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1540" w:type="dxa"/>
            <w:vAlign w:val="bottom"/>
            <w:tcBorders>
              <w:right w:val="single" w:sz="8" w:color="0000FF"/>
            </w:tcBorders>
            <w:gridSpan w:val="3"/>
            <w:shd w:val="clear" w:color="auto" w:fill="0000FF"/>
          </w:tcPr>
          <w:p>
            <w:pPr>
              <w:spacing w:after="0" w:line="20" w:lineRule="exact"/>
              <w:rPr>
                <w:sz w:val="1"/>
                <w:szCs w:val="1"/>
                <w:color w:val="auto"/>
              </w:rPr>
            </w:pPr>
          </w:p>
        </w:tc>
        <w:tc>
          <w:tcPr>
            <w:tcW w:w="3720" w:type="dxa"/>
            <w:vAlign w:val="bottom"/>
            <w:gridSpan w:val="8"/>
            <w:shd w:val="clear" w:color="auto" w:fill="0000FF"/>
          </w:tcPr>
          <w:p>
            <w:pPr>
              <w:spacing w:after="0" w:line="20" w:lineRule="exact"/>
              <w:rPr>
                <w:sz w:val="1"/>
                <w:szCs w:val="1"/>
                <w:color w:val="auto"/>
              </w:rPr>
            </w:pPr>
          </w:p>
        </w:tc>
        <w:tc>
          <w:tcPr>
            <w:tcW w:w="4940" w:type="dxa"/>
            <w:vAlign w:val="bottom"/>
            <w:gridSpan w:val="4"/>
          </w:tcPr>
          <w:p>
            <w:pPr>
              <w:spacing w:after="0" w:line="20" w:lineRule="exact"/>
              <w:rPr>
                <w:sz w:val="1"/>
                <w:szCs w:val="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0" w:type="dxa"/>
            <w:vAlign w:val="bottom"/>
          </w:tcPr>
          <w:p>
            <w:pPr>
              <w:spacing w:after="0"/>
              <w:rPr>
                <w:sz w:val="24"/>
                <w:szCs w:val="24"/>
                <w:color w:val="auto"/>
              </w:rPr>
            </w:pPr>
          </w:p>
        </w:tc>
        <w:tc>
          <w:tcPr>
            <w:tcW w:w="102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OTHER MATTERS</w:t>
            </w:r>
          </w:p>
        </w:tc>
        <w:tc>
          <w:tcPr>
            <w:tcW w:w="88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4"/>
        </w:trPr>
        <w:tc>
          <w:tcPr>
            <w:tcW w:w="100" w:type="dxa"/>
            <w:vAlign w:val="bottom"/>
            <w:tcBorders>
              <w:bottom w:val="single" w:sz="8" w:color="9A9A9A"/>
            </w:tcBorders>
          </w:tcPr>
          <w:p>
            <w:pPr>
              <w:spacing w:after="0"/>
              <w:rPr>
                <w:sz w:val="24"/>
                <w:szCs w:val="24"/>
                <w:color w:val="auto"/>
              </w:rPr>
            </w:pPr>
          </w:p>
        </w:tc>
        <w:tc>
          <w:tcPr>
            <w:tcW w:w="13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 w:name="page6"/>
    <w:bookmarkEnd w:id="5"/>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BUSINESS HIGHLIGHTS</w:t>
      </w:r>
    </w:p>
    <w:p>
      <w:pPr>
        <w:spacing w:after="0" w:line="121" w:lineRule="exact"/>
        <w:rPr>
          <w:sz w:val="20"/>
          <w:szCs w:val="20"/>
          <w:color w:val="auto"/>
        </w:rPr>
      </w:pPr>
    </w:p>
    <w:p>
      <w:pPr>
        <w:ind w:right="320"/>
        <w:spacing w:after="0" w:line="316" w:lineRule="auto"/>
        <w:rPr>
          <w:sz w:val="20"/>
          <w:szCs w:val="20"/>
          <w:color w:val="auto"/>
        </w:rPr>
      </w:pPr>
      <w:r>
        <w:rPr>
          <w:rFonts w:ascii="Times New Roman" w:cs="Times New Roman" w:eastAsia="Times New Roman" w:hAnsi="Times New Roman"/>
          <w:sz w:val="16"/>
          <w:szCs w:val="16"/>
          <w:color w:val="auto"/>
        </w:rPr>
        <w:t>At Apellis, we combine courageous science and compassion to develop life-changing medicines for some of the most challenging diseases patients face. Our goal is to transform treatment for a broad range of debilitating diseases by controlling a part of the immune system known as the complement cascade.</w:t>
      </w:r>
    </w:p>
    <w:p>
      <w:pPr>
        <w:spacing w:after="0" w:line="11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b w:val="1"/>
          <w:bCs w:val="1"/>
          <w:color w:val="auto"/>
        </w:rPr>
        <w:t>Corporate and 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-107315</wp:posOffset>
            </wp:positionV>
            <wp:extent cx="265430" cy="2482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5430" cy="248285"/>
                    </a:xfrm>
                    <a:prstGeom prst="rect">
                      <a:avLst/>
                    </a:prstGeom>
                    <a:noFill/>
                  </pic:spPr>
                </pic:pic>
              </a:graphicData>
            </a:graphic>
          </wp:anchor>
        </w:drawing>
      </w:r>
    </w:p>
    <w:p>
      <w:pPr>
        <w:spacing w:after="0" w:line="36" w:lineRule="exact"/>
        <w:rPr>
          <w:sz w:val="20"/>
          <w:szCs w:val="20"/>
          <w:color w:val="auto"/>
        </w:rPr>
      </w:pPr>
    </w:p>
    <w:p>
      <w:pPr>
        <w:ind w:left="1700" w:hanging="472"/>
        <w:spacing w:after="0"/>
        <w:tabs>
          <w:tab w:leader="none" w:pos="17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We </w:t>
      </w:r>
      <w:r>
        <w:rPr>
          <w:rFonts w:ascii="Times New Roman" w:cs="Times New Roman" w:eastAsia="Times New Roman" w:hAnsi="Times New Roman"/>
          <w:sz w:val="15"/>
          <w:szCs w:val="15"/>
          <w:color w:val="auto"/>
        </w:rPr>
        <w:t>generated $781.4 million in fiscal year 2024 total revenue, representing 97% year-over-year growth.</w:t>
      </w:r>
    </w:p>
    <w:p>
      <w:pPr>
        <w:spacing w:after="0" w:line="5" w:lineRule="exact"/>
        <w:rPr>
          <w:rFonts w:ascii="Times New Roman" w:cs="Times New Roman" w:eastAsia="Times New Roman" w:hAnsi="Times New Roman"/>
          <w:sz w:val="14"/>
          <w:szCs w:val="14"/>
          <w:color w:val="auto"/>
        </w:rPr>
      </w:pPr>
    </w:p>
    <w:p>
      <w:pPr>
        <w:ind w:left="1700" w:hanging="472"/>
        <w:spacing w:after="0" w:line="225" w:lineRule="auto"/>
        <w:tabs>
          <w:tab w:leader="none" w:pos="170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two commercial products, EMPAVELI and SYFOVRE, generated $710 million in U.S. net product revenue in fiscal year 2024.</w:t>
      </w:r>
    </w:p>
    <w:p>
      <w:pPr>
        <w:ind w:left="1700" w:right="20" w:hanging="472"/>
        <w:spacing w:after="0" w:line="221" w:lineRule="auto"/>
        <w:tabs>
          <w:tab w:leader="none" w:pos="170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entered into a senior secured credit facility with Sixth Street of up to $475 million, eliminating $366 million in cash payments through 2027 through a buyout of our previous development liability with SFJ Pharmaceuticals.</w:t>
      </w:r>
    </w:p>
    <w:p>
      <w:pPr>
        <w:ind w:left="1700" w:hanging="472"/>
        <w:spacing w:after="0"/>
        <w:tabs>
          <w:tab w:leader="none" w:pos="17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welcomed Keli Walbert and Craig Wheeler to the Board of Directors.</w:t>
      </w:r>
    </w:p>
    <w:p>
      <w:pPr>
        <w:spacing w:after="0" w:line="13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b w:val="1"/>
          <w:bCs w:val="1"/>
          <w:color w:val="auto"/>
        </w:rPr>
        <w:t>Ophthalmology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-107315</wp:posOffset>
            </wp:positionV>
            <wp:extent cx="282575" cy="2832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2575" cy="283210"/>
                    </a:xfrm>
                    <a:prstGeom prst="rect">
                      <a:avLst/>
                    </a:prstGeom>
                    <a:noFill/>
                  </pic:spPr>
                </pic:pic>
              </a:graphicData>
            </a:graphic>
          </wp:anchor>
        </w:drawing>
      </w:r>
    </w:p>
    <w:p>
      <w:pPr>
        <w:spacing w:after="0" w:line="36" w:lineRule="exact"/>
        <w:rPr>
          <w:sz w:val="20"/>
          <w:szCs w:val="20"/>
          <w:color w:val="auto"/>
        </w:rPr>
      </w:pPr>
    </w:p>
    <w:p>
      <w:pPr>
        <w:ind w:left="1700" w:right="360" w:hanging="472"/>
        <w:spacing w:after="0" w:line="236" w:lineRule="auto"/>
        <w:tabs>
          <w:tab w:leader="none" w:pos="170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launched SYFOVRE in the United States in March 2023. Since launch through year-end 2024, we delivered more than 510 thousand total doses (commercial and sample) to physicians and have generated approximately $887 million in U.S. net product sales.</w:t>
      </w:r>
    </w:p>
    <w:p>
      <w:pPr>
        <w:ind w:left="1700" w:hanging="472"/>
        <w:spacing w:after="0" w:line="232" w:lineRule="auto"/>
        <w:tabs>
          <w:tab w:leader="none" w:pos="170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January 2025, we received marketing approval from the Therapeutic Goods Administration in Australia.</w:t>
      </w:r>
    </w:p>
    <w:p>
      <w:pPr>
        <w:ind w:left="1700" w:hanging="472"/>
        <w:spacing w:after="0" w:line="244" w:lineRule="auto"/>
        <w:tabs>
          <w:tab w:leader="none" w:pos="17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We presented 36- and 48-month data from the GALE extension study, which reinforce SYFOVRE’s increasing effects over time. These data demonstrated that early treatment with SYFOVRE led to preservation of retinal tissue at magnitudes of </w:t>
      </w:r>
      <w:r>
        <w:rPr>
          <w:rFonts w:ascii="Times New Roman" w:cs="Times New Roman" w:eastAsia="Times New Roman" w:hAnsi="Times New Roman"/>
          <w:sz w:val="15"/>
          <w:szCs w:val="15"/>
          <w:color w:val="auto"/>
        </w:rPr>
        <w:t>approximately 1.5 disc areas on average,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5"/>
          <w:szCs w:val="15"/>
          <w:color w:val="auto"/>
        </w:rPr>
        <w:t>size of approximately two foveal areas, in non-subfoveal GA patients dosed monthly.</w:t>
      </w:r>
    </w:p>
    <w:p>
      <w:pPr>
        <w:ind w:left="1700" w:right="40" w:hanging="472"/>
        <w:spacing w:after="0" w:line="239" w:lineRule="auto"/>
        <w:tabs>
          <w:tab w:leader="none" w:pos="170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reported positive Phase 1 results with APL-3007 in healthy volunteers. We are now preparing to initiate a Phase 2 clinical study in the second quarter of 2025 with SYFOVRE and APL-3007, which is aimed to provide comprehensive complement blockade in the retina and in the choroid.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91440</wp:posOffset>
            </wp:positionV>
            <wp:extent cx="179705" cy="265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9705" cy="265430"/>
                    </a:xfrm>
                    <a:prstGeom prst="rect">
                      <a:avLst/>
                    </a:prstGeom>
                    <a:noFill/>
                  </pic:spPr>
                </pic:pic>
              </a:graphicData>
            </a:graphic>
          </wp:anchor>
        </w:drawing>
      </w:r>
    </w:p>
    <w:p>
      <w:pPr>
        <w:spacing w:after="0" w:line="1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b w:val="1"/>
          <w:bCs w:val="1"/>
          <w:color w:val="auto"/>
        </w:rPr>
        <w:t>Rare Disease Highlights</w:t>
      </w:r>
    </w:p>
    <w:p>
      <w:pPr>
        <w:spacing w:after="0" w:line="31" w:lineRule="exact"/>
        <w:rPr>
          <w:sz w:val="20"/>
          <w:szCs w:val="20"/>
          <w:color w:val="auto"/>
        </w:rPr>
      </w:pPr>
    </w:p>
    <w:p>
      <w:pPr>
        <w:ind w:left="1700" w:right="80" w:hanging="472"/>
        <w:spacing w:after="0" w:line="225" w:lineRule="auto"/>
        <w:tabs>
          <w:tab w:leader="none" w:pos="170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launched EMPAVELI in the United States in May 2021 for the treatment of PNH. We recorded $98.1 million in U.S. net product revenue from sales of EMPAVELI in the year ended December 31, 2024.</w:t>
      </w:r>
    </w:p>
    <w:p>
      <w:pPr>
        <w:spacing w:after="0" w:line="1" w:lineRule="exact"/>
        <w:rPr>
          <w:rFonts w:ascii="Times New Roman" w:cs="Times New Roman" w:eastAsia="Times New Roman" w:hAnsi="Times New Roman"/>
          <w:sz w:val="15"/>
          <w:szCs w:val="15"/>
          <w:color w:val="auto"/>
        </w:rPr>
      </w:pPr>
    </w:p>
    <w:p>
      <w:pPr>
        <w:ind w:left="1700" w:right="300" w:hanging="472"/>
        <w:spacing w:after="0" w:line="225" w:lineRule="auto"/>
        <w:tabs>
          <w:tab w:leader="none" w:pos="170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August 2024, we announced positive results from the Phase 3 VALIANT study highlighting the strength of EMPAVELI treatment in patients with C3G and IC-MPGN. In this study, EMPAVELI demonstrated clinically meaningful benefits across all three key markers of disease – unprecedented proteinuria reductions, substantial clearance of C3 staining, and stabilization of kidney function.</w:t>
      </w:r>
    </w:p>
    <w:p>
      <w:pPr>
        <w:ind w:left="1700" w:right="40" w:hanging="472"/>
        <w:spacing w:after="0" w:line="239" w:lineRule="auto"/>
        <w:tabs>
          <w:tab w:leader="none" w:pos="170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a result, in March 2025, we announced that the FDA has accepted and granted Priority Review designation of the sNDA for EMPAVELI for C3G and IC-MPGN. The PDUFA target action date is July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91440</wp:posOffset>
            </wp:positionV>
            <wp:extent cx="265430" cy="265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5430" cy="265430"/>
                    </a:xfrm>
                    <a:prstGeom prst="rect">
                      <a:avLst/>
                    </a:prstGeom>
                    <a:noFill/>
                  </pic:spPr>
                </pic:pic>
              </a:graphicData>
            </a:graphic>
          </wp:anchor>
        </w:drawing>
      </w:r>
    </w:p>
    <w:p>
      <w:pPr>
        <w:spacing w:after="0" w:line="2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b w:val="1"/>
          <w:bCs w:val="1"/>
          <w:color w:val="auto"/>
        </w:rPr>
        <w:t>Pipeline Highlights</w:t>
      </w:r>
    </w:p>
    <w:p>
      <w:pPr>
        <w:spacing w:after="0" w:line="31" w:lineRule="exact"/>
        <w:rPr>
          <w:sz w:val="20"/>
          <w:szCs w:val="20"/>
          <w:color w:val="auto"/>
        </w:rPr>
      </w:pPr>
    </w:p>
    <w:p>
      <w:pPr>
        <w:ind w:left="1700" w:right="340" w:hanging="472"/>
        <w:spacing w:after="0"/>
        <w:tabs>
          <w:tab w:leader="none" w:pos="170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are advancing investigational pre-clinical research for one-time neonatal Fc receptor (FcRn) treatment using gene editing technology from Beam Therapeutics.</w:t>
      </w:r>
    </w:p>
    <w:p>
      <w:pPr>
        <w:spacing w:after="0" w:line="200" w:lineRule="exact"/>
        <w:rPr>
          <w:sz w:val="20"/>
          <w:szCs w:val="20"/>
          <w:color w:val="auto"/>
        </w:rPr>
      </w:pPr>
    </w:p>
    <w:p>
      <w:pPr>
        <w:spacing w:after="0" w:line="24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04" w:right="4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100 Fifth Avenue</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Waltham, Massachusetts 02451</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(617) 977-5700</w:t>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2025 ANNUAL MEETING OF STOCKHOLDERS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To Be Held on June 3, 2025</w:t>
      </w:r>
    </w:p>
    <w:p>
      <w:pPr>
        <w:spacing w:after="0" w:line="19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INFORMATION CONCERNING SOLICITATION AND VOTING</w:t>
      </w:r>
    </w:p>
    <w:p>
      <w:pPr>
        <w:spacing w:after="0" w:line="200" w:lineRule="exact"/>
        <w:rPr>
          <w:sz w:val="20"/>
          <w:szCs w:val="20"/>
          <w:color w:val="auto"/>
        </w:rPr>
      </w:pPr>
    </w:p>
    <w:p>
      <w:pPr>
        <w:spacing w:after="0" w:line="267"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6"/>
          <w:szCs w:val="16"/>
          <w:color w:val="auto"/>
        </w:rPr>
        <w:t xml:space="preserve">This proxy statement contains information about the Annual Meeting of Stockholders of Apellis Pharmaceuticals, Inc., or the Annual Meeting, to be held on Tuesday, June 3, 2025 at 9:30 a.m., Eastern Time. The meeting will be held via the Internet at </w:t>
      </w:r>
      <w:r>
        <w:rPr>
          <w:rFonts w:ascii="Times New Roman" w:cs="Times New Roman" w:eastAsia="Times New Roman" w:hAnsi="Times New Roman"/>
          <w:sz w:val="16"/>
          <w:szCs w:val="16"/>
          <w:b w:val="1"/>
          <w:bCs w:val="1"/>
          <w:i w:val="1"/>
          <w:iCs w:val="1"/>
          <w:color w:val="auto"/>
        </w:rPr>
        <w:t>https://www.proxydocs.com/APLS</w:t>
      </w:r>
      <w:r>
        <w:rPr>
          <w:rFonts w:ascii="Times New Roman" w:cs="Times New Roman" w:eastAsia="Times New Roman" w:hAnsi="Times New Roman"/>
          <w:sz w:val="16"/>
          <w:szCs w:val="16"/>
          <w:color w:val="auto"/>
        </w:rPr>
        <w:t>. There will not be a physical meeting location, and stockholders will not be able to attend the Annual Meeting in person. Further information about how to attend the Annual Meeting online is included below.</w:t>
      </w:r>
    </w:p>
    <w:p>
      <w:pPr>
        <w:spacing w:after="0" w:line="177"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The board of directors of Apellis is using this proxy statement to solicit proxies for use at the Annual Meeting. In this proxy statement, unless expressly stated otherwise or the context otherwise requires, references to “Apellis,” “the Company,” “our company,” “we,” “us,” “our” and similar terms refer to Apellis Pharmaceuticals, Inc.</w:t>
      </w:r>
    </w:p>
    <w:p>
      <w:pPr>
        <w:spacing w:after="0" w:line="164"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6"/>
          <w:szCs w:val="16"/>
          <w:color w:val="auto"/>
        </w:rPr>
        <w:t>All properly submitted proxies will be voted in accordance with the instructions contained in those proxies. If no instructions are specified, the shares represented by submitted proxies will be voted in accordance with the recommendation of our board of directors with respect to each of the matters set forth in the accompanying Notice of Meeting. If you are a stockholder of record, you may change your vote or revoke your proxy at any time before it is exercised at the meeting by following the instructions set forth in this proxy statement.</w:t>
      </w:r>
    </w:p>
    <w:p>
      <w:pPr>
        <w:spacing w:after="0" w:line="183"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16"/>
          <w:szCs w:val="16"/>
          <w:color w:val="auto"/>
        </w:rPr>
        <w:t>Instead of mailing a paper copy of our proxy materials to all of our stockholders, we are providing access to our proxy materials over the Internet under the Securities and Exchange Commission’s, or SEC, “notice and access” rules. As a result, we are mailing to our stockholders a Notice of Internet Availability of Proxy Materials, or the Notice, instead of a paper copy of this proxy statement and our annual report for the fiscal year ended December 31, 2024, or the 2024 Annual Report. We plan to send the Notice on or about Wednesday, April 23, 2025. The Notice contains instructions on how to access those documents over the Internet. The Notice also contains instructions on how each of our stockholders can receive a paper copy of our proxy materials, including this proxy statement, our 2024 Annual Report and a form of proxy card.</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Important Notice Regarding the Availability of Proxy Materials for</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the Annual Meeting of Stockholders to be Held on June 3, 2025:</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This proxy statement and our 2024 Annual Report are</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available for viewing, printing and downloading at https://www.proxydocs.com/APLS.</w:t>
      </w:r>
    </w:p>
    <w:p>
      <w:pPr>
        <w:spacing w:after="0" w:line="235"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6"/>
          <w:szCs w:val="16"/>
          <w:b w:val="1"/>
          <w:bCs w:val="1"/>
          <w:color w:val="auto"/>
        </w:rPr>
        <w:t xml:space="preserve">A copy of our annual report on Form 10-K for the fiscal year ended December 31, 2024, as filed with the SEC, except for exhibits, will be furnished without charge to any stockholder upon written request to Apellis Pharmaceuticals, Inc. 100 Fifth Avenue, Waltham, Massachusetts 02451. This proxy statement and our 2024 Annual Report, which includes our annual report on Form 10-K for the fiscal year ended December 31, 2024, are also available on the SEC’s website at </w:t>
      </w:r>
      <w:r>
        <w:rPr>
          <w:rFonts w:ascii="Times New Roman" w:cs="Times New Roman" w:eastAsia="Times New Roman" w:hAnsi="Times New Roman"/>
          <w:sz w:val="16"/>
          <w:szCs w:val="16"/>
          <w:b w:val="1"/>
          <w:bCs w:val="1"/>
          <w:u w:val="single" w:color="auto"/>
          <w:color w:val="auto"/>
        </w:rPr>
        <w:t>http://www.sec.gov</w:t>
      </w:r>
      <w:r>
        <w:rPr>
          <w:rFonts w:ascii="Times New Roman" w:cs="Times New Roman" w:eastAsia="Times New Roman" w:hAnsi="Times New Roman"/>
          <w:sz w:val="16"/>
          <w:szCs w:val="16"/>
          <w:b w:val="1"/>
          <w:bCs w:val="1"/>
          <w:color w:val="auto"/>
        </w:rPr>
        <w:t>.</w:t>
      </w: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7" w:name="page8"/>
    <w:bookmarkEnd w:id="7"/>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IMPORTANT INFORMATION ABOUT THE ANNUAL MEETING AND VOTING</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Purpose of the Annual Meeting</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 the Annual Meeting, our stockholders will consider and vote on the following matters:</w:t>
      </w:r>
    </w:p>
    <w:p>
      <w:pPr>
        <w:spacing w:after="0" w:line="127"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elect three Class II directors to hold office until the 2028 annual meeting of stockholders;</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ratify the appointment of Deloitte &amp; Touche LLP as our independent registered public accounting firm for the fiscal year ending December 31, 2025;</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hold an advisory vote on the compensation paid to our named executive officers;</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hold an advisory vote on the frequency of future advisory votes on the compensation paid to our named executive officers; and</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transact any other business that may properly come before the annual meeting or any adjournment or postponement thereof.</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the date of this proxy statement, we are not aware of any business to come before the meeting other than the first three items noted above.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Board of Directors Recommendation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board of directors unanimously recommends that you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FOR </w:t>
      </w:r>
      <w:r>
        <w:rPr>
          <w:rFonts w:ascii="Times New Roman" w:cs="Times New Roman" w:eastAsia="Times New Roman" w:hAnsi="Times New Roman"/>
          <w:sz w:val="16"/>
          <w:szCs w:val="16"/>
          <w:color w:val="auto"/>
        </w:rPr>
        <w:t>the election of three Class II directors, each to hold office until the 2028 annual meeting of stockholders;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FOR </w:t>
      </w:r>
      <w:r>
        <w:rPr>
          <w:rFonts w:ascii="Times New Roman" w:cs="Times New Roman" w:eastAsia="Times New Roman" w:hAnsi="Times New Roman"/>
          <w:sz w:val="16"/>
          <w:szCs w:val="16"/>
          <w:color w:val="auto"/>
        </w:rPr>
        <w:t>the ratification of the appointment of Deloitte &amp; Touche LLP as our independent registered public accounting firm for the fiscal year ending December 31, 2025; and</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FOR </w:t>
      </w:r>
      <w:r>
        <w:rPr>
          <w:rFonts w:ascii="Times New Roman" w:cs="Times New Roman" w:eastAsia="Times New Roman" w:hAnsi="Times New Roman"/>
          <w:sz w:val="16"/>
          <w:szCs w:val="16"/>
          <w:color w:val="auto"/>
        </w:rPr>
        <w:t>the approval of the advisory vote on executive compensation; and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FOR </w:t>
      </w:r>
      <w:r>
        <w:rPr>
          <w:rFonts w:ascii="Times New Roman" w:cs="Times New Roman" w:eastAsia="Times New Roman" w:hAnsi="Times New Roman"/>
          <w:sz w:val="16"/>
          <w:szCs w:val="16"/>
          <w:color w:val="auto"/>
        </w:rPr>
        <w:t>the approval, on an advisory basis, of holding future executive compensation advisory votes every</w:t>
      </w:r>
      <w:r>
        <w:rPr>
          <w:rFonts w:ascii="Times New Roman" w:cs="Times New Roman" w:eastAsia="Times New Roman" w:hAnsi="Times New Roman"/>
          <w:sz w:val="16"/>
          <w:szCs w:val="16"/>
          <w:b w:val="1"/>
          <w:bCs w:val="1"/>
          <w:color w:val="auto"/>
        </w:rPr>
        <w:t xml:space="preserve"> ONE YEAR</w:t>
      </w:r>
      <w:r>
        <w:rPr>
          <w:rFonts w:ascii="Times New Roman" w:cs="Times New Roman" w:eastAsia="Times New Roman" w:hAnsi="Times New Roman"/>
          <w:sz w:val="16"/>
          <w:szCs w:val="16"/>
          <w:color w:val="auto"/>
        </w:rPr>
        <w: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Availability of Proxy Materials</w:t>
      </w:r>
    </w:p>
    <w:p>
      <w:pPr>
        <w:spacing w:after="0" w:line="23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 xml:space="preserve">The proxy materials, including this proxy statement, a proxy card and our 2024 Annual Report, are available for viewing, printing and downloading on the Internet at </w:t>
      </w:r>
      <w:r>
        <w:rPr>
          <w:rFonts w:ascii="Times New Roman" w:cs="Times New Roman" w:eastAsia="Times New Roman" w:hAnsi="Times New Roman"/>
          <w:sz w:val="16"/>
          <w:szCs w:val="16"/>
          <w:b w:val="1"/>
          <w:bCs w:val="1"/>
          <w:i w:val="1"/>
          <w:iCs w:val="1"/>
          <w:color w:val="auto"/>
        </w:rPr>
        <w:t>https://www.proxydocs.com/APLS</w:t>
      </w:r>
      <w:r>
        <w:rPr>
          <w:rFonts w:ascii="Times New Roman" w:cs="Times New Roman" w:eastAsia="Times New Roman" w:hAnsi="Times New Roman"/>
          <w:sz w:val="16"/>
          <w:szCs w:val="16"/>
          <w:color w:val="auto"/>
        </w:rPr>
        <w:t>. If you would like to receive a paper copy of our proxy materials, you should follow the instructions for requesting paper materials in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Notice.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How do I attend the Annual Meeting?</w:t>
      </w:r>
    </w:p>
    <w:p>
      <w:pPr>
        <w:spacing w:after="0" w:line="23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 xml:space="preserve">The Annual Meeting will be a virtual meeting and you may not attend in person. In order to attend the meeting online, you must register in advance at </w:t>
      </w:r>
      <w:r>
        <w:rPr>
          <w:rFonts w:ascii="Times New Roman" w:cs="Times New Roman" w:eastAsia="Times New Roman" w:hAnsi="Times New Roman"/>
          <w:sz w:val="16"/>
          <w:szCs w:val="16"/>
          <w:b w:val="1"/>
          <w:bCs w:val="1"/>
          <w:i w:val="1"/>
          <w:iCs w:val="1"/>
          <w:u w:val="single" w:color="auto"/>
          <w:color w:val="auto"/>
        </w:rPr>
        <w:t>https://www.proxydocs.com/APLS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prior to the deadline of June 2, 2025 at 5:00 p.m., Eastern Time. You may attend the Annual Meeting online by following the instructions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you receive once registration is complete. The meeting will start at 9:30 a.m., Eastern Time, on Tuesday, June 3, 2025.</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Online registration will begin at 5:00 p.m., Eastern Time on April 23, 2025, and you should allow ample time for the online registration.</w:t>
      </w:r>
    </w:p>
    <w:p>
      <w:pPr>
        <w:spacing w:after="0" w:line="2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Upon completing your registration, you will receive further instructions via email, including your unique link that will allow you access to the meeting and you will have the ability to submit questions. Please be sure to follow instructions found on your proxy card and/or voting authorization form and subsequent instructions that will be delivered to you via email.</w:t>
      </w:r>
    </w:p>
    <w:p>
      <w:pPr>
        <w:spacing w:after="0" w:line="177"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6"/>
          <w:szCs w:val="16"/>
          <w:color w:val="auto"/>
        </w:rPr>
        <w:t>You may log on to the virtual meeting starting one hour before it begins. If you encounter any difficulties accessing the virtual meeting during check-in or at the time of the virtual meeting, please contact technical support, whose contact information will be included in the email containing the unique link granting access into the meeting. There will be technicians standing by and ready to assist you starting at 9:00 a.m., Eastern Time, on Tuesday, June 3, 2025, if you have any technical difficulties accessing the virtual meeting.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Are there other things I should know if I intend to attend the virtual Annual Meeting?</w:t>
      </w:r>
    </w:p>
    <w:p>
      <w:pPr>
        <w:spacing w:after="0" w:line="237" w:lineRule="exact"/>
        <w:rPr>
          <w:sz w:val="20"/>
          <w:szCs w:val="20"/>
          <w:color w:val="auto"/>
        </w:rPr>
      </w:pPr>
    </w:p>
    <w:p>
      <w:pPr>
        <w:ind w:right="180"/>
        <w:spacing w:after="0" w:line="298" w:lineRule="auto"/>
        <w:rPr>
          <w:sz w:val="20"/>
          <w:szCs w:val="20"/>
          <w:color w:val="auto"/>
        </w:rPr>
      </w:pPr>
      <w:r>
        <w:rPr>
          <w:rFonts w:ascii="Times New Roman" w:cs="Times New Roman" w:eastAsia="Times New Roman" w:hAnsi="Times New Roman"/>
          <w:sz w:val="16"/>
          <w:szCs w:val="16"/>
          <w:color w:val="auto"/>
        </w:rPr>
        <w:t>Please note that you can only access the virtual Annual Meeting via a unique link to the Annual Meeting that will be emailed to you at 9:00 a.m., Eastern Time, on June 3, 2025 if registration was properly submitted prior to the deadline of Monday, June 2, 2025 at 5:00 p.m., Eastern Time.</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b w:val="1"/>
          <w:bCs w:val="1"/>
          <w:color w:val="auto"/>
        </w:rPr>
        <w:t>Why is the Annual Meeting a virtual, online meeting?</w:t>
      </w:r>
    </w:p>
    <w:p>
      <w:pPr>
        <w:spacing w:after="0" w:line="237"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6"/>
          <w:szCs w:val="16"/>
          <w:color w:val="auto"/>
        </w:rPr>
        <w:t>Our Annual Meeting will be a virtual meeting of stockholders where stockholders will participate by accessing a website using the Internet. There will not be a physical meeting location. We believe that hosting a virtual meeting facilitates stockholder attendance and participation at our Annual Meeting by enabling stockholders to participate from any location around the world. We have designed the virtual annual meeting to provide the same rights and opportunities to participate as stockholders have at an in-person meeting, including the right to vote and ask questions through the virtual meeting platform.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Who can vote at the Annual Meeting?</w:t>
      </w:r>
    </w:p>
    <w:p>
      <w:pPr>
        <w:spacing w:after="0" w:line="237" w:lineRule="exact"/>
        <w:rPr>
          <w:sz w:val="20"/>
          <w:szCs w:val="20"/>
          <w:color w:val="auto"/>
        </w:rPr>
      </w:pPr>
    </w:p>
    <w:p>
      <w:pPr>
        <w:jc w:val="both"/>
        <w:ind w:right="360"/>
        <w:spacing w:after="0" w:line="281" w:lineRule="auto"/>
        <w:rPr>
          <w:sz w:val="20"/>
          <w:szCs w:val="20"/>
          <w:color w:val="auto"/>
        </w:rPr>
      </w:pPr>
      <w:r>
        <w:rPr>
          <w:rFonts w:ascii="Times New Roman" w:cs="Times New Roman" w:eastAsia="Times New Roman" w:hAnsi="Times New Roman"/>
          <w:sz w:val="16"/>
          <w:szCs w:val="16"/>
          <w:color w:val="auto"/>
        </w:rPr>
        <w:t>Only stockholders of record at the close of business on the record date, April 7, 2025, are entitled to receive notice of the Annual Meeting and to vote the shares of our common stock that they held on that date. As of April 7, 2025, there were 125,682,260 shares of common stock issued and outstanding. Each share of common stock is entitled to one vote on each matter properly brought before the Annual Meeting.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Difference between a “stockholder of record” and a beneficial owner of shares held in “street name”</w:t>
      </w:r>
    </w:p>
    <w:p>
      <w:pPr>
        <w:spacing w:after="0" w:line="235" w:lineRule="exact"/>
        <w:rPr>
          <w:sz w:val="20"/>
          <w:szCs w:val="20"/>
          <w:color w:val="auto"/>
        </w:rPr>
      </w:pPr>
    </w:p>
    <w:p>
      <w:pPr>
        <w:jc w:val="both"/>
        <w:ind w:right="420"/>
        <w:spacing w:after="0" w:line="282" w:lineRule="auto"/>
        <w:rPr>
          <w:sz w:val="20"/>
          <w:szCs w:val="20"/>
          <w:color w:val="auto"/>
        </w:rPr>
      </w:pPr>
      <w:r>
        <w:rPr>
          <w:rFonts w:ascii="Times New Roman" w:cs="Times New Roman" w:eastAsia="Times New Roman" w:hAnsi="Times New Roman"/>
          <w:sz w:val="16"/>
          <w:szCs w:val="16"/>
          <w:i w:val="1"/>
          <w:iCs w:val="1"/>
          <w:color w:val="auto"/>
        </w:rPr>
        <w:t>Stockholder of Record</w:t>
      </w:r>
      <w:r>
        <w:rPr>
          <w:rFonts w:ascii="Times New Roman" w:cs="Times New Roman" w:eastAsia="Times New Roman" w:hAnsi="Times New Roman"/>
          <w:sz w:val="16"/>
          <w:szCs w:val="16"/>
          <w:color w:val="auto"/>
        </w:rPr>
        <w:t>. If your shares are registered directly in your name with our transfer agent, American Stock Transfer, then you are considered a “stockholder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record” of those shares. In this case, your Notice has been sent to you directly by us. You may vote your shares by proxy prior to the Annual Meeting by following the instructions contained in the Notice and in the section titled “How to Vote” on page 4 of this proxy statement.</w:t>
      </w:r>
    </w:p>
    <w:p>
      <w:pPr>
        <w:spacing w:after="0" w:line="175"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16"/>
          <w:szCs w:val="16"/>
          <w:i w:val="1"/>
          <w:iCs w:val="1"/>
          <w:color w:val="auto"/>
        </w:rPr>
        <w:t>Beneficial Owners of Shares Held in Street Name</w:t>
      </w:r>
      <w:r>
        <w:rPr>
          <w:rFonts w:ascii="Times New Roman" w:cs="Times New Roman" w:eastAsia="Times New Roman" w:hAnsi="Times New Roman"/>
          <w:sz w:val="16"/>
          <w:szCs w:val="16"/>
          <w:color w:val="auto"/>
        </w:rPr>
        <w:t>. If your shares are held by a bank, broker or other nominee, then you are considered the beneficial owner of those shares,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which are held in “street name.” In this case, your Notice will be forwarded to you by that organization. The organization holding your shares is considered the stockholder of record for purposes of voting at the Annual Meeting. As the beneficial owner, you have the right to instruct that organization as to how to vote the shares held in your account by following the instructions contained on the voting instruction card provided to you by that organization.</w:t>
      </w:r>
    </w:p>
    <w:p>
      <w:pPr>
        <w:spacing w:after="0" w:line="168"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6"/>
          <w:szCs w:val="16"/>
          <w:color w:val="auto"/>
        </w:rPr>
        <w:t>If your shares are held in “street name,” your bank, brokerage firm or other nominee may under certain circumstances vote your shares if you do not return your voting instructions. Banks, brokerage firms and other nominees can vote customers’ unvoted shares on discretionary matters but they will not be allowed to vote your shares with respect to certain non-discretionary items. If you do not return voting instructions to your bank, brokerage firm or other nominee to vote your shares, your bank, brokerage firm or other nominee may, on discretionary matters, either vote your shares or leave your shares unvoted. “Broker non-votes” occur when your bank, brokerage firm or other nominee submits a proxy for your shares (because the bank, brokerage firm or other nominee has received instructions from you on one or more proposals, but not all proposals, or has not received instructions from you but is entitled to vote on a particular “discretionary” matter) but does not indicate a vote for a particular proposal because the bank, brokerage firm or other nominee either does not have the authority to vote on that proposal and has not received voting instructions from you or has discretionary authority but chooses not to exercise it.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Why did I receive a notice in the mail regarding the Internet availability of proxy materials instead of a full set of proxy materials?</w:t>
      </w:r>
    </w:p>
    <w:p>
      <w:pPr>
        <w:spacing w:after="0" w:line="237"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6"/>
          <w:szCs w:val="16"/>
          <w:color w:val="auto"/>
        </w:rPr>
        <w:t xml:space="preserve">We are pleased to comply with the rules of the SEC that allow companies to distribute their proxy materials over the Internet under the “notice and access” approach. As a result, we are sending our stockholders of record and beneficial owners a copy of the Notice instead of paper copies of this proxy statement, our proxy card, and our 2024 Annual Report. We plan to send the Notice on or about Wednesday, April 23, 2025. Detailed instructions on how to access these materials via the Internet may be found in the Notice. This proxy statement and our 2024 Annual Report are available for viewing, printing and downloading on the Internet at </w:t>
      </w:r>
      <w:r>
        <w:rPr>
          <w:rFonts w:ascii="Times New Roman" w:cs="Times New Roman" w:eastAsia="Times New Roman" w:hAnsi="Times New Roman"/>
          <w:sz w:val="16"/>
          <w:szCs w:val="16"/>
          <w:b w:val="1"/>
          <w:bCs w:val="1"/>
          <w:i w:val="1"/>
          <w:iCs w:val="1"/>
          <w:color w:val="auto"/>
        </w:rPr>
        <w:t>https://www.proxydocs.com/APLS</w:t>
      </w:r>
      <w:r>
        <w:rPr>
          <w:rFonts w:ascii="Times New Roman" w:cs="Times New Roman" w:eastAsia="Times New Roman" w:hAnsi="Times New Roman"/>
          <w:sz w:val="16"/>
          <w:szCs w:val="16"/>
          <w:color w:val="auto"/>
        </w:rPr>
        <w:t>.</w:t>
      </w:r>
    </w:p>
    <w:p>
      <w:pPr>
        <w:spacing w:after="0" w:line="183"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6"/>
          <w:szCs w:val="16"/>
          <w:color w:val="auto"/>
        </w:rPr>
        <w:t>The Notice also identifies the date and time of the virtual Annual Meeting; instructions on how to attend the Annual Meeting online; the matters to be acted upon at the Annual Meeting and our board of directors’ recommendation with regard to each matter; a toll-free telephone number, an e-mail address, and a website where stockholders can request to receive, free of charge, a paper or e-mail copy of this proxy statement, our Annual Report on Form 10-K for the year ended December 31, 2024, and a form of proxy relating to the Annual Meeting; and information on how to access and vote the form of proxy</w:t>
      </w:r>
      <w:r>
        <w:rPr>
          <w:rFonts w:ascii="Times New Roman" w:cs="Times New Roman" w:eastAsia="Times New Roman" w:hAnsi="Times New Roman"/>
          <w:sz w:val="17"/>
          <w:szCs w:val="17"/>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How to Vote</w:t>
      </w:r>
    </w:p>
    <w:p>
      <w:pPr>
        <w:spacing w:after="0" w:line="237" w:lineRule="exact"/>
        <w:rPr>
          <w:sz w:val="20"/>
          <w:szCs w:val="20"/>
          <w:color w:val="auto"/>
        </w:rPr>
      </w:pPr>
    </w:p>
    <w:p>
      <w:pPr>
        <w:ind w:right="180"/>
        <w:spacing w:after="0" w:line="298" w:lineRule="auto"/>
        <w:rPr>
          <w:sz w:val="20"/>
          <w:szCs w:val="20"/>
          <w:color w:val="auto"/>
        </w:rPr>
      </w:pPr>
      <w:r>
        <w:rPr>
          <w:rFonts w:ascii="Times New Roman" w:cs="Times New Roman" w:eastAsia="Times New Roman" w:hAnsi="Times New Roman"/>
          <w:sz w:val="16"/>
          <w:szCs w:val="16"/>
          <w:color w:val="auto"/>
        </w:rPr>
        <w:t>If you are a stockholder of record, you can vote your shares in one of two ways: either by proxy or online at the Annual Meeting. If you choose to vote by proxy, you may do so by telephone, via the Internet or by mail. Each of these methods is explained below.</w:t>
      </w:r>
    </w:p>
    <w:p>
      <w:pPr>
        <w:spacing w:after="0" w:line="54" w:lineRule="exact"/>
        <w:rPr>
          <w:sz w:val="20"/>
          <w:szCs w:val="20"/>
          <w:color w:val="auto"/>
        </w:rPr>
      </w:pPr>
    </w:p>
    <w:p>
      <w:pPr>
        <w:ind w:left="1020" w:right="40" w:hanging="503"/>
        <w:spacing w:after="0" w:line="301" w:lineRule="auto"/>
        <w:tabs>
          <w:tab w:leader="none" w:pos="10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By Telephone</w:t>
      </w:r>
      <w:r>
        <w:rPr>
          <w:rFonts w:ascii="Times New Roman" w:cs="Times New Roman" w:eastAsia="Times New Roman" w:hAnsi="Times New Roman"/>
          <w:sz w:val="16"/>
          <w:szCs w:val="16"/>
          <w:color w:val="auto"/>
        </w:rPr>
        <w:t>. You may transmit your proxy over the phone by calling 866-362-4346 and following the instructions provided in the Notice and on the proxy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card. You will need to have your Notice or proxy card in hand when you call.</w:t>
      </w:r>
    </w:p>
    <w:p>
      <w:pPr>
        <w:spacing w:after="0" w:line="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5" w:right="359" w:bottom="1440" w:gutter="0" w:footer="0" w:header="0"/>
        </w:sectPr>
      </w:pPr>
    </w:p>
    <w:bookmarkStart w:id="9" w:name="page10"/>
    <w:bookmarkEnd w:id="9"/>
    <w:p>
      <w:pPr>
        <w:ind w:left="1020" w:right="160" w:hanging="503"/>
        <w:spacing w:after="0" w:line="282" w:lineRule="auto"/>
        <w:tabs>
          <w:tab w:leader="none" w:pos="10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Via the Internet Prior to the Annual Meeting</w:t>
      </w:r>
      <w:r>
        <w:rPr>
          <w:rFonts w:ascii="Times New Roman" w:cs="Times New Roman" w:eastAsia="Times New Roman" w:hAnsi="Times New Roman"/>
          <w:sz w:val="16"/>
          <w:szCs w:val="16"/>
          <w:color w:val="auto"/>
        </w:rPr>
        <w:t>. You may transmit your proxy via the Internet prior to the Annual Meeting by following the instructions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provided in the Notice and on the proxy card. If you vote over the Internet prior to the Annual Meeting, you will need to have your Notice or proxy card in hand when you access the website. The website is available at </w:t>
      </w:r>
      <w:r>
        <w:rPr>
          <w:rFonts w:ascii="Times New Roman" w:cs="Times New Roman" w:eastAsia="Times New Roman" w:hAnsi="Times New Roman"/>
          <w:sz w:val="16"/>
          <w:szCs w:val="16"/>
          <w:b w:val="1"/>
          <w:bCs w:val="1"/>
          <w:i w:val="1"/>
          <w:iCs w:val="1"/>
          <w:color w:val="auto"/>
        </w:rPr>
        <w:t>https://www.proxypush.com/APLS</w:t>
      </w:r>
      <w:r>
        <w:rPr>
          <w:rFonts w:ascii="Times New Roman" w:cs="Times New Roman" w:eastAsia="Times New Roman" w:hAnsi="Times New Roman"/>
          <w:sz w:val="16"/>
          <w:szCs w:val="16"/>
          <w:color w:val="auto"/>
        </w:rPr>
        <w:t>.</w:t>
      </w:r>
    </w:p>
    <w:p>
      <w:pPr>
        <w:spacing w:after="0" w:line="6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By Mail</w:t>
      </w:r>
      <w:r>
        <w:rPr>
          <w:rFonts w:ascii="Times New Roman" w:cs="Times New Roman" w:eastAsia="Times New Roman" w:hAnsi="Times New Roman"/>
          <w:sz w:val="16"/>
          <w:szCs w:val="16"/>
          <w:color w:val="auto"/>
        </w:rPr>
        <w:t>. If you requested printed copies of proxy materials, you can vote by mailing your proxy card as described in the proxy materials.</w:t>
      </w:r>
    </w:p>
    <w:p>
      <w:pPr>
        <w:spacing w:after="0" w:line="126" w:lineRule="exact"/>
        <w:rPr>
          <w:rFonts w:ascii="Times New Roman" w:cs="Times New Roman" w:eastAsia="Times New Roman" w:hAnsi="Times New Roman"/>
          <w:sz w:val="16"/>
          <w:szCs w:val="16"/>
          <w:color w:val="auto"/>
        </w:rPr>
      </w:pPr>
    </w:p>
    <w:p>
      <w:pPr>
        <w:ind w:left="1020" w:hanging="503"/>
        <w:spacing w:after="0" w:line="276" w:lineRule="auto"/>
        <w:tabs>
          <w:tab w:leader="none" w:pos="10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Via the Internet during the Annual Meeting</w:t>
      </w:r>
      <w:r>
        <w:rPr>
          <w:rFonts w:ascii="Times New Roman" w:cs="Times New Roman" w:eastAsia="Times New Roman" w:hAnsi="Times New Roman"/>
          <w:sz w:val="16"/>
          <w:szCs w:val="16"/>
          <w:color w:val="auto"/>
        </w:rPr>
        <w:t>. You may vote your shares online while virtually attending the Annual Meeting by visiting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i w:val="1"/>
          <w:iCs w:val="1"/>
          <w:color w:val="auto"/>
        </w:rPr>
        <w:t>https://www.proxydocs.com/APLS</w:t>
      </w:r>
      <w:r>
        <w:rPr>
          <w:rFonts w:ascii="Times New Roman" w:cs="Times New Roman" w:eastAsia="Times New Roman" w:hAnsi="Times New Roman"/>
          <w:sz w:val="16"/>
          <w:szCs w:val="16"/>
          <w:color w:val="auto"/>
        </w:rPr>
        <w:t>. In order to vote during the virtual meeting, you must register in advance at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b w:val="1"/>
          <w:bCs w:val="1"/>
          <w:i w:val="1"/>
          <w:iCs w:val="1"/>
          <w:u w:val="single" w:color="auto"/>
          <w:color w:val="auto"/>
        </w:rPr>
        <w:t>https://www.proxydocs.com/APLS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prior to</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deadline of Monday, June 2, 2025 at 5:00 p.m., Eastern Time. If you vote by proxy prior to the Annual Meeting and choose to attend the Annual Meeting online, there is no need to vote again during the Annual Meeting unless you wish to change your vote.</w:t>
      </w:r>
    </w:p>
    <w:p>
      <w:pPr>
        <w:spacing w:after="0" w:line="182" w:lineRule="exact"/>
        <w:rPr>
          <w:sz w:val="20"/>
          <w:szCs w:val="20"/>
          <w:color w:val="auto"/>
        </w:rPr>
      </w:pPr>
    </w:p>
    <w:p>
      <w:pPr>
        <w:ind w:right="180"/>
        <w:spacing w:after="0" w:line="298" w:lineRule="auto"/>
        <w:rPr>
          <w:sz w:val="20"/>
          <w:szCs w:val="20"/>
          <w:color w:val="auto"/>
        </w:rPr>
      </w:pPr>
      <w:r>
        <w:rPr>
          <w:rFonts w:ascii="Times New Roman" w:cs="Times New Roman" w:eastAsia="Times New Roman" w:hAnsi="Times New Roman"/>
          <w:sz w:val="16"/>
          <w:szCs w:val="16"/>
          <w:color w:val="auto"/>
        </w:rPr>
        <w:t>Even if you plan to attend the Annual Meeting online, we urge you to vote your shares by proxy in advance of the Annual Meeting so that if you should become unable to attend the Annual Meeting your shares will be voted as directed by you.</w:t>
      </w:r>
    </w:p>
    <w:p>
      <w:pPr>
        <w:spacing w:after="0" w:line="164" w:lineRule="exact"/>
        <w:rPr>
          <w:sz w:val="20"/>
          <w:szCs w:val="20"/>
          <w:color w:val="auto"/>
        </w:rPr>
      </w:pPr>
    </w:p>
    <w:p>
      <w:pPr>
        <w:ind w:right="440"/>
        <w:spacing w:after="0" w:line="281" w:lineRule="auto"/>
        <w:rPr>
          <w:sz w:val="20"/>
          <w:szCs w:val="20"/>
          <w:color w:val="auto"/>
        </w:rPr>
      </w:pPr>
      <w:r>
        <w:rPr>
          <w:rFonts w:ascii="Times New Roman" w:cs="Times New Roman" w:eastAsia="Times New Roman" w:hAnsi="Times New Roman"/>
          <w:sz w:val="16"/>
          <w:szCs w:val="16"/>
          <w:color w:val="auto"/>
        </w:rPr>
        <w:t>Telephone and Internet voting for stockholders of record will be available up until 5:00 p.m., Eastern Time on Monday, June 2, 2025, and mailed proxy cards must be received by 5:00 p.m., Eastern Time on Monday, June 2, 2025 in order to be counted at the Annual Meeting. If the Annual Meeting is adjourned or postponed, these deadlines may be extended.</w:t>
      </w:r>
    </w:p>
    <w:p>
      <w:pPr>
        <w:spacing w:after="0" w:line="177"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6"/>
          <w:szCs w:val="16"/>
          <w:color w:val="auto"/>
        </w:rPr>
        <w:t>If your shares are held in street name, your bank, broker or other nominee is required to vote the shares it holds on your behalf according to your instructions. The proxy materials, as well as voting and revocation instructions, should have been forwarded to you by the bank, broker or other nominee that holds your shares. In order to vote your shares you will need to follow the instructions that your bank, broker or other nominee provides you. The voting deadlines and availability of telephone and Internet voting for beneficial owners of shares held in “street name” will depend on the voting processes of the organization that holds your shares. Therefore, we urge you to carefully review and follow the voting instruction card and any other materials that you receive from that organization. If your shares are held in “street name,” you must demonstrate proof of beneficial ownership to virtually attend the Annual Meeting and must obtain a legal proxy from your bank, broker or other nominee to vote at the Annual Meeting. Only stockholders who have registered to attend the meeting by Monday, June 2, 2025 at 5:00 p.m., Eastern Time, using the process described above may vote during the meeting. In addition, you will need your control number included on your Notice, proxy card or voting instruction form in order to demonstrate proof of beneficial ownership and to be able to vote during the Annual Meeting.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Can I vote my shares by filling out and returning the Notice of Internet Availability of Proxy Materials?</w:t>
      </w:r>
    </w:p>
    <w:p>
      <w:pPr>
        <w:spacing w:after="0" w:line="237" w:lineRule="exact"/>
        <w:rPr>
          <w:sz w:val="20"/>
          <w:szCs w:val="20"/>
          <w:color w:val="auto"/>
        </w:rPr>
      </w:pPr>
    </w:p>
    <w:p>
      <w:pPr>
        <w:ind w:right="260"/>
        <w:spacing w:after="0" w:line="298" w:lineRule="auto"/>
        <w:rPr>
          <w:sz w:val="20"/>
          <w:szCs w:val="20"/>
          <w:color w:val="auto"/>
        </w:rPr>
      </w:pPr>
      <w:r>
        <w:rPr>
          <w:rFonts w:ascii="Times New Roman" w:cs="Times New Roman" w:eastAsia="Times New Roman" w:hAnsi="Times New Roman"/>
          <w:sz w:val="16"/>
          <w:szCs w:val="16"/>
          <w:color w:val="auto"/>
        </w:rPr>
        <w:t>No. The Notice contains instructions on how to vote via the Internet, by telephone, by requesting and returning a paper proxy card, or by submitting a ballot online at the Annual Meeting.</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Quorum</w:t>
      </w:r>
    </w:p>
    <w:p>
      <w:pPr>
        <w:spacing w:after="0" w:line="237" w:lineRule="exact"/>
        <w:rPr>
          <w:sz w:val="20"/>
          <w:szCs w:val="20"/>
          <w:color w:val="auto"/>
        </w:rPr>
      </w:pPr>
    </w:p>
    <w:p>
      <w:pPr>
        <w:jc w:val="both"/>
        <w:ind w:right="100"/>
        <w:spacing w:after="0" w:line="281" w:lineRule="auto"/>
        <w:rPr>
          <w:sz w:val="20"/>
          <w:szCs w:val="20"/>
          <w:color w:val="auto"/>
        </w:rPr>
      </w:pPr>
      <w:r>
        <w:rPr>
          <w:rFonts w:ascii="Times New Roman" w:cs="Times New Roman" w:eastAsia="Times New Roman" w:hAnsi="Times New Roman"/>
          <w:sz w:val="16"/>
          <w:szCs w:val="16"/>
          <w:color w:val="auto"/>
        </w:rPr>
        <w:t>A quorum of stockholders is necessary to hold a valid meeting. Our amended and restated bylaws provide that a quorum will exist if stockholders holding a majority of the shares of stock issued and outstanding and entitled to vote are present at the meeting in person, by means of remote communication or by proxy. If a quorum is not present, the meeting may be adjourned or postponed until a quorum is obtained.</w:t>
      </w:r>
    </w:p>
    <w:p>
      <w:pPr>
        <w:spacing w:after="0" w:line="177" w:lineRule="exact"/>
        <w:rPr>
          <w:sz w:val="20"/>
          <w:szCs w:val="20"/>
          <w:color w:val="auto"/>
        </w:rPr>
      </w:pPr>
    </w:p>
    <w:p>
      <w:pPr>
        <w:jc w:val="both"/>
        <w:ind w:right="300"/>
        <w:spacing w:after="0" w:line="281" w:lineRule="auto"/>
        <w:rPr>
          <w:sz w:val="20"/>
          <w:szCs w:val="20"/>
          <w:color w:val="auto"/>
        </w:rPr>
      </w:pPr>
      <w:r>
        <w:rPr>
          <w:rFonts w:ascii="Times New Roman" w:cs="Times New Roman" w:eastAsia="Times New Roman" w:hAnsi="Times New Roman"/>
          <w:sz w:val="16"/>
          <w:szCs w:val="16"/>
          <w:color w:val="auto"/>
        </w:rPr>
        <w:t>For purposes of determining whether a quorum exists, we will count as present any shares that are voted over the Internet, by telephone, by completing and submitting a proxy by mail or that are represented in person at the Annual Meeting. Further, for purposes of establishing a quorum, we will count as present shares that a stockholder holds even if the stockholder votes to abstain or only votes on one of the proposals. In addition, we will count as present shares that are “broker non-votes.”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Ballot Measures Considered “Discretionary” and “Non-Discretionary”</w:t>
      </w:r>
    </w:p>
    <w:p>
      <w:pPr>
        <w:spacing w:after="0" w:line="237" w:lineRule="exact"/>
        <w:rPr>
          <w:sz w:val="20"/>
          <w:szCs w:val="20"/>
          <w:color w:val="auto"/>
        </w:rPr>
      </w:pPr>
    </w:p>
    <w:p>
      <w:pPr>
        <w:ind w:right="260"/>
        <w:spacing w:after="0" w:line="298" w:lineRule="auto"/>
        <w:rPr>
          <w:sz w:val="20"/>
          <w:szCs w:val="20"/>
          <w:color w:val="auto"/>
        </w:rPr>
      </w:pPr>
      <w:r>
        <w:rPr>
          <w:rFonts w:ascii="Times New Roman" w:cs="Times New Roman" w:eastAsia="Times New Roman" w:hAnsi="Times New Roman"/>
          <w:sz w:val="16"/>
          <w:szCs w:val="16"/>
          <w:color w:val="auto"/>
        </w:rPr>
        <w:t>The election of directors (Proposal No. 1) is a matter considered non-discretionary under applicable rules. A broker or other nominee cannot vote without instructions on non-discretionary matters, and therefore there may be broker non-votes on Proposal No. 1.</w:t>
      </w:r>
    </w:p>
    <w:p>
      <w:pPr>
        <w:spacing w:after="0" w:line="164"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6"/>
          <w:szCs w:val="16"/>
          <w:color w:val="auto"/>
        </w:rPr>
        <w:t>The ratification of the appointment of Deloitte &amp; Touche LLP as our independent registered public accounting firm for the fiscal year ending December 31, 2025 (Proposal No. 2) is a matter considered discretionary under applicable rules. A broker or other nominee generally may exercise discretionary authority and vote on discretionary matters. If brokers and other nominees exercise this discretionary authority, no broker non-votes are expected to occur in connection with Proposal No. 2.</w:t>
      </w:r>
    </w:p>
    <w:p>
      <w:pPr>
        <w:spacing w:after="0" w:line="177" w:lineRule="exact"/>
        <w:rPr>
          <w:sz w:val="20"/>
          <w:szCs w:val="20"/>
          <w:color w:val="auto"/>
        </w:rPr>
      </w:pPr>
    </w:p>
    <w:p>
      <w:pPr>
        <w:ind w:right="420"/>
        <w:spacing w:after="0" w:line="298" w:lineRule="auto"/>
        <w:rPr>
          <w:sz w:val="20"/>
          <w:szCs w:val="20"/>
          <w:color w:val="auto"/>
        </w:rPr>
      </w:pPr>
      <w:r>
        <w:rPr>
          <w:rFonts w:ascii="Times New Roman" w:cs="Times New Roman" w:eastAsia="Times New Roman" w:hAnsi="Times New Roman"/>
          <w:sz w:val="16"/>
          <w:szCs w:val="16"/>
          <w:color w:val="auto"/>
        </w:rPr>
        <w:t>Approval of the advisory vote on executive compensation (Proposal No. 3) is a matter considered non-discretionary under applicable rules. A broker or other nominee cannot vote without instructions on non-discretionary matters, and therefore there may be broker non-votes on Proposal No. 3.</w:t>
      </w:r>
    </w:p>
    <w:p>
      <w:pPr>
        <w:spacing w:after="0" w:line="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3" w:right="359" w:bottom="1440" w:gutter="0" w:footer="0" w:header="0"/>
        </w:sectPr>
      </w:pPr>
    </w:p>
    <w:bookmarkStart w:id="10" w:name="page11"/>
    <w:bookmarkEnd w:id="10"/>
    <w:p>
      <w:pPr>
        <w:ind w:right="220"/>
        <w:spacing w:after="0" w:line="281" w:lineRule="auto"/>
        <w:rPr>
          <w:sz w:val="20"/>
          <w:szCs w:val="20"/>
          <w:color w:val="auto"/>
        </w:rPr>
      </w:pPr>
      <w:r>
        <w:rPr>
          <w:rFonts w:ascii="Times New Roman" w:cs="Times New Roman" w:eastAsia="Times New Roman" w:hAnsi="Times New Roman"/>
          <w:sz w:val="16"/>
          <w:szCs w:val="16"/>
          <w:color w:val="auto"/>
        </w:rPr>
        <w:t>Approval of one of the three frequency options under the advisory vote on the frequency of future executive compensation advisory votes (Proposal No. 4) is a matter considered non-discretionary under applicable rules. A broker or other nominee cannot vote without instructions on non-discretionary matters, and therefore there may be broker non-votes on Proposal No. 4.</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Votes Required</w:t>
      </w:r>
    </w:p>
    <w:p>
      <w:pPr>
        <w:spacing w:after="0" w:line="237"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6"/>
          <w:szCs w:val="16"/>
          <w:color w:val="auto"/>
        </w:rPr>
        <w:t>To be elected, a director must receive a plurality of the votes cast by stockholders entitled to vote at the meeting on such matter (Proposal No. 1). The affirmative vote of the holders of shares of stock having a majority in voting power of the votes cast by the holders of all of the shares of stock present or represented at the meeting and voting affirmatively or negatively on such matter is required for the ratification of the appointment of Deloitte &amp; Touche LLP as our independent registered public accounting firm for the fiscal year ending December 31, 2025 (Proposal No. 2) and approval of the advisory vote on executive compensation (Proposal No. 3). A plurality of the votes cast by stockholders entitled to vote at the meeting is required to approve the frequency of future executive compensation advisory votes (Proposal No. 4).</w:t>
      </w:r>
    </w:p>
    <w:p>
      <w:pPr>
        <w:spacing w:after="0" w:line="186" w:lineRule="exact"/>
        <w:rPr>
          <w:sz w:val="20"/>
          <w:szCs w:val="20"/>
          <w:color w:val="auto"/>
        </w:rPr>
      </w:pPr>
    </w:p>
    <w:p>
      <w:pPr>
        <w:ind w:right="200"/>
        <w:spacing w:after="0" w:line="298" w:lineRule="auto"/>
        <w:rPr>
          <w:sz w:val="20"/>
          <w:szCs w:val="20"/>
          <w:color w:val="auto"/>
        </w:rPr>
      </w:pPr>
      <w:r>
        <w:rPr>
          <w:rFonts w:ascii="Times New Roman" w:cs="Times New Roman" w:eastAsia="Times New Roman" w:hAnsi="Times New Roman"/>
          <w:sz w:val="16"/>
          <w:szCs w:val="16"/>
          <w:color w:val="auto"/>
        </w:rPr>
        <w:t>Abstentions and broker non-votes will not be counted as votes cast or voted on any of the proposals. Accordingly, abstentions and broker non-votes will have no effect on the voting on any of these proposals.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Method of Counting Votes</w:t>
      </w:r>
    </w:p>
    <w:p>
      <w:pPr>
        <w:spacing w:after="0" w:line="237"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6"/>
          <w:szCs w:val="16"/>
          <w:color w:val="auto"/>
        </w:rPr>
        <w:t>Each holder of common stock is entitled to one vote at the Annual Meeting on each matter to come before the Annual Meeting, including the election of directors, for each share held by such stockholder as of the record date. Votes cast virtually at the Annual Meeting or by proxy by mail, via the Internet prior to the Annual Meeting or by telephone will be tabulated by the inspector of election appointed for the Annual Meeting, who will also determine whether a quorum is present.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Revoking a Proxy; Changing Your Vote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If you are a stockholder of record, you may revoke your proxy before the vote is taken at the meeting:</w:t>
      </w:r>
    </w:p>
    <w:p>
      <w:pPr>
        <w:spacing w:after="0" w:line="127" w:lineRule="exact"/>
        <w:rPr>
          <w:sz w:val="20"/>
          <w:szCs w:val="20"/>
          <w:color w:val="auto"/>
        </w:rPr>
      </w:pPr>
    </w:p>
    <w:p>
      <w:pPr>
        <w:ind w:left="1020" w:right="180" w:hanging="503"/>
        <w:spacing w:after="0" w:line="298" w:lineRule="auto"/>
        <w:tabs>
          <w:tab w:leader="none" w:pos="10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submitting a new proxy with a later date before the applicable deadline either signed and returned by mail or transmitted using the telephone or Internet voting procedures prior to the Annual Meeting described in the “How to Vote” section above;</w:t>
      </w:r>
    </w:p>
    <w:p>
      <w:pPr>
        <w:spacing w:after="0" w:line="5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voting online at the meeting as described in the “How to Vote” section above; or</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filing a written revocation with our corporate Secretary before the Annual Meeting.</w:t>
      </w:r>
    </w:p>
    <w:p>
      <w:pPr>
        <w:spacing w:after="0" w:line="2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If your shares are held in “street name,” you may submit new voting instructions by contacting your bank, broker or other nominee holding your account. You may also vote online at the Annual Meeting, which will have the effect of revoking any previously submitted voting instructions, if you obtain a legal proxy from the organization that holds your shares as described in the “How to Vote” section above.</w:t>
      </w:r>
    </w:p>
    <w:p>
      <w:pPr>
        <w:spacing w:after="0" w:line="177"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Virtually attending the Annual Meeting, without voting online during the Annual Meeting, will not revoke your prior Internet vote, telephone vote or proxy submitted by mail, as the case may be.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Costs of Proxy Solicitation</w:t>
      </w:r>
    </w:p>
    <w:p>
      <w:pPr>
        <w:spacing w:after="0" w:line="237" w:lineRule="exact"/>
        <w:rPr>
          <w:sz w:val="20"/>
          <w:szCs w:val="20"/>
          <w:color w:val="auto"/>
        </w:rPr>
      </w:pPr>
    </w:p>
    <w:p>
      <w:pPr>
        <w:ind w:right="660"/>
        <w:spacing w:after="0" w:line="298" w:lineRule="auto"/>
        <w:rPr>
          <w:sz w:val="20"/>
          <w:szCs w:val="20"/>
          <w:color w:val="auto"/>
        </w:rPr>
      </w:pPr>
      <w:r>
        <w:rPr>
          <w:rFonts w:ascii="Times New Roman" w:cs="Times New Roman" w:eastAsia="Times New Roman" w:hAnsi="Times New Roman"/>
          <w:sz w:val="16"/>
          <w:szCs w:val="16"/>
          <w:color w:val="auto"/>
        </w:rPr>
        <w:t>We will bear the costs of soliciting proxies. Our directors, officers and regular employees, without additional remuneration, may solicit proxies by mail, telephone, facsimile, email, personal interviews and other means.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How do I submit a question at the Annual Meeting?</w:t>
      </w:r>
    </w:p>
    <w:p>
      <w:pPr>
        <w:spacing w:after="0" w:line="237" w:lineRule="exact"/>
        <w:rPr>
          <w:sz w:val="20"/>
          <w:szCs w:val="20"/>
          <w:color w:val="auto"/>
        </w:rPr>
      </w:pPr>
    </w:p>
    <w:p>
      <w:pPr>
        <w:ind w:right="240"/>
        <w:spacing w:after="0" w:line="272" w:lineRule="auto"/>
        <w:rPr>
          <w:sz w:val="20"/>
          <w:szCs w:val="20"/>
          <w:color w:val="auto"/>
        </w:rPr>
      </w:pPr>
      <w:r>
        <w:rPr>
          <w:rFonts w:ascii="Times New Roman" w:cs="Times New Roman" w:eastAsia="Times New Roman" w:hAnsi="Times New Roman"/>
          <w:sz w:val="16"/>
          <w:szCs w:val="16"/>
          <w:color w:val="auto"/>
        </w:rPr>
        <w:t xml:space="preserve">If you wish to submit a question before the Annual Meeting, you may log into the virtual meeting platform using the unique link provided to you via email following the completion of your registration at </w:t>
      </w:r>
      <w:r>
        <w:rPr>
          <w:rFonts w:ascii="Times New Roman" w:cs="Times New Roman" w:eastAsia="Times New Roman" w:hAnsi="Times New Roman"/>
          <w:sz w:val="16"/>
          <w:szCs w:val="16"/>
          <w:b w:val="1"/>
          <w:bCs w:val="1"/>
          <w:i w:val="1"/>
          <w:iCs w:val="1"/>
          <w:color w:val="auto"/>
        </w:rPr>
        <w:t>https://www.proxydocs.com/APLS</w:t>
      </w:r>
      <w:r>
        <w:rPr>
          <w:rFonts w:ascii="Times New Roman" w:cs="Times New Roman" w:eastAsia="Times New Roman" w:hAnsi="Times New Roman"/>
          <w:sz w:val="16"/>
          <w:szCs w:val="16"/>
          <w:color w:val="auto"/>
        </w:rPr>
        <w:t xml:space="preserve">, type your question into the “Ask a Question” field, and click “Submit”. Our virtual meeting will be governed by our Rules of Conduct which will be posted at </w:t>
      </w:r>
      <w:r>
        <w:rPr>
          <w:rFonts w:ascii="Times New Roman" w:cs="Times New Roman" w:eastAsia="Times New Roman" w:hAnsi="Times New Roman"/>
          <w:sz w:val="16"/>
          <w:szCs w:val="16"/>
          <w:b w:val="1"/>
          <w:bCs w:val="1"/>
          <w:i w:val="1"/>
          <w:iCs w:val="1"/>
          <w:color w:val="auto"/>
        </w:rPr>
        <w:t>https://www.proxydocs.com/APLS</w:t>
      </w:r>
      <w:r>
        <w:rPr>
          <w:rFonts w:ascii="Times New Roman" w:cs="Times New Roman" w:eastAsia="Times New Roman" w:hAnsi="Times New Roman"/>
          <w:sz w:val="16"/>
          <w:szCs w:val="16"/>
          <w:color w:val="auto"/>
        </w:rPr>
        <w:t xml:space="preserve"> in advance of the meeting. The Rules of Conduct will address the ability of stockholders to ask questions during the meeting, including rules on permissible topics, and rules for how questions and comments will be recognized and disclosed to meeting participants.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Voting Results</w:t>
      </w:r>
    </w:p>
    <w:p>
      <w:pPr>
        <w:spacing w:after="0" w:line="237" w:lineRule="exact"/>
        <w:rPr>
          <w:sz w:val="20"/>
          <w:szCs w:val="20"/>
          <w:color w:val="auto"/>
        </w:rPr>
      </w:pPr>
    </w:p>
    <w:p>
      <w:pPr>
        <w:ind w:right="180"/>
        <w:spacing w:after="0" w:line="298" w:lineRule="auto"/>
        <w:rPr>
          <w:sz w:val="20"/>
          <w:szCs w:val="20"/>
          <w:color w:val="auto"/>
        </w:rPr>
      </w:pPr>
      <w:r>
        <w:rPr>
          <w:rFonts w:ascii="Times New Roman" w:cs="Times New Roman" w:eastAsia="Times New Roman" w:hAnsi="Times New Roman"/>
          <w:sz w:val="16"/>
          <w:szCs w:val="16"/>
          <w:color w:val="auto"/>
        </w:rPr>
        <w:t>We plan to announce preliminary voting results at the Annual Meeting and will publish final results in a Current Report on Form 8-K, to be filed with the SEC within four business days following the Annual Meeting.</w:t>
      </w: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23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6"/>
          <w:szCs w:val="16"/>
          <w:color w:val="auto"/>
        </w:rPr>
        <w:t>Statements in this proxy statement, including the letter from our chief executive officer included in this proxy statement, about future expectations, plans and prospects, as well as any other statements regarding matters that are not historical facts, may constitute “forward-looking statements” within the meaning of The Private Securities Litigation Reform Act of 1995. The words “anticipate,” “believe,” “continue,” “could,” “estimate,” “expect,” “intend,” “may,” “plan,” “potential,” “predict,” “project,” “should,” “target,” “will,” “would” and similar expressions are intended to identify forward-looking statements, although not all forward-looking statements contain these identifying words. Actual results may differ materially from those indicated by such forward-looking statements as a result of various important factors, including those discussed in the “Risk Factors” section of Apellis’ annual report on Form 10-K for the fiscal year ended December 31, 2024 filed with the SEC on February 28, 2025 and the risks described in other filings that Apellis may make with the Securities and Exchange Commission. Any forward-looking statements contained in this proxy statement speak only as of the date hereof, and Apellis specifically disclaims any obligation to update any forward-looking statement, whether as a result of new information, future events or otherwise.</w:t>
      </w:r>
    </w:p>
    <w:p>
      <w:pPr>
        <w:spacing w:after="0" w:line="7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15" w:right="439" w:bottom="1440" w:gutter="0" w:footer="0" w:header="0"/>
        </w:sectPr>
      </w:pPr>
    </w:p>
    <w:bookmarkStart w:id="12" w:name="page13"/>
    <w:bookmarkEnd w:id="12"/>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OUR BOARD OF DIRECTORS</w:t>
      </w:r>
    </w:p>
    <w:p>
      <w:pPr>
        <w:spacing w:after="0" w:line="251"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Our board of directors currently consists of eight members. In accordance with the terms of our restated certificate of incorporation, our board of directors is divided into three classes (Class I, Class II and Class III), with members of each class serving staggered three-year terms. The members of the classes are divided as follows:</w:t>
      </w:r>
    </w:p>
    <w:p>
      <w:pPr>
        <w:spacing w:after="0" w:line="272"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Class I directors are Paul Fonteyne and Stephanie Monaghan O’Brien, and their terms expire at the annual meeting of stockholders to be held in 2027;</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Class II directors are A. Sinclair Dunlop, Alec Machiels and Keli Walbert, and their terms expire at the Annual Meeting; and</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Class III directors are Gerald Chan, Cedric Francois and Craig Wheeler and their terms expire at the annual meeting of stockholders to be held in 2026.</w:t>
      </w:r>
    </w:p>
    <w:p>
      <w:pPr>
        <w:spacing w:after="0" w:line="235" w:lineRule="exact"/>
        <w:rPr>
          <w:sz w:val="20"/>
          <w:szCs w:val="20"/>
          <w:color w:val="auto"/>
        </w:rPr>
      </w:pPr>
    </w:p>
    <w:p>
      <w:pPr>
        <w:ind w:right="120"/>
        <w:spacing w:after="0" w:line="298" w:lineRule="auto"/>
        <w:rPr>
          <w:sz w:val="20"/>
          <w:szCs w:val="20"/>
          <w:color w:val="auto"/>
        </w:rPr>
      </w:pPr>
      <w:r>
        <w:rPr>
          <w:rFonts w:ascii="Times New Roman" w:cs="Times New Roman" w:eastAsia="Times New Roman" w:hAnsi="Times New Roman"/>
          <w:sz w:val="16"/>
          <w:szCs w:val="16"/>
          <w:color w:val="auto"/>
        </w:rPr>
        <w:t>Upon the expiration of the term of a class of directors, directors in that class will be eligible to be elected for a new three-year term at the annual meeting of stockholders in the year in which their term expires.</w:t>
      </w:r>
    </w:p>
    <w:p>
      <w:pPr>
        <w:spacing w:after="0" w:line="164"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6"/>
          <w:szCs w:val="16"/>
          <w:color w:val="auto"/>
        </w:rPr>
        <w:t>Our restated certificate of incorporation provides that the authorized number of directors may be changed only by resolution of our board of directors. Our restated certificate of incorporation also provides that our directors may be removed only for cause and only by the affirmative vote of the holders of at least 75% of the votes that all our stockholders would be entitled to cast in an annual election of directors, and that any vacancy on our board of directors, including a vacancy resulting from an enlargement of our board of directors, may be filled only by vote of a majority of our directors then in office.</w:t>
      </w: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b w:val="1"/>
          <w:bCs w:val="1"/>
          <w:color w:val="auto"/>
        </w:rPr>
        <w:t>PROPOSAL NO. 1—ELECTION OF THREE CLASS II DIRECTORS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board of directors has nominated A. Sinclair Dunlop, Alec Machiels and Keli Walbert for election as the Class II directors at the Annual Meeting.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Each of Mr. Dunlop, Mr. Machiels and Ms. Walbert has indicated a willingness to continue to serve as director, if elected. If either Mr. Dunlop, Mr. Machiels or Ms.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Walbert becomes unable or unwilling to serve, however, the proxies may be voted for substitute nominees selected by our board of directors.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Class II Director Nominees</w:t>
      </w:r>
    </w:p>
    <w:p>
      <w:pPr>
        <w:spacing w:after="0" w:line="131" w:lineRule="exact"/>
        <w:rPr>
          <w:sz w:val="20"/>
          <w:szCs w:val="20"/>
          <w:color w:val="auto"/>
        </w:rPr>
      </w:pPr>
    </w:p>
    <w:p>
      <w:pPr>
        <w:ind w:right="260"/>
        <w:spacing w:after="0" w:line="298" w:lineRule="auto"/>
        <w:rPr>
          <w:sz w:val="20"/>
          <w:szCs w:val="20"/>
          <w:color w:val="auto"/>
        </w:rPr>
      </w:pPr>
      <w:r>
        <w:rPr>
          <w:rFonts w:ascii="Times New Roman" w:cs="Times New Roman" w:eastAsia="Times New Roman" w:hAnsi="Times New Roman"/>
          <w:sz w:val="16"/>
          <w:szCs w:val="16"/>
          <w:color w:val="auto"/>
        </w:rPr>
        <w:t>Biographical information as of April 15, 2025, including principal occupation and business experience during the last five years, for our nominees for election as Class II directors at our Annual Meeting is set forth below.</w:t>
      </w:r>
    </w:p>
    <w:p>
      <w:pPr>
        <w:spacing w:after="0" w:line="93"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5"/>
          <w:szCs w:val="15"/>
          <w:color w:val="auto"/>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1045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045845"/>
                    </a:xfrm>
                    <a:prstGeom prst="rect">
                      <a:avLst/>
                    </a:prstGeom>
                    <a:noFill/>
                  </pic:spPr>
                </pic:pic>
              </a:graphicData>
            </a:graphic>
          </wp:anchor>
        </w:drawing>
      </w:r>
    </w:p>
    <w:p>
      <w:pPr>
        <w:ind w:left="3120" w:right="360" w:hanging="159"/>
        <w:spacing w:after="0" w:line="225" w:lineRule="auto"/>
        <w:tabs>
          <w:tab w:leader="none" w:pos="3100" w:val="left"/>
        </w:tabs>
        <w:rPr>
          <w:sz w:val="20"/>
          <w:szCs w:val="20"/>
          <w:color w:val="auto"/>
        </w:rPr>
      </w:pPr>
      <w:r>
        <w:rPr>
          <w:rFonts w:ascii="Times New Roman" w:cs="Times New Roman" w:eastAsia="Times New Roman" w:hAnsi="Times New Roman"/>
          <w:sz w:val="15"/>
          <w:szCs w:val="15"/>
          <w:color w:val="auto"/>
        </w:rPr>
        <w:t>•</w:t>
        <w:tab/>
        <w:t>Co-Founder and Managing Partner, Epidarex Capital, an early-stage venture fund platform with approximately $250 million in assets under management (July 2010 – present)</w:t>
      </w:r>
    </w:p>
    <w:p>
      <w:pPr>
        <w:ind w:left="2960"/>
        <w:spacing w:after="0" w:line="226" w:lineRule="auto"/>
        <w:rPr>
          <w:sz w:val="20"/>
          <w:szCs w:val="20"/>
          <w:color w:val="auto"/>
        </w:rPr>
      </w:pPr>
      <w:r>
        <w:rPr>
          <w:rFonts w:ascii="Times New Roman" w:cs="Times New Roman" w:eastAsia="Times New Roman" w:hAnsi="Times New Roman"/>
          <w:sz w:val="15"/>
          <w:szCs w:val="15"/>
          <w:color w:val="auto"/>
        </w:rPr>
        <w:t>•  Founder and Managing Partner, Masa Life Science Ventures, LP, an early-stage venture fund that successfully built an international</w:t>
      </w:r>
    </w:p>
    <w:tbl>
      <w:tblPr>
        <w:tblLayout w:type="fixed"/>
        <w:tblInd w:w="20" w:type="dxa"/>
        <w:tblCellMar>
          <w:top w:w="0" w:type="dxa"/>
          <w:left w:w="0" w:type="dxa"/>
          <w:bottom w:w="0" w:type="dxa"/>
          <w:right w:w="0" w:type="dxa"/>
        </w:tblCellMar>
      </w:tblPr>
      <w:tr>
        <w:trPr>
          <w:trHeight w:val="198"/>
        </w:trPr>
        <w:tc>
          <w:tcPr>
            <w:tcW w:w="2920" w:type="dxa"/>
            <w:vAlign w:val="bottom"/>
          </w:tcPr>
          <w:p>
            <w:pPr>
              <w:spacing w:after="0"/>
              <w:rPr>
                <w:sz w:val="17"/>
                <w:szCs w:val="17"/>
                <w:color w:val="auto"/>
              </w:rPr>
            </w:pPr>
          </w:p>
        </w:tc>
        <w:tc>
          <w:tcPr>
            <w:tcW w:w="83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portfolio of leading life science and health technology companies (2005 – 2010)</w:t>
            </w:r>
          </w:p>
        </w:tc>
        <w:tc>
          <w:tcPr>
            <w:tcW w:w="0" w:type="dxa"/>
            <w:vAlign w:val="bottom"/>
          </w:tcPr>
          <w:p>
            <w:pPr>
              <w:spacing w:after="0"/>
              <w:rPr>
                <w:sz w:val="1"/>
                <w:szCs w:val="1"/>
                <w:color w:val="auto"/>
              </w:rPr>
            </w:pPr>
          </w:p>
        </w:tc>
      </w:tr>
      <w:tr>
        <w:trPr>
          <w:trHeight w:val="33"/>
        </w:trPr>
        <w:tc>
          <w:tcPr>
            <w:tcW w:w="2920" w:type="dxa"/>
            <w:vAlign w:val="bottom"/>
          </w:tcPr>
          <w:p>
            <w:pPr>
              <w:spacing w:after="0"/>
              <w:rPr>
                <w:sz w:val="2"/>
                <w:szCs w:val="2"/>
                <w:color w:val="auto"/>
              </w:rPr>
            </w:pPr>
          </w:p>
        </w:tc>
        <w:tc>
          <w:tcPr>
            <w:tcW w:w="8300" w:type="dxa"/>
            <w:vAlign w:val="bottom"/>
            <w:tcBorders>
              <w:bottom w:val="single" w:sz="8" w:color="BFBFBF"/>
            </w:tcBorders>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2920" w:type="dxa"/>
            <w:vAlign w:val="bottom"/>
          </w:tcPr>
          <w:p>
            <w:pPr>
              <w:spacing w:after="0"/>
              <w:rPr>
                <w:sz w:val="12"/>
                <w:szCs w:val="12"/>
                <w:color w:val="auto"/>
              </w:rPr>
            </w:pPr>
          </w:p>
        </w:tc>
        <w:tc>
          <w:tcPr>
            <w:tcW w:w="8300" w:type="dxa"/>
            <w:vAlign w:val="bottom"/>
          </w:tcPr>
          <w:p>
            <w:pPr>
              <w:ind w:left="40"/>
              <w:spacing w:after="0" w:line="138" w:lineRule="exact"/>
              <w:rPr>
                <w:sz w:val="20"/>
                <w:szCs w:val="20"/>
                <w:color w:val="auto"/>
              </w:rPr>
            </w:pPr>
            <w:r>
              <w:rPr>
                <w:rFonts w:ascii="Times New Roman" w:cs="Times New Roman" w:eastAsia="Times New Roman" w:hAnsi="Times New Roman"/>
                <w:sz w:val="15"/>
                <w:szCs w:val="15"/>
                <w:color w:val="auto"/>
              </w:rPr>
              <w:t>Qualifications</w:t>
            </w:r>
          </w:p>
        </w:tc>
        <w:tc>
          <w:tcPr>
            <w:tcW w:w="0" w:type="dxa"/>
            <w:vAlign w:val="bottom"/>
          </w:tcPr>
          <w:p>
            <w:pPr>
              <w:spacing w:after="0"/>
              <w:rPr>
                <w:sz w:val="1"/>
                <w:szCs w:val="1"/>
                <w:color w:val="auto"/>
              </w:rPr>
            </w:pPr>
          </w:p>
        </w:tc>
      </w:tr>
      <w:tr>
        <w:trPr>
          <w:trHeight w:val="162"/>
        </w:trPr>
        <w:tc>
          <w:tcPr>
            <w:tcW w:w="2920" w:type="dxa"/>
            <w:vAlign w:val="bottom"/>
          </w:tcPr>
          <w:p>
            <w:pPr>
              <w:spacing w:after="0"/>
              <w:rPr>
                <w:sz w:val="14"/>
                <w:szCs w:val="14"/>
                <w:color w:val="auto"/>
              </w:rPr>
            </w:pPr>
          </w:p>
        </w:tc>
        <w:tc>
          <w:tcPr>
            <w:tcW w:w="8300" w:type="dxa"/>
            <w:vAlign w:val="bottom"/>
          </w:tcPr>
          <w:p>
            <w:pPr>
              <w:ind w:left="20"/>
              <w:spacing w:after="0" w:line="162" w:lineRule="exact"/>
              <w:rPr>
                <w:sz w:val="20"/>
                <w:szCs w:val="20"/>
                <w:color w:val="auto"/>
              </w:rPr>
            </w:pPr>
            <w:r>
              <w:rPr>
                <w:rFonts w:ascii="Times New Roman" w:cs="Times New Roman" w:eastAsia="Times New Roman" w:hAnsi="Times New Roman"/>
                <w:sz w:val="15"/>
                <w:szCs w:val="15"/>
                <w:color w:val="auto"/>
              </w:rPr>
              <w:t>•  Extensive investment and business experience, including 20 years of experience successfully building early-stage life science</w:t>
            </w:r>
          </w:p>
        </w:tc>
        <w:tc>
          <w:tcPr>
            <w:tcW w:w="0" w:type="dxa"/>
            <w:vAlign w:val="bottom"/>
          </w:tcPr>
          <w:p>
            <w:pPr>
              <w:spacing w:after="0"/>
              <w:rPr>
                <w:sz w:val="1"/>
                <w:szCs w:val="1"/>
                <w:color w:val="auto"/>
              </w:rPr>
            </w:pPr>
          </w:p>
        </w:tc>
      </w:tr>
      <w:tr>
        <w:trPr>
          <w:trHeight w:val="198"/>
        </w:trPr>
        <w:tc>
          <w:tcPr>
            <w:tcW w:w="2920" w:type="dxa"/>
            <w:vAlign w:val="bottom"/>
          </w:tcPr>
          <w:p>
            <w:pPr>
              <w:spacing w:after="0"/>
              <w:rPr>
                <w:sz w:val="17"/>
                <w:szCs w:val="17"/>
                <w:color w:val="auto"/>
              </w:rPr>
            </w:pPr>
          </w:p>
        </w:tc>
        <w:tc>
          <w:tcPr>
            <w:tcW w:w="83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companies and delivering competitive returns to international investors</w:t>
            </w:r>
          </w:p>
        </w:tc>
        <w:tc>
          <w:tcPr>
            <w:tcW w:w="0" w:type="dxa"/>
            <w:vAlign w:val="bottom"/>
          </w:tcPr>
          <w:p>
            <w:pPr>
              <w:spacing w:after="0"/>
              <w:rPr>
                <w:sz w:val="1"/>
                <w:szCs w:val="1"/>
                <w:color w:val="auto"/>
              </w:rPr>
            </w:pPr>
          </w:p>
        </w:tc>
      </w:tr>
      <w:tr>
        <w:trPr>
          <w:trHeight w:val="22"/>
        </w:trPr>
        <w:tc>
          <w:tcPr>
            <w:tcW w:w="2920" w:type="dxa"/>
            <w:vAlign w:val="bottom"/>
          </w:tcPr>
          <w:p>
            <w:pPr>
              <w:spacing w:after="0" w:line="20" w:lineRule="exact"/>
              <w:rPr>
                <w:sz w:val="1"/>
                <w:szCs w:val="1"/>
                <w:color w:val="auto"/>
              </w:rPr>
            </w:pPr>
          </w:p>
        </w:tc>
        <w:tc>
          <w:tcPr>
            <w:tcW w:w="8300" w:type="dxa"/>
            <w:vAlign w:val="bottom"/>
            <w:tcBorders>
              <w:bottom w:val="single" w:sz="8" w:color="BFBFB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2920" w:type="dxa"/>
            <w:vAlign w:val="bottom"/>
          </w:tcPr>
          <w:p>
            <w:pPr>
              <w:spacing w:after="0"/>
              <w:rPr>
                <w:sz w:val="12"/>
                <w:szCs w:val="12"/>
                <w:color w:val="auto"/>
              </w:rPr>
            </w:pPr>
          </w:p>
        </w:tc>
        <w:tc>
          <w:tcPr>
            <w:tcW w:w="8300" w:type="dxa"/>
            <w:vAlign w:val="bottom"/>
          </w:tcPr>
          <w:p>
            <w:pPr>
              <w:ind w:left="40"/>
              <w:spacing w:after="0" w:line="138" w:lineRule="exact"/>
              <w:rPr>
                <w:sz w:val="20"/>
                <w:szCs w:val="20"/>
                <w:color w:val="auto"/>
              </w:rPr>
            </w:pPr>
            <w:r>
              <w:rPr>
                <w:rFonts w:ascii="Times New Roman" w:cs="Times New Roman" w:eastAsia="Times New Roman" w:hAnsi="Times New Roman"/>
                <w:sz w:val="15"/>
                <w:szCs w:val="15"/>
                <w:color w:val="auto"/>
              </w:rPr>
              <w:t>Education</w:t>
            </w:r>
          </w:p>
        </w:tc>
        <w:tc>
          <w:tcPr>
            <w:tcW w:w="0" w:type="dxa"/>
            <w:vAlign w:val="bottom"/>
          </w:tcPr>
          <w:p>
            <w:pPr>
              <w:spacing w:after="0"/>
              <w:rPr>
                <w:sz w:val="1"/>
                <w:szCs w:val="1"/>
                <w:color w:val="auto"/>
              </w:rPr>
            </w:pPr>
          </w:p>
        </w:tc>
      </w:tr>
      <w:tr>
        <w:trPr>
          <w:trHeight w:val="162"/>
        </w:trPr>
        <w:tc>
          <w:tcPr>
            <w:tcW w:w="2920" w:type="dxa"/>
            <w:vAlign w:val="bottom"/>
            <w:vMerge w:val="restart"/>
          </w:tcPr>
          <w:p>
            <w:pPr>
              <w:spacing w:after="0"/>
              <w:rPr>
                <w:sz w:val="20"/>
                <w:szCs w:val="20"/>
                <w:color w:val="auto"/>
              </w:rPr>
            </w:pPr>
            <w:r>
              <w:rPr>
                <w:rFonts w:ascii="Times New Roman" w:cs="Times New Roman" w:eastAsia="Times New Roman" w:hAnsi="Times New Roman"/>
                <w:sz w:val="25"/>
                <w:szCs w:val="25"/>
                <w:color w:val="auto"/>
              </w:rPr>
              <w:t>A. Sinclair Dunlop</w:t>
            </w:r>
          </w:p>
        </w:tc>
        <w:tc>
          <w:tcPr>
            <w:tcW w:w="8300" w:type="dxa"/>
            <w:vAlign w:val="bottom"/>
          </w:tcPr>
          <w:p>
            <w:pPr>
              <w:ind w:left="20"/>
              <w:spacing w:after="0" w:line="162" w:lineRule="exact"/>
              <w:rPr>
                <w:sz w:val="20"/>
                <w:szCs w:val="20"/>
                <w:color w:val="auto"/>
              </w:rPr>
            </w:pPr>
            <w:r>
              <w:rPr>
                <w:rFonts w:ascii="Times New Roman" w:cs="Times New Roman" w:eastAsia="Times New Roman" w:hAnsi="Times New Roman"/>
                <w:sz w:val="15"/>
                <w:szCs w:val="15"/>
                <w:color w:val="auto"/>
              </w:rPr>
              <w:t>•  M.B.A., Columbia Business School, where he was the R.C. Kopf British-American Fellow in international business</w:t>
            </w:r>
          </w:p>
        </w:tc>
        <w:tc>
          <w:tcPr>
            <w:tcW w:w="0" w:type="dxa"/>
            <w:vAlign w:val="bottom"/>
          </w:tcPr>
          <w:p>
            <w:pPr>
              <w:spacing w:after="0"/>
              <w:rPr>
                <w:sz w:val="1"/>
                <w:szCs w:val="1"/>
                <w:color w:val="auto"/>
              </w:rPr>
            </w:pPr>
          </w:p>
        </w:tc>
      </w:tr>
      <w:tr>
        <w:trPr>
          <w:trHeight w:val="206"/>
        </w:trPr>
        <w:tc>
          <w:tcPr>
            <w:tcW w:w="2920" w:type="dxa"/>
            <w:vAlign w:val="bottom"/>
            <w:vMerge w:val="continue"/>
          </w:tcPr>
          <w:p>
            <w:pPr>
              <w:spacing w:after="0"/>
              <w:rPr>
                <w:sz w:val="17"/>
                <w:szCs w:val="17"/>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  M.A., Political Economy, with Honors, University of Glasgow</w:t>
            </w:r>
          </w:p>
        </w:tc>
        <w:tc>
          <w:tcPr>
            <w:tcW w:w="0" w:type="dxa"/>
            <w:vAlign w:val="bottom"/>
          </w:tcPr>
          <w:p>
            <w:pPr>
              <w:spacing w:after="0"/>
              <w:rPr>
                <w:sz w:val="1"/>
                <w:szCs w:val="1"/>
                <w:color w:val="auto"/>
              </w:rPr>
            </w:pPr>
          </w:p>
        </w:tc>
      </w:tr>
      <w:tr>
        <w:trPr>
          <w:trHeight w:val="189"/>
        </w:trPr>
        <w:tc>
          <w:tcPr>
            <w:tcW w:w="292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Independent Director since 2010</w:t>
            </w:r>
          </w:p>
        </w:tc>
        <w:tc>
          <w:tcPr>
            <w:tcW w:w="8300" w:type="dxa"/>
            <w:vAlign w:val="bottom"/>
            <w:tcBorders>
              <w:bottom w:val="single" w:sz="8" w:color="BFBFBF"/>
            </w:tcBorders>
          </w:tcPr>
          <w:p>
            <w:pPr>
              <w:ind w:left="20"/>
              <w:spacing w:after="0"/>
              <w:rPr>
                <w:sz w:val="20"/>
                <w:szCs w:val="20"/>
                <w:color w:val="auto"/>
              </w:rPr>
            </w:pPr>
            <w:r>
              <w:rPr>
                <w:rFonts w:ascii="Times New Roman" w:cs="Times New Roman" w:eastAsia="Times New Roman" w:hAnsi="Times New Roman"/>
                <w:sz w:val="15"/>
                <w:szCs w:val="15"/>
                <w:color w:val="auto"/>
              </w:rPr>
              <w:t>•  M.A., International Relations, Maxwell School of Citizenship and Public Affairs at Syracuse University</w:t>
            </w:r>
          </w:p>
        </w:tc>
        <w:tc>
          <w:tcPr>
            <w:tcW w:w="0" w:type="dxa"/>
            <w:vAlign w:val="bottom"/>
          </w:tcPr>
          <w:p>
            <w:pPr>
              <w:spacing w:after="0"/>
              <w:rPr>
                <w:sz w:val="1"/>
                <w:szCs w:val="1"/>
                <w:color w:val="auto"/>
              </w:rPr>
            </w:pPr>
          </w:p>
        </w:tc>
      </w:tr>
      <w:tr>
        <w:trPr>
          <w:trHeight w:val="138"/>
        </w:trPr>
        <w:tc>
          <w:tcPr>
            <w:tcW w:w="2920" w:type="dxa"/>
            <w:vAlign w:val="bottom"/>
            <w:vMerge w:val="continue"/>
          </w:tcPr>
          <w:p>
            <w:pPr>
              <w:spacing w:after="0"/>
              <w:rPr>
                <w:sz w:val="12"/>
                <w:szCs w:val="12"/>
                <w:color w:val="auto"/>
              </w:rPr>
            </w:pPr>
          </w:p>
        </w:tc>
        <w:tc>
          <w:tcPr>
            <w:tcW w:w="8300" w:type="dxa"/>
            <w:vAlign w:val="bottom"/>
          </w:tcPr>
          <w:p>
            <w:pPr>
              <w:ind w:left="40"/>
              <w:spacing w:after="0" w:line="138" w:lineRule="exact"/>
              <w:rPr>
                <w:sz w:val="20"/>
                <w:szCs w:val="20"/>
                <w:color w:val="auto"/>
              </w:rPr>
            </w:pPr>
            <w:r>
              <w:rPr>
                <w:rFonts w:ascii="Times New Roman" w:cs="Times New Roman" w:eastAsia="Times New Roman" w:hAnsi="Times New Roman"/>
                <w:sz w:val="15"/>
                <w:szCs w:val="15"/>
                <w:color w:val="auto"/>
              </w:rPr>
              <w:t>Other Boards</w:t>
            </w:r>
          </w:p>
        </w:tc>
        <w:tc>
          <w:tcPr>
            <w:tcW w:w="0" w:type="dxa"/>
            <w:vAlign w:val="bottom"/>
          </w:tcPr>
          <w:p>
            <w:pPr>
              <w:spacing w:after="0"/>
              <w:rPr>
                <w:sz w:val="1"/>
                <w:szCs w:val="1"/>
                <w:color w:val="auto"/>
              </w:rPr>
            </w:pPr>
          </w:p>
        </w:tc>
      </w:tr>
      <w:tr>
        <w:trPr>
          <w:trHeight w:val="178"/>
        </w:trPr>
        <w:tc>
          <w:tcPr>
            <w:tcW w:w="2920" w:type="dxa"/>
            <w:vAlign w:val="bottom"/>
          </w:tcPr>
          <w:p>
            <w:pPr>
              <w:spacing w:after="0"/>
              <w:rPr>
                <w:sz w:val="20"/>
                <w:szCs w:val="20"/>
                <w:color w:val="auto"/>
              </w:rPr>
            </w:pPr>
            <w:r>
              <w:rPr>
                <w:rFonts w:ascii="Times New Roman" w:cs="Times New Roman" w:eastAsia="Times New Roman" w:hAnsi="Times New Roman"/>
                <w:sz w:val="15"/>
                <w:szCs w:val="15"/>
                <w:color w:val="auto"/>
              </w:rPr>
              <w:t xml:space="preserve">Age: </w:t>
            </w:r>
            <w:r>
              <w:rPr>
                <w:rFonts w:ascii="Times New Roman" w:cs="Times New Roman" w:eastAsia="Times New Roman" w:hAnsi="Times New Roman"/>
                <w:sz w:val="15"/>
                <w:szCs w:val="15"/>
                <w:b w:val="1"/>
                <w:bCs w:val="1"/>
                <w:color w:val="auto"/>
              </w:rPr>
              <w:t>53</w:t>
            </w:r>
          </w:p>
        </w:tc>
        <w:tc>
          <w:tcPr>
            <w:tcW w:w="83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  Clyde Biosciences (private, 2015 – present)</w:t>
            </w:r>
          </w:p>
        </w:tc>
        <w:tc>
          <w:tcPr>
            <w:tcW w:w="0" w:type="dxa"/>
            <w:vAlign w:val="bottom"/>
          </w:tcPr>
          <w:p>
            <w:pPr>
              <w:spacing w:after="0"/>
              <w:rPr>
                <w:sz w:val="1"/>
                <w:szCs w:val="1"/>
                <w:color w:val="auto"/>
              </w:rPr>
            </w:pPr>
          </w:p>
        </w:tc>
      </w:tr>
      <w:tr>
        <w:trPr>
          <w:trHeight w:val="146"/>
        </w:trPr>
        <w:tc>
          <w:tcPr>
            <w:tcW w:w="292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Committees:</w:t>
            </w:r>
          </w:p>
        </w:tc>
        <w:tc>
          <w:tcPr>
            <w:tcW w:w="8300" w:type="dxa"/>
            <w:vAlign w:val="bottom"/>
          </w:tcPr>
          <w:p>
            <w:pPr>
              <w:ind w:left="20"/>
              <w:spacing w:after="0" w:line="146" w:lineRule="exact"/>
              <w:rPr>
                <w:sz w:val="20"/>
                <w:szCs w:val="20"/>
                <w:color w:val="auto"/>
              </w:rPr>
            </w:pPr>
            <w:r>
              <w:rPr>
                <w:rFonts w:ascii="Times New Roman" w:cs="Times New Roman" w:eastAsia="Times New Roman" w:hAnsi="Times New Roman"/>
                <w:sz w:val="15"/>
                <w:szCs w:val="15"/>
                <w:color w:val="auto"/>
              </w:rPr>
              <w:t>•  Edinburgh Molecular Imaging, Ltd. (private, 2014 – 2022)</w:t>
            </w:r>
          </w:p>
        </w:tc>
        <w:tc>
          <w:tcPr>
            <w:tcW w:w="0" w:type="dxa"/>
            <w:vAlign w:val="bottom"/>
          </w:tcPr>
          <w:p>
            <w:pPr>
              <w:spacing w:after="0"/>
              <w:rPr>
                <w:sz w:val="1"/>
                <w:szCs w:val="1"/>
                <w:color w:val="auto"/>
              </w:rPr>
            </w:pPr>
          </w:p>
        </w:tc>
      </w:tr>
      <w:tr>
        <w:trPr>
          <w:trHeight w:val="108"/>
        </w:trPr>
        <w:tc>
          <w:tcPr>
            <w:tcW w:w="2920" w:type="dxa"/>
            <w:vAlign w:val="bottom"/>
            <w:vMerge w:val="continue"/>
          </w:tcPr>
          <w:p>
            <w:pPr>
              <w:spacing w:after="0"/>
              <w:rPr>
                <w:sz w:val="9"/>
                <w:szCs w:val="9"/>
                <w:color w:val="auto"/>
              </w:rPr>
            </w:pPr>
          </w:p>
        </w:tc>
        <w:tc>
          <w:tcPr>
            <w:tcW w:w="8300" w:type="dxa"/>
            <w:vAlign w:val="bottom"/>
            <w:vMerge w:val="restart"/>
          </w:tcPr>
          <w:p>
            <w:pPr>
              <w:ind w:left="20"/>
              <w:spacing w:after="0" w:line="162" w:lineRule="exact"/>
              <w:rPr>
                <w:sz w:val="20"/>
                <w:szCs w:val="20"/>
                <w:color w:val="auto"/>
              </w:rPr>
            </w:pPr>
            <w:r>
              <w:rPr>
                <w:rFonts w:ascii="Times New Roman" w:cs="Times New Roman" w:eastAsia="Times New Roman" w:hAnsi="Times New Roman"/>
                <w:sz w:val="15"/>
                <w:szCs w:val="15"/>
                <w:color w:val="auto"/>
              </w:rPr>
              <w:t>•  Inspiring Scotland (chairman, non-profit, 2015 – present)</w:t>
            </w:r>
          </w:p>
        </w:tc>
        <w:tc>
          <w:tcPr>
            <w:tcW w:w="0" w:type="dxa"/>
            <w:vAlign w:val="bottom"/>
          </w:tcPr>
          <w:p>
            <w:pPr>
              <w:spacing w:after="0"/>
              <w:rPr>
                <w:sz w:val="1"/>
                <w:szCs w:val="1"/>
                <w:color w:val="auto"/>
              </w:rPr>
            </w:pPr>
          </w:p>
        </w:tc>
      </w:tr>
      <w:tr>
        <w:trPr>
          <w:trHeight w:val="54"/>
        </w:trPr>
        <w:tc>
          <w:tcPr>
            <w:tcW w:w="2920" w:type="dxa"/>
            <w:vAlign w:val="bottom"/>
            <w:vMerge w:val="restart"/>
          </w:tcPr>
          <w:p>
            <w:pPr>
              <w:spacing w:after="0" w:line="162" w:lineRule="exact"/>
              <w:rPr>
                <w:sz w:val="20"/>
                <w:szCs w:val="20"/>
                <w:color w:val="auto"/>
              </w:rPr>
            </w:pPr>
            <w:r>
              <w:rPr>
                <w:rFonts w:ascii="Times New Roman" w:cs="Times New Roman" w:eastAsia="Times New Roman" w:hAnsi="Times New Roman"/>
                <w:sz w:val="15"/>
                <w:szCs w:val="15"/>
                <w:color w:val="auto"/>
              </w:rPr>
              <w:t>Audit</w:t>
            </w:r>
          </w:p>
        </w:tc>
        <w:tc>
          <w:tcPr>
            <w:tcW w:w="8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920" w:type="dxa"/>
            <w:vAlign w:val="bottom"/>
            <w:vMerge w:val="continue"/>
          </w:tcPr>
          <w:p>
            <w:pPr>
              <w:spacing w:after="0"/>
              <w:rPr>
                <w:sz w:val="9"/>
                <w:szCs w:val="9"/>
                <w:color w:val="auto"/>
              </w:rPr>
            </w:pPr>
          </w:p>
        </w:tc>
        <w:tc>
          <w:tcPr>
            <w:tcW w:w="8300" w:type="dxa"/>
            <w:vAlign w:val="bottom"/>
            <w:vMerge w:val="restart"/>
          </w:tcPr>
          <w:p>
            <w:pPr>
              <w:ind w:left="20"/>
              <w:spacing w:after="0" w:line="162" w:lineRule="exact"/>
              <w:rPr>
                <w:sz w:val="20"/>
                <w:szCs w:val="20"/>
                <w:color w:val="auto"/>
              </w:rPr>
            </w:pPr>
            <w:r>
              <w:rPr>
                <w:rFonts w:ascii="Times New Roman" w:cs="Times New Roman" w:eastAsia="Times New Roman" w:hAnsi="Times New Roman"/>
                <w:sz w:val="15"/>
                <w:szCs w:val="15"/>
                <w:color w:val="auto"/>
              </w:rPr>
              <w:t>•  Lario Therapeutics (private, 2023 – present)</w:t>
            </w:r>
          </w:p>
        </w:tc>
        <w:tc>
          <w:tcPr>
            <w:tcW w:w="0" w:type="dxa"/>
            <w:vAlign w:val="bottom"/>
          </w:tcPr>
          <w:p>
            <w:pPr>
              <w:spacing w:after="0"/>
              <w:rPr>
                <w:sz w:val="1"/>
                <w:szCs w:val="1"/>
                <w:color w:val="auto"/>
              </w:rPr>
            </w:pPr>
          </w:p>
        </w:tc>
      </w:tr>
      <w:tr>
        <w:trPr>
          <w:trHeight w:val="54"/>
        </w:trPr>
        <w:tc>
          <w:tcPr>
            <w:tcW w:w="2920" w:type="dxa"/>
            <w:vAlign w:val="bottom"/>
            <w:vMerge w:val="restart"/>
          </w:tcPr>
          <w:p>
            <w:pPr>
              <w:spacing w:after="0" w:line="162" w:lineRule="exact"/>
              <w:rPr>
                <w:sz w:val="20"/>
                <w:szCs w:val="20"/>
                <w:color w:val="auto"/>
              </w:rPr>
            </w:pPr>
            <w:r>
              <w:rPr>
                <w:rFonts w:ascii="Times New Roman" w:cs="Times New Roman" w:eastAsia="Times New Roman" w:hAnsi="Times New Roman"/>
                <w:sz w:val="15"/>
                <w:szCs w:val="15"/>
                <w:color w:val="auto"/>
              </w:rPr>
              <w:t>•Nominating and</w:t>
            </w:r>
          </w:p>
        </w:tc>
        <w:tc>
          <w:tcPr>
            <w:tcW w:w="8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920" w:type="dxa"/>
            <w:vAlign w:val="bottom"/>
            <w:vMerge w:val="continue"/>
          </w:tcPr>
          <w:p>
            <w:pPr>
              <w:spacing w:after="0"/>
              <w:rPr>
                <w:sz w:val="9"/>
                <w:szCs w:val="9"/>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  Theolytics Ltd. (private, 2021 – 2023)</w:t>
            </w:r>
          </w:p>
        </w:tc>
        <w:tc>
          <w:tcPr>
            <w:tcW w:w="0" w:type="dxa"/>
            <w:vAlign w:val="bottom"/>
          </w:tcPr>
          <w:p>
            <w:pPr>
              <w:spacing w:after="0"/>
              <w:rPr>
                <w:sz w:val="1"/>
                <w:szCs w:val="1"/>
                <w:color w:val="auto"/>
              </w:rPr>
            </w:pPr>
          </w:p>
        </w:tc>
      </w:tr>
      <w:tr>
        <w:trPr>
          <w:trHeight w:val="90"/>
        </w:trPr>
        <w:tc>
          <w:tcPr>
            <w:tcW w:w="292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•Corporate Governance</w:t>
            </w:r>
          </w:p>
        </w:tc>
        <w:tc>
          <w:tcPr>
            <w:tcW w:w="8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920" w:type="dxa"/>
            <w:vAlign w:val="bottom"/>
            <w:vMerge w:val="continue"/>
          </w:tcPr>
          <w:p>
            <w:pPr>
              <w:spacing w:after="0"/>
              <w:rPr>
                <w:sz w:val="8"/>
                <w:szCs w:val="8"/>
                <w:color w:val="auto"/>
              </w:rPr>
            </w:pPr>
          </w:p>
        </w:tc>
        <w:tc>
          <w:tcPr>
            <w:tcW w:w="83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2980"/>
        <w:spacing w:after="0" w:line="225" w:lineRule="auto"/>
        <w:rPr>
          <w:sz w:val="20"/>
          <w:szCs w:val="20"/>
          <w:color w:val="auto"/>
        </w:rPr>
      </w:pPr>
      <w:r>
        <w:rPr>
          <w:rFonts w:ascii="Times New Roman" w:cs="Times New Roman" w:eastAsia="Times New Roman" w:hAnsi="Times New Roman"/>
          <w:sz w:val="15"/>
          <w:szCs w:val="15"/>
          <w:color w:val="auto"/>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-49530</wp:posOffset>
            </wp:positionV>
            <wp:extent cx="994410" cy="9944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94410" cy="994410"/>
                    </a:xfrm>
                    <a:prstGeom prst="rect">
                      <a:avLst/>
                    </a:prstGeom>
                    <a:noFill/>
                  </pic:spPr>
                </pic:pic>
              </a:graphicData>
            </a:graphic>
          </wp:anchor>
        </w:drawing>
      </w:r>
    </w:p>
    <w:p>
      <w:pPr>
        <w:ind w:left="3120" w:hanging="169"/>
        <w:spacing w:after="0" w:line="225" w:lineRule="auto"/>
        <w:tabs>
          <w:tab w:leader="none" w:pos="312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Founding Managing Partner, CoLift, LLC, a private equity platform (2019 – present)</w:t>
      </w:r>
    </w:p>
    <w:p>
      <w:pPr>
        <w:ind w:left="3120" w:hanging="169"/>
        <w:spacing w:after="0" w:line="225" w:lineRule="auto"/>
        <w:tabs>
          <w:tab w:leader="none" w:pos="312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Partner, Pegasus Capital Advisors, L.P., a private equity firm (2006 – 2019); joined in 2002</w:t>
      </w:r>
    </w:p>
    <w:p>
      <w:pPr>
        <w:ind w:left="3120" w:right="620" w:hanging="169"/>
        <w:spacing w:after="0" w:line="225" w:lineRule="auto"/>
        <w:tabs>
          <w:tab w:leader="none" w:pos="312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Co-Founder and Chief Executive Officer (2001 – 2002), Potentia Pharmaceuticals, Inc. (Potentia), a private biotechnology company, the predecessor entity to Apellis, the assets of which we purchased in September 2015</w:t>
      </w:r>
    </w:p>
    <w:p>
      <w:pPr>
        <w:ind w:left="3120" w:hanging="169"/>
        <w:spacing w:after="0" w:line="225" w:lineRule="auto"/>
        <w:tabs>
          <w:tab w:leader="none" w:pos="312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Co-Founder, Revon (2013 – 2019)</w:t>
      </w:r>
    </w:p>
    <w:p>
      <w:pPr>
        <w:ind w:left="3120" w:hanging="169"/>
        <w:spacing w:after="0"/>
        <w:tabs>
          <w:tab w:leader="none" w:pos="312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Financial analyst, Financial Services Group (London) and Private Equity Group (New York), Goldman Sachs (1996 – 1999)</w:t>
      </w:r>
    </w:p>
    <w:p>
      <w:pPr>
        <w:spacing w:after="0" w:line="244"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5"/>
          <w:szCs w:val="15"/>
          <w:color w:val="auto"/>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1864995</wp:posOffset>
            </wp:positionH>
            <wp:positionV relativeFrom="paragraph">
              <wp:posOffset>-106680</wp:posOffset>
            </wp:positionV>
            <wp:extent cx="52717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27177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2"/>
        </w:trPr>
        <w:tc>
          <w:tcPr>
            <w:tcW w:w="2940" w:type="dxa"/>
            <w:vAlign w:val="bottom"/>
            <w:vMerge w:val="restart"/>
          </w:tcPr>
          <w:p>
            <w:pPr>
              <w:ind w:left="20"/>
              <w:spacing w:after="0"/>
              <w:rPr>
                <w:sz w:val="20"/>
                <w:szCs w:val="20"/>
                <w:color w:val="auto"/>
              </w:rPr>
            </w:pPr>
            <w:r>
              <w:rPr>
                <w:rFonts w:ascii="Times New Roman" w:cs="Times New Roman" w:eastAsia="Times New Roman" w:hAnsi="Times New Roman"/>
                <w:sz w:val="25"/>
                <w:szCs w:val="25"/>
                <w:color w:val="auto"/>
              </w:rPr>
              <w:t>Alec Machiels</w:t>
            </w:r>
          </w:p>
        </w:tc>
        <w:tc>
          <w:tcPr>
            <w:tcW w:w="8300" w:type="dxa"/>
            <w:vAlign w:val="bottom"/>
            <w:gridSpan w:val="2"/>
          </w:tcPr>
          <w:p>
            <w:pPr>
              <w:ind w:left="20"/>
              <w:spacing w:after="0" w:line="151" w:lineRule="exact"/>
              <w:rPr>
                <w:sz w:val="20"/>
                <w:szCs w:val="20"/>
                <w:color w:val="auto"/>
              </w:rPr>
            </w:pPr>
            <w:r>
              <w:rPr>
                <w:rFonts w:ascii="Times New Roman" w:cs="Times New Roman" w:eastAsia="Times New Roman" w:hAnsi="Times New Roman"/>
                <w:sz w:val="15"/>
                <w:szCs w:val="15"/>
                <w:color w:val="auto"/>
              </w:rPr>
              <w:t>•  Strong background in financial management and investment in businesses</w:t>
            </w:r>
          </w:p>
        </w:tc>
        <w:tc>
          <w:tcPr>
            <w:tcW w:w="0" w:type="dxa"/>
            <w:vAlign w:val="bottom"/>
          </w:tcPr>
          <w:p>
            <w:pPr>
              <w:spacing w:after="0"/>
              <w:rPr>
                <w:sz w:val="1"/>
                <w:szCs w:val="1"/>
                <w:color w:val="auto"/>
              </w:rPr>
            </w:pPr>
          </w:p>
        </w:tc>
      </w:tr>
      <w:tr>
        <w:trPr>
          <w:trHeight w:val="198"/>
        </w:trPr>
        <w:tc>
          <w:tcPr>
            <w:tcW w:w="2940" w:type="dxa"/>
            <w:vAlign w:val="bottom"/>
            <w:vMerge w:val="continue"/>
          </w:tcPr>
          <w:p>
            <w:pPr>
              <w:spacing w:after="0"/>
              <w:rPr>
                <w:sz w:val="17"/>
                <w:szCs w:val="17"/>
                <w:color w:val="auto"/>
              </w:rPr>
            </w:pPr>
          </w:p>
        </w:tc>
        <w:tc>
          <w:tcPr>
            <w:tcW w:w="83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Experience serving on the boards of both public and private companies</w:t>
            </w:r>
          </w:p>
        </w:tc>
        <w:tc>
          <w:tcPr>
            <w:tcW w:w="0" w:type="dxa"/>
            <w:vAlign w:val="bottom"/>
          </w:tcPr>
          <w:p>
            <w:pPr>
              <w:spacing w:after="0"/>
              <w:rPr>
                <w:sz w:val="1"/>
                <w:szCs w:val="1"/>
                <w:color w:val="auto"/>
              </w:rPr>
            </w:pPr>
          </w:p>
        </w:tc>
      </w:tr>
      <w:tr>
        <w:trPr>
          <w:trHeight w:val="89"/>
        </w:trPr>
        <w:tc>
          <w:tcPr>
            <w:tcW w:w="2940" w:type="dxa"/>
            <w:vAlign w:val="bottom"/>
            <w:vMerge w:val="continue"/>
          </w:tcPr>
          <w:p>
            <w:pPr>
              <w:spacing w:after="0"/>
              <w:rPr>
                <w:sz w:val="7"/>
                <w:szCs w:val="7"/>
                <w:color w:val="auto"/>
              </w:rPr>
            </w:pPr>
          </w:p>
        </w:tc>
        <w:tc>
          <w:tcPr>
            <w:tcW w:w="120" w:type="dxa"/>
            <w:vAlign w:val="bottom"/>
            <w:tcBorders>
              <w:bottom w:val="single" w:sz="8" w:color="BFBFBF"/>
            </w:tcBorders>
          </w:tcPr>
          <w:p>
            <w:pPr>
              <w:spacing w:after="0"/>
              <w:rPr>
                <w:sz w:val="7"/>
                <w:szCs w:val="7"/>
                <w:color w:val="auto"/>
              </w:rPr>
            </w:pPr>
          </w:p>
        </w:tc>
        <w:tc>
          <w:tcPr>
            <w:tcW w:w="8180" w:type="dxa"/>
            <w:vAlign w:val="bottom"/>
            <w:tcBorders>
              <w:bottom w:val="single" w:sz="8" w:color="BFBFBF"/>
            </w:tcBorders>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94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Independent Director since 2009</w:t>
            </w:r>
          </w:p>
        </w:tc>
        <w:tc>
          <w:tcPr>
            <w:tcW w:w="8300" w:type="dxa"/>
            <w:vAlign w:val="bottom"/>
            <w:gridSpan w:val="2"/>
          </w:tcPr>
          <w:p>
            <w:pPr>
              <w:ind w:left="40"/>
              <w:spacing w:after="0" w:line="138" w:lineRule="exact"/>
              <w:rPr>
                <w:sz w:val="20"/>
                <w:szCs w:val="20"/>
                <w:color w:val="auto"/>
              </w:rPr>
            </w:pPr>
            <w:r>
              <w:rPr>
                <w:rFonts w:ascii="Times New Roman" w:cs="Times New Roman" w:eastAsia="Times New Roman" w:hAnsi="Times New Roman"/>
                <w:sz w:val="15"/>
                <w:szCs w:val="15"/>
                <w:color w:val="auto"/>
              </w:rPr>
              <w:t>Education</w:t>
            </w:r>
          </w:p>
        </w:tc>
        <w:tc>
          <w:tcPr>
            <w:tcW w:w="0" w:type="dxa"/>
            <w:vAlign w:val="bottom"/>
          </w:tcPr>
          <w:p>
            <w:pPr>
              <w:spacing w:after="0"/>
              <w:rPr>
                <w:sz w:val="1"/>
                <w:szCs w:val="1"/>
                <w:color w:val="auto"/>
              </w:rPr>
            </w:pPr>
          </w:p>
        </w:tc>
      </w:tr>
      <w:tr>
        <w:trPr>
          <w:trHeight w:val="131"/>
        </w:trPr>
        <w:tc>
          <w:tcPr>
            <w:tcW w:w="2940" w:type="dxa"/>
            <w:vAlign w:val="bottom"/>
            <w:vMerge w:val="continue"/>
          </w:tcPr>
          <w:p>
            <w:pPr>
              <w:spacing w:after="0"/>
              <w:rPr>
                <w:sz w:val="11"/>
                <w:szCs w:val="11"/>
                <w:color w:val="auto"/>
              </w:rPr>
            </w:pPr>
          </w:p>
        </w:tc>
        <w:tc>
          <w:tcPr>
            <w:tcW w:w="8300" w:type="dxa"/>
            <w:vAlign w:val="bottom"/>
            <w:gridSpan w:val="2"/>
            <w:vMerge w:val="restart"/>
          </w:tcPr>
          <w:p>
            <w:pPr>
              <w:ind w:left="20"/>
              <w:spacing w:after="0" w:line="162" w:lineRule="exact"/>
              <w:rPr>
                <w:sz w:val="20"/>
                <w:szCs w:val="20"/>
                <w:color w:val="auto"/>
              </w:rPr>
            </w:pPr>
            <w:r>
              <w:rPr>
                <w:rFonts w:ascii="Times New Roman" w:cs="Times New Roman" w:eastAsia="Times New Roman" w:hAnsi="Times New Roman"/>
                <w:sz w:val="15"/>
                <w:szCs w:val="15"/>
                <w:color w:val="auto"/>
              </w:rPr>
              <w:t>•  M.B.A., Harvard Business School</w:t>
            </w:r>
          </w:p>
        </w:tc>
        <w:tc>
          <w:tcPr>
            <w:tcW w:w="0" w:type="dxa"/>
            <w:vAlign w:val="bottom"/>
          </w:tcPr>
          <w:p>
            <w:pPr>
              <w:spacing w:after="0"/>
              <w:rPr>
                <w:sz w:val="1"/>
                <w:szCs w:val="1"/>
                <w:color w:val="auto"/>
              </w:rPr>
            </w:pPr>
          </w:p>
        </w:tc>
      </w:tr>
      <w:tr>
        <w:trPr>
          <w:trHeight w:val="31"/>
        </w:trPr>
        <w:tc>
          <w:tcPr>
            <w:tcW w:w="2940" w:type="dxa"/>
            <w:vAlign w:val="bottom"/>
          </w:tcPr>
          <w:p>
            <w:pPr>
              <w:spacing w:after="0"/>
              <w:rPr>
                <w:sz w:val="2"/>
                <w:szCs w:val="2"/>
                <w:color w:val="auto"/>
              </w:rPr>
            </w:pPr>
          </w:p>
        </w:tc>
        <w:tc>
          <w:tcPr>
            <w:tcW w:w="83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940" w:type="dxa"/>
            <w:vAlign w:val="bottom"/>
          </w:tcPr>
          <w:p>
            <w:pPr>
              <w:ind w:left="20"/>
              <w:spacing w:after="0" w:line="166" w:lineRule="exact"/>
              <w:rPr>
                <w:sz w:val="20"/>
                <w:szCs w:val="20"/>
                <w:color w:val="auto"/>
              </w:rPr>
            </w:pPr>
            <w:r>
              <w:rPr>
                <w:rFonts w:ascii="Times New Roman" w:cs="Times New Roman" w:eastAsia="Times New Roman" w:hAnsi="Times New Roman"/>
                <w:sz w:val="15"/>
                <w:szCs w:val="15"/>
                <w:color w:val="auto"/>
              </w:rPr>
              <w:t>Age: 52</w:t>
            </w:r>
          </w:p>
        </w:tc>
        <w:tc>
          <w:tcPr>
            <w:tcW w:w="120" w:type="dxa"/>
            <w:vAlign w:val="bottom"/>
          </w:tcPr>
          <w:p>
            <w:pPr>
              <w:ind w:left="20"/>
              <w:spacing w:after="0" w:line="166" w:lineRule="exact"/>
              <w:rPr>
                <w:sz w:val="20"/>
                <w:szCs w:val="20"/>
                <w:color w:val="auto"/>
              </w:rPr>
            </w:pPr>
            <w:r>
              <w:rPr>
                <w:rFonts w:ascii="Times New Roman" w:cs="Times New Roman" w:eastAsia="Times New Roman" w:hAnsi="Times New Roman"/>
                <w:sz w:val="15"/>
                <w:szCs w:val="15"/>
                <w:color w:val="auto"/>
              </w:rPr>
              <w:t>•</w:t>
            </w:r>
          </w:p>
        </w:tc>
        <w:tc>
          <w:tcPr>
            <w:tcW w:w="8180" w:type="dxa"/>
            <w:vAlign w:val="bottom"/>
          </w:tcPr>
          <w:p>
            <w:pPr>
              <w:ind w:left="60"/>
              <w:spacing w:after="0" w:line="166" w:lineRule="exact"/>
              <w:rPr>
                <w:sz w:val="20"/>
                <w:szCs w:val="20"/>
                <w:color w:val="auto"/>
              </w:rPr>
            </w:pPr>
            <w:r>
              <w:rPr>
                <w:rFonts w:ascii="Times New Roman" w:cs="Times New Roman" w:eastAsia="Times New Roman" w:hAnsi="Times New Roman"/>
                <w:sz w:val="15"/>
                <w:szCs w:val="15"/>
                <w:color w:val="auto"/>
              </w:rPr>
              <w:t>License in law, KU Leuven Law School (Belgium)</w:t>
            </w:r>
          </w:p>
        </w:tc>
        <w:tc>
          <w:tcPr>
            <w:tcW w:w="0" w:type="dxa"/>
            <w:vAlign w:val="bottom"/>
          </w:tcPr>
          <w:p>
            <w:pPr>
              <w:spacing w:after="0"/>
              <w:rPr>
                <w:sz w:val="1"/>
                <w:szCs w:val="1"/>
                <w:color w:val="auto"/>
              </w:rPr>
            </w:pPr>
          </w:p>
        </w:tc>
      </w:tr>
      <w:tr>
        <w:trPr>
          <w:trHeight w:val="198"/>
        </w:trPr>
        <w:tc>
          <w:tcPr>
            <w:tcW w:w="294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Committees:</w:t>
            </w:r>
          </w:p>
        </w:tc>
        <w:tc>
          <w:tcPr>
            <w:tcW w:w="83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M.A., International Economics, Konstanz University (Germany)</w:t>
            </w:r>
          </w:p>
        </w:tc>
        <w:tc>
          <w:tcPr>
            <w:tcW w:w="0" w:type="dxa"/>
            <w:vAlign w:val="bottom"/>
          </w:tcPr>
          <w:p>
            <w:pPr>
              <w:spacing w:after="0"/>
              <w:rPr>
                <w:sz w:val="1"/>
                <w:szCs w:val="1"/>
                <w:color w:val="auto"/>
              </w:rPr>
            </w:pPr>
          </w:p>
        </w:tc>
      </w:tr>
      <w:tr>
        <w:trPr>
          <w:trHeight w:val="54"/>
        </w:trPr>
        <w:tc>
          <w:tcPr>
            <w:tcW w:w="29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8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5"/>
        </w:trPr>
        <w:tc>
          <w:tcPr>
            <w:tcW w:w="2940" w:type="dxa"/>
            <w:vAlign w:val="bottom"/>
            <w:vMerge w:val="restart"/>
          </w:tcPr>
          <w:p>
            <w:pPr>
              <w:ind w:left="20"/>
              <w:spacing w:after="0" w:line="162" w:lineRule="exact"/>
              <w:rPr>
                <w:sz w:val="20"/>
                <w:szCs w:val="20"/>
                <w:color w:val="auto"/>
              </w:rPr>
            </w:pPr>
            <w:r>
              <w:rPr>
                <w:rFonts w:ascii="Times New Roman" w:cs="Times New Roman" w:eastAsia="Times New Roman" w:hAnsi="Times New Roman"/>
                <w:sz w:val="15"/>
                <w:szCs w:val="15"/>
                <w:color w:val="auto"/>
              </w:rPr>
              <w:t>•Audit (Chair)</w:t>
            </w:r>
          </w:p>
        </w:tc>
        <w:tc>
          <w:tcPr>
            <w:tcW w:w="120" w:type="dxa"/>
            <w:vAlign w:val="bottom"/>
            <w:tcBorders>
              <w:bottom w:val="single" w:sz="8" w:color="BFBFBF"/>
            </w:tcBorders>
          </w:tcPr>
          <w:p>
            <w:pPr>
              <w:spacing w:after="0"/>
              <w:rPr>
                <w:sz w:val="7"/>
                <w:szCs w:val="7"/>
                <w:color w:val="auto"/>
              </w:rPr>
            </w:pPr>
          </w:p>
        </w:tc>
        <w:tc>
          <w:tcPr>
            <w:tcW w:w="8180" w:type="dxa"/>
            <w:vAlign w:val="bottom"/>
            <w:tcBorders>
              <w:bottom w:val="single" w:sz="8" w:color="BFBFBF"/>
            </w:tcBorders>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940" w:type="dxa"/>
            <w:vAlign w:val="bottom"/>
            <w:vMerge w:val="continue"/>
          </w:tcPr>
          <w:p>
            <w:pPr>
              <w:spacing w:after="0"/>
              <w:rPr>
                <w:sz w:val="4"/>
                <w:szCs w:val="4"/>
                <w:color w:val="auto"/>
              </w:rPr>
            </w:pPr>
          </w:p>
        </w:tc>
        <w:tc>
          <w:tcPr>
            <w:tcW w:w="8300" w:type="dxa"/>
            <w:vAlign w:val="bottom"/>
            <w:gridSpan w:val="2"/>
            <w:vMerge w:val="restart"/>
          </w:tcPr>
          <w:p>
            <w:pPr>
              <w:ind w:left="40"/>
              <w:spacing w:after="0" w:line="138" w:lineRule="exact"/>
              <w:rPr>
                <w:sz w:val="20"/>
                <w:szCs w:val="20"/>
                <w:color w:val="auto"/>
              </w:rPr>
            </w:pPr>
            <w:r>
              <w:rPr>
                <w:rFonts w:ascii="Times New Roman" w:cs="Times New Roman" w:eastAsia="Times New Roman" w:hAnsi="Times New Roman"/>
                <w:sz w:val="15"/>
                <w:szCs w:val="15"/>
                <w:color w:val="auto"/>
              </w:rPr>
              <w:t>Other Boards</w:t>
            </w:r>
          </w:p>
        </w:tc>
        <w:tc>
          <w:tcPr>
            <w:tcW w:w="0" w:type="dxa"/>
            <w:vAlign w:val="bottom"/>
          </w:tcPr>
          <w:p>
            <w:pPr>
              <w:spacing w:after="0"/>
              <w:rPr>
                <w:sz w:val="1"/>
                <w:szCs w:val="1"/>
                <w:color w:val="auto"/>
              </w:rPr>
            </w:pPr>
          </w:p>
        </w:tc>
      </w:tr>
      <w:tr>
        <w:trPr>
          <w:trHeight w:val="81"/>
        </w:trPr>
        <w:tc>
          <w:tcPr>
            <w:tcW w:w="2940" w:type="dxa"/>
            <w:vAlign w:val="bottom"/>
            <w:vMerge w:val="restart"/>
          </w:tcPr>
          <w:p>
            <w:pPr>
              <w:ind w:left="20"/>
              <w:spacing w:after="0" w:line="162" w:lineRule="exact"/>
              <w:rPr>
                <w:sz w:val="20"/>
                <w:szCs w:val="20"/>
                <w:color w:val="auto"/>
              </w:rPr>
            </w:pPr>
            <w:r>
              <w:rPr>
                <w:rFonts w:ascii="Times New Roman" w:cs="Times New Roman" w:eastAsia="Times New Roman" w:hAnsi="Times New Roman"/>
                <w:sz w:val="15"/>
                <w:szCs w:val="15"/>
                <w:color w:val="auto"/>
              </w:rPr>
              <w:t>•Compensation</w:t>
            </w:r>
          </w:p>
        </w:tc>
        <w:tc>
          <w:tcPr>
            <w:tcW w:w="8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940" w:type="dxa"/>
            <w:vAlign w:val="bottom"/>
            <w:vMerge w:val="continue"/>
          </w:tcPr>
          <w:p>
            <w:pPr>
              <w:spacing w:after="0"/>
              <w:rPr>
                <w:sz w:val="7"/>
                <w:szCs w:val="7"/>
                <w:color w:val="auto"/>
              </w:rPr>
            </w:pPr>
          </w:p>
        </w:tc>
        <w:tc>
          <w:tcPr>
            <w:tcW w:w="8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  Previously served on the board of directors of several public and private companies</w:t>
            </w:r>
          </w:p>
        </w:tc>
        <w:tc>
          <w:tcPr>
            <w:tcW w:w="0" w:type="dxa"/>
            <w:vAlign w:val="bottom"/>
          </w:tcPr>
          <w:p>
            <w:pPr>
              <w:spacing w:after="0"/>
              <w:rPr>
                <w:sz w:val="1"/>
                <w:szCs w:val="1"/>
                <w:color w:val="auto"/>
              </w:rPr>
            </w:pPr>
          </w:p>
        </w:tc>
      </w:tr>
      <w:tr>
        <w:trPr>
          <w:trHeight w:val="117"/>
        </w:trPr>
        <w:tc>
          <w:tcPr>
            <w:tcW w:w="294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•Compliance</w:t>
            </w:r>
          </w:p>
        </w:tc>
        <w:tc>
          <w:tcPr>
            <w:tcW w:w="8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2940" w:type="dxa"/>
            <w:vAlign w:val="bottom"/>
            <w:tcBorders>
              <w:bottom w:val="single" w:sz="8" w:color="BFBFBF"/>
            </w:tcBorders>
            <w:vMerge w:val="continue"/>
          </w:tcPr>
          <w:p>
            <w:pPr>
              <w:spacing w:after="0"/>
              <w:rPr>
                <w:sz w:val="5"/>
                <w:szCs w:val="5"/>
                <w:color w:val="auto"/>
              </w:rPr>
            </w:pPr>
          </w:p>
        </w:tc>
        <w:tc>
          <w:tcPr>
            <w:tcW w:w="120" w:type="dxa"/>
            <w:vAlign w:val="bottom"/>
            <w:tcBorders>
              <w:bottom w:val="single" w:sz="8" w:color="BFBFBF"/>
            </w:tcBorders>
          </w:tcPr>
          <w:p>
            <w:pPr>
              <w:spacing w:after="0"/>
              <w:rPr>
                <w:sz w:val="5"/>
                <w:szCs w:val="5"/>
                <w:color w:val="auto"/>
              </w:rPr>
            </w:pPr>
          </w:p>
        </w:tc>
        <w:tc>
          <w:tcPr>
            <w:tcW w:w="8180" w:type="dxa"/>
            <w:vAlign w:val="bottom"/>
            <w:tcBorders>
              <w:bottom w:val="single" w:sz="8" w:color="BFBFBF"/>
            </w:tcBorders>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940" w:type="dxa"/>
            <w:vAlign w:val="bottom"/>
          </w:tcPr>
          <w:p>
            <w:pPr>
              <w:spacing w:after="0"/>
              <w:rPr>
                <w:sz w:val="12"/>
                <w:szCs w:val="12"/>
                <w:color w:val="auto"/>
              </w:rPr>
            </w:pPr>
          </w:p>
        </w:tc>
        <w:tc>
          <w:tcPr>
            <w:tcW w:w="8300" w:type="dxa"/>
            <w:vAlign w:val="bottom"/>
            <w:gridSpan w:val="2"/>
          </w:tcPr>
          <w:p>
            <w:pPr>
              <w:ind w:left="20"/>
              <w:spacing w:after="0" w:line="138" w:lineRule="exact"/>
              <w:rPr>
                <w:sz w:val="20"/>
                <w:szCs w:val="20"/>
                <w:color w:val="auto"/>
              </w:rPr>
            </w:pPr>
            <w:r>
              <w:rPr>
                <w:rFonts w:ascii="Times New Roman" w:cs="Times New Roman" w:eastAsia="Times New Roman" w:hAnsi="Times New Roman"/>
                <w:sz w:val="15"/>
                <w:szCs w:val="15"/>
                <w:color w:val="auto"/>
              </w:rPr>
              <w:t>Experience</w:t>
            </w:r>
          </w:p>
        </w:tc>
        <w:tc>
          <w:tcPr>
            <w:tcW w:w="0" w:type="dxa"/>
            <w:vAlign w:val="bottom"/>
          </w:tcPr>
          <w:p>
            <w:pPr>
              <w:spacing w:after="0"/>
              <w:rPr>
                <w:sz w:val="1"/>
                <w:szCs w:val="1"/>
                <w:color w:val="auto"/>
              </w:rPr>
            </w:pPr>
          </w:p>
        </w:tc>
      </w:tr>
      <w:tr>
        <w:trPr>
          <w:trHeight w:val="162"/>
        </w:trPr>
        <w:tc>
          <w:tcPr>
            <w:tcW w:w="2940" w:type="dxa"/>
            <w:vAlign w:val="bottom"/>
          </w:tcPr>
          <w:p>
            <w:pPr>
              <w:spacing w:after="0"/>
              <w:rPr>
                <w:sz w:val="14"/>
                <w:szCs w:val="14"/>
                <w:color w:val="auto"/>
              </w:rPr>
            </w:pPr>
          </w:p>
        </w:tc>
        <w:tc>
          <w:tcPr>
            <w:tcW w:w="830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5"/>
                <w:szCs w:val="15"/>
                <w:color w:val="auto"/>
              </w:rPr>
              <w:t>•  Executive Vice President, US Commercial, Horizon Therapeutics (2019 – 2023)</w:t>
            </w:r>
          </w:p>
        </w:tc>
        <w:tc>
          <w:tcPr>
            <w:tcW w:w="0" w:type="dxa"/>
            <w:vAlign w:val="bottom"/>
          </w:tcPr>
          <w:p>
            <w:pPr>
              <w:spacing w:after="0"/>
              <w:rPr>
                <w:sz w:val="1"/>
                <w:szCs w:val="1"/>
                <w:color w:val="auto"/>
              </w:rPr>
            </w:pPr>
          </w:p>
        </w:tc>
      </w:tr>
      <w:tr>
        <w:trPr>
          <w:trHeight w:val="162"/>
        </w:trPr>
        <w:tc>
          <w:tcPr>
            <w:tcW w:w="2940" w:type="dxa"/>
            <w:vAlign w:val="bottom"/>
          </w:tcPr>
          <w:p>
            <w:pPr>
              <w:spacing w:after="0"/>
              <w:rPr>
                <w:sz w:val="14"/>
                <w:szCs w:val="14"/>
                <w:color w:val="auto"/>
              </w:rPr>
            </w:pPr>
          </w:p>
        </w:tc>
        <w:tc>
          <w:tcPr>
            <w:tcW w:w="830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5"/>
                <w:szCs w:val="15"/>
                <w:color w:val="auto"/>
              </w:rPr>
              <w:t>•  Executive roles with AbbVie Pharmaceuticals (2015 – 2017)</w:t>
            </w:r>
          </w:p>
        </w:tc>
        <w:tc>
          <w:tcPr>
            <w:tcW w:w="0" w:type="dxa"/>
            <w:vAlign w:val="bottom"/>
          </w:tcPr>
          <w:p>
            <w:pPr>
              <w:spacing w:after="0"/>
              <w:rPr>
                <w:sz w:val="1"/>
                <w:szCs w:val="1"/>
                <w:color w:val="auto"/>
              </w:rPr>
            </w:pPr>
          </w:p>
        </w:tc>
      </w:tr>
      <w:tr>
        <w:trPr>
          <w:trHeight w:val="162"/>
        </w:trPr>
        <w:tc>
          <w:tcPr>
            <w:tcW w:w="2940" w:type="dxa"/>
            <w:vAlign w:val="bottom"/>
          </w:tcPr>
          <w:p>
            <w:pPr>
              <w:spacing w:after="0"/>
              <w:rPr>
                <w:sz w:val="14"/>
                <w:szCs w:val="14"/>
                <w:color w:val="auto"/>
              </w:rPr>
            </w:pPr>
          </w:p>
        </w:tc>
        <w:tc>
          <w:tcPr>
            <w:tcW w:w="830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5"/>
                <w:szCs w:val="15"/>
                <w:color w:val="auto"/>
              </w:rPr>
              <w:t>•  American Medical Association (2006 – 2007); and</w:t>
            </w:r>
          </w:p>
        </w:tc>
        <w:tc>
          <w:tcPr>
            <w:tcW w:w="0" w:type="dxa"/>
            <w:vAlign w:val="bottom"/>
          </w:tcPr>
          <w:p>
            <w:pPr>
              <w:spacing w:after="0"/>
              <w:rPr>
                <w:sz w:val="1"/>
                <w:szCs w:val="1"/>
                <w:color w:val="auto"/>
              </w:rPr>
            </w:pPr>
          </w:p>
        </w:tc>
      </w:tr>
      <w:tr>
        <w:trPr>
          <w:trHeight w:val="179"/>
        </w:trPr>
        <w:tc>
          <w:tcPr>
            <w:tcW w:w="2940" w:type="dxa"/>
            <w:vAlign w:val="bottom"/>
          </w:tcPr>
          <w:p>
            <w:pPr>
              <w:spacing w:after="0"/>
              <w:rPr>
                <w:sz w:val="15"/>
                <w:szCs w:val="15"/>
                <w:color w:val="auto"/>
              </w:rPr>
            </w:pPr>
          </w:p>
        </w:tc>
        <w:tc>
          <w:tcPr>
            <w:tcW w:w="8300" w:type="dxa"/>
            <w:vAlign w:val="bottom"/>
            <w:tcBorders>
              <w:bottom w:val="single" w:sz="8" w:color="BFBFBF"/>
            </w:tcBorders>
            <w:gridSpan w:val="2"/>
          </w:tcPr>
          <w:p>
            <w:pPr>
              <w:ind w:left="20"/>
              <w:spacing w:after="0"/>
              <w:rPr>
                <w:sz w:val="20"/>
                <w:szCs w:val="20"/>
                <w:color w:val="auto"/>
              </w:rPr>
            </w:pPr>
            <w:r>
              <w:rPr>
                <w:rFonts w:ascii="Times New Roman" w:cs="Times New Roman" w:eastAsia="Times New Roman" w:hAnsi="Times New Roman"/>
                <w:sz w:val="15"/>
                <w:szCs w:val="15"/>
                <w:color w:val="auto"/>
              </w:rPr>
              <w:t>•  Abbott Laboratories (2001 – 2006)</w:t>
            </w:r>
          </w:p>
        </w:tc>
        <w:tc>
          <w:tcPr>
            <w:tcW w:w="0" w:type="dxa"/>
            <w:vAlign w:val="bottom"/>
          </w:tcPr>
          <w:p>
            <w:pPr>
              <w:spacing w:after="0"/>
              <w:rPr>
                <w:sz w:val="1"/>
                <w:szCs w:val="1"/>
                <w:color w:val="auto"/>
              </w:rPr>
            </w:pPr>
          </w:p>
        </w:tc>
      </w:tr>
      <w:tr>
        <w:trPr>
          <w:trHeight w:val="192"/>
        </w:trPr>
        <w:tc>
          <w:tcPr>
            <w:tcW w:w="2940" w:type="dxa"/>
            <w:vAlign w:val="bottom"/>
          </w:tcPr>
          <w:p>
            <w:pPr>
              <w:spacing w:after="0"/>
              <w:rPr>
                <w:sz w:val="16"/>
                <w:szCs w:val="16"/>
                <w:color w:val="auto"/>
              </w:rPr>
            </w:pPr>
          </w:p>
        </w:tc>
        <w:tc>
          <w:tcPr>
            <w:tcW w:w="83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Qualifications</w:t>
            </w:r>
          </w:p>
        </w:tc>
        <w:tc>
          <w:tcPr>
            <w:tcW w:w="0" w:type="dxa"/>
            <w:vAlign w:val="bottom"/>
          </w:tcPr>
          <w:p>
            <w:pPr>
              <w:spacing w:after="0"/>
              <w:rPr>
                <w:sz w:val="1"/>
                <w:szCs w:val="1"/>
                <w:color w:val="auto"/>
              </w:rPr>
            </w:pPr>
          </w:p>
        </w:tc>
      </w:tr>
      <w:tr>
        <w:trPr>
          <w:trHeight w:val="162"/>
        </w:trPr>
        <w:tc>
          <w:tcPr>
            <w:tcW w:w="2940" w:type="dxa"/>
            <w:vAlign w:val="bottom"/>
          </w:tcPr>
          <w:p>
            <w:pPr>
              <w:spacing w:after="0"/>
              <w:rPr>
                <w:sz w:val="14"/>
                <w:szCs w:val="14"/>
                <w:color w:val="auto"/>
              </w:rPr>
            </w:pPr>
          </w:p>
        </w:tc>
        <w:tc>
          <w:tcPr>
            <w:tcW w:w="830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5"/>
                <w:szCs w:val="15"/>
                <w:color w:val="auto"/>
              </w:rPr>
              <w:t>•  Expertise and extensive leadership experience in biotech/pharma in sales, product launch, commercial strategy and execution in</w:t>
            </w:r>
          </w:p>
        </w:tc>
        <w:tc>
          <w:tcPr>
            <w:tcW w:w="0" w:type="dxa"/>
            <w:vAlign w:val="bottom"/>
          </w:tcPr>
          <w:p>
            <w:pPr>
              <w:spacing w:after="0"/>
              <w:rPr>
                <w:sz w:val="1"/>
                <w:szCs w:val="1"/>
                <w:color w:val="auto"/>
              </w:rPr>
            </w:pPr>
          </w:p>
        </w:tc>
      </w:tr>
      <w:tr>
        <w:trPr>
          <w:trHeight w:val="162"/>
        </w:trPr>
        <w:tc>
          <w:tcPr>
            <w:tcW w:w="2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180" w:type="dxa"/>
            <w:vAlign w:val="bottom"/>
          </w:tcPr>
          <w:p>
            <w:pPr>
              <w:ind w:left="60"/>
              <w:spacing w:after="0" w:line="162" w:lineRule="exact"/>
              <w:rPr>
                <w:sz w:val="20"/>
                <w:szCs w:val="20"/>
                <w:color w:val="auto"/>
              </w:rPr>
            </w:pPr>
            <w:r>
              <w:rPr>
                <w:rFonts w:ascii="Times New Roman" w:cs="Times New Roman" w:eastAsia="Times New Roman" w:hAnsi="Times New Roman"/>
                <w:sz w:val="15"/>
                <w:szCs w:val="15"/>
                <w:color w:val="auto"/>
              </w:rPr>
              <w:t>brands across nephrology, ophthalmology, neurology and rare diseases;</w:t>
            </w:r>
          </w:p>
        </w:tc>
        <w:tc>
          <w:tcPr>
            <w:tcW w:w="0" w:type="dxa"/>
            <w:vAlign w:val="bottom"/>
          </w:tcPr>
          <w:p>
            <w:pPr>
              <w:spacing w:after="0"/>
              <w:rPr>
                <w:sz w:val="1"/>
                <w:szCs w:val="1"/>
                <w:color w:val="auto"/>
              </w:rPr>
            </w:pPr>
          </w:p>
        </w:tc>
      </w:tr>
      <w:tr>
        <w:trPr>
          <w:trHeight w:val="179"/>
        </w:trPr>
        <w:tc>
          <w:tcPr>
            <w:tcW w:w="2940" w:type="dxa"/>
            <w:vAlign w:val="bottom"/>
          </w:tcPr>
          <w:p>
            <w:pPr>
              <w:spacing w:after="0"/>
              <w:rPr>
                <w:sz w:val="15"/>
                <w:szCs w:val="15"/>
                <w:color w:val="auto"/>
              </w:rPr>
            </w:pPr>
          </w:p>
        </w:tc>
        <w:tc>
          <w:tcPr>
            <w:tcW w:w="8300" w:type="dxa"/>
            <w:vAlign w:val="bottom"/>
            <w:tcBorders>
              <w:bottom w:val="single" w:sz="8" w:color="BFBFBF"/>
            </w:tcBorders>
            <w:gridSpan w:val="2"/>
          </w:tcPr>
          <w:p>
            <w:pPr>
              <w:ind w:left="20"/>
              <w:spacing w:after="0"/>
              <w:rPr>
                <w:sz w:val="20"/>
                <w:szCs w:val="20"/>
                <w:color w:val="auto"/>
              </w:rPr>
            </w:pPr>
            <w:r>
              <w:rPr>
                <w:rFonts w:ascii="Times New Roman" w:cs="Times New Roman" w:eastAsia="Times New Roman" w:hAnsi="Times New Roman"/>
                <w:sz w:val="15"/>
                <w:szCs w:val="15"/>
                <w:color w:val="auto"/>
              </w:rPr>
              <w:t>•  Led commercial launch of TEPEZZA and UPLIZNA at Horizon and DUOPA and HUMIRA at Abbvie</w:t>
            </w:r>
          </w:p>
        </w:tc>
        <w:tc>
          <w:tcPr>
            <w:tcW w:w="0" w:type="dxa"/>
            <w:vAlign w:val="bottom"/>
          </w:tcPr>
          <w:p>
            <w:pPr>
              <w:spacing w:after="0"/>
              <w:rPr>
                <w:sz w:val="1"/>
                <w:szCs w:val="1"/>
                <w:color w:val="auto"/>
              </w:rPr>
            </w:pPr>
          </w:p>
        </w:tc>
      </w:tr>
      <w:tr>
        <w:trPr>
          <w:trHeight w:val="138"/>
        </w:trPr>
        <w:tc>
          <w:tcPr>
            <w:tcW w:w="2940" w:type="dxa"/>
            <w:vAlign w:val="bottom"/>
            <w:vMerge w:val="restart"/>
          </w:tcPr>
          <w:p>
            <w:pPr>
              <w:ind w:left="140"/>
              <w:spacing w:after="0"/>
              <w:rPr>
                <w:sz w:val="20"/>
                <w:szCs w:val="20"/>
                <w:color w:val="auto"/>
              </w:rPr>
            </w:pPr>
            <w:r>
              <w:rPr>
                <w:rFonts w:ascii="Times New Roman" w:cs="Times New Roman" w:eastAsia="Times New Roman" w:hAnsi="Times New Roman"/>
                <w:sz w:val="25"/>
                <w:szCs w:val="25"/>
                <w:color w:val="auto"/>
              </w:rPr>
              <w:t>Keli Walbert</w:t>
            </w:r>
          </w:p>
        </w:tc>
        <w:tc>
          <w:tcPr>
            <w:tcW w:w="8300" w:type="dxa"/>
            <w:vAlign w:val="bottom"/>
            <w:gridSpan w:val="2"/>
          </w:tcPr>
          <w:p>
            <w:pPr>
              <w:ind w:left="20"/>
              <w:spacing w:after="0" w:line="138" w:lineRule="exact"/>
              <w:rPr>
                <w:sz w:val="20"/>
                <w:szCs w:val="20"/>
                <w:color w:val="auto"/>
              </w:rPr>
            </w:pPr>
            <w:r>
              <w:rPr>
                <w:rFonts w:ascii="Times New Roman" w:cs="Times New Roman" w:eastAsia="Times New Roman" w:hAnsi="Times New Roman"/>
                <w:sz w:val="15"/>
                <w:szCs w:val="15"/>
                <w:color w:val="auto"/>
              </w:rPr>
              <w:t>Education</w:t>
            </w:r>
          </w:p>
        </w:tc>
        <w:tc>
          <w:tcPr>
            <w:tcW w:w="0" w:type="dxa"/>
            <w:vAlign w:val="bottom"/>
          </w:tcPr>
          <w:p>
            <w:pPr>
              <w:spacing w:after="0"/>
              <w:rPr>
                <w:sz w:val="1"/>
                <w:szCs w:val="1"/>
                <w:color w:val="auto"/>
              </w:rPr>
            </w:pPr>
          </w:p>
        </w:tc>
      </w:tr>
      <w:tr>
        <w:trPr>
          <w:trHeight w:val="162"/>
        </w:trPr>
        <w:tc>
          <w:tcPr>
            <w:tcW w:w="2940" w:type="dxa"/>
            <w:vAlign w:val="bottom"/>
            <w:vMerge w:val="continue"/>
          </w:tcPr>
          <w:p>
            <w:pPr>
              <w:spacing w:after="0"/>
              <w:rPr>
                <w:sz w:val="14"/>
                <w:szCs w:val="14"/>
                <w:color w:val="auto"/>
              </w:rPr>
            </w:pPr>
          </w:p>
        </w:tc>
        <w:tc>
          <w:tcPr>
            <w:tcW w:w="120" w:type="dxa"/>
            <w:vAlign w:val="bottom"/>
          </w:tcPr>
          <w:p>
            <w:pPr>
              <w:ind w:left="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180" w:type="dxa"/>
            <w:vAlign w:val="bottom"/>
          </w:tcPr>
          <w:p>
            <w:pPr>
              <w:ind w:left="60"/>
              <w:spacing w:after="0" w:line="162" w:lineRule="exact"/>
              <w:rPr>
                <w:sz w:val="20"/>
                <w:szCs w:val="20"/>
                <w:color w:val="auto"/>
              </w:rPr>
            </w:pPr>
            <w:r>
              <w:rPr>
                <w:rFonts w:ascii="Times New Roman" w:cs="Times New Roman" w:eastAsia="Times New Roman" w:hAnsi="Times New Roman"/>
                <w:sz w:val="15"/>
                <w:szCs w:val="15"/>
                <w:color w:val="auto"/>
              </w:rPr>
              <w:t>B.A., University of Louisville</w:t>
            </w:r>
          </w:p>
        </w:tc>
        <w:tc>
          <w:tcPr>
            <w:tcW w:w="0" w:type="dxa"/>
            <w:vAlign w:val="bottom"/>
          </w:tcPr>
          <w:p>
            <w:pPr>
              <w:spacing w:after="0"/>
              <w:rPr>
                <w:sz w:val="1"/>
                <w:szCs w:val="1"/>
                <w:color w:val="auto"/>
              </w:rPr>
            </w:pPr>
          </w:p>
        </w:tc>
      </w:tr>
      <w:tr>
        <w:trPr>
          <w:trHeight w:val="179"/>
        </w:trPr>
        <w:tc>
          <w:tcPr>
            <w:tcW w:w="2940" w:type="dxa"/>
            <w:vAlign w:val="bottom"/>
            <w:vMerge w:val="restart"/>
          </w:tcPr>
          <w:p>
            <w:pPr>
              <w:ind w:left="140"/>
              <w:spacing w:after="0"/>
              <w:rPr>
                <w:sz w:val="20"/>
                <w:szCs w:val="20"/>
                <w:color w:val="auto"/>
              </w:rPr>
            </w:pPr>
            <w:r>
              <w:rPr>
                <w:rFonts w:ascii="Times New Roman" w:cs="Times New Roman" w:eastAsia="Times New Roman" w:hAnsi="Times New Roman"/>
                <w:sz w:val="15"/>
                <w:szCs w:val="15"/>
                <w:b w:val="1"/>
                <w:bCs w:val="1"/>
                <w:color w:val="auto"/>
              </w:rPr>
              <w:t>Independent Director since 2025</w:t>
            </w:r>
          </w:p>
        </w:tc>
        <w:tc>
          <w:tcPr>
            <w:tcW w:w="120" w:type="dxa"/>
            <w:vAlign w:val="bottom"/>
            <w:tcBorders>
              <w:bottom w:val="single" w:sz="8" w:color="BFBFBF"/>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180" w:type="dxa"/>
            <w:vAlign w:val="bottom"/>
            <w:tcBorders>
              <w:bottom w:val="single" w:sz="8" w:color="BFBFBF"/>
            </w:tcBorders>
          </w:tcPr>
          <w:p>
            <w:pPr>
              <w:ind w:left="60"/>
              <w:spacing w:after="0"/>
              <w:rPr>
                <w:sz w:val="20"/>
                <w:szCs w:val="20"/>
                <w:color w:val="auto"/>
              </w:rPr>
            </w:pPr>
            <w:r>
              <w:rPr>
                <w:rFonts w:ascii="Times New Roman" w:cs="Times New Roman" w:eastAsia="Times New Roman" w:hAnsi="Times New Roman"/>
                <w:sz w:val="15"/>
                <w:szCs w:val="15"/>
                <w:color w:val="auto"/>
              </w:rPr>
              <w:t>M.S., Northwestern University</w:t>
            </w:r>
          </w:p>
        </w:tc>
        <w:tc>
          <w:tcPr>
            <w:tcW w:w="0" w:type="dxa"/>
            <w:vAlign w:val="bottom"/>
          </w:tcPr>
          <w:p>
            <w:pPr>
              <w:spacing w:after="0"/>
              <w:rPr>
                <w:sz w:val="1"/>
                <w:szCs w:val="1"/>
                <w:color w:val="auto"/>
              </w:rPr>
            </w:pPr>
          </w:p>
        </w:tc>
      </w:tr>
      <w:tr>
        <w:trPr>
          <w:trHeight w:val="73"/>
        </w:trPr>
        <w:tc>
          <w:tcPr>
            <w:tcW w:w="2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1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-1292860</wp:posOffset>
            </wp:positionV>
            <wp:extent cx="968375" cy="9601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68375" cy="9601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6"/>
        </w:trPr>
        <w:tc>
          <w:tcPr>
            <w:tcW w:w="2720" w:type="dxa"/>
            <w:vAlign w:val="bottom"/>
            <w:vMerge w:val="restart"/>
          </w:tcPr>
          <w:p>
            <w:pPr>
              <w:ind w:left="140"/>
              <w:spacing w:after="0"/>
              <w:rPr>
                <w:sz w:val="20"/>
                <w:szCs w:val="20"/>
                <w:color w:val="auto"/>
              </w:rPr>
            </w:pPr>
            <w:r>
              <w:rPr>
                <w:rFonts w:ascii="Times New Roman" w:cs="Times New Roman" w:eastAsia="Times New Roman" w:hAnsi="Times New Roman"/>
                <w:sz w:val="15"/>
                <w:szCs w:val="15"/>
                <w:color w:val="auto"/>
              </w:rPr>
              <w:t>Age: 58</w:t>
            </w:r>
          </w:p>
        </w:tc>
        <w:tc>
          <w:tcPr>
            <w:tcW w:w="8520" w:type="dxa"/>
            <w:vAlign w:val="bottom"/>
          </w:tcPr>
          <w:p>
            <w:pPr>
              <w:ind w:left="240"/>
              <w:spacing w:after="0" w:line="146" w:lineRule="exact"/>
              <w:rPr>
                <w:sz w:val="20"/>
                <w:szCs w:val="20"/>
                <w:color w:val="auto"/>
              </w:rPr>
            </w:pPr>
            <w:r>
              <w:rPr>
                <w:rFonts w:ascii="Times New Roman" w:cs="Times New Roman" w:eastAsia="Times New Roman" w:hAnsi="Times New Roman"/>
                <w:sz w:val="15"/>
                <w:szCs w:val="15"/>
                <w:color w:val="auto"/>
              </w:rPr>
              <w:t>Other Boards</w:t>
            </w:r>
          </w:p>
        </w:tc>
        <w:tc>
          <w:tcPr>
            <w:tcW w:w="0" w:type="dxa"/>
            <w:vAlign w:val="bottom"/>
          </w:tcPr>
          <w:p>
            <w:pPr>
              <w:spacing w:after="0"/>
              <w:rPr>
                <w:sz w:val="1"/>
                <w:szCs w:val="1"/>
                <w:color w:val="auto"/>
              </w:rPr>
            </w:pPr>
          </w:p>
        </w:tc>
      </w:tr>
      <w:tr>
        <w:trPr>
          <w:trHeight w:val="144"/>
        </w:trPr>
        <w:tc>
          <w:tcPr>
            <w:tcW w:w="2720" w:type="dxa"/>
            <w:vAlign w:val="bottom"/>
            <w:vMerge w:val="continue"/>
          </w:tcPr>
          <w:p>
            <w:pPr>
              <w:spacing w:after="0"/>
              <w:rPr>
                <w:sz w:val="12"/>
                <w:szCs w:val="12"/>
                <w:color w:val="auto"/>
              </w:rPr>
            </w:pPr>
          </w:p>
        </w:tc>
        <w:tc>
          <w:tcPr>
            <w:tcW w:w="8520" w:type="dxa"/>
            <w:vAlign w:val="bottom"/>
            <w:vMerge w:val="restart"/>
          </w:tcPr>
          <w:p>
            <w:pPr>
              <w:ind w:left="240"/>
              <w:spacing w:after="0"/>
              <w:rPr>
                <w:sz w:val="20"/>
                <w:szCs w:val="20"/>
                <w:color w:val="auto"/>
              </w:rPr>
            </w:pPr>
            <w:r>
              <w:rPr>
                <w:rFonts w:ascii="Times New Roman" w:cs="Times New Roman" w:eastAsia="Times New Roman" w:hAnsi="Times New Roman"/>
                <w:sz w:val="15"/>
                <w:szCs w:val="15"/>
                <w:color w:val="auto"/>
              </w:rPr>
              <w:t>•  Women in Healthcare, a not for profit organization</w:t>
            </w:r>
          </w:p>
        </w:tc>
        <w:tc>
          <w:tcPr>
            <w:tcW w:w="0" w:type="dxa"/>
            <w:vAlign w:val="bottom"/>
          </w:tcPr>
          <w:p>
            <w:pPr>
              <w:spacing w:after="0"/>
              <w:rPr>
                <w:sz w:val="1"/>
                <w:szCs w:val="1"/>
                <w:color w:val="auto"/>
              </w:rPr>
            </w:pPr>
          </w:p>
        </w:tc>
      </w:tr>
      <w:tr>
        <w:trPr>
          <w:trHeight w:val="54"/>
        </w:trPr>
        <w:tc>
          <w:tcPr>
            <w:tcW w:w="2720" w:type="dxa"/>
            <w:vAlign w:val="bottom"/>
            <w:vMerge w:val="restart"/>
          </w:tcPr>
          <w:p>
            <w:pPr>
              <w:ind w:left="140"/>
              <w:spacing w:after="0"/>
              <w:rPr>
                <w:sz w:val="20"/>
                <w:szCs w:val="20"/>
                <w:color w:val="auto"/>
              </w:rPr>
            </w:pPr>
            <w:r>
              <w:rPr>
                <w:rFonts w:ascii="Times New Roman" w:cs="Times New Roman" w:eastAsia="Times New Roman" w:hAnsi="Times New Roman"/>
                <w:sz w:val="15"/>
                <w:szCs w:val="15"/>
                <w:color w:val="auto"/>
              </w:rPr>
              <w:t>Committees:</w:t>
            </w:r>
          </w:p>
        </w:tc>
        <w:tc>
          <w:tcPr>
            <w:tcW w:w="8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2720" w:type="dxa"/>
            <w:vAlign w:val="bottom"/>
            <w:vMerge w:val="continue"/>
          </w:tcPr>
          <w:p>
            <w:pPr>
              <w:spacing w:after="0"/>
              <w:rPr>
                <w:sz w:val="13"/>
                <w:szCs w:val="13"/>
                <w:color w:val="auto"/>
              </w:rPr>
            </w:pPr>
          </w:p>
        </w:tc>
        <w:tc>
          <w:tcPr>
            <w:tcW w:w="8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•Compensation</w:t>
            </w:r>
          </w:p>
        </w:tc>
        <w:tc>
          <w:tcPr>
            <w:tcW w:w="8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•Compliance</w:t>
            </w:r>
          </w:p>
        </w:tc>
        <w:tc>
          <w:tcPr>
            <w:tcW w:w="8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720" w:type="dxa"/>
            <w:vAlign w:val="bottom"/>
            <w:tcBorders>
              <w:bottom w:val="single" w:sz="8" w:color="BFBFBF"/>
            </w:tcBorders>
          </w:tcPr>
          <w:p>
            <w:pPr>
              <w:ind w:left="140"/>
              <w:spacing w:after="0"/>
              <w:rPr>
                <w:sz w:val="20"/>
                <w:szCs w:val="20"/>
                <w:color w:val="auto"/>
              </w:rPr>
            </w:pPr>
            <w:r>
              <w:rPr>
                <w:rFonts w:ascii="Times New Roman" w:cs="Times New Roman" w:eastAsia="Times New Roman" w:hAnsi="Times New Roman"/>
                <w:sz w:val="15"/>
                <w:szCs w:val="15"/>
                <w:color w:val="auto"/>
              </w:rPr>
              <w:t>•Nominating &amp; Corporate Governance</w:t>
            </w:r>
          </w:p>
        </w:tc>
        <w:tc>
          <w:tcPr>
            <w:tcW w:w="8520" w:type="dxa"/>
            <w:vAlign w:val="bottom"/>
            <w:tcBorders>
              <w:bottom w:val="single" w:sz="8" w:color="BFBFBF"/>
            </w:tcBorders>
          </w:tcPr>
          <w:p>
            <w:pPr>
              <w:spacing w:after="0"/>
              <w:rPr>
                <w:sz w:val="15"/>
                <w:szCs w:val="15"/>
                <w:color w:val="auto"/>
              </w:rPr>
            </w:pPr>
          </w:p>
        </w:tc>
        <w:tc>
          <w:tcPr>
            <w:tcW w:w="0" w:type="dxa"/>
            <w:vAlign w:val="bottom"/>
          </w:tcPr>
          <w:p>
            <w:pPr>
              <w:spacing w:after="0"/>
              <w:rPr>
                <w:sz w:val="1"/>
                <w:szCs w:val="1"/>
                <w:color w:val="auto"/>
              </w:rPr>
            </w:pPr>
          </w:p>
        </w:tc>
      </w:tr>
      <w:tr>
        <w:trPr>
          <w:trHeight w:val="534"/>
        </w:trPr>
        <w:tc>
          <w:tcPr>
            <w:tcW w:w="2720" w:type="dxa"/>
            <w:vAlign w:val="bottom"/>
          </w:tcPr>
          <w:p>
            <w:pPr>
              <w:spacing w:after="0"/>
              <w:rPr>
                <w:sz w:val="24"/>
                <w:szCs w:val="24"/>
                <w:color w:val="auto"/>
              </w:rPr>
            </w:pPr>
          </w:p>
        </w:tc>
        <w:tc>
          <w:tcPr>
            <w:tcW w:w="8520" w:type="dxa"/>
            <w:vAlign w:val="bottom"/>
          </w:tcPr>
          <w:p>
            <w:pPr>
              <w:jc w:val="right"/>
              <w:ind w:right="5499"/>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763"/>
        </w:trPr>
        <w:tc>
          <w:tcPr>
            <w:tcW w:w="2720" w:type="dxa"/>
            <w:vAlign w:val="bottom"/>
            <w:tcBorders>
              <w:bottom w:val="single" w:sz="8" w:color="9A9A9A"/>
            </w:tcBorders>
          </w:tcPr>
          <w:p>
            <w:pPr>
              <w:spacing w:after="0"/>
              <w:rPr>
                <w:sz w:val="24"/>
                <w:szCs w:val="24"/>
                <w:color w:val="auto"/>
              </w:rPr>
            </w:pPr>
          </w:p>
        </w:tc>
        <w:tc>
          <w:tcPr>
            <w:tcW w:w="8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color w:val="auto"/>
        </w:rPr>
        <w:t>The proxies will be voted in favor of A. Sinclair Dunlop, Alec Machiels and Keli Walbert unless a contrary specification is made in the proxy.</w:t>
      </w:r>
    </w:p>
    <w:p>
      <w:pPr>
        <w:spacing w:after="0" w:line="219" w:lineRule="exact"/>
        <w:rPr>
          <w:sz w:val="20"/>
          <w:szCs w:val="20"/>
          <w:color w:val="auto"/>
        </w:rPr>
      </w:pPr>
    </w:p>
    <w:p>
      <w:pPr>
        <w:spacing w:after="0" w:line="301" w:lineRule="auto"/>
        <w:rPr>
          <w:sz w:val="20"/>
          <w:szCs w:val="20"/>
          <w:color w:val="auto"/>
        </w:rPr>
      </w:pPr>
      <w:r>
        <w:rPr>
          <w:rFonts w:ascii="Times New Roman" w:cs="Times New Roman" w:eastAsia="Times New Roman" w:hAnsi="Times New Roman"/>
          <w:sz w:val="16"/>
          <w:szCs w:val="16"/>
          <w:b w:val="1"/>
          <w:bCs w:val="1"/>
          <w:color w:val="auto"/>
        </w:rPr>
        <w:t>The board of directors recommends voting “FOR” the election of A. Sinclair Dunlop, Alec Machiels and Keli Walbert as the Class II directors for a three-year term ending at the annual meeting of stockholders to be held in 2028</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8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017" w:right="6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b w:val="1"/>
          <w:bCs w:val="1"/>
          <w:color w:val="auto"/>
        </w:rPr>
        <w:t>DIRECTORS CONTINUING IN OFFICE</w:t>
      </w:r>
    </w:p>
    <w:p>
      <w:pPr>
        <w:spacing w:after="0" w:line="223" w:lineRule="exact"/>
        <w:rPr>
          <w:sz w:val="20"/>
          <w:szCs w:val="20"/>
          <w:color w:val="auto"/>
        </w:rPr>
      </w:pPr>
    </w:p>
    <w:p>
      <w:pPr>
        <w:ind w:right="160"/>
        <w:spacing w:after="0" w:line="298" w:lineRule="auto"/>
        <w:rPr>
          <w:sz w:val="20"/>
          <w:szCs w:val="20"/>
          <w:color w:val="auto"/>
        </w:rPr>
      </w:pPr>
      <w:r>
        <w:rPr>
          <w:rFonts w:ascii="Times New Roman" w:cs="Times New Roman" w:eastAsia="Times New Roman" w:hAnsi="Times New Roman"/>
          <w:sz w:val="16"/>
          <w:szCs w:val="16"/>
          <w:color w:val="auto"/>
        </w:rPr>
        <w:t>Biographical information as of April 15, 2025, including principal occupation and business experience during the last five years, for our directors continuing in office after the Annual Meeting is set forth below.</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I Directors (Term Expires at 2027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8"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5"/>
          <w:szCs w:val="15"/>
          <w:color w:val="auto"/>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-80645</wp:posOffset>
            </wp:positionV>
            <wp:extent cx="1045845" cy="1045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45845" cy="1045845"/>
                    </a:xfrm>
                    <a:prstGeom prst="rect">
                      <a:avLst/>
                    </a:prstGeom>
                    <a:noFill/>
                  </pic:spPr>
                </pic:pic>
              </a:graphicData>
            </a:graphic>
          </wp:anchor>
        </w:drawing>
      </w:r>
    </w:p>
    <w:p>
      <w:pPr>
        <w:ind w:left="3240" w:right="160" w:hanging="179"/>
        <w:spacing w:after="0" w:line="225" w:lineRule="auto"/>
        <w:tabs>
          <w:tab w:leader="none" w:pos="3220" w:val="left"/>
        </w:tabs>
        <w:rPr>
          <w:sz w:val="20"/>
          <w:szCs w:val="20"/>
          <w:color w:val="auto"/>
        </w:rPr>
      </w:pPr>
      <w:r>
        <w:rPr>
          <w:rFonts w:ascii="Times New Roman" w:cs="Times New Roman" w:eastAsia="Times New Roman" w:hAnsi="Times New Roman"/>
          <w:sz w:val="15"/>
          <w:szCs w:val="15"/>
          <w:color w:val="7F7F7F"/>
        </w:rPr>
        <w:t>•</w:t>
      </w:r>
      <w:r>
        <w:rPr>
          <w:rFonts w:ascii="Times New Roman" w:cs="Times New Roman" w:eastAsia="Times New Roman" w:hAnsi="Times New Roman"/>
          <w:sz w:val="15"/>
          <w:szCs w:val="15"/>
          <w:color w:val="auto"/>
        </w:rPr>
        <w:tab/>
        <w:t>Executive-in-Residence, Canaan Partners, a venture capital firm dedicated to early stage investing in health care and technology (2019 – present)</w:t>
      </w:r>
    </w:p>
    <w:p>
      <w:pPr>
        <w:spacing w:after="0" w:line="1" w:lineRule="exact"/>
        <w:rPr>
          <w:sz w:val="20"/>
          <w:szCs w:val="20"/>
          <w:color w:val="auto"/>
        </w:rPr>
      </w:pPr>
    </w:p>
    <w:p>
      <w:pPr>
        <w:jc w:val="both"/>
        <w:ind w:left="3240" w:right="220" w:hanging="179"/>
        <w:spacing w:after="0" w:line="225" w:lineRule="auto"/>
        <w:tabs>
          <w:tab w:leader="none" w:pos="3220" w:val="left"/>
        </w:tabs>
        <w:rPr>
          <w:sz w:val="20"/>
          <w:szCs w:val="20"/>
          <w:color w:val="auto"/>
        </w:rPr>
      </w:pPr>
      <w:r>
        <w:rPr>
          <w:rFonts w:ascii="Times New Roman" w:cs="Times New Roman" w:eastAsia="Times New Roman" w:hAnsi="Times New Roman"/>
          <w:sz w:val="15"/>
          <w:szCs w:val="15"/>
          <w:color w:val="7F7F7F"/>
        </w:rPr>
        <w:t>•</w:t>
      </w:r>
      <w:r>
        <w:rPr>
          <w:rFonts w:ascii="Times New Roman" w:cs="Times New Roman" w:eastAsia="Times New Roman" w:hAnsi="Times New Roman"/>
          <w:sz w:val="15"/>
          <w:szCs w:val="15"/>
          <w:color w:val="auto"/>
        </w:rPr>
        <w:tab/>
        <w:t>Held number of senior executive roles, Boehringer Ingelheim; Chairman, Boehringer Ingelheim USA (2018 – 2019); President and Chief Executive Officer, Boehringer Ingelheim USA (2011 – 2018); President, Boehringer Ingelheim Animal Health USA</w:t>
      </w:r>
    </w:p>
    <w:tbl>
      <w:tblPr>
        <w:tblLayout w:type="fixed"/>
        <w:tblInd w:w="0" w:type="dxa"/>
        <w:tblCellMar>
          <w:top w:w="0" w:type="dxa"/>
          <w:left w:w="0" w:type="dxa"/>
          <w:bottom w:w="0" w:type="dxa"/>
          <w:right w:w="0" w:type="dxa"/>
        </w:tblCellMar>
      </w:tblPr>
      <w:tr>
        <w:trPr>
          <w:trHeight w:val="147"/>
        </w:trPr>
        <w:tc>
          <w:tcPr>
            <w:tcW w:w="2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60" w:type="dxa"/>
            <w:vAlign w:val="bottom"/>
          </w:tcPr>
          <w:p>
            <w:pPr>
              <w:ind w:left="60"/>
              <w:spacing w:after="0" w:line="146" w:lineRule="exact"/>
              <w:rPr>
                <w:sz w:val="20"/>
                <w:szCs w:val="20"/>
                <w:color w:val="auto"/>
              </w:rPr>
            </w:pPr>
            <w:r>
              <w:rPr>
                <w:rFonts w:ascii="Times New Roman" w:cs="Times New Roman" w:eastAsia="Times New Roman" w:hAnsi="Times New Roman"/>
                <w:sz w:val="15"/>
                <w:szCs w:val="15"/>
                <w:color w:val="auto"/>
              </w:rPr>
              <w:t>(2018 – 2019); Corporate Senior Vice President, Prescription Medicines Marketing, Boehringer Ingelheim GmbH (2009 – 2011);</w:t>
            </w:r>
          </w:p>
        </w:tc>
        <w:tc>
          <w:tcPr>
            <w:tcW w:w="0" w:type="dxa"/>
            <w:vAlign w:val="bottom"/>
          </w:tcPr>
          <w:p>
            <w:pPr>
              <w:spacing w:after="0"/>
              <w:rPr>
                <w:sz w:val="1"/>
                <w:szCs w:val="1"/>
                <w:color w:val="auto"/>
              </w:rPr>
            </w:pPr>
          </w:p>
        </w:tc>
      </w:tr>
      <w:tr>
        <w:trPr>
          <w:trHeight w:val="162"/>
        </w:trPr>
        <w:tc>
          <w:tcPr>
            <w:tcW w:w="2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60" w:type="dxa"/>
            <w:vAlign w:val="bottom"/>
          </w:tcPr>
          <w:p>
            <w:pPr>
              <w:ind w:left="60"/>
              <w:spacing w:after="0" w:line="162" w:lineRule="exact"/>
              <w:rPr>
                <w:sz w:val="20"/>
                <w:szCs w:val="20"/>
                <w:color w:val="auto"/>
              </w:rPr>
            </w:pPr>
            <w:r>
              <w:rPr>
                <w:rFonts w:ascii="Times New Roman" w:cs="Times New Roman" w:eastAsia="Times New Roman" w:hAnsi="Times New Roman"/>
                <w:sz w:val="15"/>
                <w:szCs w:val="15"/>
                <w:color w:val="auto"/>
              </w:rPr>
              <w:t>joined 2004</w:t>
            </w:r>
          </w:p>
        </w:tc>
        <w:tc>
          <w:tcPr>
            <w:tcW w:w="0" w:type="dxa"/>
            <w:vAlign w:val="bottom"/>
          </w:tcPr>
          <w:p>
            <w:pPr>
              <w:spacing w:after="0"/>
              <w:rPr>
                <w:sz w:val="1"/>
                <w:szCs w:val="1"/>
                <w:color w:val="auto"/>
              </w:rPr>
            </w:pPr>
          </w:p>
        </w:tc>
      </w:tr>
      <w:tr>
        <w:trPr>
          <w:trHeight w:val="162"/>
        </w:trPr>
        <w:tc>
          <w:tcPr>
            <w:tcW w:w="2940" w:type="dxa"/>
            <w:vAlign w:val="bottom"/>
          </w:tcPr>
          <w:p>
            <w:pPr>
              <w:spacing w:after="0"/>
              <w:rPr>
                <w:sz w:val="14"/>
                <w:szCs w:val="14"/>
                <w:color w:val="auto"/>
              </w:rPr>
            </w:pPr>
          </w:p>
        </w:tc>
        <w:tc>
          <w:tcPr>
            <w:tcW w:w="8300" w:type="dxa"/>
            <w:vAlign w:val="bottom"/>
            <w:gridSpan w:val="2"/>
          </w:tcPr>
          <w:p>
            <w:pPr>
              <w:ind w:left="120"/>
              <w:spacing w:after="0" w:line="162" w:lineRule="exact"/>
              <w:rPr>
                <w:sz w:val="20"/>
                <w:szCs w:val="20"/>
                <w:color w:val="auto"/>
              </w:rPr>
            </w:pPr>
            <w:r>
              <w:rPr>
                <w:rFonts w:ascii="Times New Roman" w:cs="Times New Roman" w:eastAsia="Times New Roman" w:hAnsi="Times New Roman"/>
                <w:sz w:val="15"/>
                <w:szCs w:val="15"/>
                <w:color w:val="7F7F7F"/>
              </w:rPr>
              <w:t xml:space="preserve">•  </w:t>
            </w:r>
            <w:r>
              <w:rPr>
                <w:rFonts w:ascii="Times New Roman" w:cs="Times New Roman" w:eastAsia="Times New Roman" w:hAnsi="Times New Roman"/>
                <w:sz w:val="15"/>
                <w:szCs w:val="15"/>
                <w:color w:val="000000"/>
              </w:rPr>
              <w:t>Held commercial leadership roles, Merck and Co. Inc. (1995 – 2004)</w:t>
            </w:r>
          </w:p>
        </w:tc>
        <w:tc>
          <w:tcPr>
            <w:tcW w:w="0" w:type="dxa"/>
            <w:vAlign w:val="bottom"/>
          </w:tcPr>
          <w:p>
            <w:pPr>
              <w:spacing w:after="0"/>
              <w:rPr>
                <w:sz w:val="1"/>
                <w:szCs w:val="1"/>
                <w:color w:val="auto"/>
              </w:rPr>
            </w:pPr>
          </w:p>
        </w:tc>
      </w:tr>
      <w:tr>
        <w:trPr>
          <w:trHeight w:val="179"/>
        </w:trPr>
        <w:tc>
          <w:tcPr>
            <w:tcW w:w="2940" w:type="dxa"/>
            <w:vAlign w:val="bottom"/>
          </w:tcPr>
          <w:p>
            <w:pPr>
              <w:spacing w:after="0"/>
              <w:rPr>
                <w:sz w:val="15"/>
                <w:szCs w:val="15"/>
                <w:color w:val="auto"/>
              </w:rPr>
            </w:pPr>
          </w:p>
        </w:tc>
        <w:tc>
          <w:tcPr>
            <w:tcW w:w="8300" w:type="dxa"/>
            <w:vAlign w:val="bottom"/>
            <w:tcBorders>
              <w:bottom w:val="single" w:sz="8" w:color="BFBFBF"/>
            </w:tcBorders>
            <w:gridSpan w:val="2"/>
          </w:tcPr>
          <w:p>
            <w:pPr>
              <w:ind w:left="120"/>
              <w:spacing w:after="0"/>
              <w:rPr>
                <w:sz w:val="20"/>
                <w:szCs w:val="20"/>
                <w:color w:val="auto"/>
              </w:rPr>
            </w:pPr>
            <w:r>
              <w:rPr>
                <w:rFonts w:ascii="Times New Roman" w:cs="Times New Roman" w:eastAsia="Times New Roman" w:hAnsi="Times New Roman"/>
                <w:sz w:val="15"/>
                <w:szCs w:val="15"/>
                <w:color w:val="7F7F7F"/>
              </w:rPr>
              <w:t xml:space="preserve">•  </w:t>
            </w:r>
            <w:r>
              <w:rPr>
                <w:rFonts w:ascii="Times New Roman" w:cs="Times New Roman" w:eastAsia="Times New Roman" w:hAnsi="Times New Roman"/>
                <w:sz w:val="15"/>
                <w:szCs w:val="15"/>
                <w:color w:val="000000"/>
              </w:rPr>
              <w:t>Held commercial leadership roles, Abbott Laboratories (1987 – 1995)</w:t>
            </w:r>
          </w:p>
        </w:tc>
        <w:tc>
          <w:tcPr>
            <w:tcW w:w="0" w:type="dxa"/>
            <w:vAlign w:val="bottom"/>
          </w:tcPr>
          <w:p>
            <w:pPr>
              <w:spacing w:after="0"/>
              <w:rPr>
                <w:sz w:val="1"/>
                <w:szCs w:val="1"/>
                <w:color w:val="auto"/>
              </w:rPr>
            </w:pPr>
          </w:p>
        </w:tc>
      </w:tr>
      <w:tr>
        <w:trPr>
          <w:trHeight w:val="192"/>
        </w:trPr>
        <w:tc>
          <w:tcPr>
            <w:tcW w:w="2940" w:type="dxa"/>
            <w:vAlign w:val="bottom"/>
          </w:tcPr>
          <w:p>
            <w:pPr>
              <w:spacing w:after="0"/>
              <w:rPr>
                <w:sz w:val="16"/>
                <w:szCs w:val="16"/>
                <w:color w:val="auto"/>
              </w:rPr>
            </w:pPr>
          </w:p>
        </w:tc>
        <w:tc>
          <w:tcPr>
            <w:tcW w:w="83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Qualifications</w:t>
            </w:r>
          </w:p>
        </w:tc>
        <w:tc>
          <w:tcPr>
            <w:tcW w:w="0" w:type="dxa"/>
            <w:vAlign w:val="bottom"/>
          </w:tcPr>
          <w:p>
            <w:pPr>
              <w:spacing w:after="0"/>
              <w:rPr>
                <w:sz w:val="1"/>
                <w:szCs w:val="1"/>
                <w:color w:val="auto"/>
              </w:rPr>
            </w:pPr>
          </w:p>
        </w:tc>
      </w:tr>
      <w:tr>
        <w:trPr>
          <w:trHeight w:val="162"/>
        </w:trPr>
        <w:tc>
          <w:tcPr>
            <w:tcW w:w="2940" w:type="dxa"/>
            <w:vAlign w:val="bottom"/>
            <w:vMerge w:val="restart"/>
          </w:tcPr>
          <w:p>
            <w:pPr>
              <w:ind w:left="20"/>
              <w:spacing w:after="0"/>
              <w:rPr>
                <w:sz w:val="20"/>
                <w:szCs w:val="20"/>
                <w:color w:val="auto"/>
              </w:rPr>
            </w:pPr>
            <w:r>
              <w:rPr>
                <w:rFonts w:ascii="Times New Roman" w:cs="Times New Roman" w:eastAsia="Times New Roman" w:hAnsi="Times New Roman"/>
                <w:sz w:val="25"/>
                <w:szCs w:val="25"/>
                <w:color w:val="auto"/>
              </w:rPr>
              <w:t>Paul Fonteyne</w:t>
            </w:r>
          </w:p>
        </w:tc>
        <w:tc>
          <w:tcPr>
            <w:tcW w:w="8300" w:type="dxa"/>
            <w:vAlign w:val="bottom"/>
            <w:gridSpan w:val="2"/>
          </w:tcPr>
          <w:p>
            <w:pPr>
              <w:ind w:left="120"/>
              <w:spacing w:after="0" w:line="162" w:lineRule="exact"/>
              <w:rPr>
                <w:sz w:val="20"/>
                <w:szCs w:val="20"/>
                <w:color w:val="auto"/>
              </w:rPr>
            </w:pPr>
            <w:r>
              <w:rPr>
                <w:rFonts w:ascii="Times New Roman" w:cs="Times New Roman" w:eastAsia="Times New Roman" w:hAnsi="Times New Roman"/>
                <w:sz w:val="15"/>
                <w:szCs w:val="15"/>
                <w:color w:val="7F7F7F"/>
              </w:rPr>
              <w:t xml:space="preserve">•  </w:t>
            </w:r>
            <w:r>
              <w:rPr>
                <w:rFonts w:ascii="Times New Roman" w:cs="Times New Roman" w:eastAsia="Times New Roman" w:hAnsi="Times New Roman"/>
                <w:sz w:val="15"/>
                <w:szCs w:val="15"/>
                <w:color w:val="000000"/>
              </w:rPr>
              <w:t>Extensive experience leading large commercial organizations in the pharmaceutical industry</w:t>
            </w:r>
          </w:p>
        </w:tc>
        <w:tc>
          <w:tcPr>
            <w:tcW w:w="0" w:type="dxa"/>
            <w:vAlign w:val="bottom"/>
          </w:tcPr>
          <w:p>
            <w:pPr>
              <w:spacing w:after="0"/>
              <w:rPr>
                <w:sz w:val="1"/>
                <w:szCs w:val="1"/>
                <w:color w:val="auto"/>
              </w:rPr>
            </w:pPr>
          </w:p>
        </w:tc>
      </w:tr>
      <w:tr>
        <w:trPr>
          <w:trHeight w:val="179"/>
        </w:trPr>
        <w:tc>
          <w:tcPr>
            <w:tcW w:w="2940" w:type="dxa"/>
            <w:vAlign w:val="bottom"/>
            <w:vMerge w:val="continue"/>
          </w:tcPr>
          <w:p>
            <w:pPr>
              <w:spacing w:after="0"/>
              <w:rPr>
                <w:sz w:val="15"/>
                <w:szCs w:val="15"/>
                <w:color w:val="auto"/>
              </w:rPr>
            </w:pPr>
          </w:p>
        </w:tc>
        <w:tc>
          <w:tcPr>
            <w:tcW w:w="240" w:type="dxa"/>
            <w:vAlign w:val="bottom"/>
            <w:tcBorders>
              <w:bottom w:val="single" w:sz="8" w:color="BFBFBF"/>
            </w:tcBorders>
          </w:tcPr>
          <w:p>
            <w:pPr>
              <w:ind w:left="120"/>
              <w:spacing w:after="0"/>
              <w:rPr>
                <w:sz w:val="20"/>
                <w:szCs w:val="20"/>
                <w:color w:val="auto"/>
              </w:rPr>
            </w:pPr>
            <w:r>
              <w:rPr>
                <w:rFonts w:ascii="Times New Roman" w:cs="Times New Roman" w:eastAsia="Times New Roman" w:hAnsi="Times New Roman"/>
                <w:sz w:val="15"/>
                <w:szCs w:val="15"/>
                <w:color w:val="7F7F7F"/>
              </w:rPr>
              <w:t>•</w:t>
            </w:r>
          </w:p>
        </w:tc>
        <w:tc>
          <w:tcPr>
            <w:tcW w:w="8060" w:type="dxa"/>
            <w:vAlign w:val="bottom"/>
            <w:tcBorders>
              <w:bottom w:val="single" w:sz="8" w:color="BFBFBF"/>
            </w:tcBorders>
          </w:tcPr>
          <w:p>
            <w:pPr>
              <w:ind w:left="60"/>
              <w:spacing w:after="0"/>
              <w:rPr>
                <w:sz w:val="20"/>
                <w:szCs w:val="20"/>
                <w:color w:val="auto"/>
              </w:rPr>
            </w:pPr>
            <w:r>
              <w:rPr>
                <w:rFonts w:ascii="Times New Roman" w:cs="Times New Roman" w:eastAsia="Times New Roman" w:hAnsi="Times New Roman"/>
                <w:sz w:val="15"/>
                <w:szCs w:val="15"/>
                <w:color w:val="auto"/>
              </w:rPr>
              <w:t>Significant sales and marketing management experience</w:t>
            </w:r>
          </w:p>
        </w:tc>
        <w:tc>
          <w:tcPr>
            <w:tcW w:w="0" w:type="dxa"/>
            <w:vAlign w:val="bottom"/>
          </w:tcPr>
          <w:p>
            <w:pPr>
              <w:spacing w:after="0"/>
              <w:rPr>
                <w:sz w:val="1"/>
                <w:szCs w:val="1"/>
                <w:color w:val="auto"/>
              </w:rPr>
            </w:pPr>
          </w:p>
        </w:tc>
      </w:tr>
      <w:tr>
        <w:trPr>
          <w:trHeight w:val="192"/>
        </w:trPr>
        <w:tc>
          <w:tcPr>
            <w:tcW w:w="294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Independent Director since 2020</w:t>
            </w:r>
          </w:p>
        </w:tc>
        <w:tc>
          <w:tcPr>
            <w:tcW w:w="83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Education</w:t>
            </w:r>
          </w:p>
        </w:tc>
        <w:tc>
          <w:tcPr>
            <w:tcW w:w="0" w:type="dxa"/>
            <w:vAlign w:val="bottom"/>
          </w:tcPr>
          <w:p>
            <w:pPr>
              <w:spacing w:after="0"/>
              <w:rPr>
                <w:sz w:val="1"/>
                <w:szCs w:val="1"/>
                <w:color w:val="auto"/>
              </w:rPr>
            </w:pPr>
          </w:p>
        </w:tc>
      </w:tr>
      <w:tr>
        <w:trPr>
          <w:trHeight w:val="90"/>
        </w:trPr>
        <w:tc>
          <w:tcPr>
            <w:tcW w:w="2940" w:type="dxa"/>
            <w:vAlign w:val="bottom"/>
            <w:vMerge w:val="continue"/>
          </w:tcPr>
          <w:p>
            <w:pPr>
              <w:spacing w:after="0"/>
              <w:rPr>
                <w:sz w:val="7"/>
                <w:szCs w:val="7"/>
                <w:color w:val="auto"/>
              </w:rPr>
            </w:pPr>
          </w:p>
        </w:tc>
        <w:tc>
          <w:tcPr>
            <w:tcW w:w="8300" w:type="dxa"/>
            <w:vAlign w:val="bottom"/>
            <w:gridSpan w:val="2"/>
            <w:vMerge w:val="restart"/>
          </w:tcPr>
          <w:p>
            <w:pPr>
              <w:ind w:left="120"/>
              <w:spacing w:after="0" w:line="162" w:lineRule="exact"/>
              <w:rPr>
                <w:sz w:val="20"/>
                <w:szCs w:val="20"/>
                <w:color w:val="auto"/>
              </w:rPr>
            </w:pPr>
            <w:r>
              <w:rPr>
                <w:rFonts w:ascii="Times New Roman" w:cs="Times New Roman" w:eastAsia="Times New Roman" w:hAnsi="Times New Roman"/>
                <w:sz w:val="15"/>
                <w:szCs w:val="15"/>
                <w:color w:val="7F7F7F"/>
              </w:rPr>
              <w:t xml:space="preserve">•  </w:t>
            </w:r>
            <w:r>
              <w:rPr>
                <w:rFonts w:ascii="Times New Roman" w:cs="Times New Roman" w:eastAsia="Times New Roman" w:hAnsi="Times New Roman"/>
                <w:sz w:val="15"/>
                <w:szCs w:val="15"/>
                <w:color w:val="000000"/>
              </w:rPr>
              <w:t>M.B.A., Carnegie Mellon University</w:t>
            </w:r>
          </w:p>
        </w:tc>
        <w:tc>
          <w:tcPr>
            <w:tcW w:w="0" w:type="dxa"/>
            <w:vAlign w:val="bottom"/>
          </w:tcPr>
          <w:p>
            <w:pPr>
              <w:spacing w:after="0"/>
              <w:rPr>
                <w:sz w:val="1"/>
                <w:szCs w:val="1"/>
                <w:color w:val="auto"/>
              </w:rPr>
            </w:pPr>
          </w:p>
        </w:tc>
      </w:tr>
      <w:tr>
        <w:trPr>
          <w:trHeight w:val="72"/>
        </w:trPr>
        <w:tc>
          <w:tcPr>
            <w:tcW w:w="294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 xml:space="preserve">Age: </w:t>
            </w:r>
            <w:r>
              <w:rPr>
                <w:rFonts w:ascii="Times New Roman" w:cs="Times New Roman" w:eastAsia="Times New Roman" w:hAnsi="Times New Roman"/>
                <w:sz w:val="15"/>
                <w:szCs w:val="15"/>
                <w:b w:val="1"/>
                <w:bCs w:val="1"/>
                <w:color w:val="auto"/>
              </w:rPr>
              <w:t>63</w:t>
            </w:r>
          </w:p>
        </w:tc>
        <w:tc>
          <w:tcPr>
            <w:tcW w:w="83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940" w:type="dxa"/>
            <w:vAlign w:val="bottom"/>
            <w:vMerge w:val="continue"/>
          </w:tcPr>
          <w:p>
            <w:pPr>
              <w:spacing w:after="0"/>
              <w:rPr>
                <w:sz w:val="17"/>
                <w:szCs w:val="17"/>
                <w:color w:val="auto"/>
              </w:rPr>
            </w:pPr>
          </w:p>
        </w:tc>
        <w:tc>
          <w:tcPr>
            <w:tcW w:w="240" w:type="dxa"/>
            <w:vAlign w:val="bottom"/>
          </w:tcPr>
          <w:p>
            <w:pPr>
              <w:ind w:left="120"/>
              <w:spacing w:after="0"/>
              <w:rPr>
                <w:sz w:val="20"/>
                <w:szCs w:val="20"/>
                <w:color w:val="auto"/>
              </w:rPr>
            </w:pPr>
            <w:r>
              <w:rPr>
                <w:rFonts w:ascii="Times New Roman" w:cs="Times New Roman" w:eastAsia="Times New Roman" w:hAnsi="Times New Roman"/>
                <w:sz w:val="15"/>
                <w:szCs w:val="15"/>
                <w:color w:val="7F7F7F"/>
              </w:rPr>
              <w:t>•</w:t>
            </w:r>
          </w:p>
        </w:tc>
        <w:tc>
          <w:tcPr>
            <w:tcW w:w="80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M.S., Chemical Engineering, University of Brussels (Belgium)</w:t>
            </w:r>
          </w:p>
        </w:tc>
        <w:tc>
          <w:tcPr>
            <w:tcW w:w="0" w:type="dxa"/>
            <w:vAlign w:val="bottom"/>
          </w:tcPr>
          <w:p>
            <w:pPr>
              <w:spacing w:after="0"/>
              <w:rPr>
                <w:sz w:val="1"/>
                <w:szCs w:val="1"/>
                <w:color w:val="auto"/>
              </w:rPr>
            </w:pPr>
          </w:p>
        </w:tc>
      </w:tr>
      <w:tr>
        <w:trPr>
          <w:trHeight w:val="180"/>
        </w:trPr>
        <w:tc>
          <w:tcPr>
            <w:tcW w:w="2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Committees:</w:t>
            </w:r>
          </w:p>
        </w:tc>
        <w:tc>
          <w:tcPr>
            <w:tcW w:w="83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Other Boards</w:t>
            </w:r>
          </w:p>
        </w:tc>
        <w:tc>
          <w:tcPr>
            <w:tcW w:w="0" w:type="dxa"/>
            <w:vAlign w:val="bottom"/>
          </w:tcPr>
          <w:p>
            <w:pPr>
              <w:spacing w:after="0"/>
              <w:rPr>
                <w:sz w:val="1"/>
                <w:szCs w:val="1"/>
                <w:color w:val="auto"/>
              </w:rPr>
            </w:pPr>
          </w:p>
        </w:tc>
      </w:tr>
      <w:tr>
        <w:trPr>
          <w:trHeight w:val="162"/>
        </w:trPr>
        <w:tc>
          <w:tcPr>
            <w:tcW w:w="294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•Audit</w:t>
            </w:r>
          </w:p>
        </w:tc>
        <w:tc>
          <w:tcPr>
            <w:tcW w:w="24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7F7F7F"/>
              </w:rPr>
              <w:t>•</w:t>
            </w:r>
          </w:p>
        </w:tc>
        <w:tc>
          <w:tcPr>
            <w:tcW w:w="8060" w:type="dxa"/>
            <w:vAlign w:val="bottom"/>
          </w:tcPr>
          <w:p>
            <w:pPr>
              <w:ind w:left="60"/>
              <w:spacing w:after="0" w:line="162" w:lineRule="exact"/>
              <w:rPr>
                <w:sz w:val="20"/>
                <w:szCs w:val="20"/>
                <w:color w:val="auto"/>
              </w:rPr>
            </w:pPr>
            <w:r>
              <w:rPr>
                <w:rFonts w:ascii="Times New Roman" w:cs="Times New Roman" w:eastAsia="Times New Roman" w:hAnsi="Times New Roman"/>
                <w:sz w:val="15"/>
                <w:szCs w:val="15"/>
                <w:color w:val="auto"/>
              </w:rPr>
              <w:t>Amylyx Pharmaceuticals, Inc. (2021 – present)</w:t>
            </w:r>
          </w:p>
        </w:tc>
        <w:tc>
          <w:tcPr>
            <w:tcW w:w="0" w:type="dxa"/>
            <w:vAlign w:val="bottom"/>
          </w:tcPr>
          <w:p>
            <w:pPr>
              <w:spacing w:after="0"/>
              <w:rPr>
                <w:sz w:val="1"/>
                <w:szCs w:val="1"/>
                <w:color w:val="auto"/>
              </w:rPr>
            </w:pPr>
          </w:p>
        </w:tc>
      </w:tr>
      <w:tr>
        <w:trPr>
          <w:trHeight w:val="162"/>
        </w:trPr>
        <w:tc>
          <w:tcPr>
            <w:tcW w:w="294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•Compensation</w:t>
            </w:r>
          </w:p>
        </w:tc>
        <w:tc>
          <w:tcPr>
            <w:tcW w:w="24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7F7F7F"/>
              </w:rPr>
              <w:t>•</w:t>
            </w:r>
          </w:p>
        </w:tc>
        <w:tc>
          <w:tcPr>
            <w:tcW w:w="8060" w:type="dxa"/>
            <w:vAlign w:val="bottom"/>
          </w:tcPr>
          <w:p>
            <w:pPr>
              <w:ind w:left="60"/>
              <w:spacing w:after="0" w:line="162" w:lineRule="exact"/>
              <w:rPr>
                <w:sz w:val="20"/>
                <w:szCs w:val="20"/>
                <w:color w:val="auto"/>
              </w:rPr>
            </w:pPr>
            <w:r>
              <w:rPr>
                <w:rFonts w:ascii="Times New Roman" w:cs="Times New Roman" w:eastAsia="Times New Roman" w:hAnsi="Times New Roman"/>
                <w:sz w:val="15"/>
                <w:szCs w:val="15"/>
                <w:color w:val="auto"/>
              </w:rPr>
              <w:t>Apnimed Pharmaceuticals, Inc. (private, 2023 – present)</w:t>
            </w:r>
          </w:p>
        </w:tc>
        <w:tc>
          <w:tcPr>
            <w:tcW w:w="0" w:type="dxa"/>
            <w:vAlign w:val="bottom"/>
          </w:tcPr>
          <w:p>
            <w:pPr>
              <w:spacing w:after="0"/>
              <w:rPr>
                <w:sz w:val="1"/>
                <w:szCs w:val="1"/>
                <w:color w:val="auto"/>
              </w:rPr>
            </w:pPr>
          </w:p>
        </w:tc>
      </w:tr>
      <w:tr>
        <w:trPr>
          <w:trHeight w:val="162"/>
        </w:trPr>
        <w:tc>
          <w:tcPr>
            <w:tcW w:w="294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•Compliance (Chair)</w:t>
            </w:r>
          </w:p>
        </w:tc>
        <w:tc>
          <w:tcPr>
            <w:tcW w:w="24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7F7F7F"/>
              </w:rPr>
              <w:t>•</w:t>
            </w:r>
          </w:p>
        </w:tc>
        <w:tc>
          <w:tcPr>
            <w:tcW w:w="8060" w:type="dxa"/>
            <w:vAlign w:val="bottom"/>
          </w:tcPr>
          <w:p>
            <w:pPr>
              <w:ind w:left="60"/>
              <w:spacing w:after="0" w:line="162" w:lineRule="exact"/>
              <w:rPr>
                <w:sz w:val="20"/>
                <w:szCs w:val="20"/>
                <w:color w:val="auto"/>
              </w:rPr>
            </w:pPr>
            <w:r>
              <w:rPr>
                <w:rFonts w:ascii="Times New Roman" w:cs="Times New Roman" w:eastAsia="Times New Roman" w:hAnsi="Times New Roman"/>
                <w:sz w:val="15"/>
                <w:szCs w:val="15"/>
                <w:color w:val="auto"/>
              </w:rPr>
              <w:t>Corium Therapeutics, Inc. (private, 2023 – present)</w:t>
            </w:r>
          </w:p>
        </w:tc>
        <w:tc>
          <w:tcPr>
            <w:tcW w:w="0" w:type="dxa"/>
            <w:vAlign w:val="bottom"/>
          </w:tcPr>
          <w:p>
            <w:pPr>
              <w:spacing w:after="0"/>
              <w:rPr>
                <w:sz w:val="1"/>
                <w:szCs w:val="1"/>
                <w:color w:val="auto"/>
              </w:rPr>
            </w:pPr>
          </w:p>
        </w:tc>
      </w:tr>
      <w:tr>
        <w:trPr>
          <w:trHeight w:val="162"/>
        </w:trPr>
        <w:tc>
          <w:tcPr>
            <w:tcW w:w="2940" w:type="dxa"/>
            <w:vAlign w:val="bottom"/>
          </w:tcPr>
          <w:p>
            <w:pPr>
              <w:spacing w:after="0"/>
              <w:rPr>
                <w:sz w:val="14"/>
                <w:szCs w:val="14"/>
                <w:color w:val="auto"/>
              </w:rPr>
            </w:pPr>
          </w:p>
        </w:tc>
        <w:tc>
          <w:tcPr>
            <w:tcW w:w="24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7F7F7F"/>
              </w:rPr>
              <w:t>•</w:t>
            </w:r>
          </w:p>
        </w:tc>
        <w:tc>
          <w:tcPr>
            <w:tcW w:w="8060" w:type="dxa"/>
            <w:vAlign w:val="bottom"/>
          </w:tcPr>
          <w:p>
            <w:pPr>
              <w:ind w:left="60"/>
              <w:spacing w:after="0" w:line="162" w:lineRule="exact"/>
              <w:rPr>
                <w:sz w:val="20"/>
                <w:szCs w:val="20"/>
                <w:color w:val="auto"/>
              </w:rPr>
            </w:pPr>
            <w:r>
              <w:rPr>
                <w:rFonts w:ascii="Times New Roman" w:cs="Times New Roman" w:eastAsia="Times New Roman" w:hAnsi="Times New Roman"/>
                <w:sz w:val="15"/>
                <w:szCs w:val="15"/>
                <w:color w:val="auto"/>
              </w:rPr>
              <w:t>Covetrus Inc. (2021 – 2022)</w:t>
            </w:r>
          </w:p>
        </w:tc>
        <w:tc>
          <w:tcPr>
            <w:tcW w:w="0" w:type="dxa"/>
            <w:vAlign w:val="bottom"/>
          </w:tcPr>
          <w:p>
            <w:pPr>
              <w:spacing w:after="0"/>
              <w:rPr>
                <w:sz w:val="1"/>
                <w:szCs w:val="1"/>
                <w:color w:val="auto"/>
              </w:rPr>
            </w:pPr>
          </w:p>
        </w:tc>
      </w:tr>
      <w:tr>
        <w:trPr>
          <w:trHeight w:val="162"/>
        </w:trPr>
        <w:tc>
          <w:tcPr>
            <w:tcW w:w="2940" w:type="dxa"/>
            <w:vAlign w:val="bottom"/>
          </w:tcPr>
          <w:p>
            <w:pPr>
              <w:spacing w:after="0"/>
              <w:rPr>
                <w:sz w:val="14"/>
                <w:szCs w:val="14"/>
                <w:color w:val="auto"/>
              </w:rPr>
            </w:pPr>
          </w:p>
        </w:tc>
        <w:tc>
          <w:tcPr>
            <w:tcW w:w="8300" w:type="dxa"/>
            <w:vAlign w:val="bottom"/>
            <w:gridSpan w:val="2"/>
          </w:tcPr>
          <w:p>
            <w:pPr>
              <w:ind w:left="120"/>
              <w:spacing w:after="0" w:line="162" w:lineRule="exact"/>
              <w:rPr>
                <w:sz w:val="20"/>
                <w:szCs w:val="20"/>
                <w:color w:val="auto"/>
              </w:rPr>
            </w:pPr>
            <w:r>
              <w:rPr>
                <w:rFonts w:ascii="Times New Roman" w:cs="Times New Roman" w:eastAsia="Times New Roman" w:hAnsi="Times New Roman"/>
                <w:sz w:val="15"/>
                <w:szCs w:val="15"/>
                <w:color w:val="7F7F7F"/>
              </w:rPr>
              <w:t xml:space="preserve">•  </w:t>
            </w:r>
            <w:r>
              <w:rPr>
                <w:rFonts w:ascii="Times New Roman" w:cs="Times New Roman" w:eastAsia="Times New Roman" w:hAnsi="Times New Roman"/>
                <w:sz w:val="15"/>
                <w:szCs w:val="15"/>
                <w:color w:val="000000"/>
              </w:rPr>
              <w:t>Ypsomed AG (2018 – present)</w:t>
            </w:r>
          </w:p>
        </w:tc>
        <w:tc>
          <w:tcPr>
            <w:tcW w:w="0" w:type="dxa"/>
            <w:vAlign w:val="bottom"/>
          </w:tcPr>
          <w:p>
            <w:pPr>
              <w:spacing w:after="0"/>
              <w:rPr>
                <w:sz w:val="1"/>
                <w:szCs w:val="1"/>
                <w:color w:val="auto"/>
              </w:rPr>
            </w:pPr>
          </w:p>
        </w:tc>
      </w:tr>
      <w:tr>
        <w:trPr>
          <w:trHeight w:val="162"/>
        </w:trPr>
        <w:tc>
          <w:tcPr>
            <w:tcW w:w="2940" w:type="dxa"/>
            <w:vAlign w:val="bottom"/>
          </w:tcPr>
          <w:p>
            <w:pPr>
              <w:spacing w:after="0"/>
              <w:rPr>
                <w:sz w:val="14"/>
                <w:szCs w:val="14"/>
                <w:color w:val="auto"/>
              </w:rPr>
            </w:pPr>
          </w:p>
        </w:tc>
        <w:tc>
          <w:tcPr>
            <w:tcW w:w="8300" w:type="dxa"/>
            <w:vAlign w:val="bottom"/>
            <w:gridSpan w:val="2"/>
          </w:tcPr>
          <w:p>
            <w:pPr>
              <w:ind w:left="120"/>
              <w:spacing w:after="0" w:line="162" w:lineRule="exact"/>
              <w:rPr>
                <w:sz w:val="20"/>
                <w:szCs w:val="20"/>
                <w:color w:val="auto"/>
              </w:rPr>
            </w:pPr>
            <w:r>
              <w:rPr>
                <w:rFonts w:ascii="Times New Roman" w:cs="Times New Roman" w:eastAsia="Times New Roman" w:hAnsi="Times New Roman"/>
                <w:sz w:val="15"/>
                <w:szCs w:val="15"/>
                <w:color w:val="7F7F7F"/>
              </w:rPr>
              <w:t xml:space="preserve">•  </w:t>
            </w:r>
            <w:r>
              <w:rPr>
                <w:rFonts w:ascii="Times New Roman" w:cs="Times New Roman" w:eastAsia="Times New Roman" w:hAnsi="Times New Roman"/>
                <w:sz w:val="15"/>
                <w:szCs w:val="15"/>
                <w:color w:val="000000"/>
              </w:rPr>
              <w:t>Gelesis, Inc. (2018 – 2023)</w:t>
            </w:r>
          </w:p>
        </w:tc>
        <w:tc>
          <w:tcPr>
            <w:tcW w:w="0" w:type="dxa"/>
            <w:vAlign w:val="bottom"/>
          </w:tcPr>
          <w:p>
            <w:pPr>
              <w:spacing w:after="0"/>
              <w:rPr>
                <w:sz w:val="1"/>
                <w:szCs w:val="1"/>
                <w:color w:val="auto"/>
              </w:rPr>
            </w:pPr>
          </w:p>
        </w:tc>
      </w:tr>
      <w:tr>
        <w:trPr>
          <w:trHeight w:val="162"/>
        </w:trPr>
        <w:tc>
          <w:tcPr>
            <w:tcW w:w="2940" w:type="dxa"/>
            <w:vAlign w:val="bottom"/>
          </w:tcPr>
          <w:p>
            <w:pPr>
              <w:spacing w:after="0"/>
              <w:rPr>
                <w:sz w:val="14"/>
                <w:szCs w:val="14"/>
                <w:color w:val="auto"/>
              </w:rPr>
            </w:pPr>
          </w:p>
        </w:tc>
        <w:tc>
          <w:tcPr>
            <w:tcW w:w="24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7F7F7F"/>
              </w:rPr>
              <w:t>•</w:t>
            </w:r>
          </w:p>
        </w:tc>
        <w:tc>
          <w:tcPr>
            <w:tcW w:w="8060" w:type="dxa"/>
            <w:vAlign w:val="bottom"/>
          </w:tcPr>
          <w:p>
            <w:pPr>
              <w:ind w:left="60"/>
              <w:spacing w:after="0" w:line="162" w:lineRule="exact"/>
              <w:rPr>
                <w:sz w:val="20"/>
                <w:szCs w:val="20"/>
                <w:color w:val="auto"/>
              </w:rPr>
            </w:pPr>
            <w:r>
              <w:rPr>
                <w:rFonts w:ascii="Times New Roman" w:cs="Times New Roman" w:eastAsia="Times New Roman" w:hAnsi="Times New Roman"/>
                <w:sz w:val="15"/>
                <w:szCs w:val="15"/>
                <w:color w:val="auto"/>
              </w:rPr>
              <w:t>DalCor Pharmaceuticals (private, 2019 – present)</w:t>
            </w:r>
          </w:p>
        </w:tc>
        <w:tc>
          <w:tcPr>
            <w:tcW w:w="0" w:type="dxa"/>
            <w:vAlign w:val="bottom"/>
          </w:tcPr>
          <w:p>
            <w:pPr>
              <w:spacing w:after="0"/>
              <w:rPr>
                <w:sz w:val="1"/>
                <w:szCs w:val="1"/>
                <w:color w:val="auto"/>
              </w:rPr>
            </w:pPr>
          </w:p>
        </w:tc>
      </w:tr>
      <w:tr>
        <w:trPr>
          <w:trHeight w:val="162"/>
        </w:trPr>
        <w:tc>
          <w:tcPr>
            <w:tcW w:w="2940" w:type="dxa"/>
            <w:vAlign w:val="bottom"/>
          </w:tcPr>
          <w:p>
            <w:pPr>
              <w:spacing w:after="0"/>
              <w:rPr>
                <w:sz w:val="14"/>
                <w:szCs w:val="14"/>
                <w:color w:val="auto"/>
              </w:rPr>
            </w:pPr>
          </w:p>
        </w:tc>
        <w:tc>
          <w:tcPr>
            <w:tcW w:w="8300" w:type="dxa"/>
            <w:vAlign w:val="bottom"/>
            <w:gridSpan w:val="2"/>
          </w:tcPr>
          <w:p>
            <w:pPr>
              <w:ind w:left="120"/>
              <w:spacing w:after="0" w:line="162" w:lineRule="exact"/>
              <w:rPr>
                <w:sz w:val="20"/>
                <w:szCs w:val="20"/>
                <w:color w:val="auto"/>
              </w:rPr>
            </w:pPr>
            <w:r>
              <w:rPr>
                <w:rFonts w:ascii="Times New Roman" w:cs="Times New Roman" w:eastAsia="Times New Roman" w:hAnsi="Times New Roman"/>
                <w:sz w:val="15"/>
                <w:szCs w:val="15"/>
                <w:color w:val="7F7F7F"/>
              </w:rPr>
              <w:t xml:space="preserve">•  </w:t>
            </w:r>
            <w:r>
              <w:rPr>
                <w:rFonts w:ascii="Times New Roman" w:cs="Times New Roman" w:eastAsia="Times New Roman" w:hAnsi="Times New Roman"/>
                <w:sz w:val="15"/>
                <w:szCs w:val="15"/>
                <w:color w:val="000000"/>
              </w:rPr>
              <w:t>AMAG Pharmaceuticals, Inc. (2019 – 2020)</w:t>
            </w:r>
          </w:p>
        </w:tc>
        <w:tc>
          <w:tcPr>
            <w:tcW w:w="0" w:type="dxa"/>
            <w:vAlign w:val="bottom"/>
          </w:tcPr>
          <w:p>
            <w:pPr>
              <w:spacing w:after="0"/>
              <w:rPr>
                <w:sz w:val="1"/>
                <w:szCs w:val="1"/>
                <w:color w:val="auto"/>
              </w:rPr>
            </w:pPr>
          </w:p>
        </w:tc>
      </w:tr>
      <w:tr>
        <w:trPr>
          <w:trHeight w:val="162"/>
        </w:trPr>
        <w:tc>
          <w:tcPr>
            <w:tcW w:w="2940" w:type="dxa"/>
            <w:vAlign w:val="bottom"/>
          </w:tcPr>
          <w:p>
            <w:pPr>
              <w:spacing w:after="0"/>
              <w:rPr>
                <w:sz w:val="14"/>
                <w:szCs w:val="14"/>
                <w:color w:val="auto"/>
              </w:rPr>
            </w:pPr>
          </w:p>
        </w:tc>
        <w:tc>
          <w:tcPr>
            <w:tcW w:w="8300" w:type="dxa"/>
            <w:vAlign w:val="bottom"/>
            <w:gridSpan w:val="2"/>
          </w:tcPr>
          <w:p>
            <w:pPr>
              <w:ind w:left="120"/>
              <w:spacing w:after="0" w:line="162" w:lineRule="exact"/>
              <w:rPr>
                <w:sz w:val="20"/>
                <w:szCs w:val="20"/>
                <w:color w:val="auto"/>
              </w:rPr>
            </w:pPr>
            <w:r>
              <w:rPr>
                <w:rFonts w:ascii="Times New Roman" w:cs="Times New Roman" w:eastAsia="Times New Roman" w:hAnsi="Times New Roman"/>
                <w:sz w:val="15"/>
                <w:szCs w:val="15"/>
                <w:color w:val="7F7F7F"/>
              </w:rPr>
              <w:t xml:space="preserve">•  </w:t>
            </w:r>
            <w:r>
              <w:rPr>
                <w:rFonts w:ascii="Times New Roman" w:cs="Times New Roman" w:eastAsia="Times New Roman" w:hAnsi="Times New Roman"/>
                <w:sz w:val="15"/>
                <w:szCs w:val="15"/>
                <w:color w:val="000000"/>
              </w:rPr>
              <w:t>ResTORbio, Inc. (2017 – 2020)</w:t>
            </w:r>
          </w:p>
        </w:tc>
        <w:tc>
          <w:tcPr>
            <w:tcW w:w="0" w:type="dxa"/>
            <w:vAlign w:val="bottom"/>
          </w:tcPr>
          <w:p>
            <w:pPr>
              <w:spacing w:after="0"/>
              <w:rPr>
                <w:sz w:val="1"/>
                <w:szCs w:val="1"/>
                <w:color w:val="auto"/>
              </w:rPr>
            </w:pPr>
          </w:p>
        </w:tc>
      </w:tr>
      <w:tr>
        <w:trPr>
          <w:trHeight w:val="179"/>
        </w:trPr>
        <w:tc>
          <w:tcPr>
            <w:tcW w:w="2940" w:type="dxa"/>
            <w:vAlign w:val="bottom"/>
            <w:tcBorders>
              <w:bottom w:val="single" w:sz="8" w:color="BFBFBF"/>
            </w:tcBorders>
          </w:tcPr>
          <w:p>
            <w:pPr>
              <w:spacing w:after="0"/>
              <w:rPr>
                <w:sz w:val="15"/>
                <w:szCs w:val="15"/>
                <w:color w:val="auto"/>
              </w:rPr>
            </w:pPr>
          </w:p>
        </w:tc>
        <w:tc>
          <w:tcPr>
            <w:tcW w:w="8300" w:type="dxa"/>
            <w:vAlign w:val="bottom"/>
            <w:tcBorders>
              <w:bottom w:val="single" w:sz="8" w:color="BFBFBF"/>
            </w:tcBorders>
            <w:gridSpan w:val="2"/>
          </w:tcPr>
          <w:p>
            <w:pPr>
              <w:ind w:left="120"/>
              <w:spacing w:after="0"/>
              <w:rPr>
                <w:sz w:val="20"/>
                <w:szCs w:val="20"/>
                <w:color w:val="auto"/>
              </w:rPr>
            </w:pPr>
            <w:r>
              <w:rPr>
                <w:rFonts w:ascii="Times New Roman" w:cs="Times New Roman" w:eastAsia="Times New Roman" w:hAnsi="Times New Roman"/>
                <w:sz w:val="15"/>
                <w:szCs w:val="15"/>
                <w:color w:val="7F7F7F"/>
              </w:rPr>
              <w:t xml:space="preserve">•  </w:t>
            </w:r>
            <w:r>
              <w:rPr>
                <w:rFonts w:ascii="Times New Roman" w:cs="Times New Roman" w:eastAsia="Times New Roman" w:hAnsi="Times New Roman"/>
                <w:sz w:val="15"/>
                <w:szCs w:val="15"/>
                <w:color w:val="000000"/>
              </w:rPr>
              <w:t>PhRMA, the industry association for the pharmaceutical industry (formerly)</w:t>
            </w:r>
          </w:p>
        </w:tc>
        <w:tc>
          <w:tcPr>
            <w:tcW w:w="0" w:type="dxa"/>
            <w:vAlign w:val="bottom"/>
          </w:tcPr>
          <w:p>
            <w:pPr>
              <w:spacing w:after="0"/>
              <w:rPr>
                <w:sz w:val="1"/>
                <w:szCs w:val="1"/>
                <w:color w:val="auto"/>
              </w:rPr>
            </w:pPr>
          </w:p>
        </w:tc>
      </w:tr>
      <w:tr>
        <w:trPr>
          <w:trHeight w:val="192"/>
        </w:trPr>
        <w:tc>
          <w:tcPr>
            <w:tcW w:w="2940" w:type="dxa"/>
            <w:vAlign w:val="bottom"/>
          </w:tcPr>
          <w:p>
            <w:pPr>
              <w:spacing w:after="0"/>
              <w:rPr>
                <w:sz w:val="16"/>
                <w:szCs w:val="16"/>
                <w:color w:val="auto"/>
              </w:rPr>
            </w:pPr>
          </w:p>
        </w:tc>
        <w:tc>
          <w:tcPr>
            <w:tcW w:w="83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Experience</w:t>
            </w:r>
          </w:p>
        </w:tc>
        <w:tc>
          <w:tcPr>
            <w:tcW w:w="0" w:type="dxa"/>
            <w:vAlign w:val="bottom"/>
          </w:tcPr>
          <w:p>
            <w:pPr>
              <w:spacing w:after="0"/>
              <w:rPr>
                <w:sz w:val="1"/>
                <w:szCs w:val="1"/>
                <w:color w:val="auto"/>
              </w:rPr>
            </w:pPr>
          </w:p>
        </w:tc>
      </w:tr>
      <w:tr>
        <w:trPr>
          <w:trHeight w:val="198"/>
        </w:trPr>
        <w:tc>
          <w:tcPr>
            <w:tcW w:w="2940" w:type="dxa"/>
            <w:vAlign w:val="bottom"/>
          </w:tcPr>
          <w:p>
            <w:pPr>
              <w:spacing w:after="0"/>
              <w:rPr>
                <w:sz w:val="17"/>
                <w:szCs w:val="17"/>
                <w:color w:val="auto"/>
              </w:rPr>
            </w:pPr>
          </w:p>
        </w:tc>
        <w:tc>
          <w:tcPr>
            <w:tcW w:w="83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7F7F7F"/>
              </w:rPr>
              <w:t xml:space="preserve">•  </w:t>
            </w:r>
            <w:r>
              <w:rPr>
                <w:rFonts w:ascii="Times New Roman" w:cs="Times New Roman" w:eastAsia="Times New Roman" w:hAnsi="Times New Roman"/>
                <w:sz w:val="15"/>
                <w:szCs w:val="15"/>
                <w:color w:val="000000"/>
              </w:rPr>
              <w:t>Attorney, Morningside Technology Advisory, LLC (1997 – present)</w:t>
            </w:r>
          </w:p>
        </w:tc>
        <w:tc>
          <w:tcPr>
            <w:tcW w:w="0" w:type="dxa"/>
            <w:vAlign w:val="bottom"/>
          </w:tcPr>
          <w:p>
            <w:pPr>
              <w:spacing w:after="0"/>
              <w:rPr>
                <w:sz w:val="1"/>
                <w:szCs w:val="1"/>
                <w:color w:val="auto"/>
              </w:rPr>
            </w:pPr>
          </w:p>
        </w:tc>
      </w:tr>
      <w:tr>
        <w:trPr>
          <w:trHeight w:val="184"/>
        </w:trPr>
        <w:tc>
          <w:tcPr>
            <w:tcW w:w="2940" w:type="dxa"/>
            <w:vAlign w:val="bottom"/>
          </w:tcPr>
          <w:p>
            <w:pPr>
              <w:spacing w:after="0"/>
              <w:rPr>
                <w:sz w:val="15"/>
                <w:szCs w:val="15"/>
                <w:color w:val="auto"/>
              </w:rPr>
            </w:pPr>
          </w:p>
        </w:tc>
        <w:tc>
          <w:tcPr>
            <w:tcW w:w="8300" w:type="dxa"/>
            <w:vAlign w:val="bottom"/>
            <w:tcBorders>
              <w:bottom w:val="single" w:sz="8" w:color="BFBFBF"/>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940" w:type="dxa"/>
            <w:vAlign w:val="bottom"/>
          </w:tcPr>
          <w:p>
            <w:pPr>
              <w:spacing w:after="0"/>
              <w:rPr>
                <w:sz w:val="16"/>
                <w:szCs w:val="16"/>
                <w:color w:val="auto"/>
              </w:rPr>
            </w:pPr>
          </w:p>
        </w:tc>
        <w:tc>
          <w:tcPr>
            <w:tcW w:w="83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Qualifications</w:t>
            </w:r>
          </w:p>
        </w:tc>
        <w:tc>
          <w:tcPr>
            <w:tcW w:w="0" w:type="dxa"/>
            <w:vAlign w:val="bottom"/>
          </w:tcPr>
          <w:p>
            <w:pPr>
              <w:spacing w:after="0"/>
              <w:rPr>
                <w:sz w:val="1"/>
                <w:szCs w:val="1"/>
                <w:color w:val="auto"/>
              </w:rPr>
            </w:pPr>
          </w:p>
        </w:tc>
      </w:tr>
      <w:tr>
        <w:trPr>
          <w:trHeight w:val="162"/>
        </w:trPr>
        <w:tc>
          <w:tcPr>
            <w:tcW w:w="2940" w:type="dxa"/>
            <w:vAlign w:val="bottom"/>
          </w:tcPr>
          <w:p>
            <w:pPr>
              <w:spacing w:after="0"/>
              <w:rPr>
                <w:sz w:val="14"/>
                <w:szCs w:val="14"/>
                <w:color w:val="auto"/>
              </w:rPr>
            </w:pPr>
          </w:p>
        </w:tc>
        <w:tc>
          <w:tcPr>
            <w:tcW w:w="8300" w:type="dxa"/>
            <w:vAlign w:val="bottom"/>
            <w:gridSpan w:val="2"/>
          </w:tcPr>
          <w:p>
            <w:pPr>
              <w:ind w:left="120"/>
              <w:spacing w:after="0" w:line="162" w:lineRule="exact"/>
              <w:rPr>
                <w:sz w:val="20"/>
                <w:szCs w:val="20"/>
                <w:color w:val="auto"/>
              </w:rPr>
            </w:pPr>
            <w:r>
              <w:rPr>
                <w:rFonts w:ascii="Times New Roman" w:cs="Times New Roman" w:eastAsia="Times New Roman" w:hAnsi="Times New Roman"/>
                <w:sz w:val="15"/>
                <w:szCs w:val="15"/>
                <w:color w:val="7F7F7F"/>
              </w:rPr>
              <w:t xml:space="preserve">•  </w:t>
            </w:r>
            <w:r>
              <w:rPr>
                <w:rFonts w:ascii="Times New Roman" w:cs="Times New Roman" w:eastAsia="Times New Roman" w:hAnsi="Times New Roman"/>
                <w:sz w:val="15"/>
                <w:szCs w:val="15"/>
                <w:color w:val="000000"/>
              </w:rPr>
              <w:t>Extensive investment and business experience, including 25 years of experience successfully building early-stage life science and</w:t>
            </w:r>
          </w:p>
        </w:tc>
        <w:tc>
          <w:tcPr>
            <w:tcW w:w="0" w:type="dxa"/>
            <w:vAlign w:val="bottom"/>
          </w:tcPr>
          <w:p>
            <w:pPr>
              <w:spacing w:after="0"/>
              <w:rPr>
                <w:sz w:val="1"/>
                <w:szCs w:val="1"/>
                <w:color w:val="auto"/>
              </w:rPr>
            </w:pPr>
          </w:p>
        </w:tc>
      </w:tr>
      <w:tr>
        <w:trPr>
          <w:trHeight w:val="162"/>
        </w:trPr>
        <w:tc>
          <w:tcPr>
            <w:tcW w:w="2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60" w:type="dxa"/>
            <w:vAlign w:val="bottom"/>
          </w:tcPr>
          <w:p>
            <w:pPr>
              <w:ind w:left="60"/>
              <w:spacing w:after="0" w:line="162" w:lineRule="exact"/>
              <w:rPr>
                <w:sz w:val="20"/>
                <w:szCs w:val="20"/>
                <w:color w:val="auto"/>
              </w:rPr>
            </w:pPr>
            <w:r>
              <w:rPr>
                <w:rFonts w:ascii="Times New Roman" w:cs="Times New Roman" w:eastAsia="Times New Roman" w:hAnsi="Times New Roman"/>
                <w:sz w:val="15"/>
                <w:szCs w:val="15"/>
                <w:color w:val="auto"/>
              </w:rPr>
              <w:t>technology companies</w:t>
            </w:r>
          </w:p>
        </w:tc>
        <w:tc>
          <w:tcPr>
            <w:tcW w:w="0" w:type="dxa"/>
            <w:vAlign w:val="bottom"/>
          </w:tcPr>
          <w:p>
            <w:pPr>
              <w:spacing w:after="0"/>
              <w:rPr>
                <w:sz w:val="1"/>
                <w:szCs w:val="1"/>
                <w:color w:val="auto"/>
              </w:rPr>
            </w:pPr>
          </w:p>
        </w:tc>
      </w:tr>
      <w:tr>
        <w:trPr>
          <w:trHeight w:val="198"/>
        </w:trPr>
        <w:tc>
          <w:tcPr>
            <w:tcW w:w="2940" w:type="dxa"/>
            <w:vAlign w:val="bottom"/>
          </w:tcPr>
          <w:p>
            <w:pPr>
              <w:spacing w:after="0"/>
              <w:rPr>
                <w:sz w:val="17"/>
                <w:szCs w:val="17"/>
                <w:color w:val="auto"/>
              </w:rPr>
            </w:pPr>
          </w:p>
        </w:tc>
        <w:tc>
          <w:tcPr>
            <w:tcW w:w="83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7F7F7F"/>
              </w:rPr>
              <w:t xml:space="preserve">•  </w:t>
            </w:r>
            <w:r>
              <w:rPr>
                <w:rFonts w:ascii="Times New Roman" w:cs="Times New Roman" w:eastAsia="Times New Roman" w:hAnsi="Times New Roman"/>
                <w:sz w:val="15"/>
                <w:szCs w:val="15"/>
                <w:color w:val="000000"/>
              </w:rPr>
              <w:t>Extensive experience serving on both public and private company boards</w:t>
            </w:r>
          </w:p>
        </w:tc>
        <w:tc>
          <w:tcPr>
            <w:tcW w:w="0" w:type="dxa"/>
            <w:vAlign w:val="bottom"/>
          </w:tcPr>
          <w:p>
            <w:pPr>
              <w:spacing w:after="0"/>
              <w:rPr>
                <w:sz w:val="1"/>
                <w:szCs w:val="1"/>
                <w:color w:val="auto"/>
              </w:rPr>
            </w:pPr>
          </w:p>
        </w:tc>
      </w:tr>
      <w:tr>
        <w:trPr>
          <w:trHeight w:val="346"/>
        </w:trPr>
        <w:tc>
          <w:tcPr>
            <w:tcW w:w="2940" w:type="dxa"/>
            <w:vAlign w:val="bottom"/>
          </w:tcPr>
          <w:p>
            <w:pPr>
              <w:spacing w:after="0"/>
              <w:rPr>
                <w:sz w:val="24"/>
                <w:szCs w:val="24"/>
                <w:color w:val="auto"/>
              </w:rPr>
            </w:pPr>
          </w:p>
        </w:tc>
        <w:tc>
          <w:tcPr>
            <w:tcW w:w="8300" w:type="dxa"/>
            <w:vAlign w:val="bottom"/>
            <w:tcBorders>
              <w:bottom w:val="single" w:sz="8" w:color="BFBFBF"/>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940" w:type="dxa"/>
            <w:vAlign w:val="bottom"/>
            <w:vMerge w:val="restart"/>
          </w:tcPr>
          <w:p>
            <w:pPr>
              <w:ind w:left="20"/>
              <w:spacing w:after="0"/>
              <w:rPr>
                <w:sz w:val="20"/>
                <w:szCs w:val="20"/>
                <w:color w:val="auto"/>
              </w:rPr>
            </w:pPr>
            <w:r>
              <w:rPr>
                <w:rFonts w:ascii="Times New Roman" w:cs="Times New Roman" w:eastAsia="Times New Roman" w:hAnsi="Times New Roman"/>
                <w:sz w:val="25"/>
                <w:szCs w:val="25"/>
                <w:color w:val="auto"/>
              </w:rPr>
              <w:t>Stephanie Monaghan</w:t>
            </w:r>
          </w:p>
        </w:tc>
        <w:tc>
          <w:tcPr>
            <w:tcW w:w="83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Education</w:t>
            </w:r>
          </w:p>
        </w:tc>
        <w:tc>
          <w:tcPr>
            <w:tcW w:w="0" w:type="dxa"/>
            <w:vAlign w:val="bottom"/>
          </w:tcPr>
          <w:p>
            <w:pPr>
              <w:spacing w:after="0"/>
              <w:rPr>
                <w:sz w:val="1"/>
                <w:szCs w:val="1"/>
                <w:color w:val="auto"/>
              </w:rPr>
            </w:pPr>
          </w:p>
        </w:tc>
      </w:tr>
      <w:tr>
        <w:trPr>
          <w:trHeight w:val="158"/>
        </w:trPr>
        <w:tc>
          <w:tcPr>
            <w:tcW w:w="2940" w:type="dxa"/>
            <w:vAlign w:val="bottom"/>
            <w:vMerge w:val="continue"/>
          </w:tcPr>
          <w:p>
            <w:pPr>
              <w:spacing w:after="0"/>
              <w:rPr>
                <w:sz w:val="13"/>
                <w:szCs w:val="13"/>
                <w:color w:val="auto"/>
              </w:rPr>
            </w:pPr>
          </w:p>
        </w:tc>
        <w:tc>
          <w:tcPr>
            <w:tcW w:w="240" w:type="dxa"/>
            <w:vAlign w:val="bottom"/>
          </w:tcPr>
          <w:p>
            <w:pPr>
              <w:ind w:left="120"/>
              <w:spacing w:after="0" w:line="158" w:lineRule="exact"/>
              <w:rPr>
                <w:sz w:val="20"/>
                <w:szCs w:val="20"/>
                <w:color w:val="auto"/>
              </w:rPr>
            </w:pPr>
            <w:r>
              <w:rPr>
                <w:rFonts w:ascii="Times New Roman" w:cs="Times New Roman" w:eastAsia="Times New Roman" w:hAnsi="Times New Roman"/>
                <w:sz w:val="15"/>
                <w:szCs w:val="15"/>
                <w:color w:val="7F7F7F"/>
              </w:rPr>
              <w:t>•</w:t>
            </w:r>
          </w:p>
        </w:tc>
        <w:tc>
          <w:tcPr>
            <w:tcW w:w="8060" w:type="dxa"/>
            <w:vAlign w:val="bottom"/>
          </w:tcPr>
          <w:p>
            <w:pPr>
              <w:ind w:left="60"/>
              <w:spacing w:after="0" w:line="158" w:lineRule="exact"/>
              <w:rPr>
                <w:sz w:val="20"/>
                <w:szCs w:val="20"/>
                <w:color w:val="auto"/>
              </w:rPr>
            </w:pPr>
            <w:r>
              <w:rPr>
                <w:rFonts w:ascii="Times New Roman" w:cs="Times New Roman" w:eastAsia="Times New Roman" w:hAnsi="Times New Roman"/>
                <w:sz w:val="15"/>
                <w:szCs w:val="15"/>
                <w:color w:val="auto"/>
              </w:rPr>
              <w:t>J.D., New York University School of Law</w:t>
            </w:r>
          </w:p>
        </w:tc>
        <w:tc>
          <w:tcPr>
            <w:tcW w:w="0" w:type="dxa"/>
            <w:vAlign w:val="bottom"/>
          </w:tcPr>
          <w:p>
            <w:pPr>
              <w:spacing w:after="0"/>
              <w:rPr>
                <w:sz w:val="1"/>
                <w:szCs w:val="1"/>
                <w:color w:val="auto"/>
              </w:rPr>
            </w:pPr>
          </w:p>
        </w:tc>
      </w:tr>
      <w:tr>
        <w:trPr>
          <w:trHeight w:val="202"/>
        </w:trPr>
        <w:tc>
          <w:tcPr>
            <w:tcW w:w="2940" w:type="dxa"/>
            <w:vAlign w:val="bottom"/>
            <w:vMerge w:val="restart"/>
          </w:tcPr>
          <w:p>
            <w:pPr>
              <w:ind w:left="20"/>
              <w:spacing w:after="0"/>
              <w:rPr>
                <w:sz w:val="20"/>
                <w:szCs w:val="20"/>
                <w:color w:val="auto"/>
              </w:rPr>
            </w:pPr>
            <w:r>
              <w:rPr>
                <w:rFonts w:ascii="Times New Roman" w:cs="Times New Roman" w:eastAsia="Times New Roman" w:hAnsi="Times New Roman"/>
                <w:sz w:val="25"/>
                <w:szCs w:val="25"/>
                <w:color w:val="auto"/>
              </w:rPr>
              <w:t>O’Brien</w:t>
            </w:r>
          </w:p>
        </w:tc>
        <w:tc>
          <w:tcPr>
            <w:tcW w:w="83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7F7F7F"/>
              </w:rPr>
              <w:t xml:space="preserve">•  </w:t>
            </w:r>
            <w:r>
              <w:rPr>
                <w:rFonts w:ascii="Times New Roman" w:cs="Times New Roman" w:eastAsia="Times New Roman" w:hAnsi="Times New Roman"/>
                <w:sz w:val="15"/>
                <w:szCs w:val="15"/>
                <w:color w:val="000000"/>
              </w:rPr>
              <w:t>A.B.,</w:t>
            </w:r>
            <w:r>
              <w:rPr>
                <w:rFonts w:ascii="Times New Roman" w:cs="Times New Roman" w:eastAsia="Times New Roman" w:hAnsi="Times New Roman"/>
                <w:sz w:val="15"/>
                <w:szCs w:val="15"/>
                <w:color w:val="7F7F7F"/>
              </w:rPr>
              <w:t xml:space="preserve"> </w:t>
            </w:r>
            <w:r>
              <w:rPr>
                <w:rFonts w:ascii="Times New Roman" w:cs="Times New Roman" w:eastAsia="Times New Roman" w:hAnsi="Times New Roman"/>
                <w:sz w:val="15"/>
                <w:szCs w:val="15"/>
                <w:i w:val="1"/>
                <w:iCs w:val="1"/>
                <w:color w:val="000000"/>
              </w:rPr>
              <w:t>cum laude</w:t>
            </w:r>
            <w:r>
              <w:rPr>
                <w:rFonts w:ascii="Times New Roman" w:cs="Times New Roman" w:eastAsia="Times New Roman" w:hAnsi="Times New Roman"/>
                <w:sz w:val="15"/>
                <w:szCs w:val="15"/>
                <w:color w:val="000000"/>
              </w:rPr>
              <w:t>, Harvard College</w:t>
            </w:r>
          </w:p>
        </w:tc>
        <w:tc>
          <w:tcPr>
            <w:tcW w:w="0" w:type="dxa"/>
            <w:vAlign w:val="bottom"/>
          </w:tcPr>
          <w:p>
            <w:pPr>
              <w:spacing w:after="0"/>
              <w:rPr>
                <w:sz w:val="1"/>
                <w:szCs w:val="1"/>
                <w:color w:val="auto"/>
              </w:rPr>
            </w:pPr>
          </w:p>
        </w:tc>
      </w:tr>
      <w:tr>
        <w:trPr>
          <w:trHeight w:val="165"/>
        </w:trPr>
        <w:tc>
          <w:tcPr>
            <w:tcW w:w="29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94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Independent Director since 2013</w:t>
            </w:r>
          </w:p>
        </w:tc>
        <w:tc>
          <w:tcPr>
            <w:tcW w:w="240" w:type="dxa"/>
            <w:vAlign w:val="bottom"/>
            <w:tcBorders>
              <w:bottom w:val="single" w:sz="8" w:color="BFBFBF"/>
            </w:tcBorders>
          </w:tcPr>
          <w:p>
            <w:pPr>
              <w:spacing w:after="0"/>
              <w:rPr>
                <w:sz w:val="9"/>
                <w:szCs w:val="9"/>
                <w:color w:val="auto"/>
              </w:rPr>
            </w:pPr>
          </w:p>
        </w:tc>
        <w:tc>
          <w:tcPr>
            <w:tcW w:w="8060" w:type="dxa"/>
            <w:vAlign w:val="bottom"/>
            <w:tcBorders>
              <w:bottom w:val="single" w:sz="8" w:color="BFBFBF"/>
            </w:tcBorders>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940" w:type="dxa"/>
            <w:vAlign w:val="bottom"/>
            <w:vMerge w:val="continue"/>
          </w:tcPr>
          <w:p>
            <w:pPr>
              <w:spacing w:after="0"/>
              <w:rPr>
                <w:sz w:val="10"/>
                <w:szCs w:val="10"/>
                <w:color w:val="auto"/>
              </w:rPr>
            </w:pPr>
          </w:p>
        </w:tc>
        <w:tc>
          <w:tcPr>
            <w:tcW w:w="8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5"/>
                <w:szCs w:val="15"/>
                <w:color w:val="auto"/>
              </w:rPr>
              <w:t>Other Boards</w:t>
            </w:r>
          </w:p>
        </w:tc>
        <w:tc>
          <w:tcPr>
            <w:tcW w:w="0" w:type="dxa"/>
            <w:vAlign w:val="bottom"/>
          </w:tcPr>
          <w:p>
            <w:pPr>
              <w:spacing w:after="0"/>
              <w:rPr>
                <w:sz w:val="1"/>
                <w:szCs w:val="1"/>
                <w:color w:val="auto"/>
              </w:rPr>
            </w:pPr>
          </w:p>
        </w:tc>
      </w:tr>
      <w:tr>
        <w:trPr>
          <w:trHeight w:val="72"/>
        </w:trPr>
        <w:tc>
          <w:tcPr>
            <w:tcW w:w="294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 xml:space="preserve">Age: </w:t>
            </w:r>
            <w:r>
              <w:rPr>
                <w:rFonts w:ascii="Times New Roman" w:cs="Times New Roman" w:eastAsia="Times New Roman" w:hAnsi="Times New Roman"/>
                <w:sz w:val="15"/>
                <w:szCs w:val="15"/>
                <w:b w:val="1"/>
                <w:bCs w:val="1"/>
                <w:color w:val="auto"/>
              </w:rPr>
              <w:t>66</w:t>
            </w:r>
          </w:p>
        </w:tc>
        <w:tc>
          <w:tcPr>
            <w:tcW w:w="83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940" w:type="dxa"/>
            <w:vAlign w:val="bottom"/>
            <w:vMerge w:val="continue"/>
          </w:tcPr>
          <w:p>
            <w:pPr>
              <w:spacing w:after="0"/>
              <w:rPr>
                <w:sz w:val="14"/>
                <w:szCs w:val="14"/>
                <w:color w:val="auto"/>
              </w:rPr>
            </w:pPr>
          </w:p>
        </w:tc>
        <w:tc>
          <w:tcPr>
            <w:tcW w:w="24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7F7F7F"/>
              </w:rPr>
              <w:t>•</w:t>
            </w:r>
          </w:p>
        </w:tc>
        <w:tc>
          <w:tcPr>
            <w:tcW w:w="8060" w:type="dxa"/>
            <w:vAlign w:val="bottom"/>
          </w:tcPr>
          <w:p>
            <w:pPr>
              <w:ind w:left="60"/>
              <w:spacing w:after="0" w:line="162" w:lineRule="exact"/>
              <w:rPr>
                <w:sz w:val="20"/>
                <w:szCs w:val="20"/>
                <w:color w:val="auto"/>
              </w:rPr>
            </w:pPr>
            <w:r>
              <w:rPr>
                <w:rFonts w:ascii="Times New Roman" w:cs="Times New Roman" w:eastAsia="Times New Roman" w:hAnsi="Times New Roman"/>
                <w:sz w:val="15"/>
                <w:szCs w:val="15"/>
                <w:color w:val="auto"/>
              </w:rPr>
              <w:t>Aduro Biotech Inc. (2011 – 2020)</w:t>
            </w:r>
          </w:p>
        </w:tc>
        <w:tc>
          <w:tcPr>
            <w:tcW w:w="0" w:type="dxa"/>
            <w:vAlign w:val="bottom"/>
          </w:tcPr>
          <w:p>
            <w:pPr>
              <w:spacing w:after="0"/>
              <w:rPr>
                <w:sz w:val="1"/>
                <w:szCs w:val="1"/>
                <w:color w:val="auto"/>
              </w:rPr>
            </w:pPr>
          </w:p>
        </w:tc>
      </w:tr>
      <w:tr>
        <w:trPr>
          <w:trHeight w:val="162"/>
        </w:trPr>
        <w:tc>
          <w:tcPr>
            <w:tcW w:w="294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Committees:</w:t>
            </w:r>
          </w:p>
        </w:tc>
        <w:tc>
          <w:tcPr>
            <w:tcW w:w="8300" w:type="dxa"/>
            <w:vAlign w:val="bottom"/>
            <w:gridSpan w:val="2"/>
          </w:tcPr>
          <w:p>
            <w:pPr>
              <w:ind w:left="120"/>
              <w:spacing w:after="0" w:line="162" w:lineRule="exact"/>
              <w:rPr>
                <w:sz w:val="20"/>
                <w:szCs w:val="20"/>
                <w:color w:val="auto"/>
              </w:rPr>
            </w:pPr>
            <w:r>
              <w:rPr>
                <w:rFonts w:ascii="Times New Roman" w:cs="Times New Roman" w:eastAsia="Times New Roman" w:hAnsi="Times New Roman"/>
                <w:sz w:val="15"/>
                <w:szCs w:val="15"/>
                <w:color w:val="7F7F7F"/>
              </w:rPr>
              <w:t xml:space="preserve">•  </w:t>
            </w:r>
            <w:r>
              <w:rPr>
                <w:rFonts w:ascii="Times New Roman" w:cs="Times New Roman" w:eastAsia="Times New Roman" w:hAnsi="Times New Roman"/>
                <w:sz w:val="15"/>
                <w:szCs w:val="15"/>
                <w:color w:val="000000"/>
              </w:rPr>
              <w:t>Numerous private pre-clinical and clinical-stage companies developing drugs across a broad spectrum of therapeutic focus and</w:t>
            </w:r>
          </w:p>
        </w:tc>
        <w:tc>
          <w:tcPr>
            <w:tcW w:w="0" w:type="dxa"/>
            <w:vAlign w:val="bottom"/>
          </w:tcPr>
          <w:p>
            <w:pPr>
              <w:spacing w:after="0"/>
              <w:rPr>
                <w:sz w:val="1"/>
                <w:szCs w:val="1"/>
                <w:color w:val="auto"/>
              </w:rPr>
            </w:pPr>
          </w:p>
        </w:tc>
      </w:tr>
      <w:tr>
        <w:trPr>
          <w:trHeight w:val="54"/>
        </w:trPr>
        <w:tc>
          <w:tcPr>
            <w:tcW w:w="294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80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auto"/>
              </w:rPr>
              <w:t>numerous early-stage technology companies developing disruptive technologies and business methods</w:t>
            </w:r>
          </w:p>
        </w:tc>
        <w:tc>
          <w:tcPr>
            <w:tcW w:w="0" w:type="dxa"/>
            <w:vAlign w:val="bottom"/>
          </w:tcPr>
          <w:p>
            <w:pPr>
              <w:spacing w:after="0"/>
              <w:rPr>
                <w:sz w:val="1"/>
                <w:szCs w:val="1"/>
                <w:color w:val="auto"/>
              </w:rPr>
            </w:pPr>
          </w:p>
        </w:tc>
      </w:tr>
      <w:tr>
        <w:trPr>
          <w:trHeight w:val="178"/>
        </w:trPr>
        <w:tc>
          <w:tcPr>
            <w:tcW w:w="29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•Compensation (Chair)</w:t>
            </w:r>
          </w:p>
        </w:tc>
        <w:tc>
          <w:tcPr>
            <w:tcW w:w="240" w:type="dxa"/>
            <w:vAlign w:val="bottom"/>
          </w:tcPr>
          <w:p>
            <w:pPr>
              <w:spacing w:after="0"/>
              <w:rPr>
                <w:sz w:val="15"/>
                <w:szCs w:val="15"/>
                <w:color w:val="auto"/>
              </w:rPr>
            </w:pPr>
          </w:p>
        </w:tc>
        <w:tc>
          <w:tcPr>
            <w:tcW w:w="8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-2038985</wp:posOffset>
            </wp:positionV>
            <wp:extent cx="1045845" cy="1045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45845" cy="1045845"/>
                    </a:xfrm>
                    <a:prstGeom prst="rect">
                      <a:avLst/>
                    </a:prstGeom>
                    <a:noFill/>
                  </pic:spPr>
                </pic:pic>
              </a:graphicData>
            </a:graphic>
          </wp:anchor>
        </w:drawing>
      </w:r>
    </w:p>
    <w:p>
      <w:pPr>
        <w:ind w:left="80"/>
        <w:spacing w:after="0" w:line="225" w:lineRule="auto"/>
        <w:rPr>
          <w:sz w:val="20"/>
          <w:szCs w:val="20"/>
          <w:color w:val="auto"/>
        </w:rPr>
      </w:pPr>
      <w:r>
        <w:rPr>
          <w:rFonts w:ascii="Times New Roman" w:cs="Times New Roman" w:eastAsia="Times New Roman" w:hAnsi="Times New Roman"/>
          <w:sz w:val="15"/>
          <w:szCs w:val="15"/>
          <w:color w:val="auto"/>
        </w:rPr>
        <w:t>•Nominating and Corporate Governance</w:t>
      </w:r>
    </w:p>
    <w:p>
      <w:pPr>
        <w:ind w:left="80"/>
        <w:spacing w:after="0"/>
        <w:rPr>
          <w:sz w:val="20"/>
          <w:szCs w:val="20"/>
          <w:color w:val="auto"/>
        </w:rPr>
      </w:pPr>
      <w:r>
        <w:rPr>
          <w:rFonts w:ascii="Times New Roman" w:cs="Times New Roman" w:eastAsia="Times New Roman" w:hAnsi="Times New Roman"/>
          <w:sz w:val="15"/>
          <w:szCs w:val="15"/>
          <w:color w:val="auto"/>
        </w:rPr>
        <w:t>•Compliance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Class III Directors (Term Expires at 2026 Annual Meeting)</w:t>
      </w:r>
    </w:p>
    <w:p>
      <w:pPr>
        <w:spacing w:after="0" w:line="244"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5"/>
          <w:szCs w:val="15"/>
          <w:color w:val="auto"/>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11055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105535"/>
                    </a:xfrm>
                    <a:prstGeom prst="rect">
                      <a:avLst/>
                    </a:prstGeom>
                    <a:noFill/>
                  </pic:spPr>
                </pic:pic>
              </a:graphicData>
            </a:graphic>
          </wp:anchor>
        </w:drawing>
      </w:r>
    </w:p>
    <w:p>
      <w:pPr>
        <w:ind w:left="3240" w:right="440" w:hanging="179"/>
        <w:spacing w:after="0" w:line="225" w:lineRule="auto"/>
        <w:tabs>
          <w:tab w:leader="none" w:pos="3220" w:val="left"/>
        </w:tabs>
        <w:rPr>
          <w:sz w:val="20"/>
          <w:szCs w:val="20"/>
          <w:color w:val="auto"/>
        </w:rPr>
      </w:pPr>
      <w:r>
        <w:rPr>
          <w:rFonts w:ascii="Times New Roman" w:cs="Times New Roman" w:eastAsia="Times New Roman" w:hAnsi="Times New Roman"/>
          <w:sz w:val="15"/>
          <w:szCs w:val="15"/>
          <w:color w:val="7F7F7F"/>
        </w:rPr>
        <w:t>•</w:t>
      </w:r>
      <w:r>
        <w:rPr>
          <w:rFonts w:ascii="Times New Roman" w:cs="Times New Roman" w:eastAsia="Times New Roman" w:hAnsi="Times New Roman"/>
          <w:sz w:val="15"/>
          <w:szCs w:val="15"/>
          <w:color w:val="auto"/>
        </w:rPr>
        <w:tab/>
        <w:t>Co-Founder, Morningside Group, a private investment group with venture, private equity and property investments (1986 – present)</w:t>
      </w:r>
    </w:p>
    <w:p>
      <w:pPr>
        <w:ind w:left="3060"/>
        <w:spacing w:after="0" w:line="226" w:lineRule="auto"/>
        <w:tabs>
          <w:tab w:leader="none" w:pos="3220" w:val="left"/>
        </w:tabs>
        <w:rPr>
          <w:sz w:val="20"/>
          <w:szCs w:val="20"/>
          <w:color w:val="auto"/>
        </w:rPr>
      </w:pPr>
      <w:r>
        <w:rPr>
          <w:rFonts w:ascii="Times New Roman" w:cs="Times New Roman" w:eastAsia="Times New Roman" w:hAnsi="Times New Roman"/>
          <w:sz w:val="15"/>
          <w:szCs w:val="15"/>
          <w:color w:val="7F7F7F"/>
        </w:rPr>
        <w:t>•</w:t>
      </w:r>
      <w:r>
        <w:rPr>
          <w:rFonts w:ascii="Times New Roman" w:cs="Times New Roman" w:eastAsia="Times New Roman" w:hAnsi="Times New Roman"/>
          <w:sz w:val="15"/>
          <w:szCs w:val="15"/>
          <w:color w:val="auto"/>
        </w:rPr>
        <w:tab/>
        <w:t>Member, American Academy of Arts and Sciences (since 2017), Scientific Advisory Committee of Brigham and Women’s</w:t>
      </w:r>
    </w:p>
    <w:tbl>
      <w:tblPr>
        <w:tblLayout w:type="fixed"/>
        <w:tblInd w:w="0" w:type="dxa"/>
        <w:tblCellMar>
          <w:top w:w="0" w:type="dxa"/>
          <w:left w:w="0" w:type="dxa"/>
          <w:bottom w:w="0" w:type="dxa"/>
          <w:right w:w="0" w:type="dxa"/>
        </w:tblCellMar>
      </w:tblPr>
      <w:tr>
        <w:trPr>
          <w:trHeight w:val="146"/>
        </w:trPr>
        <w:tc>
          <w:tcPr>
            <w:tcW w:w="2940" w:type="dxa"/>
            <w:vAlign w:val="bottom"/>
          </w:tcPr>
          <w:p>
            <w:pPr>
              <w:spacing w:after="0"/>
              <w:rPr>
                <w:sz w:val="12"/>
                <w:szCs w:val="12"/>
                <w:color w:val="auto"/>
              </w:rPr>
            </w:pPr>
          </w:p>
        </w:tc>
        <w:tc>
          <w:tcPr>
            <w:tcW w:w="8300" w:type="dxa"/>
            <w:vAlign w:val="bottom"/>
          </w:tcPr>
          <w:p>
            <w:pPr>
              <w:ind w:left="300"/>
              <w:spacing w:after="0" w:line="146" w:lineRule="exact"/>
              <w:rPr>
                <w:sz w:val="20"/>
                <w:szCs w:val="20"/>
                <w:color w:val="auto"/>
              </w:rPr>
            </w:pPr>
            <w:r>
              <w:rPr>
                <w:rFonts w:ascii="Times New Roman" w:cs="Times New Roman" w:eastAsia="Times New Roman" w:hAnsi="Times New Roman"/>
                <w:sz w:val="15"/>
                <w:szCs w:val="15"/>
                <w:color w:val="auto"/>
              </w:rPr>
              <w:t>Hospital (since 2018), Global Advisory Council of Harvard University (since 2012), Dean’s Board of Advisors of the Harvard</w:t>
            </w:r>
          </w:p>
        </w:tc>
        <w:tc>
          <w:tcPr>
            <w:tcW w:w="0" w:type="dxa"/>
            <w:vAlign w:val="bottom"/>
          </w:tcPr>
          <w:p>
            <w:pPr>
              <w:spacing w:after="0"/>
              <w:rPr>
                <w:sz w:val="1"/>
                <w:szCs w:val="1"/>
                <w:color w:val="auto"/>
              </w:rPr>
            </w:pPr>
          </w:p>
        </w:tc>
      </w:tr>
      <w:tr>
        <w:trPr>
          <w:trHeight w:val="162"/>
        </w:trPr>
        <w:tc>
          <w:tcPr>
            <w:tcW w:w="2940" w:type="dxa"/>
            <w:vAlign w:val="bottom"/>
          </w:tcPr>
          <w:p>
            <w:pPr>
              <w:spacing w:after="0"/>
              <w:rPr>
                <w:sz w:val="14"/>
                <w:szCs w:val="14"/>
                <w:color w:val="auto"/>
              </w:rPr>
            </w:pPr>
          </w:p>
        </w:tc>
        <w:tc>
          <w:tcPr>
            <w:tcW w:w="830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T.H. Chan School of Public Health (since 2011), Chair of the Innovation Advisory Committee of the Wellcome Trust (2016-</w:t>
            </w:r>
          </w:p>
        </w:tc>
        <w:tc>
          <w:tcPr>
            <w:tcW w:w="0" w:type="dxa"/>
            <w:vAlign w:val="bottom"/>
          </w:tcPr>
          <w:p>
            <w:pPr>
              <w:spacing w:after="0"/>
              <w:rPr>
                <w:sz w:val="1"/>
                <w:szCs w:val="1"/>
                <w:color w:val="auto"/>
              </w:rPr>
            </w:pPr>
          </w:p>
        </w:tc>
      </w:tr>
      <w:tr>
        <w:trPr>
          <w:trHeight w:val="162"/>
        </w:trPr>
        <w:tc>
          <w:tcPr>
            <w:tcW w:w="2940" w:type="dxa"/>
            <w:vAlign w:val="bottom"/>
          </w:tcPr>
          <w:p>
            <w:pPr>
              <w:spacing w:after="0"/>
              <w:rPr>
                <w:sz w:val="14"/>
                <w:szCs w:val="14"/>
                <w:color w:val="auto"/>
              </w:rPr>
            </w:pPr>
          </w:p>
        </w:tc>
        <w:tc>
          <w:tcPr>
            <w:tcW w:w="830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2020)</w:t>
            </w:r>
          </w:p>
        </w:tc>
        <w:tc>
          <w:tcPr>
            <w:tcW w:w="0" w:type="dxa"/>
            <w:vAlign w:val="bottom"/>
          </w:tcPr>
          <w:p>
            <w:pPr>
              <w:spacing w:after="0"/>
              <w:rPr>
                <w:sz w:val="1"/>
                <w:szCs w:val="1"/>
                <w:color w:val="auto"/>
              </w:rPr>
            </w:pPr>
          </w:p>
        </w:tc>
      </w:tr>
      <w:tr>
        <w:trPr>
          <w:trHeight w:val="179"/>
        </w:trPr>
        <w:tc>
          <w:tcPr>
            <w:tcW w:w="2940" w:type="dxa"/>
            <w:vAlign w:val="bottom"/>
          </w:tcPr>
          <w:p>
            <w:pPr>
              <w:spacing w:after="0"/>
              <w:rPr>
                <w:sz w:val="15"/>
                <w:szCs w:val="15"/>
                <w:color w:val="auto"/>
              </w:rPr>
            </w:pPr>
          </w:p>
        </w:tc>
        <w:tc>
          <w:tcPr>
            <w:tcW w:w="8300" w:type="dxa"/>
            <w:vAlign w:val="bottom"/>
            <w:tcBorders>
              <w:bottom w:val="single" w:sz="8" w:color="BFBFBF"/>
            </w:tcBorders>
          </w:tcPr>
          <w:p>
            <w:pPr>
              <w:ind w:left="120"/>
              <w:spacing w:after="0"/>
              <w:rPr>
                <w:sz w:val="20"/>
                <w:szCs w:val="20"/>
                <w:color w:val="auto"/>
              </w:rPr>
            </w:pPr>
            <w:r>
              <w:rPr>
                <w:rFonts w:ascii="Times New Roman" w:cs="Times New Roman" w:eastAsia="Times New Roman" w:hAnsi="Times New Roman"/>
                <w:sz w:val="15"/>
                <w:szCs w:val="15"/>
                <w:color w:val="7F7F7F"/>
              </w:rPr>
              <w:t xml:space="preserve">•  </w:t>
            </w:r>
            <w:r>
              <w:rPr>
                <w:rFonts w:ascii="Times New Roman" w:cs="Times New Roman" w:eastAsia="Times New Roman" w:hAnsi="Times New Roman"/>
                <w:sz w:val="15"/>
                <w:szCs w:val="15"/>
                <w:color w:val="000000"/>
              </w:rPr>
              <w:t>Trustee, Scripps Research Institute (since 2017)</w:t>
            </w:r>
          </w:p>
        </w:tc>
        <w:tc>
          <w:tcPr>
            <w:tcW w:w="0" w:type="dxa"/>
            <w:vAlign w:val="bottom"/>
          </w:tcPr>
          <w:p>
            <w:pPr>
              <w:spacing w:after="0"/>
              <w:rPr>
                <w:sz w:val="1"/>
                <w:szCs w:val="1"/>
                <w:color w:val="auto"/>
              </w:rPr>
            </w:pPr>
          </w:p>
        </w:tc>
      </w:tr>
      <w:tr>
        <w:trPr>
          <w:trHeight w:val="192"/>
        </w:trPr>
        <w:tc>
          <w:tcPr>
            <w:tcW w:w="2940" w:type="dxa"/>
            <w:vAlign w:val="bottom"/>
          </w:tcPr>
          <w:p>
            <w:pPr>
              <w:spacing w:after="0"/>
              <w:rPr>
                <w:sz w:val="16"/>
                <w:szCs w:val="16"/>
                <w:color w:val="auto"/>
              </w:rPr>
            </w:pPr>
          </w:p>
        </w:tc>
        <w:tc>
          <w:tcPr>
            <w:tcW w:w="83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Qualifications</w:t>
            </w:r>
          </w:p>
        </w:tc>
        <w:tc>
          <w:tcPr>
            <w:tcW w:w="0" w:type="dxa"/>
            <w:vAlign w:val="bottom"/>
          </w:tcPr>
          <w:p>
            <w:pPr>
              <w:spacing w:after="0"/>
              <w:rPr>
                <w:sz w:val="1"/>
                <w:szCs w:val="1"/>
                <w:color w:val="auto"/>
              </w:rPr>
            </w:pPr>
          </w:p>
        </w:tc>
      </w:tr>
      <w:tr>
        <w:trPr>
          <w:trHeight w:val="198"/>
        </w:trPr>
        <w:tc>
          <w:tcPr>
            <w:tcW w:w="2940" w:type="dxa"/>
            <w:vAlign w:val="bottom"/>
          </w:tcPr>
          <w:p>
            <w:pPr>
              <w:spacing w:after="0"/>
              <w:rPr>
                <w:sz w:val="17"/>
                <w:szCs w:val="17"/>
                <w:color w:val="auto"/>
              </w:rPr>
            </w:pPr>
          </w:p>
        </w:tc>
        <w:tc>
          <w:tcPr>
            <w:tcW w:w="8300" w:type="dxa"/>
            <w:vAlign w:val="bottom"/>
          </w:tcPr>
          <w:p>
            <w:pPr>
              <w:ind w:left="120"/>
              <w:spacing w:after="0"/>
              <w:rPr>
                <w:sz w:val="20"/>
                <w:szCs w:val="20"/>
                <w:color w:val="auto"/>
              </w:rPr>
            </w:pPr>
            <w:r>
              <w:rPr>
                <w:rFonts w:ascii="Times New Roman" w:cs="Times New Roman" w:eastAsia="Times New Roman" w:hAnsi="Times New Roman"/>
                <w:sz w:val="15"/>
                <w:szCs w:val="15"/>
                <w:color w:val="7F7F7F"/>
              </w:rPr>
              <w:t xml:space="preserve">•  </w:t>
            </w:r>
            <w:r>
              <w:rPr>
                <w:rFonts w:ascii="Times New Roman" w:cs="Times New Roman" w:eastAsia="Times New Roman" w:hAnsi="Times New Roman"/>
                <w:sz w:val="15"/>
                <w:szCs w:val="15"/>
                <w:color w:val="000000"/>
              </w:rPr>
              <w:t>Extensive experience in life science investments and serving on boards of directors of technology and biotechnology companies</w:t>
            </w:r>
          </w:p>
        </w:tc>
        <w:tc>
          <w:tcPr>
            <w:tcW w:w="0" w:type="dxa"/>
            <w:vAlign w:val="bottom"/>
          </w:tcPr>
          <w:p>
            <w:pPr>
              <w:spacing w:after="0"/>
              <w:rPr>
                <w:sz w:val="1"/>
                <w:szCs w:val="1"/>
                <w:color w:val="auto"/>
              </w:rPr>
            </w:pPr>
          </w:p>
        </w:tc>
      </w:tr>
      <w:tr>
        <w:trPr>
          <w:trHeight w:val="157"/>
        </w:trPr>
        <w:tc>
          <w:tcPr>
            <w:tcW w:w="2940" w:type="dxa"/>
            <w:vAlign w:val="bottom"/>
            <w:vMerge w:val="restart"/>
          </w:tcPr>
          <w:p>
            <w:pPr>
              <w:ind w:left="20"/>
              <w:spacing w:after="0"/>
              <w:rPr>
                <w:sz w:val="20"/>
                <w:szCs w:val="20"/>
                <w:color w:val="auto"/>
              </w:rPr>
            </w:pPr>
            <w:r>
              <w:rPr>
                <w:rFonts w:ascii="Times New Roman" w:cs="Times New Roman" w:eastAsia="Times New Roman" w:hAnsi="Times New Roman"/>
                <w:sz w:val="25"/>
                <w:szCs w:val="25"/>
                <w:color w:val="auto"/>
              </w:rPr>
              <w:t>Gerald Chan, Sc.D.</w:t>
            </w:r>
          </w:p>
        </w:tc>
        <w:tc>
          <w:tcPr>
            <w:tcW w:w="8300" w:type="dxa"/>
            <w:vAlign w:val="bottom"/>
            <w:tcBorders>
              <w:bottom w:val="single" w:sz="8" w:color="BFBFBF"/>
            </w:tcBorders>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940" w:type="dxa"/>
            <w:vAlign w:val="bottom"/>
            <w:vMerge w:val="continue"/>
          </w:tcPr>
          <w:p>
            <w:pPr>
              <w:spacing w:after="0"/>
              <w:rPr>
                <w:sz w:val="16"/>
                <w:szCs w:val="16"/>
                <w:color w:val="auto"/>
              </w:rPr>
            </w:pPr>
          </w:p>
        </w:tc>
        <w:tc>
          <w:tcPr>
            <w:tcW w:w="83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Education</w:t>
            </w:r>
          </w:p>
        </w:tc>
        <w:tc>
          <w:tcPr>
            <w:tcW w:w="0" w:type="dxa"/>
            <w:vAlign w:val="bottom"/>
          </w:tcPr>
          <w:p>
            <w:pPr>
              <w:spacing w:after="0"/>
              <w:rPr>
                <w:sz w:val="1"/>
                <w:szCs w:val="1"/>
                <w:color w:val="auto"/>
              </w:rPr>
            </w:pPr>
          </w:p>
        </w:tc>
      </w:tr>
      <w:tr>
        <w:trPr>
          <w:trHeight w:val="162"/>
        </w:trPr>
        <w:tc>
          <w:tcPr>
            <w:tcW w:w="2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Chairman of the Board</w:t>
            </w:r>
          </w:p>
        </w:tc>
        <w:tc>
          <w:tcPr>
            <w:tcW w:w="830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7F7F7F"/>
              </w:rPr>
              <w:t xml:space="preserve">•  </w:t>
            </w:r>
            <w:r>
              <w:rPr>
                <w:rFonts w:ascii="Times New Roman" w:cs="Times New Roman" w:eastAsia="Times New Roman" w:hAnsi="Times New Roman"/>
                <w:sz w:val="15"/>
                <w:szCs w:val="15"/>
                <w:color w:val="000000"/>
              </w:rPr>
              <w:t>S.M., Medical Radiological Physics and Sc.D., Radiation Biology, Harvard University</w:t>
            </w:r>
          </w:p>
        </w:tc>
        <w:tc>
          <w:tcPr>
            <w:tcW w:w="0" w:type="dxa"/>
            <w:vAlign w:val="bottom"/>
          </w:tcPr>
          <w:p>
            <w:pPr>
              <w:spacing w:after="0"/>
              <w:rPr>
                <w:sz w:val="1"/>
                <w:szCs w:val="1"/>
                <w:color w:val="auto"/>
              </w:rPr>
            </w:pPr>
          </w:p>
        </w:tc>
      </w:tr>
      <w:tr>
        <w:trPr>
          <w:trHeight w:val="162"/>
        </w:trPr>
        <w:tc>
          <w:tcPr>
            <w:tcW w:w="2940" w:type="dxa"/>
            <w:vAlign w:val="bottom"/>
            <w:vMerge w:val="continue"/>
          </w:tcPr>
          <w:p>
            <w:pPr>
              <w:spacing w:after="0"/>
              <w:rPr>
                <w:sz w:val="14"/>
                <w:szCs w:val="14"/>
                <w:color w:val="auto"/>
              </w:rPr>
            </w:pPr>
          </w:p>
        </w:tc>
        <w:tc>
          <w:tcPr>
            <w:tcW w:w="830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7F7F7F"/>
              </w:rPr>
              <w:t xml:space="preserve">•  </w:t>
            </w:r>
            <w:r>
              <w:rPr>
                <w:rFonts w:ascii="Times New Roman" w:cs="Times New Roman" w:eastAsia="Times New Roman" w:hAnsi="Times New Roman"/>
                <w:sz w:val="15"/>
                <w:szCs w:val="15"/>
                <w:color w:val="000000"/>
              </w:rPr>
              <w:t>B.S. and M.S., Engineering, University of California, Los Angeles</w:t>
            </w:r>
          </w:p>
        </w:tc>
        <w:tc>
          <w:tcPr>
            <w:tcW w:w="0" w:type="dxa"/>
            <w:vAlign w:val="bottom"/>
          </w:tcPr>
          <w:p>
            <w:pPr>
              <w:spacing w:after="0"/>
              <w:rPr>
                <w:sz w:val="1"/>
                <w:szCs w:val="1"/>
                <w:color w:val="auto"/>
              </w:rPr>
            </w:pPr>
          </w:p>
        </w:tc>
      </w:tr>
      <w:tr>
        <w:trPr>
          <w:trHeight w:val="179"/>
        </w:trPr>
        <w:tc>
          <w:tcPr>
            <w:tcW w:w="294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Independent Director since 2013</w:t>
            </w:r>
          </w:p>
        </w:tc>
        <w:tc>
          <w:tcPr>
            <w:tcW w:w="8300" w:type="dxa"/>
            <w:vAlign w:val="bottom"/>
            <w:tcBorders>
              <w:bottom w:val="single" w:sz="8" w:color="BFBFBF"/>
            </w:tcBorders>
          </w:tcPr>
          <w:p>
            <w:pPr>
              <w:ind w:left="120"/>
              <w:spacing w:after="0"/>
              <w:rPr>
                <w:sz w:val="20"/>
                <w:szCs w:val="20"/>
                <w:color w:val="auto"/>
              </w:rPr>
            </w:pPr>
            <w:r>
              <w:rPr>
                <w:rFonts w:ascii="Times New Roman" w:cs="Times New Roman" w:eastAsia="Times New Roman" w:hAnsi="Times New Roman"/>
                <w:sz w:val="15"/>
                <w:szCs w:val="15"/>
                <w:color w:val="7F7F7F"/>
              </w:rPr>
              <w:t xml:space="preserve">•  </w:t>
            </w:r>
            <w:r>
              <w:rPr>
                <w:rFonts w:ascii="Times New Roman" w:cs="Times New Roman" w:eastAsia="Times New Roman" w:hAnsi="Times New Roman"/>
                <w:sz w:val="15"/>
                <w:szCs w:val="15"/>
                <w:color w:val="000000"/>
              </w:rPr>
              <w:t>Post-doctoral training, Dana-Farber Cancer Institute</w:t>
            </w:r>
          </w:p>
        </w:tc>
        <w:tc>
          <w:tcPr>
            <w:tcW w:w="0" w:type="dxa"/>
            <w:vAlign w:val="bottom"/>
          </w:tcPr>
          <w:p>
            <w:pPr>
              <w:spacing w:after="0"/>
              <w:rPr>
                <w:sz w:val="1"/>
                <w:szCs w:val="1"/>
                <w:color w:val="auto"/>
              </w:rPr>
            </w:pPr>
          </w:p>
        </w:tc>
      </w:tr>
      <w:tr>
        <w:trPr>
          <w:trHeight w:val="67"/>
        </w:trPr>
        <w:tc>
          <w:tcPr>
            <w:tcW w:w="2940" w:type="dxa"/>
            <w:vAlign w:val="bottom"/>
            <w:vMerge w:val="continue"/>
          </w:tcPr>
          <w:p>
            <w:pPr>
              <w:spacing w:after="0"/>
              <w:rPr>
                <w:sz w:val="5"/>
                <w:szCs w:val="5"/>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Other Boards</w:t>
            </w:r>
          </w:p>
        </w:tc>
        <w:tc>
          <w:tcPr>
            <w:tcW w:w="0" w:type="dxa"/>
            <w:vAlign w:val="bottom"/>
          </w:tcPr>
          <w:p>
            <w:pPr>
              <w:spacing w:after="0"/>
              <w:rPr>
                <w:sz w:val="1"/>
                <w:szCs w:val="1"/>
                <w:color w:val="auto"/>
              </w:rPr>
            </w:pPr>
          </w:p>
        </w:tc>
      </w:tr>
      <w:tr>
        <w:trPr>
          <w:trHeight w:val="162"/>
        </w:trPr>
        <w:tc>
          <w:tcPr>
            <w:tcW w:w="294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 xml:space="preserve">Age: </w:t>
            </w:r>
            <w:r>
              <w:rPr>
                <w:rFonts w:ascii="Times New Roman" w:cs="Times New Roman" w:eastAsia="Times New Roman" w:hAnsi="Times New Roman"/>
                <w:sz w:val="15"/>
                <w:szCs w:val="15"/>
                <w:b w:val="1"/>
                <w:bCs w:val="1"/>
                <w:color w:val="auto"/>
              </w:rPr>
              <w:t>74</w:t>
            </w:r>
          </w:p>
        </w:tc>
        <w:tc>
          <w:tcPr>
            <w:tcW w:w="8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940" w:type="dxa"/>
            <w:vAlign w:val="bottom"/>
            <w:vMerge w:val="continue"/>
          </w:tcPr>
          <w:p>
            <w:pPr>
              <w:spacing w:after="0"/>
              <w:rPr>
                <w:sz w:val="7"/>
                <w:szCs w:val="7"/>
                <w:color w:val="auto"/>
              </w:rPr>
            </w:pPr>
          </w:p>
        </w:tc>
        <w:tc>
          <w:tcPr>
            <w:tcW w:w="8300" w:type="dxa"/>
            <w:vAlign w:val="bottom"/>
            <w:vMerge w:val="restart"/>
          </w:tcPr>
          <w:p>
            <w:pPr>
              <w:ind w:left="120"/>
              <w:spacing w:after="0"/>
              <w:rPr>
                <w:sz w:val="20"/>
                <w:szCs w:val="20"/>
                <w:color w:val="auto"/>
              </w:rPr>
            </w:pPr>
            <w:r>
              <w:rPr>
                <w:rFonts w:ascii="Times New Roman" w:cs="Times New Roman" w:eastAsia="Times New Roman" w:hAnsi="Times New Roman"/>
                <w:sz w:val="15"/>
                <w:szCs w:val="15"/>
                <w:color w:val="7F7F7F"/>
              </w:rPr>
              <w:t xml:space="preserve">•  </w:t>
            </w:r>
            <w:r>
              <w:rPr>
                <w:rFonts w:ascii="Times New Roman" w:cs="Times New Roman" w:eastAsia="Times New Roman" w:hAnsi="Times New Roman"/>
                <w:sz w:val="15"/>
                <w:szCs w:val="15"/>
                <w:color w:val="000000"/>
              </w:rPr>
              <w:t>Stealth BioTherapeutics Corp (private; public from 2019 – 2022)</w:t>
            </w:r>
          </w:p>
        </w:tc>
        <w:tc>
          <w:tcPr>
            <w:tcW w:w="0" w:type="dxa"/>
            <w:vAlign w:val="bottom"/>
          </w:tcPr>
          <w:p>
            <w:pPr>
              <w:spacing w:after="0"/>
              <w:rPr>
                <w:sz w:val="1"/>
                <w:szCs w:val="1"/>
                <w:color w:val="auto"/>
              </w:rPr>
            </w:pPr>
          </w:p>
        </w:tc>
      </w:tr>
      <w:tr>
        <w:trPr>
          <w:trHeight w:val="99"/>
        </w:trPr>
        <w:tc>
          <w:tcPr>
            <w:tcW w:w="294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Committees:</w:t>
            </w:r>
          </w:p>
        </w:tc>
        <w:tc>
          <w:tcPr>
            <w:tcW w:w="8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940" w:type="dxa"/>
            <w:vAlign w:val="bottom"/>
            <w:vMerge w:val="continue"/>
          </w:tcPr>
          <w:p>
            <w:pPr>
              <w:spacing w:after="0"/>
              <w:rPr>
                <w:sz w:val="9"/>
                <w:szCs w:val="9"/>
                <w:color w:val="auto"/>
              </w:rPr>
            </w:pPr>
          </w:p>
        </w:tc>
        <w:tc>
          <w:tcPr>
            <w:tcW w:w="8300" w:type="dxa"/>
            <w:vAlign w:val="bottom"/>
            <w:vMerge w:val="restart"/>
          </w:tcPr>
          <w:p>
            <w:pPr>
              <w:ind w:left="120"/>
              <w:spacing w:after="0" w:line="162" w:lineRule="exact"/>
              <w:rPr>
                <w:sz w:val="20"/>
                <w:szCs w:val="20"/>
                <w:color w:val="auto"/>
              </w:rPr>
            </w:pPr>
            <w:r>
              <w:rPr>
                <w:rFonts w:ascii="Times New Roman" w:cs="Times New Roman" w:eastAsia="Times New Roman" w:hAnsi="Times New Roman"/>
                <w:sz w:val="15"/>
                <w:szCs w:val="15"/>
                <w:color w:val="7F7F7F"/>
              </w:rPr>
              <w:t xml:space="preserve">•  </w:t>
            </w:r>
            <w:r>
              <w:rPr>
                <w:rFonts w:ascii="Times New Roman" w:cs="Times New Roman" w:eastAsia="Times New Roman" w:hAnsi="Times New Roman"/>
                <w:sz w:val="15"/>
                <w:szCs w:val="15"/>
                <w:color w:val="000000"/>
              </w:rPr>
              <w:t>Hang Lung Group Limited (1986 – present)</w:t>
            </w:r>
          </w:p>
        </w:tc>
        <w:tc>
          <w:tcPr>
            <w:tcW w:w="0" w:type="dxa"/>
            <w:vAlign w:val="bottom"/>
          </w:tcPr>
          <w:p>
            <w:pPr>
              <w:spacing w:after="0"/>
              <w:rPr>
                <w:sz w:val="1"/>
                <w:szCs w:val="1"/>
                <w:color w:val="auto"/>
              </w:rPr>
            </w:pPr>
          </w:p>
        </w:tc>
      </w:tr>
      <w:tr>
        <w:trPr>
          <w:trHeight w:val="54"/>
        </w:trPr>
        <w:tc>
          <w:tcPr>
            <w:tcW w:w="2940" w:type="dxa"/>
            <w:vAlign w:val="bottom"/>
            <w:vMerge w:val="restart"/>
          </w:tcPr>
          <w:p>
            <w:pPr>
              <w:ind w:left="80"/>
              <w:spacing w:after="0" w:line="162" w:lineRule="exact"/>
              <w:rPr>
                <w:sz w:val="20"/>
                <w:szCs w:val="20"/>
                <w:color w:val="auto"/>
              </w:rPr>
            </w:pPr>
            <w:r>
              <w:rPr>
                <w:rFonts w:ascii="Times New Roman" w:cs="Times New Roman" w:eastAsia="Times New Roman" w:hAnsi="Times New Roman"/>
                <w:sz w:val="15"/>
                <w:szCs w:val="15"/>
                <w:color w:val="auto"/>
              </w:rPr>
              <w:t>•Nominating and Corporate Governance</w:t>
            </w:r>
          </w:p>
        </w:tc>
        <w:tc>
          <w:tcPr>
            <w:tcW w:w="8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940" w:type="dxa"/>
            <w:vAlign w:val="bottom"/>
            <w:vMerge w:val="continue"/>
          </w:tcPr>
          <w:p>
            <w:pPr>
              <w:spacing w:after="0"/>
              <w:rPr>
                <w:sz w:val="9"/>
                <w:szCs w:val="9"/>
                <w:color w:val="auto"/>
              </w:rPr>
            </w:pPr>
          </w:p>
        </w:tc>
        <w:tc>
          <w:tcPr>
            <w:tcW w:w="8300" w:type="dxa"/>
            <w:vAlign w:val="bottom"/>
            <w:vMerge w:val="restart"/>
          </w:tcPr>
          <w:p>
            <w:pPr>
              <w:ind w:left="120"/>
              <w:spacing w:after="0" w:line="162" w:lineRule="exact"/>
              <w:rPr>
                <w:sz w:val="20"/>
                <w:szCs w:val="20"/>
                <w:color w:val="auto"/>
              </w:rPr>
            </w:pPr>
            <w:r>
              <w:rPr>
                <w:rFonts w:ascii="Times New Roman" w:cs="Times New Roman" w:eastAsia="Times New Roman" w:hAnsi="Times New Roman"/>
                <w:sz w:val="15"/>
                <w:szCs w:val="15"/>
                <w:color w:val="7F7F7F"/>
              </w:rPr>
              <w:t xml:space="preserve">•  </w:t>
            </w:r>
            <w:r>
              <w:rPr>
                <w:rFonts w:ascii="Times New Roman" w:cs="Times New Roman" w:eastAsia="Times New Roman" w:hAnsi="Times New Roman"/>
                <w:sz w:val="15"/>
                <w:szCs w:val="15"/>
                <w:color w:val="000000"/>
              </w:rPr>
              <w:t>LumiraDx Limited (2020 – 2023)</w:t>
            </w:r>
          </w:p>
        </w:tc>
        <w:tc>
          <w:tcPr>
            <w:tcW w:w="0" w:type="dxa"/>
            <w:vAlign w:val="bottom"/>
          </w:tcPr>
          <w:p>
            <w:pPr>
              <w:spacing w:after="0"/>
              <w:rPr>
                <w:sz w:val="1"/>
                <w:szCs w:val="1"/>
                <w:color w:val="auto"/>
              </w:rPr>
            </w:pPr>
          </w:p>
        </w:tc>
      </w:tr>
      <w:tr>
        <w:trPr>
          <w:trHeight w:val="54"/>
        </w:trPr>
        <w:tc>
          <w:tcPr>
            <w:tcW w:w="2940" w:type="dxa"/>
            <w:vAlign w:val="bottom"/>
            <w:vMerge w:val="restart"/>
          </w:tcPr>
          <w:p>
            <w:pPr>
              <w:ind w:left="120"/>
              <w:spacing w:after="0"/>
              <w:rPr>
                <w:sz w:val="20"/>
                <w:szCs w:val="20"/>
                <w:color w:val="auto"/>
              </w:rPr>
            </w:pPr>
            <w:r>
              <w:rPr>
                <w:rFonts w:ascii="Times New Roman" w:cs="Times New Roman" w:eastAsia="Times New Roman" w:hAnsi="Times New Roman"/>
                <w:sz w:val="15"/>
                <w:szCs w:val="15"/>
                <w:color w:val="auto"/>
              </w:rPr>
              <w:t>(Chair)</w:t>
            </w:r>
          </w:p>
        </w:tc>
        <w:tc>
          <w:tcPr>
            <w:tcW w:w="8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2940" w:type="dxa"/>
            <w:vAlign w:val="bottom"/>
            <w:vMerge w:val="continue"/>
          </w:tcPr>
          <w:p>
            <w:pPr>
              <w:spacing w:after="0"/>
              <w:rPr>
                <w:sz w:val="12"/>
                <w:szCs w:val="12"/>
                <w:color w:val="auto"/>
              </w:rPr>
            </w:pPr>
          </w:p>
        </w:tc>
        <w:tc>
          <w:tcPr>
            <w:tcW w:w="8300" w:type="dxa"/>
            <w:vAlign w:val="bottom"/>
            <w:vMerge w:val="restart"/>
          </w:tcPr>
          <w:p>
            <w:pPr>
              <w:ind w:left="120"/>
              <w:spacing w:after="0"/>
              <w:rPr>
                <w:sz w:val="20"/>
                <w:szCs w:val="20"/>
                <w:color w:val="auto"/>
              </w:rPr>
            </w:pPr>
            <w:r>
              <w:rPr>
                <w:rFonts w:ascii="Times New Roman" w:cs="Times New Roman" w:eastAsia="Times New Roman" w:hAnsi="Times New Roman"/>
                <w:sz w:val="15"/>
                <w:szCs w:val="15"/>
                <w:color w:val="7F7F7F"/>
              </w:rPr>
              <w:t xml:space="preserve">•  </w:t>
            </w:r>
            <w:r>
              <w:rPr>
                <w:rFonts w:ascii="Times New Roman" w:cs="Times New Roman" w:eastAsia="Times New Roman" w:hAnsi="Times New Roman"/>
                <w:sz w:val="15"/>
                <w:szCs w:val="15"/>
                <w:color w:val="000000"/>
              </w:rPr>
              <w:t>Aduro Biotech Inc. (2014 – 2018)</w:t>
            </w:r>
          </w:p>
        </w:tc>
        <w:tc>
          <w:tcPr>
            <w:tcW w:w="0" w:type="dxa"/>
            <w:vAlign w:val="bottom"/>
          </w:tcPr>
          <w:p>
            <w:pPr>
              <w:spacing w:after="0"/>
              <w:rPr>
                <w:sz w:val="1"/>
                <w:szCs w:val="1"/>
                <w:color w:val="auto"/>
              </w:rPr>
            </w:pPr>
          </w:p>
        </w:tc>
      </w:tr>
      <w:tr>
        <w:trPr>
          <w:trHeight w:val="35"/>
        </w:trPr>
        <w:tc>
          <w:tcPr>
            <w:tcW w:w="2940" w:type="dxa"/>
            <w:vAlign w:val="bottom"/>
            <w:tcBorders>
              <w:bottom w:val="single" w:sz="8" w:color="BFBFBF"/>
            </w:tcBorders>
          </w:tcPr>
          <w:p>
            <w:pPr>
              <w:spacing w:after="0"/>
              <w:rPr>
                <w:sz w:val="3"/>
                <w:szCs w:val="3"/>
                <w:color w:val="auto"/>
              </w:rPr>
            </w:pPr>
          </w:p>
        </w:tc>
        <w:tc>
          <w:tcPr>
            <w:tcW w:w="8300" w:type="dxa"/>
            <w:vAlign w:val="bottom"/>
            <w:tcBorders>
              <w:bottom w:val="single" w:sz="8" w:color="BFBFBF"/>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2940" w:type="dxa"/>
            <w:vAlign w:val="bottom"/>
          </w:tcPr>
          <w:p>
            <w:pPr>
              <w:spacing w:after="0"/>
              <w:rPr>
                <w:sz w:val="16"/>
                <w:szCs w:val="16"/>
                <w:color w:val="auto"/>
              </w:rPr>
            </w:pPr>
          </w:p>
        </w:tc>
        <w:tc>
          <w:tcPr>
            <w:tcW w:w="83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Experience</w:t>
            </w:r>
          </w:p>
        </w:tc>
        <w:tc>
          <w:tcPr>
            <w:tcW w:w="0" w:type="dxa"/>
            <w:vAlign w:val="bottom"/>
          </w:tcPr>
          <w:p>
            <w:pPr>
              <w:spacing w:after="0"/>
              <w:rPr>
                <w:sz w:val="1"/>
                <w:szCs w:val="1"/>
                <w:color w:val="auto"/>
              </w:rPr>
            </w:pPr>
          </w:p>
        </w:tc>
      </w:tr>
      <w:tr>
        <w:trPr>
          <w:trHeight w:val="162"/>
        </w:trPr>
        <w:tc>
          <w:tcPr>
            <w:tcW w:w="2940" w:type="dxa"/>
            <w:vAlign w:val="bottom"/>
          </w:tcPr>
          <w:p>
            <w:pPr>
              <w:spacing w:after="0"/>
              <w:rPr>
                <w:sz w:val="14"/>
                <w:szCs w:val="14"/>
                <w:color w:val="auto"/>
              </w:rPr>
            </w:pPr>
          </w:p>
        </w:tc>
        <w:tc>
          <w:tcPr>
            <w:tcW w:w="830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7F7F7F"/>
              </w:rPr>
              <w:t xml:space="preserve">•  </w:t>
            </w:r>
            <w:r>
              <w:rPr>
                <w:rFonts w:ascii="Times New Roman" w:cs="Times New Roman" w:eastAsia="Times New Roman" w:hAnsi="Times New Roman"/>
                <w:sz w:val="15"/>
                <w:szCs w:val="15"/>
                <w:color w:val="000000"/>
              </w:rPr>
              <w:t>Co-Founder, President and Chief Executive Officer, Apellis (2009 – present)</w:t>
            </w:r>
          </w:p>
        </w:tc>
        <w:tc>
          <w:tcPr>
            <w:tcW w:w="0" w:type="dxa"/>
            <w:vAlign w:val="bottom"/>
          </w:tcPr>
          <w:p>
            <w:pPr>
              <w:spacing w:after="0"/>
              <w:rPr>
                <w:sz w:val="1"/>
                <w:szCs w:val="1"/>
                <w:color w:val="auto"/>
              </w:rPr>
            </w:pPr>
          </w:p>
        </w:tc>
      </w:tr>
      <w:tr>
        <w:trPr>
          <w:trHeight w:val="162"/>
        </w:trPr>
        <w:tc>
          <w:tcPr>
            <w:tcW w:w="2940" w:type="dxa"/>
            <w:vAlign w:val="bottom"/>
          </w:tcPr>
          <w:p>
            <w:pPr>
              <w:spacing w:after="0"/>
              <w:rPr>
                <w:sz w:val="14"/>
                <w:szCs w:val="14"/>
                <w:color w:val="auto"/>
              </w:rPr>
            </w:pPr>
          </w:p>
        </w:tc>
        <w:tc>
          <w:tcPr>
            <w:tcW w:w="830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7F7F7F"/>
              </w:rPr>
              <w:t xml:space="preserve">•  </w:t>
            </w:r>
            <w:r>
              <w:rPr>
                <w:rFonts w:ascii="Times New Roman" w:cs="Times New Roman" w:eastAsia="Times New Roman" w:hAnsi="Times New Roman"/>
                <w:sz w:val="15"/>
                <w:szCs w:val="15"/>
                <w:color w:val="000000"/>
              </w:rPr>
              <w:t>Co-Founder, President and Chief Executive Officer, Potentia Pharmaceuticals, Inc. (private, 2001 – 2018)</w:t>
            </w:r>
          </w:p>
        </w:tc>
        <w:tc>
          <w:tcPr>
            <w:tcW w:w="0" w:type="dxa"/>
            <w:vAlign w:val="bottom"/>
          </w:tcPr>
          <w:p>
            <w:pPr>
              <w:spacing w:after="0"/>
              <w:rPr>
                <w:sz w:val="1"/>
                <w:szCs w:val="1"/>
                <w:color w:val="auto"/>
              </w:rPr>
            </w:pPr>
          </w:p>
        </w:tc>
      </w:tr>
      <w:tr>
        <w:trPr>
          <w:trHeight w:val="162"/>
        </w:trPr>
        <w:tc>
          <w:tcPr>
            <w:tcW w:w="2940" w:type="dxa"/>
            <w:vAlign w:val="bottom"/>
          </w:tcPr>
          <w:p>
            <w:pPr>
              <w:spacing w:after="0"/>
              <w:rPr>
                <w:sz w:val="14"/>
                <w:szCs w:val="14"/>
                <w:color w:val="auto"/>
              </w:rPr>
            </w:pPr>
          </w:p>
        </w:tc>
        <w:tc>
          <w:tcPr>
            <w:tcW w:w="830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7F7F7F"/>
              </w:rPr>
              <w:t xml:space="preserve">•  </w:t>
            </w:r>
            <w:r>
              <w:rPr>
                <w:rFonts w:ascii="Times New Roman" w:cs="Times New Roman" w:eastAsia="Times New Roman" w:hAnsi="Times New Roman"/>
                <w:sz w:val="15"/>
                <w:szCs w:val="15"/>
                <w:color w:val="000000"/>
              </w:rPr>
              <w:t>Co-Founder, Revon Systems, LLC (Revon), a private healthcare software company (2014 – 2019)</w:t>
            </w:r>
          </w:p>
        </w:tc>
        <w:tc>
          <w:tcPr>
            <w:tcW w:w="0" w:type="dxa"/>
            <w:vAlign w:val="bottom"/>
          </w:tcPr>
          <w:p>
            <w:pPr>
              <w:spacing w:after="0"/>
              <w:rPr>
                <w:sz w:val="1"/>
                <w:szCs w:val="1"/>
                <w:color w:val="auto"/>
              </w:rPr>
            </w:pPr>
          </w:p>
        </w:tc>
      </w:tr>
      <w:tr>
        <w:trPr>
          <w:trHeight w:val="162"/>
        </w:trPr>
        <w:tc>
          <w:tcPr>
            <w:tcW w:w="2940" w:type="dxa"/>
            <w:vAlign w:val="bottom"/>
          </w:tcPr>
          <w:p>
            <w:pPr>
              <w:spacing w:after="0"/>
              <w:rPr>
                <w:sz w:val="14"/>
                <w:szCs w:val="14"/>
                <w:color w:val="auto"/>
              </w:rPr>
            </w:pPr>
          </w:p>
        </w:tc>
        <w:tc>
          <w:tcPr>
            <w:tcW w:w="830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7F7F7F"/>
              </w:rPr>
              <w:t xml:space="preserve">•  </w:t>
            </w:r>
            <w:r>
              <w:rPr>
                <w:rFonts w:ascii="Times New Roman" w:cs="Times New Roman" w:eastAsia="Times New Roman" w:hAnsi="Times New Roman"/>
                <w:sz w:val="15"/>
                <w:szCs w:val="15"/>
                <w:color w:val="000000"/>
              </w:rPr>
              <w:t>Following postgraduate training in pediatric and transplant surgery, was a member of the research team that performed the first</w:t>
            </w:r>
          </w:p>
        </w:tc>
        <w:tc>
          <w:tcPr>
            <w:tcW w:w="0" w:type="dxa"/>
            <w:vAlign w:val="bottom"/>
          </w:tcPr>
          <w:p>
            <w:pPr>
              <w:spacing w:after="0"/>
              <w:rPr>
                <w:sz w:val="1"/>
                <w:szCs w:val="1"/>
                <w:color w:val="auto"/>
              </w:rPr>
            </w:pPr>
          </w:p>
        </w:tc>
      </w:tr>
      <w:tr>
        <w:trPr>
          <w:trHeight w:val="162"/>
        </w:trPr>
        <w:tc>
          <w:tcPr>
            <w:tcW w:w="2940" w:type="dxa"/>
            <w:vAlign w:val="bottom"/>
          </w:tcPr>
          <w:p>
            <w:pPr>
              <w:spacing w:after="0"/>
              <w:rPr>
                <w:sz w:val="14"/>
                <w:szCs w:val="14"/>
                <w:color w:val="auto"/>
              </w:rPr>
            </w:pPr>
          </w:p>
        </w:tc>
        <w:tc>
          <w:tcPr>
            <w:tcW w:w="830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successful hand transplantation and of the Louisville Face Transplant Team, whose work supported hand transplantation in Lyon,</w:t>
            </w:r>
          </w:p>
        </w:tc>
        <w:tc>
          <w:tcPr>
            <w:tcW w:w="0" w:type="dxa"/>
            <w:vAlign w:val="bottom"/>
          </w:tcPr>
          <w:p>
            <w:pPr>
              <w:spacing w:after="0"/>
              <w:rPr>
                <w:sz w:val="1"/>
                <w:szCs w:val="1"/>
                <w:color w:val="auto"/>
              </w:rPr>
            </w:pPr>
          </w:p>
        </w:tc>
      </w:tr>
      <w:tr>
        <w:trPr>
          <w:trHeight w:val="198"/>
        </w:trPr>
        <w:tc>
          <w:tcPr>
            <w:tcW w:w="2940" w:type="dxa"/>
            <w:vAlign w:val="bottom"/>
          </w:tcPr>
          <w:p>
            <w:pPr>
              <w:spacing w:after="0"/>
              <w:rPr>
                <w:sz w:val="17"/>
                <w:szCs w:val="17"/>
                <w:color w:val="auto"/>
              </w:rPr>
            </w:pPr>
          </w:p>
        </w:tc>
        <w:tc>
          <w:tcPr>
            <w:tcW w:w="83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France</w:t>
            </w:r>
          </w:p>
        </w:tc>
        <w:tc>
          <w:tcPr>
            <w:tcW w:w="0" w:type="dxa"/>
            <w:vAlign w:val="bottom"/>
          </w:tcPr>
          <w:p>
            <w:pPr>
              <w:spacing w:after="0"/>
              <w:rPr>
                <w:sz w:val="1"/>
                <w:szCs w:val="1"/>
                <w:color w:val="auto"/>
              </w:rPr>
            </w:pPr>
          </w:p>
        </w:tc>
      </w:tr>
      <w:tr>
        <w:trPr>
          <w:trHeight w:val="103"/>
        </w:trPr>
        <w:tc>
          <w:tcPr>
            <w:tcW w:w="2940" w:type="dxa"/>
            <w:vAlign w:val="bottom"/>
          </w:tcPr>
          <w:p>
            <w:pPr>
              <w:spacing w:after="0"/>
              <w:rPr>
                <w:sz w:val="8"/>
                <w:szCs w:val="8"/>
                <w:color w:val="auto"/>
              </w:rPr>
            </w:pPr>
          </w:p>
        </w:tc>
        <w:tc>
          <w:tcPr>
            <w:tcW w:w="8300" w:type="dxa"/>
            <w:vAlign w:val="bottom"/>
            <w:tcBorders>
              <w:bottom w:val="single" w:sz="8" w:color="BFBFBF"/>
            </w:tcBorders>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2940" w:type="dxa"/>
            <w:vAlign w:val="bottom"/>
          </w:tcPr>
          <w:p>
            <w:pPr>
              <w:spacing w:after="0"/>
              <w:rPr>
                <w:sz w:val="19"/>
                <w:szCs w:val="19"/>
                <w:color w:val="auto"/>
              </w:rPr>
            </w:pPr>
          </w:p>
        </w:tc>
        <w:tc>
          <w:tcPr>
            <w:tcW w:w="83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Qualifications</w:t>
            </w:r>
          </w:p>
        </w:tc>
        <w:tc>
          <w:tcPr>
            <w:tcW w:w="0" w:type="dxa"/>
            <w:vAlign w:val="bottom"/>
          </w:tcPr>
          <w:p>
            <w:pPr>
              <w:spacing w:after="0"/>
              <w:rPr>
                <w:sz w:val="1"/>
                <w:szCs w:val="1"/>
                <w:color w:val="auto"/>
              </w:rPr>
            </w:pPr>
          </w:p>
        </w:tc>
      </w:tr>
      <w:tr>
        <w:trPr>
          <w:trHeight w:val="234"/>
        </w:trPr>
        <w:tc>
          <w:tcPr>
            <w:tcW w:w="2940" w:type="dxa"/>
            <w:vAlign w:val="bottom"/>
            <w:vMerge w:val="restart"/>
          </w:tcPr>
          <w:p>
            <w:pPr>
              <w:ind w:left="20"/>
              <w:spacing w:after="0"/>
              <w:rPr>
                <w:sz w:val="20"/>
                <w:szCs w:val="20"/>
                <w:color w:val="auto"/>
              </w:rPr>
            </w:pPr>
            <w:r>
              <w:rPr>
                <w:rFonts w:ascii="Times New Roman" w:cs="Times New Roman" w:eastAsia="Times New Roman" w:hAnsi="Times New Roman"/>
                <w:sz w:val="25"/>
                <w:szCs w:val="25"/>
                <w:color w:val="auto"/>
              </w:rPr>
              <w:t>Cedric Francois, M.D.,</w:t>
            </w:r>
          </w:p>
        </w:tc>
        <w:tc>
          <w:tcPr>
            <w:tcW w:w="8300" w:type="dxa"/>
            <w:vAlign w:val="bottom"/>
          </w:tcPr>
          <w:p>
            <w:pPr>
              <w:ind w:left="120"/>
              <w:spacing w:after="0"/>
              <w:rPr>
                <w:sz w:val="20"/>
                <w:szCs w:val="20"/>
                <w:color w:val="auto"/>
              </w:rPr>
            </w:pPr>
            <w:r>
              <w:rPr>
                <w:rFonts w:ascii="Times New Roman" w:cs="Times New Roman" w:eastAsia="Times New Roman" w:hAnsi="Times New Roman"/>
                <w:sz w:val="15"/>
                <w:szCs w:val="15"/>
                <w:color w:val="7F7F7F"/>
              </w:rPr>
              <w:t xml:space="preserve">•  </w:t>
            </w:r>
            <w:r>
              <w:rPr>
                <w:rFonts w:ascii="Times New Roman" w:cs="Times New Roman" w:eastAsia="Times New Roman" w:hAnsi="Times New Roman"/>
                <w:sz w:val="15"/>
                <w:szCs w:val="15"/>
                <w:color w:val="000000"/>
              </w:rPr>
              <w:t>Expertise and extensive leadership experience in immunology and immune system-mediated diseases</w:t>
            </w:r>
          </w:p>
        </w:tc>
        <w:tc>
          <w:tcPr>
            <w:tcW w:w="0" w:type="dxa"/>
            <w:vAlign w:val="bottom"/>
          </w:tcPr>
          <w:p>
            <w:pPr>
              <w:spacing w:after="0"/>
              <w:rPr>
                <w:sz w:val="1"/>
                <w:szCs w:val="1"/>
                <w:color w:val="auto"/>
              </w:rPr>
            </w:pPr>
          </w:p>
        </w:tc>
      </w:tr>
      <w:tr>
        <w:trPr>
          <w:trHeight w:val="152"/>
        </w:trPr>
        <w:tc>
          <w:tcPr>
            <w:tcW w:w="2940" w:type="dxa"/>
            <w:vAlign w:val="bottom"/>
            <w:vMerge w:val="continue"/>
          </w:tcPr>
          <w:p>
            <w:pPr>
              <w:spacing w:after="0"/>
              <w:rPr>
                <w:sz w:val="13"/>
                <w:szCs w:val="13"/>
                <w:color w:val="auto"/>
              </w:rPr>
            </w:pPr>
          </w:p>
        </w:tc>
        <w:tc>
          <w:tcPr>
            <w:tcW w:w="8300" w:type="dxa"/>
            <w:vAlign w:val="bottom"/>
            <w:vMerge w:val="restart"/>
          </w:tcPr>
          <w:p>
            <w:pPr>
              <w:ind w:left="120"/>
              <w:spacing w:after="0"/>
              <w:rPr>
                <w:sz w:val="20"/>
                <w:szCs w:val="20"/>
                <w:color w:val="auto"/>
              </w:rPr>
            </w:pPr>
            <w:r>
              <w:rPr>
                <w:rFonts w:ascii="Times New Roman" w:cs="Times New Roman" w:eastAsia="Times New Roman" w:hAnsi="Times New Roman"/>
                <w:sz w:val="15"/>
                <w:szCs w:val="15"/>
                <w:color w:val="7F7F7F"/>
              </w:rPr>
              <w:t xml:space="preserve">•  </w:t>
            </w:r>
            <w:r>
              <w:rPr>
                <w:rFonts w:ascii="Times New Roman" w:cs="Times New Roman" w:eastAsia="Times New Roman" w:hAnsi="Times New Roman"/>
                <w:sz w:val="15"/>
                <w:szCs w:val="15"/>
                <w:color w:val="000000"/>
              </w:rPr>
              <w:t>Extensive knowledge of our company based on his role as co-founder and Chief Executive Officer</w:t>
            </w:r>
          </w:p>
        </w:tc>
        <w:tc>
          <w:tcPr>
            <w:tcW w:w="0" w:type="dxa"/>
            <w:vAlign w:val="bottom"/>
          </w:tcPr>
          <w:p>
            <w:pPr>
              <w:spacing w:after="0"/>
              <w:rPr>
                <w:sz w:val="1"/>
                <w:szCs w:val="1"/>
                <w:color w:val="auto"/>
              </w:rPr>
            </w:pPr>
          </w:p>
        </w:tc>
      </w:tr>
      <w:tr>
        <w:trPr>
          <w:trHeight w:val="46"/>
        </w:trPr>
        <w:tc>
          <w:tcPr>
            <w:tcW w:w="2940" w:type="dxa"/>
            <w:vAlign w:val="bottom"/>
          </w:tcPr>
          <w:p>
            <w:pPr>
              <w:spacing w:after="0"/>
              <w:rPr>
                <w:sz w:val="4"/>
                <w:szCs w:val="4"/>
                <w:color w:val="auto"/>
              </w:rPr>
            </w:pPr>
          </w:p>
        </w:tc>
        <w:tc>
          <w:tcPr>
            <w:tcW w:w="8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940" w:type="dxa"/>
            <w:vAlign w:val="bottom"/>
            <w:vMerge w:val="restart"/>
          </w:tcPr>
          <w:p>
            <w:pPr>
              <w:ind w:left="20"/>
              <w:spacing w:after="0"/>
              <w:rPr>
                <w:sz w:val="20"/>
                <w:szCs w:val="20"/>
                <w:color w:val="auto"/>
              </w:rPr>
            </w:pPr>
            <w:r>
              <w:rPr>
                <w:rFonts w:ascii="Times New Roman" w:cs="Times New Roman" w:eastAsia="Times New Roman" w:hAnsi="Times New Roman"/>
                <w:sz w:val="25"/>
                <w:szCs w:val="25"/>
                <w:color w:val="auto"/>
              </w:rPr>
              <w:t>Ph.D.</w:t>
            </w:r>
          </w:p>
        </w:tc>
        <w:tc>
          <w:tcPr>
            <w:tcW w:w="83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Education</w:t>
            </w:r>
          </w:p>
        </w:tc>
        <w:tc>
          <w:tcPr>
            <w:tcW w:w="0" w:type="dxa"/>
            <w:vAlign w:val="bottom"/>
          </w:tcPr>
          <w:p>
            <w:pPr>
              <w:spacing w:after="0"/>
              <w:rPr>
                <w:sz w:val="1"/>
                <w:szCs w:val="1"/>
                <w:color w:val="auto"/>
              </w:rPr>
            </w:pPr>
          </w:p>
        </w:tc>
      </w:tr>
      <w:tr>
        <w:trPr>
          <w:trHeight w:val="162"/>
        </w:trPr>
        <w:tc>
          <w:tcPr>
            <w:tcW w:w="2940" w:type="dxa"/>
            <w:vAlign w:val="bottom"/>
            <w:vMerge w:val="continue"/>
          </w:tcPr>
          <w:p>
            <w:pPr>
              <w:spacing w:after="0"/>
              <w:rPr>
                <w:sz w:val="14"/>
                <w:szCs w:val="14"/>
                <w:color w:val="auto"/>
              </w:rPr>
            </w:pPr>
          </w:p>
        </w:tc>
        <w:tc>
          <w:tcPr>
            <w:tcW w:w="830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7F7F7F"/>
              </w:rPr>
              <w:t xml:space="preserve">•  </w:t>
            </w:r>
            <w:r>
              <w:rPr>
                <w:rFonts w:ascii="Times New Roman" w:cs="Times New Roman" w:eastAsia="Times New Roman" w:hAnsi="Times New Roman"/>
                <w:sz w:val="15"/>
                <w:szCs w:val="15"/>
                <w:color w:val="000000"/>
              </w:rPr>
              <w:t>M.D., University of Leuven (Belgium)</w:t>
            </w:r>
          </w:p>
        </w:tc>
        <w:tc>
          <w:tcPr>
            <w:tcW w:w="0" w:type="dxa"/>
            <w:vAlign w:val="bottom"/>
          </w:tcPr>
          <w:p>
            <w:pPr>
              <w:spacing w:after="0"/>
              <w:rPr>
                <w:sz w:val="1"/>
                <w:szCs w:val="1"/>
                <w:color w:val="auto"/>
              </w:rPr>
            </w:pPr>
          </w:p>
        </w:tc>
      </w:tr>
      <w:tr>
        <w:trPr>
          <w:trHeight w:val="247"/>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President and Chief Executive</w:t>
            </w:r>
          </w:p>
        </w:tc>
        <w:tc>
          <w:tcPr>
            <w:tcW w:w="8300" w:type="dxa"/>
            <w:vAlign w:val="bottom"/>
            <w:tcBorders>
              <w:bottom w:val="single" w:sz="8" w:color="BFBFBF"/>
            </w:tcBorders>
          </w:tcPr>
          <w:p>
            <w:pPr>
              <w:ind w:left="120"/>
              <w:spacing w:after="0"/>
              <w:rPr>
                <w:sz w:val="20"/>
                <w:szCs w:val="20"/>
                <w:color w:val="auto"/>
              </w:rPr>
            </w:pPr>
            <w:r>
              <w:rPr>
                <w:rFonts w:ascii="Times New Roman" w:cs="Times New Roman" w:eastAsia="Times New Roman" w:hAnsi="Times New Roman"/>
                <w:sz w:val="15"/>
                <w:szCs w:val="15"/>
                <w:color w:val="7F7F7F"/>
              </w:rPr>
              <w:t xml:space="preserve">•  </w:t>
            </w:r>
            <w:r>
              <w:rPr>
                <w:rFonts w:ascii="Times New Roman" w:cs="Times New Roman" w:eastAsia="Times New Roman" w:hAnsi="Times New Roman"/>
                <w:sz w:val="15"/>
                <w:szCs w:val="15"/>
                <w:color w:val="000000"/>
              </w:rPr>
              <w:t>Ph.D., Physiology, University of Louisville</w:t>
            </w:r>
          </w:p>
        </w:tc>
        <w:tc>
          <w:tcPr>
            <w:tcW w:w="0" w:type="dxa"/>
            <w:vAlign w:val="bottom"/>
          </w:tcPr>
          <w:p>
            <w:pPr>
              <w:spacing w:after="0"/>
              <w:rPr>
                <w:sz w:val="1"/>
                <w:szCs w:val="1"/>
                <w:color w:val="auto"/>
              </w:rPr>
            </w:pPr>
          </w:p>
        </w:tc>
      </w:tr>
      <w:tr>
        <w:trPr>
          <w:trHeight w:val="192"/>
        </w:trPr>
        <w:tc>
          <w:tcPr>
            <w:tcW w:w="2940" w:type="dxa"/>
            <w:vAlign w:val="bottom"/>
          </w:tcPr>
          <w:p>
            <w:pPr>
              <w:ind w:left="20"/>
              <w:spacing w:after="0" w:line="192" w:lineRule="exact"/>
              <w:rPr>
                <w:sz w:val="20"/>
                <w:szCs w:val="20"/>
                <w:color w:val="auto"/>
              </w:rPr>
            </w:pPr>
            <w:r>
              <w:rPr>
                <w:rFonts w:ascii="Times New Roman" w:cs="Times New Roman" w:eastAsia="Times New Roman" w:hAnsi="Times New Roman"/>
                <w:sz w:val="18"/>
                <w:szCs w:val="18"/>
                <w:b w:val="1"/>
                <w:bCs w:val="1"/>
                <w:color w:val="auto"/>
              </w:rPr>
              <w:t>Officer</w:t>
            </w:r>
          </w:p>
        </w:tc>
        <w:tc>
          <w:tcPr>
            <w:tcW w:w="83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Boards</w:t>
            </w:r>
          </w:p>
        </w:tc>
        <w:tc>
          <w:tcPr>
            <w:tcW w:w="0" w:type="dxa"/>
            <w:vAlign w:val="bottom"/>
          </w:tcPr>
          <w:p>
            <w:pPr>
              <w:spacing w:after="0"/>
              <w:rPr>
                <w:sz w:val="1"/>
                <w:szCs w:val="1"/>
                <w:color w:val="auto"/>
              </w:rPr>
            </w:pPr>
          </w:p>
        </w:tc>
      </w:tr>
      <w:tr>
        <w:trPr>
          <w:trHeight w:val="162"/>
        </w:trPr>
        <w:tc>
          <w:tcPr>
            <w:tcW w:w="294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Director since 2009</w:t>
            </w:r>
          </w:p>
        </w:tc>
        <w:tc>
          <w:tcPr>
            <w:tcW w:w="830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7F7F7F"/>
              </w:rPr>
              <w:t xml:space="preserve">•  </w:t>
            </w:r>
            <w:r>
              <w:rPr>
                <w:rFonts w:ascii="Times New Roman" w:cs="Times New Roman" w:eastAsia="Times New Roman" w:hAnsi="Times New Roman"/>
                <w:sz w:val="15"/>
                <w:szCs w:val="15"/>
                <w:color w:val="000000"/>
              </w:rPr>
              <w:t>Liberate Medical, Inc. (private, 2016 – present)</w:t>
            </w:r>
          </w:p>
        </w:tc>
        <w:tc>
          <w:tcPr>
            <w:tcW w:w="0" w:type="dxa"/>
            <w:vAlign w:val="bottom"/>
          </w:tcPr>
          <w:p>
            <w:pPr>
              <w:spacing w:after="0"/>
              <w:rPr>
                <w:sz w:val="1"/>
                <w:szCs w:val="1"/>
                <w:color w:val="auto"/>
              </w:rPr>
            </w:pPr>
          </w:p>
        </w:tc>
      </w:tr>
      <w:tr>
        <w:trPr>
          <w:trHeight w:val="162"/>
        </w:trPr>
        <w:tc>
          <w:tcPr>
            <w:tcW w:w="2940" w:type="dxa"/>
            <w:vAlign w:val="bottom"/>
            <w:vMerge w:val="continue"/>
          </w:tcPr>
          <w:p>
            <w:pPr>
              <w:spacing w:after="0"/>
              <w:rPr>
                <w:sz w:val="14"/>
                <w:szCs w:val="14"/>
                <w:color w:val="auto"/>
              </w:rPr>
            </w:pPr>
          </w:p>
        </w:tc>
        <w:tc>
          <w:tcPr>
            <w:tcW w:w="830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7F7F7F"/>
              </w:rPr>
              <w:t xml:space="preserve">•  </w:t>
            </w:r>
            <w:r>
              <w:rPr>
                <w:rFonts w:ascii="Times New Roman" w:cs="Times New Roman" w:eastAsia="Times New Roman" w:hAnsi="Times New Roman"/>
                <w:sz w:val="15"/>
                <w:szCs w:val="15"/>
                <w:color w:val="000000"/>
              </w:rPr>
              <w:t>Acuamark Diagnostics (private, 2021 – present)</w:t>
            </w:r>
          </w:p>
        </w:tc>
        <w:tc>
          <w:tcPr>
            <w:tcW w:w="0" w:type="dxa"/>
            <w:vAlign w:val="bottom"/>
          </w:tcPr>
          <w:p>
            <w:pPr>
              <w:spacing w:after="0"/>
              <w:rPr>
                <w:sz w:val="1"/>
                <w:szCs w:val="1"/>
                <w:color w:val="auto"/>
              </w:rPr>
            </w:pPr>
          </w:p>
        </w:tc>
      </w:tr>
      <w:tr>
        <w:trPr>
          <w:trHeight w:val="178"/>
        </w:trPr>
        <w:tc>
          <w:tcPr>
            <w:tcW w:w="2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 xml:space="preserve">Age: </w:t>
            </w:r>
            <w:r>
              <w:rPr>
                <w:rFonts w:ascii="Times New Roman" w:cs="Times New Roman" w:eastAsia="Times New Roman" w:hAnsi="Times New Roman"/>
                <w:sz w:val="15"/>
                <w:szCs w:val="15"/>
                <w:b w:val="1"/>
                <w:bCs w:val="1"/>
                <w:color w:val="auto"/>
              </w:rPr>
              <w:t>52</w:t>
            </w:r>
          </w:p>
        </w:tc>
        <w:tc>
          <w:tcPr>
            <w:tcW w:w="8300" w:type="dxa"/>
            <w:vAlign w:val="bottom"/>
          </w:tcPr>
          <w:p>
            <w:pPr>
              <w:ind w:left="120"/>
              <w:spacing w:after="0"/>
              <w:rPr>
                <w:sz w:val="20"/>
                <w:szCs w:val="20"/>
                <w:color w:val="auto"/>
              </w:rPr>
            </w:pPr>
            <w:r>
              <w:rPr>
                <w:rFonts w:ascii="Times New Roman" w:cs="Times New Roman" w:eastAsia="Times New Roman" w:hAnsi="Times New Roman"/>
                <w:sz w:val="15"/>
                <w:szCs w:val="15"/>
                <w:color w:val="7F7F7F"/>
              </w:rPr>
              <w:t xml:space="preserve">•  </w:t>
            </w:r>
            <w:r>
              <w:rPr>
                <w:rFonts w:ascii="Times New Roman" w:cs="Times New Roman" w:eastAsia="Times New Roman" w:hAnsi="Times New Roman"/>
                <w:sz w:val="15"/>
                <w:szCs w:val="15"/>
                <w:color w:val="000000"/>
              </w:rPr>
              <w:t>Potentia Pharmaceuticals (private, 2001 – 2018)</w:t>
            </w:r>
          </w:p>
        </w:tc>
        <w:tc>
          <w:tcPr>
            <w:tcW w:w="0" w:type="dxa"/>
            <w:vAlign w:val="bottom"/>
          </w:tcPr>
          <w:p>
            <w:pPr>
              <w:spacing w:after="0"/>
              <w:rPr>
                <w:sz w:val="1"/>
                <w:szCs w:val="1"/>
                <w:color w:val="auto"/>
              </w:rPr>
            </w:pPr>
          </w:p>
        </w:tc>
      </w:tr>
      <w:tr>
        <w:trPr>
          <w:trHeight w:val="198"/>
        </w:trPr>
        <w:tc>
          <w:tcPr>
            <w:tcW w:w="2940" w:type="dxa"/>
            <w:vAlign w:val="bottom"/>
          </w:tcPr>
          <w:p>
            <w:pPr>
              <w:spacing w:after="0"/>
              <w:rPr>
                <w:sz w:val="17"/>
                <w:szCs w:val="17"/>
                <w:color w:val="auto"/>
              </w:rPr>
            </w:pPr>
          </w:p>
        </w:tc>
        <w:tc>
          <w:tcPr>
            <w:tcW w:w="8300" w:type="dxa"/>
            <w:vAlign w:val="bottom"/>
          </w:tcPr>
          <w:p>
            <w:pPr>
              <w:ind w:left="120"/>
              <w:spacing w:after="0"/>
              <w:rPr>
                <w:sz w:val="20"/>
                <w:szCs w:val="20"/>
                <w:color w:val="auto"/>
              </w:rPr>
            </w:pPr>
            <w:r>
              <w:rPr>
                <w:rFonts w:ascii="Times New Roman" w:cs="Times New Roman" w:eastAsia="Times New Roman" w:hAnsi="Times New Roman"/>
                <w:sz w:val="15"/>
                <w:szCs w:val="15"/>
                <w:color w:val="7F7F7F"/>
              </w:rPr>
              <w:t xml:space="preserve">•  </w:t>
            </w:r>
            <w:r>
              <w:rPr>
                <w:rFonts w:ascii="Times New Roman" w:cs="Times New Roman" w:eastAsia="Times New Roman" w:hAnsi="Times New Roman"/>
                <w:sz w:val="15"/>
                <w:szCs w:val="15"/>
                <w:color w:val="000000"/>
              </w:rPr>
              <w:t>Revon Systems (private, 2014 – 2019)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-2216150</wp:posOffset>
            </wp:positionV>
            <wp:extent cx="1045845" cy="1045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45845" cy="1045845"/>
                    </a:xfrm>
                    <a:prstGeom prst="rect">
                      <a:avLst/>
                    </a:prstGeom>
                    <a:noFill/>
                  </pic:spPr>
                </pic:pic>
              </a:graphicData>
            </a:graphic>
          </wp:anchor>
        </w:drawing>
      </w:r>
    </w:p>
    <w:p>
      <w:pPr>
        <w:spacing w:after="0" w:line="90"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5"/>
          <w:szCs w:val="15"/>
          <w:color w:val="auto"/>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-80645</wp:posOffset>
            </wp:positionV>
            <wp:extent cx="1019810" cy="9772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19810" cy="977265"/>
                    </a:xfrm>
                    <a:prstGeom prst="rect">
                      <a:avLst/>
                    </a:prstGeom>
                    <a:noFill/>
                  </pic:spPr>
                </pic:pic>
              </a:graphicData>
            </a:graphic>
          </wp:anchor>
        </w:drawing>
      </w:r>
    </w:p>
    <w:p>
      <w:pPr>
        <w:ind w:left="3240" w:hanging="179"/>
        <w:spacing w:after="0" w:line="233" w:lineRule="auto"/>
        <w:tabs>
          <w:tab w:leader="none" w:pos="324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CEO of Headwaters Biotech Advisors (2020 – present)</w:t>
      </w:r>
    </w:p>
    <w:p>
      <w:pPr>
        <w:ind w:left="3240" w:hanging="179"/>
        <w:spacing w:after="0" w:line="225" w:lineRule="auto"/>
        <w:tabs>
          <w:tab w:leader="none" w:pos="324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President and Chief Executive Officer of Momenta Pharmaceuticals (2006 – 2020)</w:t>
      </w:r>
    </w:p>
    <w:p>
      <w:pPr>
        <w:ind w:left="3240" w:hanging="179"/>
        <w:spacing w:after="0" w:line="225" w:lineRule="auto"/>
        <w:tabs>
          <w:tab w:leader="none" w:pos="324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President of Chiron Biopharmaceuticals (2001 – 2006)</w:t>
      </w:r>
    </w:p>
    <w:p>
      <w:pPr>
        <w:ind w:left="3240" w:hanging="179"/>
        <w:spacing w:after="0"/>
        <w:tabs>
          <w:tab w:leader="none" w:pos="324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Senior member of The Boston Consulting Group’s health care practice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1864995</wp:posOffset>
            </wp:positionH>
            <wp:positionV relativeFrom="paragraph">
              <wp:posOffset>-5080</wp:posOffset>
            </wp:positionV>
            <wp:extent cx="52717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271770" cy="825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5"/>
          <w:szCs w:val="25"/>
          <w:color w:val="auto"/>
        </w:rPr>
        <w:t>Craig Wheeler,</w:t>
      </w:r>
    </w:p>
    <w:p>
      <w:pPr>
        <w:spacing w:after="0" w:line="9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Age: 63</w:t>
      </w:r>
    </w:p>
    <w:p>
      <w:pPr>
        <w:spacing w:after="0" w:line="1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b w:val="1"/>
          <w:bCs w:val="1"/>
          <w:color w:val="auto"/>
        </w:rPr>
        <w:t>Independent Director since 2025</w:t>
      </w:r>
    </w:p>
    <w:p>
      <w:pPr>
        <w:spacing w:after="0" w:line="13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Committees:</w:t>
      </w:r>
    </w:p>
    <w:p>
      <w:pPr>
        <w:spacing w:after="0" w:line="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color w:val="auto"/>
        </w:rPr>
        <w:t>•Audit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Qualifications</w:t>
      </w:r>
    </w:p>
    <w:p>
      <w:pPr>
        <w:ind w:left="280" w:hanging="179"/>
        <w:spacing w:after="0" w:line="233" w:lineRule="auto"/>
        <w:tabs>
          <w:tab w:leader="none" w:pos="28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Expertise and extensive leadership experience in pharmaceutical industry</w:t>
      </w:r>
    </w:p>
    <w:p>
      <w:pPr>
        <w:ind w:left="280" w:hanging="179"/>
        <w:spacing w:after="0"/>
        <w:tabs>
          <w:tab w:leader="none" w:pos="28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Expertise in drug development, manufacturing, and the technical issues facing growing biopharmaceutical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-5080</wp:posOffset>
            </wp:positionV>
            <wp:extent cx="52717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271770" cy="8255"/>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Education</w:t>
      </w:r>
    </w:p>
    <w:p>
      <w:pPr>
        <w:ind w:left="280" w:hanging="179"/>
        <w:spacing w:after="0" w:line="233" w:lineRule="auto"/>
        <w:tabs>
          <w:tab w:leader="none" w:pos="28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M.B.A., Wharton School of the University of Pennsylvania</w:t>
      </w:r>
    </w:p>
    <w:p>
      <w:pPr>
        <w:ind w:left="280" w:hanging="179"/>
        <w:spacing w:after="0" w:line="225" w:lineRule="auto"/>
        <w:tabs>
          <w:tab w:leader="none" w:pos="28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M.S., Cornell University</w:t>
      </w:r>
    </w:p>
    <w:p>
      <w:pPr>
        <w:ind w:left="280" w:hanging="179"/>
        <w:spacing w:after="0"/>
        <w:tabs>
          <w:tab w:leader="none" w:pos="28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B.S., Cornell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-5080</wp:posOffset>
            </wp:positionV>
            <wp:extent cx="52717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271770" cy="8255"/>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Other Boards</w:t>
      </w:r>
    </w:p>
    <w:p>
      <w:pPr>
        <w:ind w:left="280" w:hanging="179"/>
        <w:spacing w:after="0" w:line="233" w:lineRule="auto"/>
        <w:tabs>
          <w:tab w:leader="none" w:pos="28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Amicus Therapeutics, Inc. (2016 – present)</w:t>
      </w:r>
    </w:p>
    <w:p>
      <w:pPr>
        <w:ind w:left="280" w:hanging="179"/>
        <w:spacing w:after="0" w:line="225" w:lineRule="auto"/>
        <w:tabs>
          <w:tab w:leader="none" w:pos="28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Avanir Pharmaceuticals, Inc (2005 – 2016)</w:t>
      </w:r>
    </w:p>
    <w:p>
      <w:pPr>
        <w:ind w:left="280" w:hanging="179"/>
        <w:spacing w:after="0"/>
        <w:tabs>
          <w:tab w:leader="none" w:pos="28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Momenta Pharmaceuticals, Inc. (2006 –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-5080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60" w:space="700"/>
            <w:col w:w="8280"/>
          </w:cols>
          <w:pgMar w:left="320" w:top="1008" w:right="339" w:bottom="1440" w:gutter="0" w:footer="0" w:header="0"/>
          <w:type w:val="continuous"/>
        </w:sectPr>
      </w:pP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HOW OUR DIRECTORS ARE SELECTED AND ELECTED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Director Nomination Process</w:t>
      </w:r>
    </w:p>
    <w:p>
      <w:pPr>
        <w:spacing w:after="0" w:line="223"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6"/>
          <w:szCs w:val="16"/>
          <w:color w:val="auto"/>
        </w:rPr>
        <w:t>Our nominating and corporate governance committee is responsible for identifying individuals qualified to serve as directors, consistent with criteria approved by our board, and recommending the persons to be nominated for election as directors, except where we are legally required by contract, law or otherwise to provide third parties with the right to nominate director candidates.</w:t>
      </w:r>
    </w:p>
    <w:p>
      <w:pPr>
        <w:spacing w:after="0" w:line="164"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The process followed by our nominating and corporate governance committee to identify and evaluate director candidates includes requests to board members and others for recommendations, meetings from time to time to evaluate biographical information and background material relating to potential candidates and interviews of selected candidates by members of the committee and our board of directors. While there are no specific minimum qualifications for a committee-recommended nominee to our board of directors, the qualifications, qualities and skills that our nominating and corporate governance committee believes must be met by a committee-recommended nominee for a position on our board of directors are as follows:</w:t>
      </w:r>
    </w:p>
    <w:p>
      <w:pPr>
        <w:spacing w:after="0" w:line="280"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Nominees should have a reputation for integrity, honesty and adherence to high ethical standards.</w:t>
      </w:r>
    </w:p>
    <w:p>
      <w:pPr>
        <w:spacing w:after="0" w:line="126" w:lineRule="exact"/>
        <w:rPr>
          <w:rFonts w:ascii="Times New Roman" w:cs="Times New Roman" w:eastAsia="Times New Roman" w:hAnsi="Times New Roman"/>
          <w:sz w:val="16"/>
          <w:szCs w:val="16"/>
          <w:color w:val="auto"/>
        </w:rPr>
      </w:pPr>
    </w:p>
    <w:p>
      <w:pPr>
        <w:ind w:left="1020" w:right="40" w:hanging="503"/>
        <w:spacing w:after="0" w:line="298" w:lineRule="auto"/>
        <w:tabs>
          <w:tab w:leader="none" w:pos="10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Nominees should have demonstrated business acumen, experience and ability to exercise sound judgments in matters that relate to our current and long-term objectives and should be willing and able to contribute positively to our decision-making process.</w:t>
      </w:r>
    </w:p>
    <w:p>
      <w:pPr>
        <w:spacing w:after="0" w:line="56" w:lineRule="exact"/>
        <w:rPr>
          <w:rFonts w:ascii="Times New Roman" w:cs="Times New Roman" w:eastAsia="Times New Roman" w:hAnsi="Times New Roman"/>
          <w:sz w:val="16"/>
          <w:szCs w:val="16"/>
          <w:color w:val="auto"/>
        </w:rPr>
      </w:pPr>
    </w:p>
    <w:p>
      <w:pPr>
        <w:ind w:left="1020" w:right="520" w:hanging="503"/>
        <w:spacing w:after="0" w:line="298" w:lineRule="auto"/>
        <w:tabs>
          <w:tab w:leader="none" w:pos="10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Nominees should have a commitment to understand our company and our industry and to regularly attend and participate in meetings of our board of directors and its committees.</w:t>
      </w:r>
    </w:p>
    <w:p>
      <w:pPr>
        <w:spacing w:after="0" w:line="56" w:lineRule="exact"/>
        <w:rPr>
          <w:rFonts w:ascii="Times New Roman" w:cs="Times New Roman" w:eastAsia="Times New Roman" w:hAnsi="Times New Roman"/>
          <w:sz w:val="16"/>
          <w:szCs w:val="16"/>
          <w:color w:val="auto"/>
        </w:rPr>
      </w:pPr>
    </w:p>
    <w:p>
      <w:pPr>
        <w:ind w:left="1020" w:right="220" w:hanging="503"/>
        <w:spacing w:after="0" w:line="298" w:lineRule="auto"/>
        <w:tabs>
          <w:tab w:leader="none" w:pos="10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Nominees should have the interest and ability to understand the sometimes conflicting interests of our various constituencies, which include stockholders, employees, customers, governmental units, creditors and the general public, and to act in the interests of all stockholders.</w:t>
      </w:r>
    </w:p>
    <w:p>
      <w:pPr>
        <w:spacing w:after="0" w:line="56" w:lineRule="exact"/>
        <w:rPr>
          <w:rFonts w:ascii="Times New Roman" w:cs="Times New Roman" w:eastAsia="Times New Roman" w:hAnsi="Times New Roman"/>
          <w:sz w:val="16"/>
          <w:szCs w:val="16"/>
          <w:color w:val="auto"/>
        </w:rPr>
      </w:pPr>
    </w:p>
    <w:p>
      <w:pPr>
        <w:ind w:left="1020" w:right="780" w:hanging="503"/>
        <w:spacing w:after="0" w:line="298" w:lineRule="auto"/>
        <w:tabs>
          <w:tab w:leader="none" w:pos="10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Nominees should not have, nor appear to have, a conflict of interest that would impair the nominee’s ability to represent the interests of all of our stockholders and to fulfill the responsibilities of a director.</w:t>
      </w:r>
    </w:p>
    <w:p>
      <w:pPr>
        <w:spacing w:after="0" w:line="56" w:lineRule="exact"/>
        <w:rPr>
          <w:rFonts w:ascii="Times New Roman" w:cs="Times New Roman" w:eastAsia="Times New Roman" w:hAnsi="Times New Roman"/>
          <w:sz w:val="16"/>
          <w:szCs w:val="16"/>
          <w:color w:val="auto"/>
        </w:rPr>
      </w:pPr>
    </w:p>
    <w:p>
      <w:pPr>
        <w:ind w:left="1020" w:right="80" w:hanging="503"/>
        <w:spacing w:after="0" w:line="298" w:lineRule="auto"/>
        <w:tabs>
          <w:tab w:leader="none" w:pos="10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Nominees shall not be discriminated against on the basis of race, religion, national origin, sex, sexual orientation, disability or any other basis proscribed by law. The value of diversity on our board of directors is considered.</w:t>
      </w:r>
    </w:p>
    <w:p>
      <w:pPr>
        <w:spacing w:after="0" w:line="151"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6"/>
          <w:szCs w:val="16"/>
          <w:color w:val="auto"/>
        </w:rPr>
        <w:t>We have no formal policy regarding board diversity, but our corporate governance guidelines provide that the value of diversity should be considered and that the background and qualifications of the members of our board of directors considered as a group should provide a significant breadth of experience, knowledge, and ability to assist our board of directors in fulfilling its responsibilities. Our priority in selection of board members is identification of members who will further the interests of our stockholders through their established records of professional accomplishment, knowledge of our business, understanding of the competitive landscape in which we operate and adherence to high ethical standards. Certain individual qualifications and skills of our directors that contribute to our board of directors’ effectiveness as a whole are described above in “Proposal No. 1— Election of Class II Directors.”</w:t>
      </w:r>
    </w:p>
    <w:p>
      <w:pPr>
        <w:spacing w:after="0" w:line="171" w:lineRule="exact"/>
        <w:rPr>
          <w:sz w:val="20"/>
          <w:szCs w:val="20"/>
          <w:color w:val="auto"/>
        </w:rPr>
      </w:pPr>
    </w:p>
    <w:p>
      <w:pPr>
        <w:ind w:right="340"/>
        <w:spacing w:after="0" w:line="298" w:lineRule="auto"/>
        <w:rPr>
          <w:sz w:val="20"/>
          <w:szCs w:val="20"/>
          <w:color w:val="auto"/>
        </w:rPr>
      </w:pPr>
      <w:r>
        <w:rPr>
          <w:rFonts w:ascii="Times New Roman" w:cs="Times New Roman" w:eastAsia="Times New Roman" w:hAnsi="Times New Roman"/>
          <w:sz w:val="16"/>
          <w:szCs w:val="16"/>
          <w:color w:val="auto"/>
        </w:rPr>
        <w:t>The nominating and corporate governance committee may use a third-party search firm in those situations where particular qualifications are required or where existing contacts are not sufficient to identify an appropriate candidate.</w:t>
      </w:r>
    </w:p>
    <w:p>
      <w:pPr>
        <w:spacing w:after="0" w:line="151"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6"/>
          <w:szCs w:val="16"/>
          <w:color w:val="auto"/>
        </w:rPr>
        <w:t>Stockholders may recommend individuals to the nominating and corporate governance committee for consideration as potential director candidates. Any such proposals should be submitted to our corporate secretary at our principal executive offices and should include appropriate biographical and background material to allow the nominating and corporate governance committee to properly evaluate the potential director candidate and the number of shares of our stock beneficially owned by the stockholder proposing the candidate. The specific requirements for the information that is required to be provided for such recommendations to be considered are specified in our amended and restated bylaws and must be received by us no later than the date referenced below under the heading “Stockholder Proposals for our 2026 Annual Meeting.”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did not receive any stockholder proposals or recommendations for director candidates for the 2025 Annual Meeting.</w:t>
      </w:r>
    </w:p>
    <w:p>
      <w:pPr>
        <w:spacing w:after="0" w:line="235" w:lineRule="exact"/>
        <w:rPr>
          <w:sz w:val="20"/>
          <w:szCs w:val="20"/>
          <w:color w:val="auto"/>
        </w:rPr>
      </w:pPr>
    </w:p>
    <w:p>
      <w:pPr>
        <w:jc w:val="both"/>
        <w:ind w:right="140"/>
        <w:spacing w:after="0" w:line="281" w:lineRule="auto"/>
        <w:rPr>
          <w:sz w:val="20"/>
          <w:szCs w:val="20"/>
          <w:color w:val="auto"/>
        </w:rPr>
      </w:pPr>
      <w:r>
        <w:rPr>
          <w:rFonts w:ascii="Times New Roman" w:cs="Times New Roman" w:eastAsia="Times New Roman" w:hAnsi="Times New Roman"/>
          <w:sz w:val="16"/>
          <w:szCs w:val="16"/>
          <w:color w:val="auto"/>
        </w:rPr>
        <w:t>Assuming that biographical and background material has been provided on a timely basis, any recommendations received from stockholders will be evaluated in the same manner as potential nominees proposed by the nominating and corporate governance committee. If our board of directors decides to nominate a stockholder-recommended candidate and recommends his or her election, then his or her name will be included on our proxy card for the next annual meeting.</w:t>
      </w:r>
    </w:p>
    <w:p>
      <w:pPr>
        <w:spacing w:after="0" w:line="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0"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6"/>
          <w:szCs w:val="16"/>
          <w:color w:val="auto"/>
        </w:rPr>
        <w:t>Applicable rules of the Nasdaq Stock Market LLC, or Nasdaq, require a majority of a listed company’s board of directors to be comprised of independent directors within one year of listing. In addition, the Nasdaq rules require that, subject to specified exceptions, each member of a listed company’s audit, compensation and nominating and corporate governance committees be independent. Audit committee members must also satisfy the independence criteria set forth in Rule 10A-3 under the Securities Exchange Act of 1934, as amended, or the Exchange Act, and compensation committee members must also satisfy the independence criteria set forth in Rule 10C-1 under the Exchange Act. Under applicable Nasdaq rules, a director will only qualify as an “independent director” if, in the opinion of the listed company’s board of directors, that person does not have a relationship that would interfere with the exercise of independent judgment in carrying out the responsibilities of a director.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 In order to be considered independent for purposes of Rule 10C-1 under the Exchange Act, the board must consider, for each member of a compensation committee of a listed company, all factors specifically relevant to determining whether a director has a relationship to such company which is material to that director’s ability to be independent from management in connection with the duties of a compensation committee member, including, but not limited to, the source of compensation of the director, including any consulting advisory or other compensatory fee paid by such company to the director, and whether the director is affiliated with the company or any of its subsidiaries or affiliates.</w:t>
      </w:r>
    </w:p>
    <w:p>
      <w:pPr>
        <w:spacing w:after="0" w:line="174"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6"/>
          <w:szCs w:val="16"/>
          <w:color w:val="auto"/>
        </w:rPr>
        <w:t>In February and April 2025, our board of directors undertook a review of the composition of our board of directors and its committees and the independence of each director. Based upon information requested from and provided by each director concerning his or her background, employment and affiliations, including family relationships, our board of directors has determined that each of our directors, with the exception of Cedric Francois, is an “independent director” as defined under applicable Nasdaq rules, including, in the case of all the members of our audit committee, the independence criteria set forth in Rule 10A-3 under the Exchange Act, and in the case of all the members of our compensation committee, the independence criteria set forth in Rule 10C-1 under the Exchange Act. In making such determination, our board of directors considered the relationships that each such non-employee director has with our company and all other facts and circumstances that our board of directors deemed relevant in determining his or her independence, including the beneficial ownership of our capital stock by each non-employee director. Dr. Francois is not deemed to be an independent director under these rules because he is our President and Chief Executive Officer.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are no family relationships among any of our directors or executive officers.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OUR BOARD OF DIRECTORS IS ORGANIZED AND GOVERNED</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Committees of the Board of Directors</w:t>
      </w:r>
    </w:p>
    <w:p>
      <w:pPr>
        <w:spacing w:after="0" w:line="223"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 xml:space="preserve">Our board of directors has established an audit committee, a compensation committee, a compliance committee and a nominating and corporate governance committee. Each of the audit committee, compensation committee, compliance committee and nominating and corporate governance committee operates under a charter, and each such committee reviews its respective charter at least annually. A current copy of the charter for each of the audit committee, the compensation committee, the compliance committee and the nominating and corporate governance committee is posted on the “Corporate Governance” page of the “Investors &amp; Media” section of our website, which is located at </w:t>
      </w:r>
      <w:r>
        <w:rPr>
          <w:rFonts w:ascii="Times New Roman" w:cs="Times New Roman" w:eastAsia="Times New Roman" w:hAnsi="Times New Roman"/>
          <w:sz w:val="16"/>
          <w:szCs w:val="16"/>
          <w:b w:val="1"/>
          <w:bCs w:val="1"/>
          <w:i w:val="1"/>
          <w:iCs w:val="1"/>
          <w:u w:val="single" w:color="auto"/>
          <w:color w:val="auto"/>
        </w:rPr>
        <w:t>www.apellis.com</w:t>
      </w:r>
      <w:r>
        <w:rPr>
          <w:rFonts w:ascii="Times New Roman" w:cs="Times New Roman" w:eastAsia="Times New Roman" w:hAnsi="Times New Roman"/>
          <w:sz w:val="16"/>
          <w:szCs w:val="16"/>
          <w:color w:val="auto"/>
        </w:rPr>
        <w: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Audit Committee</w:t>
      </w:r>
    </w:p>
    <w:p>
      <w:pPr>
        <w:spacing w:after="0" w:line="225" w:lineRule="exact"/>
        <w:rPr>
          <w:sz w:val="20"/>
          <w:szCs w:val="20"/>
          <w:color w:val="auto"/>
        </w:rPr>
      </w:pPr>
    </w:p>
    <w:p>
      <w:pPr>
        <w:ind w:right="60"/>
        <w:spacing w:after="0" w:line="298" w:lineRule="auto"/>
        <w:rPr>
          <w:sz w:val="20"/>
          <w:szCs w:val="20"/>
          <w:color w:val="auto"/>
        </w:rPr>
      </w:pPr>
      <w:r>
        <w:rPr>
          <w:rFonts w:ascii="Times New Roman" w:cs="Times New Roman" w:eastAsia="Times New Roman" w:hAnsi="Times New Roman"/>
          <w:sz w:val="16"/>
          <w:szCs w:val="16"/>
          <w:color w:val="auto"/>
        </w:rPr>
        <w:t>The members of our audit committee are Alec Machiels, A. Sinclair Dunlop and Paul Fonteyne, and Mr. Machiels is the chair of the audit committee. Mr. Wheeler has been appointed to the audit committee, to be effective in May 2025. Our audit committee met four times during 2024. Our audit committee’s responsibilities include:</w:t>
      </w:r>
    </w:p>
    <w:p>
      <w:pPr>
        <w:spacing w:after="0" w:line="56"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appointing, approving the compensation of, and assessing the independence of our independent registered public accounting firm;</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the work of our independent registered public accounting firm, including through the receipt and consideration of reports from such firm;</w:t>
      </w:r>
    </w:p>
    <w:p>
      <w:pPr>
        <w:spacing w:after="0" w:line="126" w:lineRule="exact"/>
        <w:rPr>
          <w:rFonts w:ascii="Times New Roman" w:cs="Times New Roman" w:eastAsia="Times New Roman" w:hAnsi="Times New Roman"/>
          <w:sz w:val="16"/>
          <w:szCs w:val="16"/>
          <w:color w:val="auto"/>
        </w:rPr>
      </w:pPr>
    </w:p>
    <w:p>
      <w:pPr>
        <w:ind w:left="1020" w:right="100" w:hanging="503"/>
        <w:spacing w:after="0" w:line="298" w:lineRule="auto"/>
        <w:tabs>
          <w:tab w:leader="none" w:pos="10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discussing with management and our independent registered public accounting firm our annual and quarterly financial statements and related disclosures;</w:t>
      </w:r>
    </w:p>
    <w:p>
      <w:pPr>
        <w:spacing w:after="0" w:line="5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monitoring our internal control over financial reporting, disclosure controls and procedures and code of business conduct and ethics;</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our internal audit function, if any;</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our compliance with statutes, regulations and policies regarding interactions with physicians, payors and patients;</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our risk assessment and risk management policies;</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establishing procedures for the receipt and retention of accounting related complaints and concerns;</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meeting independently with our internal auditing staff, if any, our independent registered public accounting firm and management;</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9" w:name="page20"/>
    <w:bookmarkEnd w:id="19"/>
    <w:p>
      <w:pPr>
        <w:ind w:left="1020" w:hanging="503"/>
        <w:spacing w:after="0"/>
        <w:tabs>
          <w:tab w:leader="none" w:pos="102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information technology and cybersecurity infrastructure, personnel and policies;</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approving or ratifying any related person transactions; and</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preparing the audit committee report required by SEC rules.</w:t>
      </w:r>
    </w:p>
    <w:p>
      <w:pPr>
        <w:spacing w:after="0" w:line="235" w:lineRule="exact"/>
        <w:rPr>
          <w:sz w:val="20"/>
          <w:szCs w:val="20"/>
          <w:color w:val="auto"/>
        </w:rPr>
      </w:pPr>
    </w:p>
    <w:p>
      <w:pPr>
        <w:ind w:right="180"/>
        <w:spacing w:after="0" w:line="298" w:lineRule="auto"/>
        <w:rPr>
          <w:sz w:val="20"/>
          <w:szCs w:val="20"/>
          <w:color w:val="auto"/>
        </w:rPr>
      </w:pPr>
      <w:r>
        <w:rPr>
          <w:rFonts w:ascii="Times New Roman" w:cs="Times New Roman" w:eastAsia="Times New Roman" w:hAnsi="Times New Roman"/>
          <w:sz w:val="16"/>
          <w:szCs w:val="16"/>
          <w:color w:val="auto"/>
        </w:rPr>
        <w:t>All audit and non-audit services, other than de minimis non-audit services, to be provided to us by our independent registered public accounting firm must be approved in advance by our audit committee.</w:t>
      </w:r>
    </w:p>
    <w:p>
      <w:pPr>
        <w:spacing w:after="0" w:line="164" w:lineRule="exact"/>
        <w:rPr>
          <w:sz w:val="20"/>
          <w:szCs w:val="20"/>
          <w:color w:val="auto"/>
        </w:rPr>
      </w:pPr>
    </w:p>
    <w:p>
      <w:pPr>
        <w:jc w:val="both"/>
        <w:ind w:right="40"/>
        <w:spacing w:after="0" w:line="281" w:lineRule="auto"/>
        <w:rPr>
          <w:sz w:val="20"/>
          <w:szCs w:val="20"/>
          <w:color w:val="auto"/>
        </w:rPr>
      </w:pPr>
      <w:r>
        <w:rPr>
          <w:rFonts w:ascii="Times New Roman" w:cs="Times New Roman" w:eastAsia="Times New Roman" w:hAnsi="Times New Roman"/>
          <w:sz w:val="16"/>
          <w:szCs w:val="16"/>
          <w:color w:val="auto"/>
        </w:rPr>
        <w:t>Our board of directors has determined that each of Mr. Machiels and Mr. Wheeler is an “audit committee financial expert” as defined in applicable SEC rules and that each of the members of our audit committee possesses the financial sophistication required for audit committee members under Nasdaq rules. We believe that the composition of our audit committee meets the requirements for independence under current Nasdaq and SEC rules and regulations.</w:t>
      </w:r>
    </w:p>
    <w:p>
      <w:pPr>
        <w:spacing w:after="0" w:line="164"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6"/>
          <w:szCs w:val="16"/>
          <w:color w:val="auto"/>
        </w:rPr>
        <w:t xml:space="preserve">The audit committee oversees the procedures for the receipt, retention, and treatment of complaints received by us regarding accounting, internal accounting controls, or audit matters, and the confidential, anonymous submission by employees of concerns regarding questionable accounting, internal accounting controls or auditing matters. We maintain a toll-free telephone number for the reporting of concerns regarding questionable accounting, internal accounting controls, auditing, ethics and healthcare compliance matters, which is 1-844-782-0340 and a secure web form available at </w:t>
      </w:r>
      <w:r>
        <w:rPr>
          <w:rFonts w:ascii="Times New Roman" w:cs="Times New Roman" w:eastAsia="Times New Roman" w:hAnsi="Times New Roman"/>
          <w:sz w:val="16"/>
          <w:szCs w:val="16"/>
          <w:b w:val="1"/>
          <w:bCs w:val="1"/>
          <w:i w:val="1"/>
          <w:iCs w:val="1"/>
          <w:color w:val="auto"/>
        </w:rPr>
        <w:t>https://apellis.ethicspoint.com.</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Compensation Committee</w:t>
      </w:r>
    </w:p>
    <w:p>
      <w:pPr>
        <w:spacing w:after="0" w:line="239"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6"/>
          <w:szCs w:val="16"/>
          <w:color w:val="auto"/>
        </w:rPr>
        <w:t>In 2024, the members of our compensation committee were Stephanie Monaghan O’Brien, Paul Fonteyne, Alec Machiels, and Ms. O’Brien is the chair of the compensation committee. Ms. Walbert joined the compensation committee in March 2025. Our compensation committee met six times during 2024. Our compensation committee’s responsibilities include:</w:t>
      </w:r>
    </w:p>
    <w:p>
      <w:pPr>
        <w:spacing w:after="0" w:line="69" w:lineRule="exact"/>
        <w:rPr>
          <w:sz w:val="20"/>
          <w:szCs w:val="20"/>
          <w:color w:val="auto"/>
        </w:rPr>
      </w:pPr>
    </w:p>
    <w:p>
      <w:pPr>
        <w:ind w:left="1020" w:right="240" w:hanging="503"/>
        <w:spacing w:after="0" w:line="298" w:lineRule="auto"/>
        <w:tabs>
          <w:tab w:leader="none" w:pos="10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approving, or making recommendations to our board of directors with respect to, the compensation of our Chief Executive Officer and our other executive officers;</w:t>
      </w:r>
    </w:p>
    <w:p>
      <w:pPr>
        <w:spacing w:after="0" w:line="5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the evaluation of our senior executives;</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and administering our cash and equity incentive plans;</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making recommendations to our board of directors with respect to director compensation and management succession planning;</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discussing annually with management our “Compensation Discussion and Analysis” disclosure; and</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preparing the compensation committee report.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believe that the composition of our compensation committee meets the requirements for independence under current Nasdaq and SEC rules and regulations.</w:t>
      </w:r>
    </w:p>
    <w:p>
      <w:pPr>
        <w:spacing w:after="0" w:line="221"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6"/>
          <w:szCs w:val="16"/>
          <w:color w:val="auto"/>
        </w:rPr>
        <w:t>Under its charter, the compensation committee may from time-to-time delegate authority to subcommittees as it deems appropriate. Pursuant to our 2017 Stock Incentive Plan, or our 2017 Plan, and 2020 Inducement Stock Incentive Plan, or our 2020 Inducement Plan, the compensation committee has delegated to our chief executive officer, chief financial officer and chief people officer the authority to approve grants of stock options to employees who are not executive officers and an annual aggregate maximum amount of awards that can be granted pursuant to such delegated authority.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Compensation Committee Interlocks and Insider Participation</w:t>
      </w:r>
    </w:p>
    <w:p>
      <w:pPr>
        <w:spacing w:after="0" w:line="223"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6"/>
          <w:szCs w:val="16"/>
          <w:color w:val="auto"/>
        </w:rPr>
        <w:t>During 2024, the members of our compensation committee were Ms. O’Brien, Mr. Fonteyne, and Mr. Machiels. None of our executive officers serves, or in the past has served, as a member of the board of directors or compensation committee, or other committee serving an equivalent function, of any entity that has one or more executive officers who serve as members of our board of directors or our compensation committee. None of the members of our compensation committee is, or ever has been, an officer or employee of our company.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Compliance Committee</w:t>
      </w:r>
    </w:p>
    <w:p>
      <w:pPr>
        <w:spacing w:after="0" w:line="225"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6"/>
          <w:szCs w:val="16"/>
          <w:color w:val="auto"/>
        </w:rPr>
        <w:t>In March 2023, our board of directors established the compliance committee to oversee and to provide strategic direction with respect to our healthcare compliance and ethics program. In 2024, the members of the compliance committee were A. Sinclair Dunlop, Paul Fonteyne, Alec Machiels and Stephanie O’Brien, and Mr. Fonteyne is the chair of the compliance committee. In March 2025, Ms. Walbert joined the compliance committee, and Mr. Dunlop left. Our compliance committee met four times during 2024. Our compliance committee’s responsibilities include:</w:t>
      </w:r>
    </w:p>
    <w:p>
      <w:pPr>
        <w:spacing w:after="0" w:line="75"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the implementation of our compliance program, and key company policies, including the code of conduct;</w:t>
      </w:r>
    </w:p>
    <w:p>
      <w:pPr>
        <w:spacing w:after="0" w:line="122"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5" w:right="379" w:bottom="1440" w:gutter="0" w:footer="0" w:header="0"/>
        </w:sectPr>
      </w:pPr>
    </w:p>
    <w:bookmarkStart w:id="20" w:name="page21"/>
    <w:bookmarkEnd w:id="20"/>
    <w:p>
      <w:pPr>
        <w:ind w:left="1020" w:right="120" w:hanging="503"/>
        <w:spacing w:after="0" w:line="298" w:lineRule="auto"/>
        <w:tabs>
          <w:tab w:leader="none" w:pos="10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evaluating and monitoring the adequacy and effectiveness of our compliance program, considering recommendations for its improvement and providing an annual evaluation of our compliance program to the board of directors;</w:t>
      </w:r>
    </w:p>
    <w:p>
      <w:pPr>
        <w:spacing w:after="0" w:line="5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assessing legal and compliance risks arising from healthcare compliance matters; and</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compliance investigations of any executive officer with respect to matters covered by our compliance program.</w:t>
      </w:r>
    </w:p>
    <w:p>
      <w:pPr>
        <w:spacing w:after="0" w:line="221"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6"/>
          <w:szCs w:val="16"/>
          <w:color w:val="auto"/>
        </w:rPr>
        <w:t>The compliance committee periodically reviews reports received through the compliance hotline, investigations and disciplinary actions with respect to compliance matters, compliance monitoring and auditing efforts, annual risk assessments, our obligations for federal, state and foreign transparency reporting, and incentive compensation of sales representatives and other field personnel.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Nominating and Corporate Governance Committee</w:t>
      </w:r>
    </w:p>
    <w:p>
      <w:pPr>
        <w:spacing w:after="0" w:line="225" w:lineRule="exact"/>
        <w:rPr>
          <w:sz w:val="20"/>
          <w:szCs w:val="20"/>
          <w:color w:val="auto"/>
        </w:rPr>
      </w:pPr>
    </w:p>
    <w:p>
      <w:pPr>
        <w:jc w:val="both"/>
        <w:ind w:right="60"/>
        <w:spacing w:after="0" w:line="281" w:lineRule="auto"/>
        <w:rPr>
          <w:sz w:val="20"/>
          <w:szCs w:val="20"/>
          <w:color w:val="auto"/>
        </w:rPr>
      </w:pPr>
      <w:r>
        <w:rPr>
          <w:rFonts w:ascii="Times New Roman" w:cs="Times New Roman" w:eastAsia="Times New Roman" w:hAnsi="Times New Roman"/>
          <w:sz w:val="16"/>
          <w:szCs w:val="16"/>
          <w:color w:val="auto"/>
        </w:rPr>
        <w:t>In 2024, the members of our nominating and corporate governance committee are Gerald Chan, A. Sinclair Dunlop, and Stephanie Monaghan O’Brien, and Dr. Chan is the chair of the nominating and corporate governance committee. Keli Walbert joined the nominating and corporate governance committee in March 2025. Our nominating and corporate governance committee met once during 2024. Our nominating and corporate governance committee’s responsibilities include:</w:t>
      </w:r>
    </w:p>
    <w:p>
      <w:pPr>
        <w:spacing w:after="0" w:line="69"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identifying individuals qualified to become members of our board of directors;</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recommending to our board of directors the persons to be nominated for election as directors and to each of our board’s committees;</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making recommendations to our board of directors with respect to our board leadership structure and board committee structure;</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making recommendations to our board of directors with respect to accepting director resignations;</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developing and recommending corporate governance guidelines to our board of directors; and</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an annual evaluation of our board of directors.</w:t>
      </w:r>
    </w:p>
    <w:p>
      <w:pPr>
        <w:spacing w:after="0" w:line="221" w:lineRule="exact"/>
        <w:rPr>
          <w:sz w:val="20"/>
          <w:szCs w:val="20"/>
          <w:color w:val="auto"/>
        </w:rPr>
      </w:pPr>
    </w:p>
    <w:p>
      <w:pPr>
        <w:ind w:right="80"/>
        <w:spacing w:after="0" w:line="298" w:lineRule="auto"/>
        <w:rPr>
          <w:sz w:val="20"/>
          <w:szCs w:val="20"/>
          <w:color w:val="auto"/>
        </w:rPr>
      </w:pPr>
      <w:r>
        <w:rPr>
          <w:rFonts w:ascii="Times New Roman" w:cs="Times New Roman" w:eastAsia="Times New Roman" w:hAnsi="Times New Roman"/>
          <w:sz w:val="16"/>
          <w:szCs w:val="16"/>
          <w:color w:val="auto"/>
        </w:rPr>
        <w:t>We believe that the composition of our nominating and corporate governance committee meets the requirements for independence under current Nasdaq and SEC rules and regulations.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Board of Director Meetings and Attendance</w:t>
      </w:r>
    </w:p>
    <w:p>
      <w:pPr>
        <w:spacing w:after="0" w:line="223"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Our board of directors recognizes the importance of director attendance at board and committee meetings. Our board of directors met seven times during 2024. During 2024, each member of the board of directors attended in person or participated in 75% or more of the aggregate of (i) the total number of meetings held by the board of directors (during the period that such person served as a director) and (ii) the total number of meetings held by all committees of the board of directors on which such person served during the periods that such person served. During 2024, the independent directors met in executive session five times to discuss various matters, including oversight of our executive officers.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Director Attendance at Annual Meeting of Stockholders</w:t>
      </w:r>
    </w:p>
    <w:p>
      <w:pPr>
        <w:spacing w:after="0" w:line="237" w:lineRule="exact"/>
        <w:rPr>
          <w:sz w:val="20"/>
          <w:szCs w:val="20"/>
          <w:color w:val="auto"/>
        </w:rPr>
      </w:pPr>
    </w:p>
    <w:p>
      <w:pPr>
        <w:ind w:right="80"/>
        <w:spacing w:after="0" w:line="298" w:lineRule="auto"/>
        <w:rPr>
          <w:sz w:val="20"/>
          <w:szCs w:val="20"/>
          <w:color w:val="auto"/>
        </w:rPr>
      </w:pPr>
      <w:r>
        <w:rPr>
          <w:rFonts w:ascii="Times New Roman" w:cs="Times New Roman" w:eastAsia="Times New Roman" w:hAnsi="Times New Roman"/>
          <w:sz w:val="16"/>
          <w:szCs w:val="16"/>
          <w:color w:val="auto"/>
        </w:rPr>
        <w:t>Our corporate governance guidelines provide that directors are responsible for attending the annual meeting of stockholders. Each of our directors attended the 2024 annual meeting of stockholders.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Code of Business Conduct and Ethics</w:t>
      </w:r>
    </w:p>
    <w:p>
      <w:pPr>
        <w:spacing w:after="0" w:line="237"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6"/>
          <w:szCs w:val="16"/>
          <w:color w:val="auto"/>
        </w:rPr>
        <w:t xml:space="preserve">We have adopted a written code of business conduct and ethics that applies to our directors, officers and employees, including our principal executive officer, principal financial officer, principal accounting officer or controller, or persons performing similar functions. A current copy of the code is posted on the “Corporate Governance” page of the “Investors &amp; Media” section of our website, which is located at </w:t>
      </w:r>
      <w:r>
        <w:rPr>
          <w:rFonts w:ascii="Times New Roman" w:cs="Times New Roman" w:eastAsia="Times New Roman" w:hAnsi="Times New Roman"/>
          <w:sz w:val="16"/>
          <w:szCs w:val="16"/>
          <w:b w:val="1"/>
          <w:bCs w:val="1"/>
          <w:i w:val="1"/>
          <w:iCs w:val="1"/>
          <w:color w:val="auto"/>
        </w:rPr>
        <w:t>www.apellis.com</w:t>
      </w:r>
      <w:r>
        <w:rPr>
          <w:rFonts w:ascii="Times New Roman" w:cs="Times New Roman" w:eastAsia="Times New Roman" w:hAnsi="Times New Roman"/>
          <w:sz w:val="16"/>
          <w:szCs w:val="16"/>
          <w:color w:val="auto"/>
        </w:rPr>
        <w:t>. If we make any substantive amendments to, or grant any waivers from, the code of business conduct and ethics for any officer or director, we will disclose the nature of such amendment or waiver on our website or in a Current Report on Form 8-K.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Corporate Governance Guidelines</w:t>
      </w:r>
    </w:p>
    <w:p>
      <w:pPr>
        <w:spacing w:after="0" w:line="223" w:lineRule="exact"/>
        <w:rPr>
          <w:sz w:val="20"/>
          <w:szCs w:val="20"/>
          <w:color w:val="auto"/>
        </w:rPr>
      </w:pPr>
    </w:p>
    <w:p>
      <w:pPr>
        <w:ind w:right="400"/>
        <w:spacing w:after="0" w:line="298" w:lineRule="auto"/>
        <w:rPr>
          <w:sz w:val="20"/>
          <w:szCs w:val="20"/>
          <w:color w:val="auto"/>
        </w:rPr>
      </w:pPr>
      <w:r>
        <w:rPr>
          <w:rFonts w:ascii="Times New Roman" w:cs="Times New Roman" w:eastAsia="Times New Roman" w:hAnsi="Times New Roman"/>
          <w:sz w:val="16"/>
          <w:szCs w:val="16"/>
          <w:color w:val="auto"/>
        </w:rPr>
        <w:t>Our board of directors has adopted corporate governance guidelines to assist the board of directors in the exercise of its duties and responsibilities and to serve the best interests of our company and our stockholders. These guidelines provide that:</w:t>
      </w:r>
    </w:p>
    <w:p>
      <w:pPr>
        <w:spacing w:after="0" w:line="56"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principal responsibility of our board of directors is to oversee our management;</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majority of the members of the board of directors must be independent directors, unless otherwise permitted by Nasdaq rules;</w:t>
      </w:r>
    </w:p>
    <w:p>
      <w:pPr>
        <w:spacing w:after="0" w:line="122"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5" w:right="359" w:bottom="1440" w:gutter="0" w:footer="0" w:header="0"/>
        </w:sectPr>
      </w:pPr>
    </w:p>
    <w:bookmarkStart w:id="21" w:name="page22"/>
    <w:bookmarkEnd w:id="21"/>
    <w:p>
      <w:pPr>
        <w:ind w:left="1020" w:hanging="503"/>
        <w:spacing w:after="0"/>
        <w:tabs>
          <w:tab w:leader="none" w:pos="10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independent directors meet in executive session at least twice a year;</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directors have full and free access to management and, as necessary, independent advisors; and</w:t>
      </w:r>
    </w:p>
    <w:p>
      <w:pPr>
        <w:spacing w:after="0" w:line="126" w:lineRule="exact"/>
        <w:rPr>
          <w:rFonts w:ascii="Times New Roman" w:cs="Times New Roman" w:eastAsia="Times New Roman" w:hAnsi="Times New Roman"/>
          <w:sz w:val="16"/>
          <w:szCs w:val="16"/>
          <w:color w:val="auto"/>
        </w:rPr>
      </w:pPr>
    </w:p>
    <w:p>
      <w:pPr>
        <w:ind w:left="1020" w:right="700" w:hanging="503"/>
        <w:spacing w:after="0" w:line="298" w:lineRule="auto"/>
        <w:tabs>
          <w:tab w:leader="none" w:pos="10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nominating and corporate governance committee will oversee periodic self-evaluations of the board of directors to determine whether it and its committees are functioning effectively.</w:t>
      </w:r>
    </w:p>
    <w:p>
      <w:pPr>
        <w:spacing w:after="0" w:line="151" w:lineRule="exact"/>
        <w:rPr>
          <w:sz w:val="20"/>
          <w:szCs w:val="20"/>
          <w:color w:val="auto"/>
        </w:rPr>
      </w:pPr>
    </w:p>
    <w:p>
      <w:pPr>
        <w:ind w:right="420"/>
        <w:spacing w:after="0" w:line="298" w:lineRule="auto"/>
        <w:rPr>
          <w:sz w:val="20"/>
          <w:szCs w:val="20"/>
          <w:color w:val="auto"/>
        </w:rPr>
      </w:pPr>
      <w:r>
        <w:rPr>
          <w:rFonts w:ascii="Times New Roman" w:cs="Times New Roman" w:eastAsia="Times New Roman" w:hAnsi="Times New Roman"/>
          <w:sz w:val="16"/>
          <w:szCs w:val="16"/>
          <w:color w:val="auto"/>
        </w:rPr>
        <w:t xml:space="preserve">A copy of the corporate governance guidelines is available on the “Corporate Governance” page of the “Investors &amp; Media” section of our website, which is located at </w:t>
      </w:r>
      <w:r>
        <w:rPr>
          <w:rFonts w:ascii="Times New Roman" w:cs="Times New Roman" w:eastAsia="Times New Roman" w:hAnsi="Times New Roman"/>
          <w:sz w:val="16"/>
          <w:szCs w:val="16"/>
          <w:b w:val="1"/>
          <w:bCs w:val="1"/>
          <w:i w:val="1"/>
          <w:iCs w:val="1"/>
          <w:color w:val="auto"/>
        </w:rPr>
        <w:t>www.apellis.com</w:t>
      </w:r>
      <w:r>
        <w:rPr>
          <w:rFonts w:ascii="Times New Roman" w:cs="Times New Roman" w:eastAsia="Times New Roman" w:hAnsi="Times New Roman"/>
          <w:sz w:val="16"/>
          <w:szCs w:val="16"/>
          <w:color w:val="auto"/>
        </w:rPr>
        <w: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Board Leadership Structure and Oversight of Risk</w:t>
      </w:r>
    </w:p>
    <w:p>
      <w:pPr>
        <w:spacing w:after="0" w:line="223"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6"/>
          <w:szCs w:val="16"/>
          <w:color w:val="auto"/>
        </w:rPr>
        <w:t>Our corporate governance guidelines provide that the nominating and corporate governance committee shall periodically assess the board of directors’ leadership structure, including whether the offices of chief executive officer and chair of the board of directors should be separate. Our guidelines provide the board of directors with flexibility to determine whether the two roles should be combined or separated based upon our needs and the board of directors’ assessment of its leadership from time to time. We do not currently have a lead independent director because the chair of our board of directors is independent within the meaning of the Nasdaq rules.</w:t>
      </w:r>
    </w:p>
    <w:p>
      <w:pPr>
        <w:spacing w:after="0" w:line="16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We currently separate the roles of chief executive officer and chair of the board of directors. Our president and chief executive officer is responsible for setting the strategic direction for our company and the day-to-day leadership and performance of our company, while the chair of our board of directors presides over meetings of the board of directors, including executive sessions of the board of directors, and performs oversight responsibilities. Separating the duties of the chair of the board from the duties of the chief executive officer allows our chief executive officer to focus on our day-to-day business, while allowing the chair of the board to lead the board of directors in its fundamental role of providing advice to and independent oversight of management. Specifically, our chair of the board runs meetings of our independent directors, facilitates communications between management and the board of directors and assists with other corporate governance matters. Our board of directors believes that this structure ensures a greater role for the independent directors in the oversight of our company and active participation of the independent directors in setting agendas and establishing priorities and procedures for the work of our board of directors. Our board of directors believes its administration of its risk oversight function has not affected its leadership structure. Our board of directors believes that we have an appropriate leadership structure for us at this time which demonstrates our commitment to good corporate governance.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Risk is inherent with every business and how well a business manages risk can ultimately determine its success. We face a number of risks, including</w:t>
      </w:r>
    </w:p>
    <w:p>
      <w:pPr>
        <w:spacing w:after="0" w:line="26" w:lineRule="exact"/>
        <w:rPr>
          <w:sz w:val="20"/>
          <w:szCs w:val="20"/>
          <w:color w:val="auto"/>
        </w:rPr>
      </w:pPr>
    </w:p>
    <w:p>
      <w:pPr>
        <w:ind w:right="180"/>
        <w:spacing w:after="0" w:line="288" w:lineRule="auto"/>
        <w:rPr>
          <w:sz w:val="20"/>
          <w:szCs w:val="20"/>
          <w:color w:val="auto"/>
        </w:rPr>
      </w:pPr>
      <w:r>
        <w:rPr>
          <w:rFonts w:ascii="Times New Roman" w:cs="Times New Roman" w:eastAsia="Times New Roman" w:hAnsi="Times New Roman"/>
          <w:sz w:val="16"/>
          <w:szCs w:val="16"/>
          <w:color w:val="auto"/>
        </w:rPr>
        <w:t>those described under “Risk Factors” in our annual report on Form 10-K for the year ended December 31, 2024. Our board of directors is actively involved in oversight of risks that could affect us.</w:t>
      </w:r>
    </w:p>
    <w:p>
      <w:pPr>
        <w:spacing w:after="0" w:line="172"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6"/>
          <w:szCs w:val="16"/>
          <w:color w:val="auto"/>
        </w:rPr>
        <w:t>Our board of directors oversees our risk management processes directly and through its committees. Our management is responsible for risk management on a day-to-day basis and our board and its committees oversee the risk management activities of management. Our board of directors receives full reports from each committee chair regarding the committee’s considerations and actions and regular reports directly from officers responsible for oversight of particular risks within our company, in order to understand the company’s risk identification, risk management and risk mitigation strategies with respect to areas of potential material risk, including operations, finance, legal, regulatory, strategic, reputational and human capital risk.</w:t>
      </w:r>
    </w:p>
    <w:p>
      <w:pPr>
        <w:spacing w:after="0" w:line="167"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6"/>
          <w:szCs w:val="16"/>
          <w:color w:val="auto"/>
        </w:rPr>
        <w:t>Our audit committee oversees risk management activities related to financial controls and our legal, financial and financial and corporate compliance risks. Our audit committee reviews information regarding our liquidity and operations and our policies with respect to risk assessment, risk management, loss prevention and regulatory compliance. Oversight by the audit committee includes direct communication with our external auditors, and discussions with management regarding significant financial and other risk exposures and risks relating to data privacy and cybersecurity and the actions management has taken to limit, monitor or control such exposures.</w:t>
      </w:r>
    </w:p>
    <w:p>
      <w:pPr>
        <w:spacing w:after="0" w:line="169" w:lineRule="exact"/>
        <w:rPr>
          <w:sz w:val="20"/>
          <w:szCs w:val="20"/>
          <w:color w:val="auto"/>
        </w:rPr>
      </w:pPr>
    </w:p>
    <w:p>
      <w:pPr>
        <w:jc w:val="both"/>
        <w:ind w:right="140"/>
        <w:spacing w:after="0" w:line="275" w:lineRule="auto"/>
        <w:rPr>
          <w:sz w:val="20"/>
          <w:szCs w:val="20"/>
          <w:color w:val="auto"/>
        </w:rPr>
      </w:pPr>
      <w:r>
        <w:rPr>
          <w:rFonts w:ascii="Times New Roman" w:cs="Times New Roman" w:eastAsia="Times New Roman" w:hAnsi="Times New Roman"/>
          <w:sz w:val="16"/>
          <w:szCs w:val="16"/>
          <w:color w:val="auto"/>
        </w:rPr>
        <w:t>Our compensation committee oversees risk management activities relating to our compensation policies and practices. The compensation committee considers whether our compensation programs properly align pay with performance and assesses whether any of our compensation policies or programs has the potential to encourage excessive risk-taking and assesses risk with respect to human capital management. Oversight by the compensation committee includes direct communication with our compensation consultants.</w:t>
      </w:r>
    </w:p>
    <w:p>
      <w:pPr>
        <w:spacing w:after="0" w:line="169"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6"/>
          <w:szCs w:val="16"/>
          <w:color w:val="auto"/>
        </w:rPr>
        <w:t>Our compliance committee manages healthcare compliance risks by overseeing, evaluating and monitoring our healthcare compliance policies, standards, procedures, systems and initiatives as well as our information technology systems dedicated to regulatory and commercial compliance. Oversight by the compliance committee includes direct communication with our management, including regular reports from our general counsel and chief compliance officer, regarding legal, regulatory and reputation risk exposures relating to regulatory and healthcare compliance, with input from outside counsel or other advisors as appropriate.</w:t>
      </w:r>
    </w:p>
    <w:p>
      <w:pPr>
        <w:spacing w:after="0" w:line="183" w:lineRule="exact"/>
        <w:rPr>
          <w:sz w:val="20"/>
          <w:szCs w:val="20"/>
          <w:color w:val="auto"/>
        </w:rPr>
      </w:pPr>
    </w:p>
    <w:p>
      <w:pPr>
        <w:ind w:right="700"/>
        <w:spacing w:after="0" w:line="298" w:lineRule="auto"/>
        <w:rPr>
          <w:sz w:val="20"/>
          <w:szCs w:val="20"/>
          <w:color w:val="auto"/>
        </w:rPr>
      </w:pPr>
      <w:r>
        <w:rPr>
          <w:rFonts w:ascii="Times New Roman" w:cs="Times New Roman" w:eastAsia="Times New Roman" w:hAnsi="Times New Roman"/>
          <w:sz w:val="16"/>
          <w:szCs w:val="16"/>
          <w:color w:val="auto"/>
        </w:rPr>
        <w:t>Our nominating and corporate governance committee oversees risk management activities relating to board composition, the independence of the board, corporate governance practices, potential conflicts of interest, ESG issues and management succession planning.</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sectPr>
      </w:pPr>
    </w:p>
    <w:bookmarkStart w:id="22" w:name="page23"/>
    <w:bookmarkEnd w:id="22"/>
    <w:p>
      <w:pPr>
        <w:ind w:right="100"/>
        <w:spacing w:after="0" w:line="275" w:lineRule="auto"/>
        <w:rPr>
          <w:sz w:val="20"/>
          <w:szCs w:val="20"/>
          <w:color w:val="auto"/>
        </w:rPr>
      </w:pPr>
      <w:r>
        <w:rPr>
          <w:rFonts w:ascii="Times New Roman" w:cs="Times New Roman" w:eastAsia="Times New Roman" w:hAnsi="Times New Roman"/>
          <w:sz w:val="16"/>
          <w:szCs w:val="16"/>
          <w:color w:val="auto"/>
        </w:rPr>
        <w:t>In addition, members of our senior management team attend our quarterly board meetings and are available to address any questions or concerns raised by the board on risk management and any other matters. Our board of directors believes that full and open communication between management and the board of directors is essential for effective risk management and oversight, including with respect to cybersecurity, manufacturing and supply activities, healthcare compliance, human capital management, board and employee diversity, and environmental, social and governance topics and risks, and reviews these topics with management on a regular basis.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OUR DIRECTORS ARE COMPENSATED</w:t>
      </w:r>
    </w:p>
    <w:p>
      <w:pPr>
        <w:spacing w:after="0" w:line="234" w:lineRule="exact"/>
        <w:rPr>
          <w:sz w:val="20"/>
          <w:szCs w:val="20"/>
          <w:color w:val="auto"/>
        </w:rPr>
      </w:pPr>
    </w:p>
    <w:p>
      <w:pPr>
        <w:ind w:right="600"/>
        <w:spacing w:after="0" w:line="298" w:lineRule="auto"/>
        <w:rPr>
          <w:sz w:val="20"/>
          <w:szCs w:val="20"/>
          <w:color w:val="auto"/>
        </w:rPr>
      </w:pPr>
      <w:r>
        <w:rPr>
          <w:rFonts w:ascii="Times New Roman" w:cs="Times New Roman" w:eastAsia="Times New Roman" w:hAnsi="Times New Roman"/>
          <w:sz w:val="16"/>
          <w:szCs w:val="16"/>
          <w:color w:val="auto"/>
        </w:rPr>
        <w:t>Our director compensation program is intended to provide a total compensation package that will attract and retain qualified and experienced individuals to serve as directors and to align our directors’ interests with those of our stockholders.</w:t>
      </w:r>
    </w:p>
    <w:p>
      <w:pPr>
        <w:spacing w:after="0" w:line="151" w:lineRule="exact"/>
        <w:rPr>
          <w:sz w:val="20"/>
          <w:szCs w:val="20"/>
          <w:color w:val="auto"/>
        </w:rPr>
      </w:pPr>
    </w:p>
    <w:p>
      <w:pPr>
        <w:ind w:right="300"/>
        <w:spacing w:after="0" w:line="272" w:lineRule="auto"/>
        <w:rPr>
          <w:sz w:val="20"/>
          <w:szCs w:val="20"/>
          <w:color w:val="auto"/>
        </w:rPr>
      </w:pPr>
      <w:r>
        <w:rPr>
          <w:rFonts w:ascii="Times New Roman" w:cs="Times New Roman" w:eastAsia="Times New Roman" w:hAnsi="Times New Roman"/>
          <w:sz w:val="16"/>
          <w:szCs w:val="16"/>
          <w:color w:val="auto"/>
        </w:rPr>
        <w:t>Under our director compensation program, we pay our non-employee directors a cash retainer for service on the board of directors and for service on each committee on which the director is a member. The chair of each committee and the chair of the board of directors receive higher retainers for such service. These fees are payable in arrears in four equal quarterly installments on the last day of each quarter, provided that the amount of such payment is prorated for any portion of such quarter that the director is not serving on our board of directors, on such committee or in such position. The fees paid to non-employee directors in 2024 for their service on the board of directors and for their service on each committee of the board of directors were as follows:</w:t>
      </w:r>
    </w:p>
    <w:p>
      <w:pPr>
        <w:spacing w:after="0" w:line="149" w:lineRule="exact"/>
        <w:rPr>
          <w:sz w:val="20"/>
          <w:szCs w:val="20"/>
          <w:color w:val="auto"/>
        </w:rPr>
      </w:pPr>
    </w:p>
    <w:tbl>
      <w:tblPr>
        <w:tblLayout w:type="fixed"/>
        <w:tblInd w:w="1020" w:type="dxa"/>
        <w:tblCellMar>
          <w:top w:w="0" w:type="dxa"/>
          <w:left w:w="0" w:type="dxa"/>
          <w:bottom w:w="0" w:type="dxa"/>
          <w:right w:w="0" w:type="dxa"/>
        </w:tblCellMar>
      </w:tblPr>
      <w:tr>
        <w:trPr>
          <w:trHeight w:val="161"/>
        </w:trPr>
        <w:tc>
          <w:tcPr>
            <w:tcW w:w="6180" w:type="dxa"/>
            <w:vAlign w:val="bottom"/>
          </w:tcPr>
          <w:p>
            <w:pPr>
              <w:spacing w:after="0"/>
              <w:rPr>
                <w:sz w:val="13"/>
                <w:szCs w:val="13"/>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Member</w:t>
            </w:r>
          </w:p>
        </w:tc>
        <w:tc>
          <w:tcPr>
            <w:tcW w:w="220" w:type="dxa"/>
            <w:vAlign w:val="bottom"/>
          </w:tcPr>
          <w:p>
            <w:pPr>
              <w:spacing w:after="0"/>
              <w:rPr>
                <w:sz w:val="13"/>
                <w:szCs w:val="13"/>
                <w:color w:val="auto"/>
              </w:rPr>
            </w:pPr>
          </w:p>
        </w:tc>
        <w:tc>
          <w:tcPr>
            <w:tcW w:w="14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Chair</w:t>
            </w:r>
          </w:p>
        </w:tc>
        <w:tc>
          <w:tcPr>
            <w:tcW w:w="0" w:type="dxa"/>
            <w:vAlign w:val="bottom"/>
          </w:tcPr>
          <w:p>
            <w:pPr>
              <w:spacing w:after="0"/>
              <w:rPr>
                <w:sz w:val="1"/>
                <w:szCs w:val="1"/>
                <w:color w:val="auto"/>
              </w:rPr>
            </w:pPr>
          </w:p>
        </w:tc>
      </w:tr>
      <w:tr>
        <w:trPr>
          <w:trHeight w:val="148"/>
        </w:trPr>
        <w:tc>
          <w:tcPr>
            <w:tcW w:w="618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0" w:type="dxa"/>
            <w:vAlign w:val="bottom"/>
          </w:tcPr>
          <w:p>
            <w:pPr>
              <w:spacing w:after="0"/>
              <w:rPr>
                <w:sz w:val="1"/>
                <w:szCs w:val="1"/>
                <w:color w:val="auto"/>
              </w:rPr>
            </w:pPr>
          </w:p>
        </w:tc>
      </w:tr>
      <w:tr>
        <w:trPr>
          <w:trHeight w:val="149"/>
        </w:trPr>
        <w:tc>
          <w:tcPr>
            <w:tcW w:w="618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Annual Fee</w:t>
            </w:r>
          </w:p>
        </w:tc>
        <w:tc>
          <w:tcPr>
            <w:tcW w:w="220" w:type="dxa"/>
            <w:vAlign w:val="bottom"/>
          </w:tcPr>
          <w:p>
            <w:pPr>
              <w:spacing w:after="0"/>
              <w:rPr>
                <w:sz w:val="12"/>
                <w:szCs w:val="12"/>
                <w:color w:val="auto"/>
              </w:rPr>
            </w:pPr>
          </w:p>
        </w:tc>
        <w:tc>
          <w:tcPr>
            <w:tcW w:w="14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Annual Fee</w:t>
            </w:r>
          </w:p>
        </w:tc>
        <w:tc>
          <w:tcPr>
            <w:tcW w:w="0" w:type="dxa"/>
            <w:vAlign w:val="bottom"/>
          </w:tcPr>
          <w:p>
            <w:pPr>
              <w:spacing w:after="0"/>
              <w:rPr>
                <w:sz w:val="1"/>
                <w:szCs w:val="1"/>
                <w:color w:val="auto"/>
              </w:rPr>
            </w:pPr>
          </w:p>
        </w:tc>
      </w:tr>
      <w:tr>
        <w:trPr>
          <w:trHeight w:val="173"/>
        </w:trPr>
        <w:tc>
          <w:tcPr>
            <w:tcW w:w="6180" w:type="dxa"/>
            <w:vAlign w:val="bottom"/>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Board of Directors</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33,750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 Committee</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Compensation Committee</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Compliance Committee</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Nominating and Corporate Governance Committee</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right="700"/>
        <w:spacing w:after="0" w:line="298" w:lineRule="auto"/>
        <w:rPr>
          <w:sz w:val="20"/>
          <w:szCs w:val="20"/>
          <w:color w:val="auto"/>
        </w:rPr>
      </w:pPr>
      <w:r>
        <w:rPr>
          <w:rFonts w:ascii="Times New Roman" w:cs="Times New Roman" w:eastAsia="Times New Roman" w:hAnsi="Times New Roman"/>
          <w:sz w:val="16"/>
          <w:szCs w:val="16"/>
          <w:color w:val="auto"/>
        </w:rPr>
        <w:t>In December 2024, after an evaluation of the director compensation program by the compensation committee and Pay Governance, our independent compensation consultant, the board of directors chose to not make any changes to our director compensation program for 2025.</w:t>
      </w:r>
    </w:p>
    <w:p>
      <w:pPr>
        <w:spacing w:after="0" w:line="151" w:lineRule="exact"/>
        <w:rPr>
          <w:sz w:val="20"/>
          <w:szCs w:val="20"/>
          <w:color w:val="auto"/>
        </w:rPr>
      </w:pPr>
    </w:p>
    <w:p>
      <w:pPr>
        <w:ind w:right="140"/>
        <w:spacing w:after="0" w:line="298" w:lineRule="auto"/>
        <w:rPr>
          <w:sz w:val="20"/>
          <w:szCs w:val="20"/>
          <w:color w:val="auto"/>
        </w:rPr>
      </w:pPr>
      <w:r>
        <w:rPr>
          <w:rFonts w:ascii="Times New Roman" w:cs="Times New Roman" w:eastAsia="Times New Roman" w:hAnsi="Times New Roman"/>
          <w:sz w:val="16"/>
          <w:szCs w:val="16"/>
          <w:color w:val="auto"/>
        </w:rPr>
        <w:t>We also reimburse our non-employee directors for reasonable travel and out-of-pocket expenses incurred in connection with attending our board of director and committee meetings.</w:t>
      </w:r>
    </w:p>
    <w:p>
      <w:pPr>
        <w:spacing w:after="0" w:line="15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6"/>
          <w:szCs w:val="16"/>
          <w:color w:val="auto"/>
        </w:rPr>
        <w:t>Under our non-employee director compensation program, each non-employee director who has served on our board of directors for at least six months receives, on January 1 of each year, the grant of (i) an option under the 2017 Plan to purchase a number of shares of our common stock that has a Black-Scholes valuation as of the date of the grant equal to $200,000, as calculated using the same methodology that we use to calculate the value of stock options for the purposes of our financial statements; and (ii) restricted stock units for a number of shares of common stock determined by dividing $200,000 by the closing price of our common stock on the date of grant. These options have a term of seven years, vest in four equal quarterly installments on April 1, July 1 and October 1 of the year in which the grant was made and on January 1 of the following year, subject to the non-employee director’s continued service as a director and are granted at an exercise price per share equal to the fair market value of our common stock on the date of grant. These restricted stock units vest on the first anniversary of the date or grant, subject to the non-employee director’s continued services as a director, although directors may choose to defer vesting of the restricted stock units until after the termination of their service. These awards become vested in full upon a change in control of our company.</w:t>
      </w:r>
    </w:p>
    <w:p>
      <w:pPr>
        <w:spacing w:after="0" w:line="176"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6"/>
          <w:szCs w:val="16"/>
          <w:color w:val="auto"/>
        </w:rPr>
        <w:t>Pursuant to the terms of the non-employee director compensation program, in January 2024, each non-employee director received an option to purchase 5,748 shares of common stock and 3,341 restricted stock units, and in January 2025, each non-employee director received an option to purchase 11,199 shares of common stock and 6,267 restricted stock units.</w:t>
      </w:r>
    </w:p>
    <w:p>
      <w:pPr>
        <w:spacing w:after="0" w:line="17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6"/>
          <w:szCs w:val="16"/>
          <w:color w:val="auto"/>
        </w:rPr>
        <w:t>In addition, under our non-employee director compensation program, each non-employee director that is newly elected to our board of directors also receives an option to purchase shares of our common stock upon his or her initial election to the board of directors. Specifically, upon his or her initial election to the board of directors, each non-employee director receives (i) an option to purchase the number of shares of common stock that has a Black-Scholes valuation as of the date of the grant equal to $300,000, as calculated using the same methodology that we use to calculate the value of stock options for the purposes of our financial statements; and (ii) restricted stock units for a number of shares of common stock determined by dividing $300,000 by the closing price of common stock on the date of grant. Each such option will have a term of seven years, vest with respect to one-third of the option on each of the first, second and third anniversaries of the grant date, subject to the non-employee director’s continued service as a director, and be granted at an exercise price per share equal to the fair market value of our common stock on the date of grant. The restricted stock units will fully vest on the first anniversary of the grant date, although directors may choose to defer vesting of the restricted stock units until after the termination of their service. These awards become vested in full upon a change in control of our company.</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23" w:name="page24"/>
    <w:bookmarkEnd w:id="23"/>
    <w:p>
      <w:pPr>
        <w:ind w:right="380"/>
        <w:spacing w:after="0" w:line="298" w:lineRule="auto"/>
        <w:rPr>
          <w:sz w:val="20"/>
          <w:szCs w:val="20"/>
          <w:color w:val="auto"/>
        </w:rPr>
      </w:pPr>
      <w:r>
        <w:rPr>
          <w:rFonts w:ascii="Times New Roman" w:cs="Times New Roman" w:eastAsia="Times New Roman" w:hAnsi="Times New Roman"/>
          <w:sz w:val="16"/>
          <w:szCs w:val="16"/>
          <w:color w:val="auto"/>
        </w:rPr>
        <w:t>Keli Walbert joined our Board of Directors on January 8, 2025 and, in accordance with our policy, was granted an option to purchase 15,388 shares of the Company’s common stock, at an exercise price equal to $33.00 per share, and restricted stock units (“RSUs”) for 9,090 shares of the Company’s common stock.</w:t>
      </w:r>
    </w:p>
    <w:p>
      <w:pPr>
        <w:spacing w:after="0" w:line="151" w:lineRule="exact"/>
        <w:rPr>
          <w:sz w:val="20"/>
          <w:szCs w:val="20"/>
          <w:color w:val="auto"/>
        </w:rPr>
      </w:pPr>
    </w:p>
    <w:p>
      <w:pPr>
        <w:ind w:right="340"/>
        <w:spacing w:after="0" w:line="298" w:lineRule="auto"/>
        <w:rPr>
          <w:sz w:val="20"/>
          <w:szCs w:val="20"/>
          <w:color w:val="auto"/>
        </w:rPr>
      </w:pPr>
      <w:r>
        <w:rPr>
          <w:rFonts w:ascii="Times New Roman" w:cs="Times New Roman" w:eastAsia="Times New Roman" w:hAnsi="Times New Roman"/>
          <w:sz w:val="16"/>
          <w:szCs w:val="16"/>
          <w:color w:val="auto"/>
        </w:rPr>
        <w:t>Craig Wheeler joined our Board of Directors on April 17, 2025 and, in accordance with our policy, was granted an option to purchase 28,195 shares of the Company’s common stock, at an exercise price equal to $18.20 per share, and restricted stock units (“RSUs”) for 16,483 shares of the Company’s common stock.</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information regarding the fees and equity awards earned by our non-employee directors during the fiscal year ended December 31, 2024.</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540" w:type="dxa"/>
            <w:vAlign w:val="bottom"/>
            <w:gridSpan w:val="3"/>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160" w:type="dxa"/>
            <w:vAlign w:val="bottom"/>
            <w:vMerge w:val="restart"/>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in Cash</w:t>
            </w:r>
          </w:p>
        </w:tc>
        <w:tc>
          <w:tcPr>
            <w:tcW w:w="180" w:type="dxa"/>
            <w:vAlign w:val="bottom"/>
          </w:tcPr>
          <w:p>
            <w:pPr>
              <w:spacing w:after="0"/>
              <w:rPr>
                <w:sz w:val="12"/>
                <w:szCs w:val="12"/>
                <w:color w:val="auto"/>
              </w:rPr>
            </w:pPr>
          </w:p>
        </w:tc>
        <w:tc>
          <w:tcPr>
            <w:tcW w:w="118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8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Restricted Stock</w:t>
            </w:r>
          </w:p>
        </w:tc>
        <w:tc>
          <w:tcPr>
            <w:tcW w:w="180" w:type="dxa"/>
            <w:vAlign w:val="bottom"/>
          </w:tcPr>
          <w:p>
            <w:pPr>
              <w:spacing w:after="0"/>
              <w:rPr>
                <w:sz w:val="12"/>
                <w:szCs w:val="12"/>
                <w:color w:val="auto"/>
              </w:rPr>
            </w:pPr>
          </w:p>
        </w:tc>
        <w:tc>
          <w:tcPr>
            <w:tcW w:w="132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 Awards ($)</w:t>
            </w:r>
          </w:p>
        </w:tc>
        <w:tc>
          <w:tcPr>
            <w:tcW w:w="1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5"/>
                <w:szCs w:val="15"/>
                <w:color w:val="auto"/>
              </w:rPr>
            </w:pPr>
          </w:p>
        </w:tc>
        <w:tc>
          <w:tcPr>
            <w:tcW w:w="11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($)(1)</w:t>
            </w:r>
          </w:p>
        </w:tc>
        <w:tc>
          <w:tcPr>
            <w:tcW w:w="180" w:type="dxa"/>
            <w:vAlign w:val="bottom"/>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w:t>
            </w:r>
          </w:p>
        </w:tc>
        <w:tc>
          <w:tcPr>
            <w:tcW w:w="180" w:type="dxa"/>
            <w:vAlign w:val="bottom"/>
          </w:tcPr>
          <w:p>
            <w:pPr>
              <w:spacing w:after="0"/>
              <w:rPr>
                <w:sz w:val="15"/>
                <w:szCs w:val="15"/>
                <w:color w:val="auto"/>
              </w:rPr>
            </w:pPr>
          </w:p>
        </w:tc>
        <w:tc>
          <w:tcPr>
            <w:tcW w:w="12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Gerald Chan</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98,750</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199,973</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199,992</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498,715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Sinclair Dunlop</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77,500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199,973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199,992</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477,465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Paul Fonteyne</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87,500</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199,973</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199,992</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487,465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Alec Machiels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92,500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199,973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199,992</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492,465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Stephanie Monaghan O’Brien</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199,973</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199,992</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484,965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1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3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20" w:hanging="512"/>
        <w:spacing w:after="0" w:line="275" w:lineRule="auto"/>
        <w:tabs>
          <w:tab w:leader="none" w:pos="5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in the “Options Awards” column reflect the aggregate grant date fair value of options awarded during the year, computed in accordance with the provisions of Financial Accounting Standards Board, or FASB, Accounting Standards Codification, or ASC, Topic 718, using a Black-Scholes valuation model. For the assumptions made in determining these values, see Note 15 to the consolidated financial statements in our Annual Report on Form 10-K for the year ended December 31, 2024. For purposes of these calculations, we have disregarded the possibility of forfeitures related to service-based vesting conditions.</w:t>
      </w:r>
    </w:p>
    <w:p>
      <w:pPr>
        <w:spacing w:after="0" w:line="74" w:lineRule="exact"/>
        <w:rPr>
          <w:rFonts w:ascii="Times New Roman" w:cs="Times New Roman" w:eastAsia="Times New Roman" w:hAnsi="Times New Roman"/>
          <w:sz w:val="16"/>
          <w:szCs w:val="16"/>
          <w:color w:val="auto"/>
        </w:rPr>
      </w:pPr>
    </w:p>
    <w:p>
      <w:pPr>
        <w:ind w:left="520" w:right="80" w:hanging="512"/>
        <w:spacing w:after="0" w:line="272" w:lineRule="auto"/>
        <w:tabs>
          <w:tab w:leader="none" w:pos="5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in the “Restricted Stock Unit Awards” column reflect the aggregate grant date fair value of restricted stock units awarded during the year, computed in accordance with the provisions of Financial Accounting Standards Board, or FASB, Accounting Standards Codification, or ASC, Topic 718, which is determined by multiplying the market price of shares as of the date of the grant by the number of restricted stock units granted.. For the assumptions made in determining these values, see Note 15 to the consolidated financial statements in our Annual Report on Form 10-K for the year ended December 31, 2024. For purposes of these calculations, we have disregarded the possibility of forfeitures related to service-based vesting conditions.</w:t>
      </w:r>
    </w:p>
    <w:p>
      <w:pPr>
        <w:spacing w:after="0" w:line="172" w:lineRule="exact"/>
        <w:rPr>
          <w:sz w:val="20"/>
          <w:szCs w:val="20"/>
          <w:color w:val="auto"/>
        </w:rPr>
      </w:pPr>
    </w:p>
    <w:p>
      <w:pPr>
        <w:jc w:val="both"/>
        <w:ind w:right="240"/>
        <w:spacing w:after="0" w:line="298" w:lineRule="auto"/>
        <w:rPr>
          <w:sz w:val="20"/>
          <w:szCs w:val="20"/>
          <w:color w:val="auto"/>
        </w:rPr>
      </w:pPr>
      <w:r>
        <w:rPr>
          <w:rFonts w:ascii="Times New Roman" w:cs="Times New Roman" w:eastAsia="Times New Roman" w:hAnsi="Times New Roman"/>
          <w:sz w:val="16"/>
          <w:szCs w:val="16"/>
          <w:color w:val="auto"/>
        </w:rPr>
        <w:t>The following table sets forth the outstanding equity awards held by our non-employee directors as of December 31, 2024, which consisted entirely of stock options and restricted stock units:</w:t>
      </w:r>
    </w:p>
    <w:p>
      <w:pPr>
        <w:spacing w:after="0" w:line="12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3"/>
                <w:szCs w:val="13"/>
                <w:color w:val="auto"/>
              </w:rPr>
            </w:pPr>
          </w:p>
        </w:tc>
        <w:tc>
          <w:tcPr>
            <w:tcW w:w="12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80" w:type="dxa"/>
            <w:vAlign w:val="bottom"/>
          </w:tcPr>
          <w:p>
            <w:pPr>
              <w:spacing w:after="0"/>
              <w:rPr>
                <w:sz w:val="13"/>
                <w:szCs w:val="13"/>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0" w:type="dxa"/>
            <w:vAlign w:val="bottom"/>
          </w:tcPr>
          <w:p>
            <w:pPr>
              <w:spacing w:after="0"/>
              <w:rPr>
                <w:sz w:val="1"/>
                <w:szCs w:val="1"/>
                <w:color w:val="auto"/>
              </w:rPr>
            </w:pPr>
          </w:p>
        </w:tc>
      </w:tr>
      <w:tr>
        <w:trPr>
          <w:trHeight w:val="173"/>
        </w:trPr>
        <w:tc>
          <w:tcPr>
            <w:tcW w:w="60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Unit Awards</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Gerald Chan</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216,417</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10,483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A. Sinclair Dunlop</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76,943</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Paul Fonteyne</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86,843</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10,483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Alec Machiels</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216,417</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Stephanie Monaghan O’Brien</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216,417</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10,483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40"/>
        <w:spacing w:after="0" w:line="281" w:lineRule="auto"/>
        <w:rPr>
          <w:sz w:val="20"/>
          <w:szCs w:val="20"/>
          <w:color w:val="auto"/>
        </w:rPr>
      </w:pPr>
      <w:r>
        <w:rPr>
          <w:rFonts w:ascii="Times New Roman" w:cs="Times New Roman" w:eastAsia="Times New Roman" w:hAnsi="Times New Roman"/>
          <w:sz w:val="16"/>
          <w:szCs w:val="16"/>
          <w:color w:val="auto"/>
        </w:rPr>
        <w:t>Under our non-employee director compensation program, we do not pay any compensation to Cedric Francois, our President and Chief Executive Officer, in connection with his service on our board of directors. Dr. Francois’ compensation is set forth and discussed under “Executive Compensation—Summary Compensation Table” and “Executive Compensation—Compensation Discussion and Analysis.”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TO CONTACT OUR BOARD OF DIRECTORS</w:t>
      </w:r>
    </w:p>
    <w:p>
      <w:pPr>
        <w:spacing w:after="0" w:line="234" w:lineRule="exact"/>
        <w:rPr>
          <w:sz w:val="20"/>
          <w:szCs w:val="20"/>
          <w:color w:val="auto"/>
        </w:rPr>
      </w:pPr>
    </w:p>
    <w:p>
      <w:pPr>
        <w:ind w:right="80"/>
        <w:spacing w:after="0" w:line="298" w:lineRule="auto"/>
        <w:rPr>
          <w:sz w:val="20"/>
          <w:szCs w:val="20"/>
          <w:color w:val="auto"/>
        </w:rPr>
      </w:pPr>
      <w:r>
        <w:rPr>
          <w:rFonts w:ascii="Times New Roman" w:cs="Times New Roman" w:eastAsia="Times New Roman" w:hAnsi="Times New Roman"/>
          <w:sz w:val="16"/>
          <w:szCs w:val="16"/>
          <w:color w:val="auto"/>
        </w:rPr>
        <w:t>Any interested party with concerns about our company may report such concerns to the board of directors, or the chairman of our board of directors, or otherwise the chair of the nominating and corporate governance committee, by submitting a written communication to the attention of such director at the following address:</w:t>
      </w:r>
    </w:p>
    <w:p>
      <w:pPr>
        <w:spacing w:after="0" w:line="1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Apellis Pharmaceuticals, Inc.</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100 Fifth Avenue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Waltham, Massachusetts 02451</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Attention: Board of Directors</w:t>
      </w:r>
    </w:p>
    <w:p>
      <w:pPr>
        <w:spacing w:after="0" w:line="211" w:lineRule="exact"/>
        <w:rPr>
          <w:sz w:val="20"/>
          <w:szCs w:val="20"/>
          <w:color w:val="auto"/>
        </w:rPr>
      </w:pPr>
    </w:p>
    <w:p>
      <w:pPr>
        <w:ind w:right="120"/>
        <w:spacing w:after="0" w:line="298" w:lineRule="auto"/>
        <w:rPr>
          <w:sz w:val="20"/>
          <w:szCs w:val="20"/>
          <w:color w:val="auto"/>
        </w:rPr>
      </w:pPr>
      <w:r>
        <w:rPr>
          <w:rFonts w:ascii="Times New Roman" w:cs="Times New Roman" w:eastAsia="Times New Roman" w:hAnsi="Times New Roman"/>
          <w:sz w:val="16"/>
          <w:szCs w:val="16"/>
          <w:color w:val="auto"/>
        </w:rPr>
        <w:t>You may submit your concern anonymously or confidentially by postal mail. You may also indicate whether you are a stockholder, customer, supplier, or other interested party.</w:t>
      </w:r>
    </w:p>
    <w:p>
      <w:pPr>
        <w:spacing w:after="0" w:line="26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17" w:right="419" w:bottom="1440" w:gutter="0" w:footer="0" w:header="0"/>
        </w:sectPr>
      </w:pPr>
    </w:p>
    <w:bookmarkStart w:id="24" w:name="page25"/>
    <w:bookmarkEnd w:id="24"/>
    <w:p>
      <w:pPr>
        <w:spacing w:after="0" w:line="281" w:lineRule="auto"/>
        <w:rPr>
          <w:sz w:val="20"/>
          <w:szCs w:val="20"/>
          <w:color w:val="auto"/>
        </w:rPr>
      </w:pPr>
      <w:r>
        <w:rPr>
          <w:rFonts w:ascii="Times New Roman" w:cs="Times New Roman" w:eastAsia="Times New Roman" w:hAnsi="Times New Roman"/>
          <w:sz w:val="16"/>
          <w:szCs w:val="16"/>
          <w:color w:val="auto"/>
        </w:rPr>
        <w:t>A copy of any such written communication may also be forwarded to our legal counsel and a copy of such communication may be retained for a reasonable period of time. The director may discuss the matter with our legal counsel, with independent advisors, with non-management directors, or with our management, or may take other action or no action as the director determines in good faith, using reasonable judgment, and discretion.</w:t>
      </w:r>
    </w:p>
    <w:p>
      <w:pPr>
        <w:spacing w:after="0" w:line="177"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6"/>
          <w:szCs w:val="16"/>
          <w:color w:val="auto"/>
        </w:rPr>
        <w:t>Communications may be forwarded to all directors if they relate to important substantive matters and include suggestions or comments that may be important for the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w:t>
      </w:r>
    </w:p>
    <w:p>
      <w:pPr>
        <w:spacing w:after="0" w:line="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7" w:right="359" w:bottom="1440" w:gutter="0" w:footer="0" w:header="0"/>
        </w:sectPr>
      </w:pPr>
    </w:p>
    <w:bookmarkStart w:id="25" w:name="page26"/>
    <w:bookmarkEnd w:id="25"/>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OUR AUDITORS</w:t>
      </w:r>
    </w:p>
    <w:p>
      <w:pPr>
        <w:spacing w:after="0" w:line="210" w:lineRule="exact"/>
        <w:rPr>
          <w:sz w:val="20"/>
          <w:szCs w:val="20"/>
          <w:color w:val="auto"/>
        </w:rPr>
      </w:pPr>
    </w:p>
    <w:p>
      <w:pPr>
        <w:ind w:right="440"/>
        <w:spacing w:after="0" w:line="298" w:lineRule="auto"/>
        <w:rPr>
          <w:sz w:val="20"/>
          <w:szCs w:val="20"/>
          <w:color w:val="auto"/>
        </w:rPr>
      </w:pPr>
      <w:r>
        <w:rPr>
          <w:rFonts w:ascii="Times New Roman" w:cs="Times New Roman" w:eastAsia="Times New Roman" w:hAnsi="Times New Roman"/>
          <w:sz w:val="16"/>
          <w:szCs w:val="16"/>
          <w:color w:val="auto"/>
        </w:rPr>
        <w:t>We incurred the following fees from Deloitte &amp; Touche LLP, or Deloitte, our independent registered public accounting firm for the audit of our consolidated financial statements and for other services provided during the years ended December 31, 2024 and 2023.</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Fee Category</w:t>
            </w:r>
          </w:p>
        </w:tc>
        <w:tc>
          <w:tcPr>
            <w:tcW w:w="1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76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Audit fees (1)</w:t>
            </w:r>
          </w:p>
        </w:tc>
        <w:tc>
          <w:tcPr>
            <w:tcW w:w="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1,928,399</w:t>
            </w:r>
          </w:p>
        </w:tc>
        <w:tc>
          <w:tcPr>
            <w:tcW w:w="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1,612,367</w:t>
            </w:r>
          </w:p>
        </w:tc>
      </w:tr>
      <w:tr>
        <w:trPr>
          <w:trHeight w:val="216"/>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Tax fees (2)</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159,868</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65,859</w:t>
            </w:r>
          </w:p>
        </w:tc>
      </w:tr>
      <w:tr>
        <w:trPr>
          <w:trHeight w:val="216"/>
        </w:trPr>
        <w:tc>
          <w:tcPr>
            <w:tcW w:w="76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 other fees (3)</w:t>
            </w: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5,685</w:t>
            </w: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7,391</w:t>
            </w:r>
          </w:p>
        </w:tc>
      </w:tr>
      <w:tr>
        <w:trPr>
          <w:trHeight w:val="209"/>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fees</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2,093,952</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1,685,617</w:t>
            </w:r>
          </w:p>
        </w:tc>
      </w:tr>
      <w:tr>
        <w:trPr>
          <w:trHeight w:val="20"/>
        </w:trPr>
        <w:tc>
          <w:tcPr>
            <w:tcW w:w="136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116"/>
        </w:trPr>
        <w:tc>
          <w:tcPr>
            <w:tcW w:w="1360" w:type="dxa"/>
            <w:vAlign w:val="bottom"/>
            <w:tcBorders>
              <w:bottom w:val="single" w:sz="8" w:color="auto"/>
            </w:tcBorders>
          </w:tcPr>
          <w:p>
            <w:pPr>
              <w:spacing w:after="0"/>
              <w:rPr>
                <w:sz w:val="10"/>
                <w:szCs w:val="10"/>
                <w:color w:val="auto"/>
              </w:rPr>
            </w:pPr>
          </w:p>
        </w:tc>
        <w:tc>
          <w:tcPr>
            <w:tcW w:w="6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-264795</wp:posOffset>
            </wp:positionV>
            <wp:extent cx="1028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0" w:lineRule="exact"/>
        <w:rPr>
          <w:sz w:val="20"/>
          <w:szCs w:val="20"/>
          <w:color w:val="auto"/>
        </w:rPr>
      </w:pPr>
    </w:p>
    <w:p>
      <w:pPr>
        <w:jc w:val="both"/>
        <w:ind w:left="520" w:right="200" w:hanging="512"/>
        <w:spacing w:after="0" w:line="281" w:lineRule="auto"/>
        <w:tabs>
          <w:tab w:leader="none" w:pos="5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 fees” consisted of fees for the integrated audit of our consolidated financial statements and the effectiveness of our internal control over financial reporting and the review of our unaudited interim financial statements included in our quarterly reports on Form 10-Q during the years ended December 31, 2024 and 2023 and fees for professional services in connection with statutory and regulatory filings.</w:t>
      </w:r>
    </w:p>
    <w:p>
      <w:pPr>
        <w:spacing w:after="0" w:line="69"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 fees” consisted of fees paid to Deloitte Tax and Deloitte AG related to tax compliance, worldwide and domestic tax planning and tax advice.</w:t>
      </w:r>
    </w:p>
    <w:p>
      <w:pPr>
        <w:spacing w:after="0" w:line="126"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other fees” consisted of fees for our subscription to the Deloitte Accounting Research Tool.</w:t>
      </w:r>
    </w:p>
    <w:p>
      <w:pPr>
        <w:spacing w:after="0" w:line="235"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6"/>
          <w:szCs w:val="16"/>
          <w:color w:val="auto"/>
        </w:rPr>
        <w:t>Our audit committee has adopted policies and procedures relating to the approval of all audit and non-audit services that are to be performed by our independent registered public accounting firm. This policy provides that we will not engage our independent registered public accounting firm to render audit or non-audit services unless the service is specifically approved in advance by our audit committee or the engagement is entered into pursuant to the pre-approval procedure described below.</w:t>
      </w:r>
    </w:p>
    <w:p>
      <w:pPr>
        <w:spacing w:after="0" w:line="17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From time to time, our audit committee may pre-approve specified types of services that are expected to be provided to us by our independent registered public accounting firm during the next 12 months. Any such pre-approval is detailed as to the particular service or type of services to be provided and is also generally subject to a maximum dollar amount.</w:t>
      </w:r>
    </w:p>
    <w:p>
      <w:pPr>
        <w:spacing w:after="0" w:line="162" w:lineRule="exact"/>
        <w:rPr>
          <w:sz w:val="20"/>
          <w:szCs w:val="20"/>
          <w:color w:val="auto"/>
        </w:rPr>
      </w:pPr>
    </w:p>
    <w:p>
      <w:pPr>
        <w:ind w:right="580"/>
        <w:spacing w:after="0" w:line="301" w:lineRule="auto"/>
        <w:rPr>
          <w:sz w:val="20"/>
          <w:szCs w:val="20"/>
          <w:color w:val="auto"/>
        </w:rPr>
      </w:pPr>
      <w:r>
        <w:rPr>
          <w:rFonts w:ascii="Times New Roman" w:cs="Times New Roman" w:eastAsia="Times New Roman" w:hAnsi="Times New Roman"/>
          <w:sz w:val="16"/>
          <w:szCs w:val="16"/>
          <w:b w:val="1"/>
          <w:bCs w:val="1"/>
          <w:color w:val="auto"/>
        </w:rPr>
        <w:t>PROPOSAL NO. 2—RATIFICATION OF THE APPOINTMENT OF DELOITTE &amp; TOUCHE LLP AS OUR INDEPENDENT REGISTERED PUBLIC ACCOUNTING FIRM FOR THE FISCAL YEAR ENDING DECEMBER 31, 2025</w:t>
      </w:r>
    </w:p>
    <w:p>
      <w:pPr>
        <w:spacing w:after="0" w:line="148"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6"/>
          <w:szCs w:val="16"/>
          <w:color w:val="auto"/>
        </w:rPr>
        <w:t>Our stockholders are being asked to ratify the appointment by the audit committee of our board of directors of Deloitte &amp; Touche LLP, or Deloitte, as our independent registered public accounting firm for the fiscal year ending December 31, 2025. The audit committee appointed Deloitte as our independent registered public accounting firm for the fiscal year ending December 31, 2025. A representative of Deloitte is expected to attend the Annual Meeting online and will have an opportunity to make a statement if he or she desires to do so and to respond to appropriate questions from our stockholders.</w:t>
      </w:r>
    </w:p>
    <w:p>
      <w:pPr>
        <w:spacing w:after="0" w:line="183"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16"/>
          <w:szCs w:val="16"/>
          <w:color w:val="auto"/>
        </w:rPr>
        <w:t xml:space="preserve">The audit committee is solely responsible for selecting our independent registered public accounting firm for the fiscal year ending December 31, 2025. Stockholder approval is not required to appoint Deloitte as our independent registered public accounting firm. However, our board of directors believes that submitting the appointment of Deloitte to the stockholders for ratification is good corporate governance. If the stockholders do not ratify this appointment, the audit committee will reconsider whether to retain Deloitte. If the selection of Deloitte is ratified, the audit committee, in its discretion, may still direct the appointment of a different </w:t>
      </w:r>
      <w:r>
        <w:rPr>
          <w:rFonts w:ascii="Times New Roman" w:cs="Times New Roman" w:eastAsia="Times New Roman" w:hAnsi="Times New Roman"/>
          <w:sz w:val="17"/>
          <w:szCs w:val="17"/>
          <w:color w:val="auto"/>
        </w:rPr>
        <w:t>i</w:t>
      </w:r>
      <w:r>
        <w:rPr>
          <w:rFonts w:ascii="Times New Roman" w:cs="Times New Roman" w:eastAsia="Times New Roman" w:hAnsi="Times New Roman"/>
          <w:sz w:val="16"/>
          <w:szCs w:val="16"/>
          <w:color w:val="auto"/>
        </w:rPr>
        <w:t>ndependent registered public accounting firm at any time it decides that such a change would be in the best interest of our company and our stockholders.</w:t>
      </w:r>
    </w:p>
    <w:p>
      <w:pPr>
        <w:spacing w:after="0" w:line="181" w:lineRule="exact"/>
        <w:rPr>
          <w:sz w:val="20"/>
          <w:szCs w:val="20"/>
          <w:color w:val="auto"/>
        </w:rPr>
      </w:pPr>
    </w:p>
    <w:p>
      <w:pPr>
        <w:ind w:right="480"/>
        <w:spacing w:after="0" w:line="301" w:lineRule="auto"/>
        <w:rPr>
          <w:sz w:val="20"/>
          <w:szCs w:val="20"/>
          <w:color w:val="auto"/>
        </w:rPr>
      </w:pPr>
      <w:r>
        <w:rPr>
          <w:rFonts w:ascii="Times New Roman" w:cs="Times New Roman" w:eastAsia="Times New Roman" w:hAnsi="Times New Roman"/>
          <w:sz w:val="16"/>
          <w:szCs w:val="16"/>
          <w:b w:val="1"/>
          <w:bCs w:val="1"/>
          <w:color w:val="auto"/>
        </w:rPr>
        <w:t>The board of directors recommends voting “FOR” Proposal No. 2 to ratify the appointment of Deloitte &amp; Touche LLP as our independent registered public accounting firm for the fiscal year ending December 31, 2025.</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6" w:name="page27"/>
    <w:bookmarkEnd w:id="26"/>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OUR EXECUTIVES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Biographical information as of April 15, 2025 for our executive officers who are not directors is listed below.</w:t>
      </w:r>
    </w:p>
    <w:p>
      <w:pPr>
        <w:spacing w:after="0" w:line="266"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915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91540"/>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153"/>
        </w:trPr>
        <w:tc>
          <w:tcPr>
            <w:tcW w:w="2560" w:type="dxa"/>
            <w:vAlign w:val="bottom"/>
          </w:tcPr>
          <w:p>
            <w:pPr>
              <w:spacing w:after="0"/>
              <w:rPr>
                <w:sz w:val="13"/>
                <w:szCs w:val="13"/>
                <w:color w:val="auto"/>
              </w:rPr>
            </w:pPr>
          </w:p>
        </w:tc>
        <w:tc>
          <w:tcPr>
            <w:tcW w:w="6820" w:type="dxa"/>
            <w:vAlign w:val="bottom"/>
          </w:tcPr>
          <w:p>
            <w:pPr>
              <w:ind w:left="260"/>
              <w:spacing w:after="0" w:line="153" w:lineRule="exact"/>
              <w:rPr>
                <w:sz w:val="20"/>
                <w:szCs w:val="20"/>
                <w:color w:val="auto"/>
              </w:rPr>
            </w:pPr>
            <w:r>
              <w:rPr>
                <w:rFonts w:ascii="Times New Roman" w:cs="Times New Roman" w:eastAsia="Times New Roman" w:hAnsi="Times New Roman"/>
                <w:sz w:val="13"/>
                <w:szCs w:val="13"/>
                <w:color w:val="7F7F7F"/>
              </w:rPr>
              <w:t xml:space="preserve">•   </w:t>
            </w:r>
            <w:r>
              <w:rPr>
                <w:rFonts w:ascii="Times New Roman" w:cs="Times New Roman" w:eastAsia="Times New Roman" w:hAnsi="Times New Roman"/>
                <w:sz w:val="14"/>
                <w:szCs w:val="14"/>
                <w:color w:val="000000"/>
              </w:rPr>
              <w:t>Chief Medical Officer (January 2023 – present)</w:t>
            </w: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6820" w:type="dxa"/>
            <w:vAlign w:val="bottom"/>
          </w:tcPr>
          <w:p>
            <w:pPr>
              <w:ind w:left="260"/>
              <w:spacing w:after="0" w:line="149" w:lineRule="exact"/>
              <w:rPr>
                <w:sz w:val="20"/>
                <w:szCs w:val="20"/>
                <w:color w:val="auto"/>
              </w:rPr>
            </w:pPr>
            <w:r>
              <w:rPr>
                <w:rFonts w:ascii="Times New Roman" w:cs="Times New Roman" w:eastAsia="Times New Roman" w:hAnsi="Times New Roman"/>
                <w:sz w:val="13"/>
                <w:szCs w:val="13"/>
                <w:color w:val="7F7F7F"/>
              </w:rPr>
              <w:t xml:space="preserve">•   </w:t>
            </w:r>
            <w:r>
              <w:rPr>
                <w:rFonts w:ascii="Times New Roman" w:cs="Times New Roman" w:eastAsia="Times New Roman" w:hAnsi="Times New Roman"/>
                <w:sz w:val="14"/>
                <w:szCs w:val="14"/>
                <w:color w:val="000000"/>
              </w:rPr>
              <w:t>Professor of Ophthalmology, Vitreoretinal surgeon, New England Eye Center/Tufts Medicine (1998 – present)</w:t>
            </w: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6820" w:type="dxa"/>
            <w:vAlign w:val="bottom"/>
          </w:tcPr>
          <w:p>
            <w:pPr>
              <w:ind w:left="260"/>
              <w:spacing w:after="0" w:line="149" w:lineRule="exact"/>
              <w:rPr>
                <w:sz w:val="20"/>
                <w:szCs w:val="20"/>
                <w:color w:val="auto"/>
              </w:rPr>
            </w:pPr>
            <w:r>
              <w:rPr>
                <w:rFonts w:ascii="Times New Roman" w:cs="Times New Roman" w:eastAsia="Times New Roman" w:hAnsi="Times New Roman"/>
                <w:sz w:val="13"/>
                <w:szCs w:val="13"/>
                <w:color w:val="7F7F7F"/>
              </w:rPr>
              <w:t xml:space="preserve">•   </w:t>
            </w:r>
            <w:r>
              <w:rPr>
                <w:rFonts w:ascii="Times New Roman" w:cs="Times New Roman" w:eastAsia="Times New Roman" w:hAnsi="Times New Roman"/>
                <w:sz w:val="14"/>
                <w:szCs w:val="14"/>
                <w:color w:val="000000"/>
              </w:rPr>
              <w:t>Key opinion leader in ophthalmology, retinal imaging and therapeutics, ophthalmic devices and drug delivery</w:t>
            </w:r>
          </w:p>
        </w:tc>
        <w:tc>
          <w:tcPr>
            <w:tcW w:w="0" w:type="dxa"/>
            <w:vAlign w:val="bottom"/>
          </w:tcPr>
          <w:p>
            <w:pPr>
              <w:spacing w:after="0"/>
              <w:rPr>
                <w:sz w:val="1"/>
                <w:szCs w:val="1"/>
                <w:color w:val="auto"/>
              </w:rPr>
            </w:pPr>
          </w:p>
        </w:tc>
      </w:tr>
      <w:tr>
        <w:trPr>
          <w:trHeight w:val="188"/>
        </w:trPr>
        <w:tc>
          <w:tcPr>
            <w:tcW w:w="2560" w:type="dxa"/>
            <w:vAlign w:val="bottom"/>
          </w:tcPr>
          <w:p>
            <w:pPr>
              <w:spacing w:after="0"/>
              <w:rPr>
                <w:sz w:val="16"/>
                <w:szCs w:val="16"/>
                <w:color w:val="auto"/>
              </w:rPr>
            </w:pPr>
          </w:p>
        </w:tc>
        <w:tc>
          <w:tcPr>
            <w:tcW w:w="6820" w:type="dxa"/>
            <w:vAlign w:val="bottom"/>
          </w:tcPr>
          <w:p>
            <w:pPr>
              <w:ind w:left="260"/>
              <w:spacing w:after="0"/>
              <w:rPr>
                <w:sz w:val="20"/>
                <w:szCs w:val="20"/>
                <w:color w:val="auto"/>
              </w:rPr>
            </w:pPr>
            <w:r>
              <w:rPr>
                <w:rFonts w:ascii="Times New Roman" w:cs="Times New Roman" w:eastAsia="Times New Roman" w:hAnsi="Times New Roman"/>
                <w:sz w:val="13"/>
                <w:szCs w:val="13"/>
                <w:color w:val="7F7F7F"/>
              </w:rPr>
              <w:t xml:space="preserve">•   </w:t>
            </w:r>
            <w:r>
              <w:rPr>
                <w:rFonts w:ascii="Times New Roman" w:cs="Times New Roman" w:eastAsia="Times New Roman" w:hAnsi="Times New Roman"/>
                <w:sz w:val="14"/>
                <w:szCs w:val="14"/>
                <w:color w:val="000000"/>
              </w:rPr>
              <w:t>Clinical research principal investigator and DSMC member for numerous clinical studies</w:t>
            </w:r>
          </w:p>
        </w:tc>
        <w:tc>
          <w:tcPr>
            <w:tcW w:w="0" w:type="dxa"/>
            <w:vAlign w:val="bottom"/>
          </w:tcPr>
          <w:p>
            <w:pPr>
              <w:spacing w:after="0"/>
              <w:rPr>
                <w:sz w:val="1"/>
                <w:szCs w:val="1"/>
                <w:color w:val="auto"/>
              </w:rPr>
            </w:pPr>
          </w:p>
        </w:tc>
      </w:tr>
      <w:tr>
        <w:trPr>
          <w:trHeight w:val="257"/>
        </w:trPr>
        <w:tc>
          <w:tcPr>
            <w:tcW w:w="2560" w:type="dxa"/>
            <w:vAlign w:val="bottom"/>
          </w:tcPr>
          <w:p>
            <w:pPr>
              <w:spacing w:after="0"/>
              <w:rPr>
                <w:sz w:val="22"/>
                <w:szCs w:val="22"/>
                <w:color w:val="auto"/>
              </w:rPr>
            </w:pPr>
          </w:p>
        </w:tc>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Education</w:t>
            </w: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6820" w:type="dxa"/>
            <w:vAlign w:val="bottom"/>
          </w:tcPr>
          <w:p>
            <w:pPr>
              <w:ind w:left="260"/>
              <w:spacing w:after="0" w:line="149" w:lineRule="exact"/>
              <w:rPr>
                <w:sz w:val="20"/>
                <w:szCs w:val="20"/>
                <w:color w:val="auto"/>
              </w:rPr>
            </w:pPr>
            <w:r>
              <w:rPr>
                <w:rFonts w:ascii="Times New Roman" w:cs="Times New Roman" w:eastAsia="Times New Roman" w:hAnsi="Times New Roman"/>
                <w:sz w:val="13"/>
                <w:szCs w:val="13"/>
                <w:color w:val="7F7F7F"/>
              </w:rPr>
              <w:t xml:space="preserve">•   </w:t>
            </w:r>
            <w:r>
              <w:rPr>
                <w:rFonts w:ascii="Times New Roman" w:cs="Times New Roman" w:eastAsia="Times New Roman" w:hAnsi="Times New Roman"/>
                <w:sz w:val="14"/>
                <w:szCs w:val="14"/>
                <w:color w:val="000000"/>
              </w:rPr>
              <w:t>Wills Eye Hospital, Vitreoretinal Surgical Fellowship</w:t>
            </w: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6820" w:type="dxa"/>
            <w:vAlign w:val="bottom"/>
          </w:tcPr>
          <w:p>
            <w:pPr>
              <w:ind w:left="260"/>
              <w:spacing w:after="0" w:line="149" w:lineRule="exact"/>
              <w:rPr>
                <w:sz w:val="20"/>
                <w:szCs w:val="20"/>
                <w:color w:val="auto"/>
              </w:rPr>
            </w:pPr>
            <w:r>
              <w:rPr>
                <w:rFonts w:ascii="Times New Roman" w:cs="Times New Roman" w:eastAsia="Times New Roman" w:hAnsi="Times New Roman"/>
                <w:sz w:val="13"/>
                <w:szCs w:val="13"/>
                <w:color w:val="7F7F7F"/>
              </w:rPr>
              <w:t xml:space="preserve">•   </w:t>
            </w:r>
            <w:r>
              <w:rPr>
                <w:rFonts w:ascii="Times New Roman" w:cs="Times New Roman" w:eastAsia="Times New Roman" w:hAnsi="Times New Roman"/>
                <w:sz w:val="14"/>
                <w:szCs w:val="14"/>
                <w:color w:val="000000"/>
              </w:rPr>
              <w:t>New England Eye Center, Tufts, Medical Retina &amp; Lasers Imaging Fellowship</w:t>
            </w:r>
          </w:p>
        </w:tc>
        <w:tc>
          <w:tcPr>
            <w:tcW w:w="0" w:type="dxa"/>
            <w:vAlign w:val="bottom"/>
          </w:tcPr>
          <w:p>
            <w:pPr>
              <w:spacing w:after="0"/>
              <w:rPr>
                <w:sz w:val="1"/>
                <w:szCs w:val="1"/>
                <w:color w:val="auto"/>
              </w:rPr>
            </w:pPr>
          </w:p>
        </w:tc>
      </w:tr>
      <w:tr>
        <w:trPr>
          <w:trHeight w:val="148"/>
        </w:trPr>
        <w:tc>
          <w:tcPr>
            <w:tcW w:w="2560" w:type="dxa"/>
            <w:vAlign w:val="bottom"/>
            <w:vMerge w:val="restart"/>
          </w:tcPr>
          <w:p>
            <w:pPr>
              <w:spacing w:after="0"/>
              <w:rPr>
                <w:sz w:val="20"/>
                <w:szCs w:val="20"/>
                <w:color w:val="auto"/>
              </w:rPr>
            </w:pPr>
            <w:r>
              <w:rPr>
                <w:rFonts w:ascii="Times New Roman" w:cs="Times New Roman" w:eastAsia="Times New Roman" w:hAnsi="Times New Roman"/>
                <w:sz w:val="25"/>
                <w:szCs w:val="25"/>
                <w:color w:val="auto"/>
              </w:rPr>
              <w:t>Caroline Baumal, M.D.</w:t>
            </w:r>
          </w:p>
        </w:tc>
        <w:tc>
          <w:tcPr>
            <w:tcW w:w="6820" w:type="dxa"/>
            <w:vAlign w:val="bottom"/>
          </w:tcPr>
          <w:p>
            <w:pPr>
              <w:ind w:left="260"/>
              <w:spacing w:after="0" w:line="149" w:lineRule="exact"/>
              <w:rPr>
                <w:sz w:val="20"/>
                <w:szCs w:val="20"/>
                <w:color w:val="auto"/>
              </w:rPr>
            </w:pPr>
            <w:r>
              <w:rPr>
                <w:rFonts w:ascii="Times New Roman" w:cs="Times New Roman" w:eastAsia="Times New Roman" w:hAnsi="Times New Roman"/>
                <w:sz w:val="13"/>
                <w:szCs w:val="13"/>
                <w:color w:val="7F7F7F"/>
              </w:rPr>
              <w:t xml:space="preserve">•   </w:t>
            </w:r>
            <w:r>
              <w:rPr>
                <w:rFonts w:ascii="Times New Roman" w:cs="Times New Roman" w:eastAsia="Times New Roman" w:hAnsi="Times New Roman"/>
                <w:sz w:val="14"/>
                <w:szCs w:val="14"/>
                <w:color w:val="000000"/>
              </w:rPr>
              <w:t>Ophthalmology Residency, University of Toronto Medical School</w:t>
            </w:r>
          </w:p>
        </w:tc>
        <w:tc>
          <w:tcPr>
            <w:tcW w:w="0" w:type="dxa"/>
            <w:vAlign w:val="bottom"/>
          </w:tcPr>
          <w:p>
            <w:pPr>
              <w:spacing w:after="0"/>
              <w:rPr>
                <w:sz w:val="1"/>
                <w:szCs w:val="1"/>
                <w:color w:val="auto"/>
              </w:rPr>
            </w:pPr>
          </w:p>
        </w:tc>
      </w:tr>
      <w:tr>
        <w:trPr>
          <w:trHeight w:val="185"/>
        </w:trPr>
        <w:tc>
          <w:tcPr>
            <w:tcW w:w="2560" w:type="dxa"/>
            <w:vAlign w:val="bottom"/>
            <w:vMerge w:val="continue"/>
          </w:tcPr>
          <w:p>
            <w:pPr>
              <w:spacing w:after="0"/>
              <w:rPr>
                <w:sz w:val="16"/>
                <w:szCs w:val="16"/>
                <w:color w:val="auto"/>
              </w:rPr>
            </w:pPr>
          </w:p>
        </w:tc>
        <w:tc>
          <w:tcPr>
            <w:tcW w:w="6820" w:type="dxa"/>
            <w:vAlign w:val="bottom"/>
          </w:tcPr>
          <w:p>
            <w:pPr>
              <w:ind w:left="260"/>
              <w:spacing w:after="0"/>
              <w:rPr>
                <w:sz w:val="20"/>
                <w:szCs w:val="20"/>
                <w:color w:val="auto"/>
              </w:rPr>
            </w:pPr>
            <w:r>
              <w:rPr>
                <w:rFonts w:ascii="Times New Roman" w:cs="Times New Roman" w:eastAsia="Times New Roman" w:hAnsi="Times New Roman"/>
                <w:sz w:val="13"/>
                <w:szCs w:val="13"/>
                <w:color w:val="7F7F7F"/>
              </w:rPr>
              <w:t xml:space="preserve">•   </w:t>
            </w:r>
            <w:r>
              <w:rPr>
                <w:rFonts w:ascii="Times New Roman" w:cs="Times New Roman" w:eastAsia="Times New Roman" w:hAnsi="Times New Roman"/>
                <w:sz w:val="14"/>
                <w:szCs w:val="14"/>
                <w:color w:val="000000"/>
              </w:rPr>
              <w:t>M.D., University of Toronto Medical School</w:t>
            </w:r>
          </w:p>
        </w:tc>
        <w:tc>
          <w:tcPr>
            <w:tcW w:w="0" w:type="dxa"/>
            <w:vAlign w:val="bottom"/>
          </w:tcPr>
          <w:p>
            <w:pPr>
              <w:spacing w:after="0"/>
              <w:rPr>
                <w:sz w:val="1"/>
                <w:szCs w:val="1"/>
                <w:color w:val="auto"/>
              </w:rPr>
            </w:pPr>
          </w:p>
        </w:tc>
      </w:tr>
      <w:tr>
        <w:trPr>
          <w:trHeight w:val="164"/>
        </w:trPr>
        <w:tc>
          <w:tcPr>
            <w:tcW w:w="2560" w:type="dxa"/>
            <w:vAlign w:val="bottom"/>
          </w:tcPr>
          <w:p>
            <w:pPr>
              <w:spacing w:after="0"/>
              <w:rPr>
                <w:sz w:val="14"/>
                <w:szCs w:val="14"/>
                <w:color w:val="auto"/>
              </w:rPr>
            </w:pPr>
          </w:p>
        </w:tc>
        <w:tc>
          <w:tcPr>
            <w:tcW w:w="6820" w:type="dxa"/>
            <w:vAlign w:val="bottom"/>
          </w:tcPr>
          <w:p>
            <w:pPr>
              <w:ind w:left="260"/>
              <w:spacing w:after="0"/>
              <w:rPr>
                <w:sz w:val="20"/>
                <w:szCs w:val="20"/>
                <w:color w:val="auto"/>
              </w:rPr>
            </w:pPr>
            <w:r>
              <w:rPr>
                <w:rFonts w:ascii="Times New Roman" w:cs="Times New Roman" w:eastAsia="Times New Roman" w:hAnsi="Times New Roman"/>
                <w:sz w:val="13"/>
                <w:szCs w:val="13"/>
                <w:color w:val="7F7F7F"/>
              </w:rPr>
              <w:t xml:space="preserve">•   </w:t>
            </w:r>
            <w:r>
              <w:rPr>
                <w:rFonts w:ascii="Times New Roman" w:cs="Times New Roman" w:eastAsia="Times New Roman" w:hAnsi="Times New Roman"/>
                <w:sz w:val="14"/>
                <w:szCs w:val="14"/>
                <w:color w:val="000000"/>
              </w:rPr>
              <w:t>B.Sc., Biochemistry, McGill University</w:t>
            </w: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8"/>
          <w:szCs w:val="18"/>
          <w:b w:val="1"/>
          <w:bCs w:val="1"/>
          <w:color w:val="auto"/>
        </w:rPr>
        <w:t>Chief Medical Officer</w:t>
      </w:r>
    </w:p>
    <w:p>
      <w:pPr>
        <w:spacing w:after="0" w:line="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Age: 58</w:t>
      </w:r>
    </w:p>
    <w:p>
      <w:pPr>
        <w:spacing w:after="0" w:line="10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9086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908685"/>
                    </a:xfrm>
                    <a:prstGeom prst="rect">
                      <a:avLst/>
                    </a:prstGeom>
                    <a:noFill/>
                  </pic:spPr>
                </pic:pic>
              </a:graphicData>
            </a:graphic>
          </wp:anchor>
        </w:drawing>
      </w:r>
    </w:p>
    <w:p>
      <w:pPr>
        <w:spacing w:after="0" w:line="93" w:lineRule="exact"/>
        <w:rPr>
          <w:sz w:val="20"/>
          <w:szCs w:val="20"/>
          <w:color w:val="auto"/>
        </w:rPr>
      </w:pPr>
    </w:p>
    <w:p>
      <w:pPr>
        <w:ind w:left="3020" w:hanging="185"/>
        <w:spacing w:after="0"/>
        <w:tabs>
          <w:tab w:leader="none" w:pos="3020" w:val="left"/>
        </w:tabs>
        <w:numPr>
          <w:ilvl w:val="0"/>
          <w:numId w:val="36"/>
        </w:numPr>
        <w:rPr>
          <w:rFonts w:ascii="Times New Roman" w:cs="Times New Roman" w:eastAsia="Times New Roman" w:hAnsi="Times New Roman"/>
          <w:sz w:val="13"/>
          <w:szCs w:val="13"/>
          <w:color w:val="7F7F7F"/>
        </w:rPr>
      </w:pPr>
      <w:r>
        <w:rPr>
          <w:rFonts w:ascii="Times New Roman" w:cs="Times New Roman" w:eastAsia="Times New Roman" w:hAnsi="Times New Roman"/>
          <w:sz w:val="14"/>
          <w:szCs w:val="14"/>
          <w:color w:val="auto"/>
        </w:rPr>
        <w:t>Vice President, Corporate Controller and Chief Accounting Officer (August 2021 – present); Treasurer (December 2021 – present)</w:t>
      </w:r>
    </w:p>
    <w:p>
      <w:pPr>
        <w:spacing w:after="0" w:line="3" w:lineRule="exact"/>
        <w:rPr>
          <w:rFonts w:ascii="Times New Roman" w:cs="Times New Roman" w:eastAsia="Times New Roman" w:hAnsi="Times New Roman"/>
          <w:sz w:val="13"/>
          <w:szCs w:val="13"/>
          <w:color w:val="7F7F7F"/>
        </w:rPr>
      </w:pPr>
    </w:p>
    <w:p>
      <w:pPr>
        <w:ind w:left="3020" w:hanging="185"/>
        <w:spacing w:after="0" w:line="221" w:lineRule="auto"/>
        <w:tabs>
          <w:tab w:leader="none" w:pos="3020" w:val="left"/>
        </w:tabs>
        <w:numPr>
          <w:ilvl w:val="0"/>
          <w:numId w:val="36"/>
        </w:numPr>
        <w:rPr>
          <w:rFonts w:ascii="Times New Roman" w:cs="Times New Roman" w:eastAsia="Times New Roman" w:hAnsi="Times New Roman"/>
          <w:sz w:val="13"/>
          <w:szCs w:val="13"/>
          <w:color w:val="7F7F7F"/>
        </w:rPr>
      </w:pPr>
      <w:r>
        <w:rPr>
          <w:rFonts w:ascii="Times New Roman" w:cs="Times New Roman" w:eastAsia="Times New Roman" w:hAnsi="Times New Roman"/>
          <w:sz w:val="14"/>
          <w:szCs w:val="14"/>
          <w:color w:val="auto"/>
        </w:rPr>
        <w:t>Vice President, Principal Financial Officer, Principal Accounting Officer and Treasurer, Radius Health, Inc., a publicly traded commercial biopharmaceutical company (December 2020 - August 2021); corporate controller (October 2018 - December 2020)</w:t>
      </w:r>
    </w:p>
    <w:p>
      <w:pPr>
        <w:ind w:left="3020" w:right="80" w:hanging="185"/>
        <w:spacing w:after="0" w:line="221" w:lineRule="auto"/>
        <w:tabs>
          <w:tab w:leader="none" w:pos="3020" w:val="left"/>
        </w:tabs>
        <w:numPr>
          <w:ilvl w:val="0"/>
          <w:numId w:val="36"/>
        </w:numPr>
        <w:rPr>
          <w:rFonts w:ascii="Times New Roman" w:cs="Times New Roman" w:eastAsia="Times New Roman" w:hAnsi="Times New Roman"/>
          <w:sz w:val="13"/>
          <w:szCs w:val="13"/>
          <w:color w:val="7F7F7F"/>
        </w:rPr>
      </w:pPr>
      <w:r>
        <w:rPr>
          <w:rFonts w:ascii="Times New Roman" w:cs="Times New Roman" w:eastAsia="Times New Roman" w:hAnsi="Times New Roman"/>
          <w:sz w:val="14"/>
          <w:szCs w:val="14"/>
          <w:color w:val="auto"/>
        </w:rPr>
        <w:t>Consultant, Danforth Advisors, a strategic consulting firm for life science and healthcare technology companies (October 2016 - October 2018)</w:t>
      </w:r>
    </w:p>
    <w:p>
      <w:pPr>
        <w:ind w:left="3020" w:hanging="185"/>
        <w:spacing w:after="0" w:line="221" w:lineRule="auto"/>
        <w:tabs>
          <w:tab w:leader="none" w:pos="3020" w:val="left"/>
        </w:tabs>
        <w:numPr>
          <w:ilvl w:val="0"/>
          <w:numId w:val="36"/>
        </w:numPr>
        <w:rPr>
          <w:rFonts w:ascii="Times New Roman" w:cs="Times New Roman" w:eastAsia="Times New Roman" w:hAnsi="Times New Roman"/>
          <w:sz w:val="13"/>
          <w:szCs w:val="13"/>
          <w:color w:val="7F7F7F"/>
        </w:rPr>
      </w:pPr>
      <w:r>
        <w:rPr>
          <w:rFonts w:ascii="Times New Roman" w:cs="Times New Roman" w:eastAsia="Times New Roman" w:hAnsi="Times New Roman"/>
          <w:sz w:val="14"/>
          <w:szCs w:val="14"/>
          <w:color w:val="auto"/>
        </w:rPr>
        <w:t>Chief Financial Officer and Vice President of finance, KBI Biopharma, Inc., a biopharmaceutical contract services organization</w:t>
      </w:r>
    </w:p>
    <w:p>
      <w:pPr>
        <w:ind w:left="3020" w:hanging="185"/>
        <w:spacing w:after="0"/>
        <w:tabs>
          <w:tab w:leader="none" w:pos="3020" w:val="left"/>
        </w:tabs>
        <w:numPr>
          <w:ilvl w:val="0"/>
          <w:numId w:val="36"/>
        </w:numPr>
        <w:rPr>
          <w:rFonts w:ascii="Times New Roman" w:cs="Times New Roman" w:eastAsia="Times New Roman" w:hAnsi="Times New Roman"/>
          <w:sz w:val="13"/>
          <w:szCs w:val="13"/>
          <w:color w:val="7F7F7F"/>
        </w:rPr>
      </w:pPr>
      <w:r>
        <w:rPr>
          <w:rFonts w:ascii="Times New Roman" w:cs="Times New Roman" w:eastAsia="Times New Roman" w:hAnsi="Times New Roman"/>
          <w:sz w:val="14"/>
          <w:szCs w:val="14"/>
          <w:color w:val="auto"/>
        </w:rPr>
        <w:t>Held several senior management roles for certain ThermoFisher Scientific Inc. portfolio companies and Parexel International</w:t>
      </w:r>
    </w:p>
    <w:p>
      <w:pPr>
        <w:sectPr>
          <w:pgSz w:w="11900" w:h="16838" w:orient="portrait"/>
          <w:cols w:equalWidth="0" w:num="1">
            <w:col w:w="11000"/>
          </w:cols>
          <w:pgMar w:left="320" w:top="999" w:right="579" w:bottom="1440" w:gutter="0" w:footer="0" w:header="0"/>
        </w:sectPr>
      </w:pPr>
    </w:p>
    <w:p>
      <w:pPr>
        <w:spacing w:after="0" w:line="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Jim Chopas</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Education</w:t>
      </w:r>
    </w:p>
    <w:p>
      <w:pPr>
        <w:spacing w:after="0" w:line="117" w:lineRule="exact"/>
        <w:rPr>
          <w:sz w:val="20"/>
          <w:szCs w:val="20"/>
          <w:color w:val="auto"/>
        </w:rPr>
      </w:pPr>
    </w:p>
    <w:p>
      <w:pPr>
        <w:sectPr>
          <w:pgSz w:w="11900" w:h="16838" w:orient="portrait"/>
          <w:cols w:equalWidth="0" w:num="2">
            <w:col w:w="2000" w:space="720"/>
            <w:col w:w="8280"/>
          </w:cols>
          <w:pgMar w:left="320" w:top="999" w:right="579" w:bottom="1440" w:gutter="0" w:footer="0" w:header="0"/>
          <w:type w:val="continuous"/>
        </w:sectPr>
      </w:pPr>
    </w:p>
    <w:p>
      <w:pPr>
        <w:spacing w:after="0" w:line="90" w:lineRule="exact"/>
        <w:rPr>
          <w:sz w:val="20"/>
          <w:szCs w:val="20"/>
          <w:color w:val="auto"/>
        </w:rPr>
      </w:pPr>
    </w:p>
    <w:p>
      <w:pPr>
        <w:ind w:left="20"/>
        <w:spacing w:after="0" w:line="268" w:lineRule="auto"/>
        <w:rPr>
          <w:sz w:val="20"/>
          <w:szCs w:val="20"/>
          <w:color w:val="auto"/>
        </w:rPr>
      </w:pPr>
      <w:r>
        <w:rPr>
          <w:rFonts w:ascii="Times New Roman" w:cs="Times New Roman" w:eastAsia="Times New Roman" w:hAnsi="Times New Roman"/>
          <w:sz w:val="18"/>
          <w:szCs w:val="18"/>
          <w:b w:val="1"/>
          <w:bCs w:val="1"/>
          <w:color w:val="auto"/>
        </w:rPr>
        <w:t>Vice President, Corporate Controller and Chief Accounting Officer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Age: 58</w:t>
      </w:r>
    </w:p>
    <w:p>
      <w:pPr>
        <w:spacing w:after="0" w:line="20" w:lineRule="exact"/>
        <w:rPr>
          <w:sz w:val="20"/>
          <w:szCs w:val="20"/>
          <w:color w:val="auto"/>
        </w:rPr>
      </w:pPr>
      <w:r>
        <w:rPr>
          <w:sz w:val="20"/>
          <w:szCs w:val="20"/>
          <w:color w:val="auto"/>
        </w:rPr>
        <w:br w:type="column"/>
      </w:r>
    </w:p>
    <w:p>
      <w:pPr>
        <w:ind w:left="185" w:hanging="185"/>
        <w:spacing w:after="0"/>
        <w:tabs>
          <w:tab w:leader="none" w:pos="185" w:val="left"/>
        </w:tabs>
        <w:numPr>
          <w:ilvl w:val="0"/>
          <w:numId w:val="37"/>
        </w:numPr>
        <w:rPr>
          <w:rFonts w:ascii="Times New Roman" w:cs="Times New Roman" w:eastAsia="Times New Roman" w:hAnsi="Times New Roman"/>
          <w:sz w:val="13"/>
          <w:szCs w:val="13"/>
          <w:color w:val="7F7F7F"/>
        </w:rPr>
      </w:pPr>
      <w:r>
        <w:rPr>
          <w:rFonts w:ascii="Times New Roman" w:cs="Times New Roman" w:eastAsia="Times New Roman" w:hAnsi="Times New Roman"/>
          <w:sz w:val="14"/>
          <w:szCs w:val="14"/>
          <w:color w:val="auto"/>
        </w:rPr>
        <w:t>B.S., University of Massachusetts</w:t>
      </w:r>
    </w:p>
    <w:p>
      <w:pPr>
        <w:ind w:left="185" w:hanging="185"/>
        <w:spacing w:after="0"/>
        <w:tabs>
          <w:tab w:leader="none" w:pos="185" w:val="left"/>
        </w:tabs>
        <w:numPr>
          <w:ilvl w:val="0"/>
          <w:numId w:val="37"/>
        </w:numPr>
        <w:rPr>
          <w:rFonts w:ascii="Times New Roman" w:cs="Times New Roman" w:eastAsia="Times New Roman" w:hAnsi="Times New Roman"/>
          <w:sz w:val="13"/>
          <w:szCs w:val="13"/>
          <w:color w:val="7F7F7F"/>
        </w:rPr>
      </w:pPr>
      <w:r>
        <w:rPr>
          <w:rFonts w:ascii="Times New Roman" w:cs="Times New Roman" w:eastAsia="Times New Roman" w:hAnsi="Times New Roman"/>
          <w:sz w:val="14"/>
          <w:szCs w:val="14"/>
          <w:color w:val="auto"/>
        </w:rPr>
        <w:t>M.S., Bentley University</w:t>
      </w:r>
    </w:p>
    <w:p>
      <w:pPr>
        <w:spacing w:after="0" w:line="759" w:lineRule="exact"/>
        <w:rPr>
          <w:sz w:val="20"/>
          <w:szCs w:val="20"/>
          <w:color w:val="auto"/>
        </w:rPr>
      </w:pPr>
    </w:p>
    <w:p>
      <w:pPr>
        <w:sectPr>
          <w:pgSz w:w="11900" w:h="16838" w:orient="portrait"/>
          <w:cols w:equalWidth="0" w:num="2">
            <w:col w:w="2560" w:space="275"/>
            <w:col w:w="8165"/>
          </w:cols>
          <w:pgMar w:left="320" w:top="999" w:right="579" w:bottom="1440" w:gutter="0" w:footer="0" w:header="0"/>
          <w:type w:val="continuous"/>
        </w:sectPr>
      </w:pPr>
    </w:p>
    <w:p>
      <w:pPr>
        <w:ind w:left="2720"/>
        <w:spacing w:after="0"/>
        <w:rPr>
          <w:sz w:val="20"/>
          <w:szCs w:val="20"/>
          <w:color w:val="auto"/>
        </w:rPr>
      </w:pPr>
      <w:r>
        <w:rPr>
          <w:rFonts w:ascii="Times New Roman" w:cs="Times New Roman" w:eastAsia="Times New Roman" w:hAnsi="Times New Roman"/>
          <w:sz w:val="18"/>
          <w:szCs w:val="18"/>
          <w:color w:val="auto"/>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915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91540"/>
                    </a:xfrm>
                    <a:prstGeom prst="rect">
                      <a:avLst/>
                    </a:prstGeom>
                    <a:noFill/>
                  </pic:spPr>
                </pic:pic>
              </a:graphicData>
            </a:graphic>
          </wp:anchor>
        </w:drawing>
      </w:r>
    </w:p>
    <w:p>
      <w:pPr>
        <w:spacing w:after="0" w:line="25" w:lineRule="exact"/>
        <w:rPr>
          <w:sz w:val="20"/>
          <w:szCs w:val="20"/>
          <w:color w:val="auto"/>
        </w:rPr>
      </w:pPr>
    </w:p>
    <w:p>
      <w:pPr>
        <w:ind w:left="3020" w:right="100" w:hanging="185"/>
        <w:spacing w:after="0" w:line="229" w:lineRule="auto"/>
        <w:tabs>
          <w:tab w:leader="none" w:pos="3020" w:val="left"/>
        </w:tabs>
        <w:numPr>
          <w:ilvl w:val="0"/>
          <w:numId w:val="38"/>
        </w:numPr>
        <w:rPr>
          <w:rFonts w:ascii="Times New Roman" w:cs="Times New Roman" w:eastAsia="Times New Roman" w:hAnsi="Times New Roman"/>
          <w:sz w:val="14"/>
          <w:szCs w:val="14"/>
          <w:color w:val="7F7F7F"/>
        </w:rPr>
      </w:pPr>
      <w:r>
        <w:rPr>
          <w:rFonts w:ascii="Times New Roman" w:cs="Times New Roman" w:eastAsia="Times New Roman" w:hAnsi="Times New Roman"/>
          <w:sz w:val="14"/>
          <w:szCs w:val="14"/>
          <w:color w:val="auto"/>
        </w:rPr>
        <w:t>Chief Business &amp; Strategy Officer (January 2023 – present); Senior Vice President, Business Development &amp; Strategy (February 2020 – January 2023); Vice President, Business Development &amp; Strategy (November 2018 – February 2020); and Vice President, Strategy &amp; Operations (February 2018 – November 2018).</w:t>
      </w:r>
    </w:p>
    <w:p>
      <w:pPr>
        <w:ind w:left="3020" w:right="340" w:hanging="185"/>
        <w:spacing w:after="0" w:line="221" w:lineRule="auto"/>
        <w:tabs>
          <w:tab w:leader="none" w:pos="3020" w:val="left"/>
        </w:tabs>
        <w:numPr>
          <w:ilvl w:val="0"/>
          <w:numId w:val="38"/>
        </w:numPr>
        <w:rPr>
          <w:rFonts w:ascii="Times New Roman" w:cs="Times New Roman" w:eastAsia="Times New Roman" w:hAnsi="Times New Roman"/>
          <w:sz w:val="14"/>
          <w:szCs w:val="14"/>
          <w:color w:val="7F7F7F"/>
        </w:rPr>
      </w:pPr>
      <w:r>
        <w:rPr>
          <w:rFonts w:ascii="Times New Roman" w:cs="Times New Roman" w:eastAsia="Times New Roman" w:hAnsi="Times New Roman"/>
          <w:sz w:val="14"/>
          <w:szCs w:val="14"/>
          <w:color w:val="auto"/>
        </w:rPr>
        <w:t>Various leadership roles at EMD Serono, including most recently Head of Global Portfolio Management, Neurology &amp; Immunology Franchise (September 2017 – January 2018) and Head of US Business Development (October 2012 – July 2016).</w:t>
      </w:r>
    </w:p>
    <w:p>
      <w:pPr>
        <w:ind w:left="3020" w:hanging="185"/>
        <w:spacing w:after="0"/>
        <w:tabs>
          <w:tab w:leader="none" w:pos="3020" w:val="left"/>
        </w:tabs>
        <w:numPr>
          <w:ilvl w:val="0"/>
          <w:numId w:val="38"/>
        </w:numPr>
        <w:rPr>
          <w:rFonts w:ascii="Times New Roman" w:cs="Times New Roman" w:eastAsia="Times New Roman" w:hAnsi="Times New Roman"/>
          <w:sz w:val="14"/>
          <w:szCs w:val="14"/>
          <w:color w:val="7F7F7F"/>
        </w:rPr>
      </w:pPr>
      <w:r>
        <w:rPr>
          <w:rFonts w:ascii="Times New Roman" w:cs="Times New Roman" w:eastAsia="Times New Roman" w:hAnsi="Times New Roman"/>
          <w:sz w:val="14"/>
          <w:szCs w:val="14"/>
          <w:color w:val="auto"/>
        </w:rPr>
        <w:t>Managing Director, Bluepoint Healthcare Consulting, LLC (July 2016 – June 2017)</w:t>
      </w:r>
    </w:p>
    <w:p>
      <w:pPr>
        <w:spacing w:after="0" w:line="5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Education</w:t>
      </w:r>
    </w:p>
    <w:p>
      <w:pPr>
        <w:spacing w:after="0" w:line="30" w:lineRule="exact"/>
        <w:rPr>
          <w:sz w:val="20"/>
          <w:szCs w:val="20"/>
          <w:color w:val="auto"/>
        </w:rPr>
      </w:pPr>
    </w:p>
    <w:p>
      <w:pPr>
        <w:ind w:left="20"/>
        <w:spacing w:after="0"/>
        <w:tabs>
          <w:tab w:leader="none" w:pos="2820" w:val="left"/>
          <w:tab w:leader="none" w:pos="3000" w:val="left"/>
        </w:tabs>
        <w:rPr>
          <w:sz w:val="20"/>
          <w:szCs w:val="20"/>
          <w:color w:val="auto"/>
        </w:rPr>
      </w:pPr>
      <w:r>
        <w:rPr>
          <w:rFonts w:ascii="Times New Roman" w:cs="Times New Roman" w:eastAsia="Times New Roman" w:hAnsi="Times New Roman"/>
          <w:sz w:val="25"/>
          <w:szCs w:val="25"/>
          <w:color w:val="auto"/>
        </w:rPr>
        <w:t>Mark DeLong</w:t>
      </w:r>
      <w:r>
        <w:rPr>
          <w:sz w:val="20"/>
          <w:szCs w:val="20"/>
          <w:color w:val="auto"/>
        </w:rPr>
        <w:tab/>
      </w:r>
      <w:r>
        <w:rPr>
          <w:rFonts w:ascii="Times New Roman" w:cs="Times New Roman" w:eastAsia="Times New Roman" w:hAnsi="Times New Roman"/>
          <w:sz w:val="13"/>
          <w:szCs w:val="13"/>
          <w:color w:val="7F7F7F"/>
        </w:rPr>
        <w:t>•</w:t>
      </w:r>
      <w:r>
        <w:rPr>
          <w:sz w:val="20"/>
          <w:szCs w:val="20"/>
          <w:color w:val="auto"/>
        </w:rPr>
        <w:tab/>
      </w:r>
      <w:r>
        <w:rPr>
          <w:rFonts w:ascii="Times New Roman" w:cs="Times New Roman" w:eastAsia="Times New Roman" w:hAnsi="Times New Roman"/>
          <w:sz w:val="14"/>
          <w:szCs w:val="14"/>
          <w:color w:val="auto"/>
        </w:rPr>
        <w:t>B.S., Penn State University</w:t>
      </w:r>
    </w:p>
    <w:p>
      <w:pPr>
        <w:ind w:left="3020" w:hanging="185"/>
        <w:spacing w:after="0" w:line="213" w:lineRule="auto"/>
        <w:tabs>
          <w:tab w:leader="none" w:pos="3020" w:val="left"/>
        </w:tabs>
        <w:numPr>
          <w:ilvl w:val="0"/>
          <w:numId w:val="39"/>
        </w:numPr>
        <w:rPr>
          <w:rFonts w:ascii="Times New Roman" w:cs="Times New Roman" w:eastAsia="Times New Roman" w:hAnsi="Times New Roman"/>
          <w:sz w:val="13"/>
          <w:szCs w:val="13"/>
          <w:color w:val="7F7F7F"/>
        </w:rPr>
      </w:pPr>
      <w:r>
        <w:rPr>
          <w:rFonts w:ascii="Times New Roman" w:cs="Times New Roman" w:eastAsia="Times New Roman" w:hAnsi="Times New Roman"/>
          <w:sz w:val="14"/>
          <w:szCs w:val="14"/>
          <w:color w:val="auto"/>
        </w:rPr>
        <w:t>M.B.A, University of Michigan</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Chief Business &amp; Strategy Officer</w:t>
      </w:r>
    </w:p>
    <w:p>
      <w:pPr>
        <w:spacing w:after="0" w:line="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Age: 48</w:t>
      </w:r>
    </w:p>
    <w:p>
      <w:pPr>
        <w:sectPr>
          <w:pgSz w:w="11900" w:h="16838" w:orient="portrait"/>
          <w:cols w:equalWidth="0" w:num="1">
            <w:col w:w="11000"/>
          </w:cols>
          <w:pgMar w:left="320" w:top="999" w:right="5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line="282" w:lineRule="auto"/>
        <w:rPr>
          <w:sz w:val="20"/>
          <w:szCs w:val="20"/>
          <w:color w:val="auto"/>
        </w:rPr>
      </w:pPr>
      <w:r>
        <w:rPr>
          <w:rFonts w:ascii="Times New Roman" w:cs="Times New Roman" w:eastAsia="Times New Roman" w:hAnsi="Times New Roman"/>
          <w:sz w:val="25"/>
          <w:szCs w:val="25"/>
          <w:color w:val="auto"/>
        </w:rPr>
        <w:t>Pascal Deschatelets,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-1305560</wp:posOffset>
            </wp:positionV>
            <wp:extent cx="831215" cy="8401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31215" cy="8401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-1759585</wp:posOffset>
            </wp:positionH>
            <wp:positionV relativeFrom="paragraph">
              <wp:posOffset>-127635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 w:lineRule="exact"/>
        <w:rPr>
          <w:sz w:val="20"/>
          <w:szCs w:val="20"/>
          <w:color w:val="auto"/>
        </w:rPr>
      </w:pPr>
    </w:p>
    <w:p>
      <w:pPr>
        <w:ind w:left="240" w:hanging="185"/>
        <w:spacing w:after="0"/>
        <w:tabs>
          <w:tab w:leader="none" w:pos="240" w:val="left"/>
        </w:tabs>
        <w:numPr>
          <w:ilvl w:val="0"/>
          <w:numId w:val="40"/>
        </w:numPr>
        <w:rPr>
          <w:rFonts w:ascii="Times New Roman" w:cs="Times New Roman" w:eastAsia="Times New Roman" w:hAnsi="Times New Roman"/>
          <w:sz w:val="13"/>
          <w:szCs w:val="13"/>
          <w:color w:val="7F7F7F"/>
        </w:rPr>
      </w:pPr>
      <w:r>
        <w:rPr>
          <w:rFonts w:ascii="Times New Roman" w:cs="Times New Roman" w:eastAsia="Times New Roman" w:hAnsi="Times New Roman"/>
          <w:sz w:val="14"/>
          <w:szCs w:val="14"/>
          <w:color w:val="auto"/>
        </w:rPr>
        <w:t>Co-Founder, Chief Scientific Officer (July 2020 – present)</w:t>
      </w:r>
    </w:p>
    <w:p>
      <w:pPr>
        <w:spacing w:after="0" w:line="3" w:lineRule="exact"/>
        <w:rPr>
          <w:rFonts w:ascii="Times New Roman" w:cs="Times New Roman" w:eastAsia="Times New Roman" w:hAnsi="Times New Roman"/>
          <w:sz w:val="13"/>
          <w:szCs w:val="13"/>
          <w:color w:val="7F7F7F"/>
        </w:rPr>
      </w:pPr>
    </w:p>
    <w:p>
      <w:pPr>
        <w:ind w:left="240" w:hanging="185"/>
        <w:spacing w:after="0" w:line="221" w:lineRule="auto"/>
        <w:tabs>
          <w:tab w:leader="none" w:pos="240" w:val="left"/>
        </w:tabs>
        <w:numPr>
          <w:ilvl w:val="0"/>
          <w:numId w:val="40"/>
        </w:numPr>
        <w:rPr>
          <w:rFonts w:ascii="Times New Roman" w:cs="Times New Roman" w:eastAsia="Times New Roman" w:hAnsi="Times New Roman"/>
          <w:sz w:val="13"/>
          <w:szCs w:val="13"/>
          <w:color w:val="7F7F7F"/>
        </w:rPr>
      </w:pPr>
      <w:r>
        <w:rPr>
          <w:rFonts w:ascii="Times New Roman" w:cs="Times New Roman" w:eastAsia="Times New Roman" w:hAnsi="Times New Roman"/>
          <w:sz w:val="14"/>
          <w:szCs w:val="14"/>
          <w:color w:val="auto"/>
        </w:rPr>
        <w:t>Co-Founder, Chief Operating Officer (2009 – July 2020)</w:t>
      </w:r>
    </w:p>
    <w:p>
      <w:pPr>
        <w:ind w:left="240" w:hanging="185"/>
        <w:spacing w:after="0" w:line="221" w:lineRule="auto"/>
        <w:tabs>
          <w:tab w:leader="none" w:pos="240" w:val="left"/>
        </w:tabs>
        <w:numPr>
          <w:ilvl w:val="0"/>
          <w:numId w:val="40"/>
        </w:numPr>
        <w:rPr>
          <w:rFonts w:ascii="Times New Roman" w:cs="Times New Roman" w:eastAsia="Times New Roman" w:hAnsi="Times New Roman"/>
          <w:sz w:val="13"/>
          <w:szCs w:val="13"/>
          <w:color w:val="7F7F7F"/>
        </w:rPr>
      </w:pPr>
      <w:r>
        <w:rPr>
          <w:rFonts w:ascii="Times New Roman" w:cs="Times New Roman" w:eastAsia="Times New Roman" w:hAnsi="Times New Roman"/>
          <w:sz w:val="14"/>
          <w:szCs w:val="14"/>
          <w:color w:val="auto"/>
        </w:rPr>
        <w:t>Co-Founder and Chief Operating Officer, Potentia (2001 – September 2016)</w:t>
      </w:r>
    </w:p>
    <w:p>
      <w:pPr>
        <w:ind w:left="240" w:hanging="185"/>
        <w:spacing w:after="0"/>
        <w:tabs>
          <w:tab w:leader="none" w:pos="240" w:val="left"/>
        </w:tabs>
        <w:numPr>
          <w:ilvl w:val="0"/>
          <w:numId w:val="40"/>
        </w:numPr>
        <w:rPr>
          <w:rFonts w:ascii="Times New Roman" w:cs="Times New Roman" w:eastAsia="Times New Roman" w:hAnsi="Times New Roman"/>
          <w:sz w:val="13"/>
          <w:szCs w:val="13"/>
          <w:color w:val="7F7F7F"/>
        </w:rPr>
      </w:pPr>
      <w:r>
        <w:rPr>
          <w:rFonts w:ascii="Times New Roman" w:cs="Times New Roman" w:eastAsia="Times New Roman" w:hAnsi="Times New Roman"/>
          <w:sz w:val="14"/>
          <w:szCs w:val="14"/>
          <w:color w:val="auto"/>
        </w:rPr>
        <w:t>Co-Founder, Revon (2013 – 2019)</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Education</w:t>
      </w:r>
    </w:p>
    <w:p>
      <w:pPr>
        <w:spacing w:after="0" w:line="113" w:lineRule="exact"/>
        <w:rPr>
          <w:sz w:val="20"/>
          <w:szCs w:val="20"/>
          <w:color w:val="auto"/>
        </w:rPr>
      </w:pPr>
    </w:p>
    <w:p>
      <w:pPr>
        <w:ind w:left="240" w:hanging="185"/>
        <w:spacing w:after="0"/>
        <w:tabs>
          <w:tab w:leader="none" w:pos="240" w:val="left"/>
        </w:tabs>
        <w:numPr>
          <w:ilvl w:val="0"/>
          <w:numId w:val="41"/>
        </w:numPr>
        <w:rPr>
          <w:rFonts w:ascii="Times New Roman" w:cs="Times New Roman" w:eastAsia="Times New Roman" w:hAnsi="Times New Roman"/>
          <w:sz w:val="13"/>
          <w:szCs w:val="13"/>
          <w:color w:val="7F7F7F"/>
        </w:rPr>
      </w:pPr>
      <w:r>
        <w:rPr>
          <w:rFonts w:ascii="Times New Roman" w:cs="Times New Roman" w:eastAsia="Times New Roman" w:hAnsi="Times New Roman"/>
          <w:sz w:val="14"/>
          <w:szCs w:val="14"/>
          <w:color w:val="auto"/>
        </w:rPr>
        <w:t>Ph.D., Organic Chemistry, University of Montreal</w:t>
      </w:r>
    </w:p>
    <w:p>
      <w:pPr>
        <w:spacing w:after="0" w:line="3" w:lineRule="exact"/>
        <w:rPr>
          <w:rFonts w:ascii="Times New Roman" w:cs="Times New Roman" w:eastAsia="Times New Roman" w:hAnsi="Times New Roman"/>
          <w:sz w:val="13"/>
          <w:szCs w:val="13"/>
          <w:color w:val="7F7F7F"/>
        </w:rPr>
      </w:pPr>
    </w:p>
    <w:p>
      <w:pPr>
        <w:ind w:left="240" w:hanging="185"/>
        <w:spacing w:after="0"/>
        <w:tabs>
          <w:tab w:leader="none" w:pos="240" w:val="left"/>
        </w:tabs>
        <w:numPr>
          <w:ilvl w:val="0"/>
          <w:numId w:val="41"/>
        </w:numPr>
        <w:rPr>
          <w:rFonts w:ascii="Times New Roman" w:cs="Times New Roman" w:eastAsia="Times New Roman" w:hAnsi="Times New Roman"/>
          <w:sz w:val="13"/>
          <w:szCs w:val="13"/>
          <w:color w:val="7F7F7F"/>
        </w:rPr>
      </w:pPr>
      <w:r>
        <w:rPr>
          <w:rFonts w:ascii="Times New Roman" w:cs="Times New Roman" w:eastAsia="Times New Roman" w:hAnsi="Times New Roman"/>
          <w:sz w:val="14"/>
          <w:szCs w:val="14"/>
          <w:color w:val="auto"/>
        </w:rPr>
        <w:t>Post-doctoral training in the laboratory of Dr. George Whitesides at Harvard University</w:t>
      </w:r>
    </w:p>
    <w:p>
      <w:pPr>
        <w:spacing w:after="0" w:line="593" w:lineRule="exact"/>
        <w:rPr>
          <w:sz w:val="20"/>
          <w:szCs w:val="20"/>
          <w:color w:val="auto"/>
        </w:rPr>
      </w:pPr>
    </w:p>
    <w:p>
      <w:pPr>
        <w:sectPr>
          <w:pgSz w:w="11900" w:h="16838" w:orient="portrait"/>
          <w:cols w:equalWidth="0" w:num="2">
            <w:col w:w="2060" w:space="720"/>
            <w:col w:w="8220"/>
          </w:cols>
          <w:pgMar w:left="320" w:top="999" w:right="57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b w:val="1"/>
          <w:bCs w:val="1"/>
          <w:color w:val="auto"/>
        </w:rPr>
        <w:t>Co-Founder and Chief Scientific</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Officer</w:t>
      </w:r>
    </w:p>
    <w:p>
      <w:pPr>
        <w:spacing w:after="0" w:line="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Age: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999" w:right="579" w:bottom="1440" w:gutter="0" w:footer="0" w:header="0"/>
          <w:type w:val="continuous"/>
        </w:sectPr>
      </w:pPr>
    </w:p>
    <w:bookmarkStart w:id="27" w:name="page28"/>
    <w:bookmarkEnd w:id="27"/>
    <w:p>
      <w:pPr>
        <w:ind w:left="2720"/>
        <w:spacing w:after="0"/>
        <w:rPr>
          <w:sz w:val="20"/>
          <w:szCs w:val="20"/>
          <w:color w:val="auto"/>
        </w:rPr>
      </w:pPr>
      <w:r>
        <w:rPr>
          <w:rFonts w:ascii="Times New Roman" w:cs="Times New Roman" w:eastAsia="Times New Roman" w:hAnsi="Times New Roman"/>
          <w:sz w:val="18"/>
          <w:szCs w:val="18"/>
          <w:color w:val="auto"/>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-67945</wp:posOffset>
            </wp:positionV>
            <wp:extent cx="831215" cy="8401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31215" cy="840105"/>
                    </a:xfrm>
                    <a:prstGeom prst="rect">
                      <a:avLst/>
                    </a:prstGeom>
                    <a:noFill/>
                  </pic:spPr>
                </pic:pic>
              </a:graphicData>
            </a:graphic>
          </wp:anchor>
        </w:drawing>
      </w:r>
    </w:p>
    <w:p>
      <w:pPr>
        <w:spacing w:after="0" w:line="93" w:lineRule="exact"/>
        <w:rPr>
          <w:sz w:val="20"/>
          <w:szCs w:val="20"/>
          <w:color w:val="auto"/>
        </w:rPr>
      </w:pPr>
    </w:p>
    <w:p>
      <w:pPr>
        <w:ind w:left="3020" w:hanging="185"/>
        <w:spacing w:after="0"/>
        <w:tabs>
          <w:tab w:leader="none" w:pos="3020" w:val="left"/>
        </w:tabs>
        <w:numPr>
          <w:ilvl w:val="0"/>
          <w:numId w:val="42"/>
        </w:numPr>
        <w:rPr>
          <w:rFonts w:ascii="Times New Roman" w:cs="Times New Roman" w:eastAsia="Times New Roman" w:hAnsi="Times New Roman"/>
          <w:sz w:val="13"/>
          <w:szCs w:val="13"/>
          <w:color w:val="7F7F7F"/>
        </w:rPr>
      </w:pPr>
      <w:r>
        <w:rPr>
          <w:rFonts w:ascii="Times New Roman" w:cs="Times New Roman" w:eastAsia="Times New Roman" w:hAnsi="Times New Roman"/>
          <w:sz w:val="14"/>
          <w:szCs w:val="14"/>
          <w:color w:val="auto"/>
        </w:rPr>
        <w:t>Chief Technical Operations Officer (August 2020 – present)</w:t>
      </w:r>
    </w:p>
    <w:p>
      <w:pPr>
        <w:spacing w:after="0" w:line="4" w:lineRule="exact"/>
        <w:rPr>
          <w:sz w:val="20"/>
          <w:szCs w:val="20"/>
          <w:color w:val="auto"/>
        </w:rPr>
      </w:pPr>
    </w:p>
    <w:p>
      <w:pPr>
        <w:ind w:left="3020" w:right="500" w:hanging="179"/>
        <w:spacing w:after="0" w:line="221" w:lineRule="auto"/>
        <w:tabs>
          <w:tab w:leader="none" w:pos="3000" w:val="left"/>
        </w:tabs>
        <w:rPr>
          <w:sz w:val="20"/>
          <w:szCs w:val="20"/>
          <w:color w:val="auto"/>
        </w:rPr>
      </w:pPr>
      <w:r>
        <w:rPr>
          <w:rFonts w:ascii="Times New Roman" w:cs="Times New Roman" w:eastAsia="Times New Roman" w:hAnsi="Times New Roman"/>
          <w:sz w:val="13"/>
          <w:szCs w:val="13"/>
          <w:color w:val="7F7F7F"/>
        </w:rPr>
        <w:t>•</w:t>
      </w:r>
      <w:r>
        <w:rPr>
          <w:sz w:val="20"/>
          <w:szCs w:val="20"/>
          <w:color w:val="auto"/>
        </w:rPr>
        <w:tab/>
      </w:r>
      <w:r>
        <w:rPr>
          <w:rFonts w:ascii="Times New Roman" w:cs="Times New Roman" w:eastAsia="Times New Roman" w:hAnsi="Times New Roman"/>
          <w:sz w:val="14"/>
          <w:szCs w:val="14"/>
          <w:color w:val="auto"/>
        </w:rPr>
        <w:t>Vice President, North American Business Operations and Intelligence and Head of Global Supply Chain, Galderma S.A., a private pharmaceutical company (2016 - August 2020)</w:t>
      </w:r>
    </w:p>
    <w:p>
      <w:pPr>
        <w:ind w:left="3020" w:hanging="185"/>
        <w:spacing w:after="0" w:line="222" w:lineRule="auto"/>
        <w:tabs>
          <w:tab w:leader="none" w:pos="3020" w:val="left"/>
        </w:tabs>
        <w:numPr>
          <w:ilvl w:val="0"/>
          <w:numId w:val="43"/>
        </w:numPr>
        <w:rPr>
          <w:rFonts w:ascii="Times New Roman" w:cs="Times New Roman" w:eastAsia="Times New Roman" w:hAnsi="Times New Roman"/>
          <w:sz w:val="13"/>
          <w:szCs w:val="13"/>
          <w:color w:val="7F7F7F"/>
        </w:rPr>
      </w:pPr>
      <w:r>
        <w:rPr>
          <w:rFonts w:ascii="Times New Roman" w:cs="Times New Roman" w:eastAsia="Times New Roman" w:hAnsi="Times New Roman"/>
          <w:sz w:val="14"/>
          <w:szCs w:val="14"/>
          <w:color w:val="auto"/>
        </w:rPr>
        <w:t>Head of Global Supply Chain for the Pharmaceutical Franchise, Alcon</w:t>
      </w:r>
    </w:p>
    <w:p>
      <w:pPr>
        <w:ind w:left="3020" w:hanging="185"/>
        <w:spacing w:after="0"/>
        <w:tabs>
          <w:tab w:leader="none" w:pos="3020" w:val="left"/>
        </w:tabs>
        <w:numPr>
          <w:ilvl w:val="0"/>
          <w:numId w:val="43"/>
        </w:numPr>
        <w:rPr>
          <w:rFonts w:ascii="Times New Roman" w:cs="Times New Roman" w:eastAsia="Times New Roman" w:hAnsi="Times New Roman"/>
          <w:sz w:val="13"/>
          <w:szCs w:val="13"/>
          <w:color w:val="7F7F7F"/>
        </w:rPr>
      </w:pPr>
      <w:r>
        <w:rPr>
          <w:rFonts w:ascii="Times New Roman" w:cs="Times New Roman" w:eastAsia="Times New Roman" w:hAnsi="Times New Roman"/>
          <w:sz w:val="14"/>
          <w:szCs w:val="14"/>
          <w:color w:val="auto"/>
        </w:rPr>
        <w:t>Held a number of roles in clinical and regulatory affairs operations, clinical infometrics, resource management and sales operations</w:t>
      </w:r>
    </w:p>
    <w:p>
      <w:pPr>
        <w:spacing w:after="0" w:line="12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Education</w:t>
      </w:r>
    </w:p>
    <w:p>
      <w:pPr>
        <w:spacing w:after="0" w:line="30" w:lineRule="exact"/>
        <w:rPr>
          <w:sz w:val="20"/>
          <w:szCs w:val="20"/>
          <w:color w:val="auto"/>
        </w:rPr>
      </w:pPr>
    </w:p>
    <w:p>
      <w:pPr>
        <w:ind w:left="20"/>
        <w:spacing w:after="0"/>
        <w:tabs>
          <w:tab w:leader="none" w:pos="2820" w:val="left"/>
          <w:tab w:leader="none" w:pos="3000" w:val="left"/>
        </w:tabs>
        <w:rPr>
          <w:sz w:val="20"/>
          <w:szCs w:val="20"/>
          <w:color w:val="auto"/>
        </w:rPr>
      </w:pPr>
      <w:r>
        <w:rPr>
          <w:rFonts w:ascii="Times New Roman" w:cs="Times New Roman" w:eastAsia="Times New Roman" w:hAnsi="Times New Roman"/>
          <w:sz w:val="25"/>
          <w:szCs w:val="25"/>
          <w:color w:val="auto"/>
        </w:rPr>
        <w:t>Nur Nicholson</w:t>
      </w:r>
      <w:r>
        <w:rPr>
          <w:sz w:val="20"/>
          <w:szCs w:val="20"/>
          <w:color w:val="auto"/>
        </w:rPr>
        <w:tab/>
      </w:r>
      <w:r>
        <w:rPr>
          <w:rFonts w:ascii="Times New Roman" w:cs="Times New Roman" w:eastAsia="Times New Roman" w:hAnsi="Times New Roman"/>
          <w:sz w:val="13"/>
          <w:szCs w:val="13"/>
          <w:color w:val="7F7F7F"/>
        </w:rPr>
        <w:t>•</w:t>
      </w:r>
      <w:r>
        <w:rPr>
          <w:sz w:val="20"/>
          <w:szCs w:val="20"/>
          <w:color w:val="auto"/>
        </w:rPr>
        <w:tab/>
      </w:r>
      <w:r>
        <w:rPr>
          <w:rFonts w:ascii="Times New Roman" w:cs="Times New Roman" w:eastAsia="Times New Roman" w:hAnsi="Times New Roman"/>
          <w:sz w:val="14"/>
          <w:szCs w:val="14"/>
          <w:color w:val="auto"/>
        </w:rPr>
        <w:t>B.S., Chemistry, Middle East Technical University in Ankara, Turkey</w:t>
      </w:r>
    </w:p>
    <w:p>
      <w:pPr>
        <w:ind w:left="3020" w:hanging="185"/>
        <w:spacing w:after="0" w:line="193" w:lineRule="auto"/>
        <w:tabs>
          <w:tab w:leader="none" w:pos="3020" w:val="left"/>
        </w:tabs>
        <w:numPr>
          <w:ilvl w:val="0"/>
          <w:numId w:val="44"/>
        </w:numPr>
        <w:rPr>
          <w:rFonts w:ascii="Times New Roman" w:cs="Times New Roman" w:eastAsia="Times New Roman" w:hAnsi="Times New Roman"/>
          <w:sz w:val="13"/>
          <w:szCs w:val="13"/>
          <w:color w:val="7F7F7F"/>
        </w:rPr>
      </w:pPr>
      <w:r>
        <w:rPr>
          <w:rFonts w:ascii="Times New Roman" w:cs="Times New Roman" w:eastAsia="Times New Roman" w:hAnsi="Times New Roman"/>
          <w:sz w:val="14"/>
          <w:szCs w:val="14"/>
          <w:color w:val="auto"/>
        </w:rPr>
        <w:t>Executive M.B.A., M.J. Neely School of Business at Texas Christian University</w:t>
      </w:r>
    </w:p>
    <w:p>
      <w:pPr>
        <w:ind w:left="20"/>
        <w:spacing w:after="0"/>
        <w:rPr>
          <w:sz w:val="20"/>
          <w:szCs w:val="20"/>
          <w:color w:val="auto"/>
        </w:rPr>
      </w:pPr>
      <w:r>
        <w:rPr>
          <w:rFonts w:ascii="Times New Roman" w:cs="Times New Roman" w:eastAsia="Times New Roman" w:hAnsi="Times New Roman"/>
          <w:sz w:val="18"/>
          <w:szCs w:val="18"/>
          <w:b w:val="1"/>
          <w:bCs w:val="1"/>
          <w:color w:val="auto"/>
        </w:rPr>
        <w:t>Chief Technical Operations</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Officer</w:t>
      </w:r>
    </w:p>
    <w:p>
      <w:pPr>
        <w:spacing w:after="0" w:line="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Age: 56</w:t>
      </w:r>
    </w:p>
    <w:p>
      <w:pPr>
        <w:sectPr>
          <w:pgSz w:w="11900" w:h="16838" w:orient="portrait"/>
          <w:cols w:equalWidth="0" w:num="1">
            <w:col w:w="11200"/>
          </w:cols>
          <w:pgMar w:left="320" w:top="1012"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Timothy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-1007745</wp:posOffset>
            </wp:positionV>
            <wp:extent cx="831215" cy="8401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31215" cy="840105"/>
                    </a:xfrm>
                    <a:prstGeom prst="rect">
                      <a:avLst/>
                    </a:prstGeom>
                    <a:noFill/>
                  </pic:spPr>
                </pic:pic>
              </a:graphicData>
            </a:graphic>
          </wp:anchor>
        </w:drawing>
      </w:r>
    </w:p>
    <w:p>
      <w:pPr>
        <w:spacing w:after="0" w:line="71" w:lineRule="exact"/>
        <w:rPr>
          <w:sz w:val="20"/>
          <w:szCs w:val="20"/>
          <w:color w:val="auto"/>
        </w:rPr>
      </w:pPr>
    </w:p>
    <w:p>
      <w:pPr>
        <w:ind w:left="20"/>
        <w:spacing w:after="0" w:line="286" w:lineRule="auto"/>
        <w:rPr>
          <w:sz w:val="20"/>
          <w:szCs w:val="20"/>
          <w:color w:val="auto"/>
        </w:rPr>
      </w:pPr>
      <w:r>
        <w:rPr>
          <w:rFonts w:ascii="Times New Roman" w:cs="Times New Roman" w:eastAsia="Times New Roman" w:hAnsi="Times New Roman"/>
          <w:sz w:val="18"/>
          <w:szCs w:val="18"/>
          <w:b w:val="1"/>
          <w:bCs w:val="1"/>
          <w:color w:val="auto"/>
        </w:rPr>
        <w:t>Chief Financial Officer and Treasurer</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Age: 54</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-1721485</wp:posOffset>
            </wp:positionH>
            <wp:positionV relativeFrom="paragraph">
              <wp:posOffset>-127635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3" w:lineRule="exact"/>
        <w:rPr>
          <w:sz w:val="20"/>
          <w:szCs w:val="20"/>
          <w:color w:val="auto"/>
        </w:rPr>
      </w:pPr>
    </w:p>
    <w:p>
      <w:pPr>
        <w:ind w:left="300" w:hanging="185"/>
        <w:spacing w:after="0"/>
        <w:tabs>
          <w:tab w:leader="none" w:pos="300" w:val="left"/>
        </w:tabs>
        <w:numPr>
          <w:ilvl w:val="0"/>
          <w:numId w:val="45"/>
        </w:numPr>
        <w:rPr>
          <w:rFonts w:ascii="Times New Roman" w:cs="Times New Roman" w:eastAsia="Times New Roman" w:hAnsi="Times New Roman"/>
          <w:sz w:val="13"/>
          <w:szCs w:val="13"/>
          <w:color w:val="7F7F7F"/>
        </w:rPr>
      </w:pPr>
      <w:r>
        <w:rPr>
          <w:rFonts w:ascii="Times New Roman" w:cs="Times New Roman" w:eastAsia="Times New Roman" w:hAnsi="Times New Roman"/>
          <w:sz w:val="14"/>
          <w:szCs w:val="14"/>
          <w:color w:val="auto"/>
        </w:rPr>
        <w:t>Chief Financial Officer and Treasurer (October 2017 – present)</w:t>
      </w:r>
    </w:p>
    <w:p>
      <w:pPr>
        <w:spacing w:after="0" w:line="3" w:lineRule="exact"/>
        <w:rPr>
          <w:rFonts w:ascii="Times New Roman" w:cs="Times New Roman" w:eastAsia="Times New Roman" w:hAnsi="Times New Roman"/>
          <w:sz w:val="13"/>
          <w:szCs w:val="13"/>
          <w:color w:val="7F7F7F"/>
        </w:rPr>
      </w:pPr>
    </w:p>
    <w:p>
      <w:pPr>
        <w:ind w:left="300" w:right="640" w:hanging="185"/>
        <w:spacing w:after="0" w:line="221" w:lineRule="auto"/>
        <w:tabs>
          <w:tab w:leader="none" w:pos="300" w:val="left"/>
        </w:tabs>
        <w:numPr>
          <w:ilvl w:val="0"/>
          <w:numId w:val="45"/>
        </w:numPr>
        <w:rPr>
          <w:rFonts w:ascii="Times New Roman" w:cs="Times New Roman" w:eastAsia="Times New Roman" w:hAnsi="Times New Roman"/>
          <w:sz w:val="13"/>
          <w:szCs w:val="13"/>
          <w:color w:val="7F7F7F"/>
        </w:rPr>
      </w:pPr>
      <w:r>
        <w:rPr>
          <w:rFonts w:ascii="Times New Roman" w:cs="Times New Roman" w:eastAsia="Times New Roman" w:hAnsi="Times New Roman"/>
          <w:sz w:val="14"/>
          <w:szCs w:val="14"/>
          <w:color w:val="auto"/>
        </w:rPr>
        <w:t>Partner, AJU IB Investment, now known as Solasta Ventures in the United States, a venture capital firm, at which he led the firm’s investments in life sciences companies (January 2014 - October 2017)</w:t>
      </w:r>
    </w:p>
    <w:p>
      <w:pPr>
        <w:ind w:left="300" w:hanging="185"/>
        <w:spacing w:after="0" w:line="221" w:lineRule="auto"/>
        <w:tabs>
          <w:tab w:leader="none" w:pos="300" w:val="left"/>
        </w:tabs>
        <w:numPr>
          <w:ilvl w:val="0"/>
          <w:numId w:val="45"/>
        </w:numPr>
        <w:rPr>
          <w:rFonts w:ascii="Times New Roman" w:cs="Times New Roman" w:eastAsia="Times New Roman" w:hAnsi="Times New Roman"/>
          <w:sz w:val="13"/>
          <w:szCs w:val="13"/>
          <w:color w:val="7F7F7F"/>
        </w:rPr>
      </w:pPr>
      <w:r>
        <w:rPr>
          <w:rFonts w:ascii="Times New Roman" w:cs="Times New Roman" w:eastAsia="Times New Roman" w:hAnsi="Times New Roman"/>
          <w:sz w:val="14"/>
          <w:szCs w:val="14"/>
          <w:color w:val="auto"/>
        </w:rPr>
        <w:t>Managing Director, Head of Life Sciences, RBS Citizens (December 2011 - January 2014)</w:t>
      </w:r>
    </w:p>
    <w:p>
      <w:pPr>
        <w:ind w:left="300" w:right="80" w:hanging="185"/>
        <w:spacing w:after="0" w:line="239" w:lineRule="auto"/>
        <w:tabs>
          <w:tab w:leader="none" w:pos="300" w:val="left"/>
        </w:tabs>
        <w:numPr>
          <w:ilvl w:val="0"/>
          <w:numId w:val="45"/>
        </w:numPr>
        <w:rPr>
          <w:rFonts w:ascii="Times New Roman" w:cs="Times New Roman" w:eastAsia="Times New Roman" w:hAnsi="Times New Roman"/>
          <w:sz w:val="13"/>
          <w:szCs w:val="13"/>
          <w:color w:val="7F7F7F"/>
        </w:rPr>
      </w:pPr>
      <w:r>
        <w:rPr>
          <w:rFonts w:ascii="Times New Roman" w:cs="Times New Roman" w:eastAsia="Times New Roman" w:hAnsi="Times New Roman"/>
          <w:sz w:val="14"/>
          <w:szCs w:val="14"/>
          <w:color w:val="auto"/>
        </w:rPr>
        <w:t>Board Service: Observer on Apellis board of directors (November 2014 - October 2017); previously served as a director of G1 Therapeutics, Inc. and Molecular Templates, Inc.</w:t>
      </w:r>
    </w:p>
    <w:p>
      <w:pPr>
        <w:spacing w:after="0" w:line="1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Education</w:t>
      </w:r>
    </w:p>
    <w:p>
      <w:pPr>
        <w:spacing w:after="0" w:line="113" w:lineRule="exact"/>
        <w:rPr>
          <w:sz w:val="20"/>
          <w:szCs w:val="20"/>
          <w:color w:val="auto"/>
        </w:rPr>
      </w:pPr>
    </w:p>
    <w:p>
      <w:pPr>
        <w:ind w:left="300" w:hanging="185"/>
        <w:spacing w:after="0"/>
        <w:tabs>
          <w:tab w:leader="none" w:pos="300" w:val="left"/>
        </w:tabs>
        <w:numPr>
          <w:ilvl w:val="0"/>
          <w:numId w:val="46"/>
        </w:numPr>
        <w:rPr>
          <w:rFonts w:ascii="Times New Roman" w:cs="Times New Roman" w:eastAsia="Times New Roman" w:hAnsi="Times New Roman"/>
          <w:sz w:val="13"/>
          <w:szCs w:val="13"/>
          <w:color w:val="7F7F7F"/>
        </w:rPr>
      </w:pPr>
      <w:r>
        <w:rPr>
          <w:rFonts w:ascii="Times New Roman" w:cs="Times New Roman" w:eastAsia="Times New Roman" w:hAnsi="Times New Roman"/>
          <w:sz w:val="14"/>
          <w:szCs w:val="14"/>
          <w:color w:val="auto"/>
        </w:rPr>
        <w:t>A.B., Biology, Harvard College</w:t>
      </w:r>
    </w:p>
    <w:p>
      <w:pPr>
        <w:spacing w:after="0" w:line="3" w:lineRule="exact"/>
        <w:rPr>
          <w:rFonts w:ascii="Times New Roman" w:cs="Times New Roman" w:eastAsia="Times New Roman" w:hAnsi="Times New Roman"/>
          <w:sz w:val="13"/>
          <w:szCs w:val="13"/>
          <w:color w:val="7F7F7F"/>
        </w:rPr>
      </w:pPr>
    </w:p>
    <w:p>
      <w:pPr>
        <w:ind w:left="300" w:hanging="185"/>
        <w:spacing w:after="0"/>
        <w:tabs>
          <w:tab w:leader="none" w:pos="300" w:val="left"/>
        </w:tabs>
        <w:numPr>
          <w:ilvl w:val="0"/>
          <w:numId w:val="46"/>
        </w:numPr>
        <w:rPr>
          <w:rFonts w:ascii="Times New Roman" w:cs="Times New Roman" w:eastAsia="Times New Roman" w:hAnsi="Times New Roman"/>
          <w:sz w:val="13"/>
          <w:szCs w:val="13"/>
          <w:color w:val="7F7F7F"/>
        </w:rPr>
      </w:pPr>
      <w:r>
        <w:rPr>
          <w:rFonts w:ascii="Times New Roman" w:cs="Times New Roman" w:eastAsia="Times New Roman" w:hAnsi="Times New Roman"/>
          <w:sz w:val="14"/>
          <w:szCs w:val="14"/>
          <w:color w:val="auto"/>
        </w:rPr>
        <w:t>M.B.A., Columbia Business School</w:t>
      </w:r>
    </w:p>
    <w:p>
      <w:pPr>
        <w:spacing w:after="0" w:line="597" w:lineRule="exact"/>
        <w:rPr>
          <w:sz w:val="20"/>
          <w:szCs w:val="20"/>
          <w:color w:val="auto"/>
        </w:rPr>
      </w:pPr>
    </w:p>
    <w:p>
      <w:pPr>
        <w:sectPr>
          <w:pgSz w:w="11900" w:h="16838" w:orient="portrait"/>
          <w:cols w:equalWidth="0" w:num="2">
            <w:col w:w="2140" w:space="580"/>
            <w:col w:w="8480"/>
          </w:cols>
          <w:pgMar w:left="320" w:top="1012"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David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-1050290</wp:posOffset>
            </wp:positionV>
            <wp:extent cx="831215" cy="8401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31215" cy="8401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-1721485</wp:posOffset>
            </wp:positionH>
            <wp:positionV relativeFrom="paragraph">
              <wp:posOffset>-127635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3" w:lineRule="exact"/>
        <w:rPr>
          <w:sz w:val="20"/>
          <w:szCs w:val="20"/>
          <w:color w:val="auto"/>
        </w:rPr>
      </w:pPr>
    </w:p>
    <w:p>
      <w:pPr>
        <w:ind w:left="300" w:hanging="185"/>
        <w:spacing w:after="0"/>
        <w:tabs>
          <w:tab w:leader="none" w:pos="300" w:val="left"/>
        </w:tabs>
        <w:numPr>
          <w:ilvl w:val="0"/>
          <w:numId w:val="47"/>
        </w:numPr>
        <w:rPr>
          <w:rFonts w:ascii="Times New Roman" w:cs="Times New Roman" w:eastAsia="Times New Roman" w:hAnsi="Times New Roman"/>
          <w:sz w:val="13"/>
          <w:szCs w:val="13"/>
          <w:color w:val="7F7F7F"/>
        </w:rPr>
      </w:pPr>
      <w:r>
        <w:rPr>
          <w:rFonts w:ascii="Times New Roman" w:cs="Times New Roman" w:eastAsia="Times New Roman" w:hAnsi="Times New Roman"/>
          <w:sz w:val="14"/>
          <w:szCs w:val="14"/>
          <w:color w:val="auto"/>
        </w:rPr>
        <w:t>General Counsel and Secretary (January 2014 – present)</w:t>
      </w:r>
    </w:p>
    <w:p>
      <w:pPr>
        <w:spacing w:after="0" w:line="3" w:lineRule="exact"/>
        <w:rPr>
          <w:rFonts w:ascii="Times New Roman" w:cs="Times New Roman" w:eastAsia="Times New Roman" w:hAnsi="Times New Roman"/>
          <w:sz w:val="13"/>
          <w:szCs w:val="13"/>
          <w:color w:val="7F7F7F"/>
        </w:rPr>
      </w:pPr>
    </w:p>
    <w:p>
      <w:pPr>
        <w:ind w:left="300" w:hanging="185"/>
        <w:spacing w:after="0" w:line="221" w:lineRule="auto"/>
        <w:tabs>
          <w:tab w:leader="none" w:pos="300" w:val="left"/>
        </w:tabs>
        <w:numPr>
          <w:ilvl w:val="0"/>
          <w:numId w:val="47"/>
        </w:numPr>
        <w:rPr>
          <w:rFonts w:ascii="Times New Roman" w:cs="Times New Roman" w:eastAsia="Times New Roman" w:hAnsi="Times New Roman"/>
          <w:sz w:val="13"/>
          <w:szCs w:val="13"/>
          <w:color w:val="7F7F7F"/>
        </w:rPr>
      </w:pPr>
      <w:r>
        <w:rPr>
          <w:rFonts w:ascii="Times New Roman" w:cs="Times New Roman" w:eastAsia="Times New Roman" w:hAnsi="Times New Roman"/>
          <w:sz w:val="14"/>
          <w:szCs w:val="14"/>
          <w:color w:val="auto"/>
        </w:rPr>
        <w:t>General Counsel and Executive Vice President, Revon (January 2014 - June 2015)</w:t>
      </w:r>
    </w:p>
    <w:p>
      <w:pPr>
        <w:ind w:left="300" w:hanging="185"/>
        <w:spacing w:after="0"/>
        <w:tabs>
          <w:tab w:leader="none" w:pos="300" w:val="left"/>
        </w:tabs>
        <w:numPr>
          <w:ilvl w:val="0"/>
          <w:numId w:val="47"/>
        </w:numPr>
        <w:rPr>
          <w:rFonts w:ascii="Times New Roman" w:cs="Times New Roman" w:eastAsia="Times New Roman" w:hAnsi="Times New Roman"/>
          <w:sz w:val="13"/>
          <w:szCs w:val="13"/>
          <w:color w:val="7F7F7F"/>
        </w:rPr>
      </w:pPr>
      <w:r>
        <w:rPr>
          <w:rFonts w:ascii="Times New Roman" w:cs="Times New Roman" w:eastAsia="Times New Roman" w:hAnsi="Times New Roman"/>
          <w:sz w:val="14"/>
          <w:szCs w:val="14"/>
          <w:color w:val="auto"/>
        </w:rPr>
        <w:t>Member, Frost Brown Todd LLC (September 2011- December 2013)</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Education</w:t>
      </w:r>
    </w:p>
    <w:p>
      <w:pPr>
        <w:spacing w:after="0" w:line="153" w:lineRule="exact"/>
        <w:rPr>
          <w:sz w:val="20"/>
          <w:szCs w:val="20"/>
          <w:color w:val="auto"/>
        </w:rPr>
      </w:pPr>
    </w:p>
    <w:p>
      <w:pPr>
        <w:ind w:left="300" w:hanging="185"/>
        <w:spacing w:after="0"/>
        <w:tabs>
          <w:tab w:leader="none" w:pos="300" w:val="left"/>
        </w:tabs>
        <w:numPr>
          <w:ilvl w:val="0"/>
          <w:numId w:val="48"/>
        </w:numPr>
        <w:rPr>
          <w:rFonts w:ascii="Times New Roman" w:cs="Times New Roman" w:eastAsia="Times New Roman" w:hAnsi="Times New Roman"/>
          <w:sz w:val="13"/>
          <w:szCs w:val="13"/>
          <w:color w:val="7F7F7F"/>
        </w:rPr>
      </w:pPr>
      <w:r>
        <w:rPr>
          <w:rFonts w:ascii="Times New Roman" w:cs="Times New Roman" w:eastAsia="Times New Roman" w:hAnsi="Times New Roman"/>
          <w:sz w:val="14"/>
          <w:szCs w:val="14"/>
          <w:color w:val="auto"/>
        </w:rPr>
        <w:t>A.B., Harvard College</w:t>
      </w:r>
    </w:p>
    <w:p>
      <w:pPr>
        <w:spacing w:after="0" w:line="3" w:lineRule="exact"/>
        <w:rPr>
          <w:rFonts w:ascii="Times New Roman" w:cs="Times New Roman" w:eastAsia="Times New Roman" w:hAnsi="Times New Roman"/>
          <w:sz w:val="13"/>
          <w:szCs w:val="13"/>
          <w:color w:val="7F7F7F"/>
        </w:rPr>
      </w:pPr>
    </w:p>
    <w:p>
      <w:pPr>
        <w:ind w:left="300" w:hanging="185"/>
        <w:spacing w:after="0" w:line="221" w:lineRule="auto"/>
        <w:tabs>
          <w:tab w:leader="none" w:pos="300" w:val="left"/>
        </w:tabs>
        <w:numPr>
          <w:ilvl w:val="0"/>
          <w:numId w:val="48"/>
        </w:numPr>
        <w:rPr>
          <w:rFonts w:ascii="Times New Roman" w:cs="Times New Roman" w:eastAsia="Times New Roman" w:hAnsi="Times New Roman"/>
          <w:sz w:val="13"/>
          <w:szCs w:val="13"/>
          <w:color w:val="7F7F7F"/>
        </w:rPr>
      </w:pPr>
      <w:r>
        <w:rPr>
          <w:rFonts w:ascii="Times New Roman" w:cs="Times New Roman" w:eastAsia="Times New Roman" w:hAnsi="Times New Roman"/>
          <w:sz w:val="14"/>
          <w:szCs w:val="14"/>
          <w:color w:val="auto"/>
        </w:rPr>
        <w:t>J.D., Vanderbilt Law School</w:t>
      </w:r>
    </w:p>
    <w:p>
      <w:pPr>
        <w:ind w:left="300" w:hanging="185"/>
        <w:spacing w:after="0"/>
        <w:tabs>
          <w:tab w:leader="none" w:pos="300" w:val="left"/>
        </w:tabs>
        <w:numPr>
          <w:ilvl w:val="0"/>
          <w:numId w:val="48"/>
        </w:numPr>
        <w:rPr>
          <w:rFonts w:ascii="Times New Roman" w:cs="Times New Roman" w:eastAsia="Times New Roman" w:hAnsi="Times New Roman"/>
          <w:sz w:val="13"/>
          <w:szCs w:val="13"/>
          <w:color w:val="7F7F7F"/>
        </w:rPr>
      </w:pPr>
      <w:r>
        <w:rPr>
          <w:rFonts w:ascii="Times New Roman" w:cs="Times New Roman" w:eastAsia="Times New Roman" w:hAnsi="Times New Roman"/>
          <w:sz w:val="14"/>
          <w:szCs w:val="14"/>
          <w:color w:val="auto"/>
        </w:rPr>
        <w:t>M.A., Mathematics, University of Kentucky</w:t>
      </w:r>
    </w:p>
    <w:p>
      <w:pPr>
        <w:spacing w:after="0" w:line="93" w:lineRule="exact"/>
        <w:rPr>
          <w:sz w:val="20"/>
          <w:szCs w:val="20"/>
          <w:color w:val="auto"/>
        </w:rPr>
      </w:pPr>
    </w:p>
    <w:p>
      <w:pPr>
        <w:sectPr>
          <w:pgSz w:w="11900" w:h="16838" w:orient="portrait"/>
          <w:cols w:equalWidth="0" w:num="2">
            <w:col w:w="2000" w:space="720"/>
            <w:col w:w="8480"/>
          </w:cols>
          <w:pgMar w:left="320" w:top="1012" w:right="37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b w:val="1"/>
          <w:bCs w:val="1"/>
          <w:color w:val="auto"/>
        </w:rPr>
        <w:t>General Counsel and Secretary</w:t>
      </w:r>
    </w:p>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Age: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5"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16"/>
          <w:szCs w:val="16"/>
          <w:color w:val="auto"/>
        </w:rPr>
        <w:t>The principal occupation and employment during the past five years of each of our directors and executive officers was carried on, in each case, except as specifically identified above, with a corporation or organization that is not a parent, subsidiary or other affiliate of us. There is no arrangement or understanding between any of our directors or executive officers and any other person or persons pursuant to which he or she was or is to be selected as a director or executive officer.</w:t>
      </w:r>
    </w:p>
    <w:p>
      <w:pPr>
        <w:spacing w:after="0" w:line="177"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There are no material legal proceedings to which any of our directors or executive officers is a party adverse to us or any of our subsidiaries or in which any such person has a material interest adverse to us or any of our subsidiaries.</w:t>
      </w:r>
    </w:p>
    <w:p>
      <w:pPr>
        <w:spacing w:after="0" w:line="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12" w:right="379" w:bottom="1440" w:gutter="0" w:footer="0" w:header="0"/>
          <w:type w:val="continuous"/>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OUR EXECUTIVE COMPENSATION PROGRAMS</w:t>
      </w:r>
    </w:p>
    <w:p>
      <w:pPr>
        <w:spacing w:after="0" w:line="215"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6"/>
          <w:szCs w:val="16"/>
          <w:color w:val="auto"/>
        </w:rPr>
        <w:t>Our executive compensation programs are designed to attract, motivate, and retain our executive officers, who are critical to our success. Under these programs, our named executive officers are rewarded for the achievement of our near-term and longer-term financial and strategic goals and for driving corporate financial performance and stability. The programs contain elements of cash and equity-based compensation and are designed to align the interests of our executive officers with those of our stockholders.</w:t>
      </w:r>
    </w:p>
    <w:p>
      <w:pPr>
        <w:spacing w:after="0" w:line="183" w:lineRule="exact"/>
        <w:rPr>
          <w:sz w:val="20"/>
          <w:szCs w:val="20"/>
          <w:color w:val="auto"/>
        </w:rPr>
      </w:pPr>
    </w:p>
    <w:p>
      <w:pPr>
        <w:ind w:right="60"/>
        <w:spacing w:after="0" w:line="298" w:lineRule="auto"/>
        <w:rPr>
          <w:sz w:val="20"/>
          <w:szCs w:val="20"/>
          <w:color w:val="auto"/>
        </w:rPr>
      </w:pPr>
      <w:r>
        <w:rPr>
          <w:rFonts w:ascii="Times New Roman" w:cs="Times New Roman" w:eastAsia="Times New Roman" w:hAnsi="Times New Roman"/>
          <w:sz w:val="16"/>
          <w:szCs w:val="16"/>
          <w:color w:val="auto"/>
        </w:rPr>
        <w:t>The “Compensation Discussion and Analysis” section of this proxy statement beginning on page 26 describes our executive compensation programs and the decisions made by the compensation committee with respect to the year ended December 31, 2024. The key elements of our executive compensation program include the following:</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Base salary:</w:t>
      </w:r>
    </w:p>
    <w:p>
      <w:pPr>
        <w:spacing w:after="0" w:line="131" w:lineRule="exact"/>
        <w:rPr>
          <w:sz w:val="20"/>
          <w:szCs w:val="20"/>
          <w:color w:val="auto"/>
        </w:rPr>
      </w:pPr>
    </w:p>
    <w:p>
      <w:pPr>
        <w:ind w:left="1020" w:hanging="503"/>
        <w:spacing w:after="0"/>
        <w:tabs>
          <w:tab w:leader="none" w:pos="102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Fixed component of pay to provide financial stability, based on responsibilities, experience, individual contributions and peer company data.</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Annual cash incentive program:</w:t>
      </w:r>
    </w:p>
    <w:p>
      <w:pPr>
        <w:spacing w:after="0" w:line="131" w:lineRule="exact"/>
        <w:rPr>
          <w:sz w:val="20"/>
          <w:szCs w:val="20"/>
          <w:color w:val="auto"/>
        </w:rPr>
      </w:pPr>
    </w:p>
    <w:p>
      <w:pPr>
        <w:ind w:left="1020" w:right="180" w:hanging="503"/>
        <w:spacing w:after="0" w:line="298" w:lineRule="auto"/>
        <w:tabs>
          <w:tab w:leader="none" w:pos="102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promote and reward the achievement of key short-term strategic and business goals of the Company as well as individual performance; to motivate and attract executives.</w:t>
      </w:r>
    </w:p>
    <w:p>
      <w:pPr>
        <w:spacing w:after="0" w:line="5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Variable component of pay based on annual quantitative and qualitative company and individual goals.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Equity incentive compensation:</w:t>
      </w:r>
    </w:p>
    <w:p>
      <w:pPr>
        <w:spacing w:after="0" w:line="131" w:lineRule="exact"/>
        <w:rPr>
          <w:sz w:val="20"/>
          <w:szCs w:val="20"/>
          <w:color w:val="auto"/>
        </w:rPr>
      </w:pPr>
    </w:p>
    <w:p>
      <w:pPr>
        <w:ind w:left="1020" w:right="480" w:hanging="503"/>
        <w:spacing w:after="0" w:line="298" w:lineRule="auto"/>
        <w:tabs>
          <w:tab w:leader="none" w:pos="102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encourage executives and other employees to focus on long-term company performance; to promote retention; to reward outstanding company and individual performance.</w:t>
      </w:r>
    </w:p>
    <w:p>
      <w:pPr>
        <w:spacing w:after="0" w:line="56" w:lineRule="exact"/>
        <w:rPr>
          <w:rFonts w:ascii="Times New Roman" w:cs="Times New Roman" w:eastAsia="Times New Roman" w:hAnsi="Times New Roman"/>
          <w:sz w:val="16"/>
          <w:szCs w:val="16"/>
          <w:color w:val="auto"/>
        </w:rPr>
      </w:pPr>
    </w:p>
    <w:p>
      <w:pPr>
        <w:ind w:left="1020" w:right="20" w:hanging="503"/>
        <w:spacing w:after="0" w:line="281" w:lineRule="auto"/>
        <w:tabs>
          <w:tab w:leader="none" w:pos="102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Typically subject to multi-year vesting based on continued service and primarily in the form of stock options, performance stock units and restricted stock units, the value of which depends on the performance of our common stock price, in order to align employee interests with those of our stockholders over the longer-term.</w:t>
      </w:r>
    </w:p>
    <w:p>
      <w:pPr>
        <w:spacing w:after="0" w:line="164"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6"/>
          <w:szCs w:val="16"/>
          <w:color w:val="auto"/>
        </w:rPr>
        <w:t>As we describe in the Compensation Discussion and Analysis section, we have designed our executive compensation program to embody a pay-for-performance philosophy that supports our business strategy and aligns the interests of our executive officers with our stockholders. We believe this link between compensation and the achievement of our near- and long-term business goals has helped drive our performance over time. At the same time, we believe our program does not encourage excessive risk-taking by management.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PROPOSAL NO. 3—ADVISORY VOTE ON EXECUTIVE COMPENSATION</w:t>
      </w:r>
    </w:p>
    <w:p>
      <w:pPr>
        <w:spacing w:after="0" w:line="223"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6"/>
          <w:szCs w:val="16"/>
          <w:color w:val="auto"/>
        </w:rPr>
        <w:t>We are providing our stockholders the annual opportunity to vote to approve, on an advisory, non-binding basis, the compensation of our named executive officers as disclosed in this proxy statement in accordance with the SEC’s rules. This proposal, which is commonly referred to as “say-on-pay,” is required by the Dodd-Frank Wall Street Reform and Consumer Protection Act of 2010, which added Section 14A to the Exchange Act.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board of directors is asking stockholders to approve a non-binding advisory vote on the following resolution:</w:t>
      </w:r>
    </w:p>
    <w:p>
      <w:pPr>
        <w:spacing w:after="0" w:line="221"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6"/>
          <w:szCs w:val="16"/>
          <w:color w:val="auto"/>
        </w:rPr>
        <w:t>RESOLVED, that the compensation paid to the Company’s named executive officers, as disclosed pursuant to the compensation disclosure rules of the Securities and Exchange Commission, including the compensation discussion and analysis, the compensation tables and any related material disclosed in this proxy statement, is hereby approved.</w:t>
      </w:r>
    </w:p>
    <w:p>
      <w:pPr>
        <w:spacing w:after="0" w:line="16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6"/>
          <w:szCs w:val="16"/>
          <w:color w:val="auto"/>
        </w:rPr>
        <w:t>As an advisory vote, this proposal is not binding. The outcome of this advisory vote will not overrule any decision by us or the board of directors (or any committee thereof), create or imply any change to the fiduciary duties of our company or the board of directors (or any committee thereof), or create or imply any additional fiduciary duties for our company or the board of directors (or any committee thereof). However, our compensation committee and board of directors value the opinions expressed by our stockholders in their vote on this proposal and will consider the outcome of the vote when making future compensation decisions for named executive officers.</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The board of directors recommends that stockholders vote to approve the compensation of our</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named executive officers by voting “FOR” Proposal No. 3.</w:t>
      </w:r>
    </w:p>
    <w:p>
      <w:pPr>
        <w:spacing w:after="0" w:line="2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PROPOSAL 4—ADVISORY VOTE ON THE FREQUENCY OF FUTURE EXECUTIVE COMPENSATION ADVISORY VOTES</w:t>
      </w:r>
    </w:p>
    <w:p>
      <w:pPr>
        <w:spacing w:after="0" w:line="237"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6"/>
          <w:szCs w:val="16"/>
          <w:color w:val="auto"/>
        </w:rPr>
        <w:t>In Proposal No. 3, we are providing our stockholders the opportunity to vote to approve, on an advisory, non-binding basis, the compensation of our named executive officers. In this Proposal No. 4, we are asking our stockholders to cast a non-binding advisory vote regarding the frequency of future executive compensation advisory votes. Stockholders may vote for a frequency of every one, two, or three years, or may abstain.</w:t>
      </w:r>
    </w:p>
    <w:p>
      <w:pPr>
        <w:spacing w:after="0" w:line="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29" w:name="page30"/>
    <w:bookmarkEnd w:id="29"/>
    <w:p>
      <w:pPr>
        <w:spacing w:after="0" w:line="281" w:lineRule="auto"/>
        <w:rPr>
          <w:sz w:val="20"/>
          <w:szCs w:val="20"/>
          <w:color w:val="auto"/>
        </w:rPr>
      </w:pPr>
      <w:r>
        <w:rPr>
          <w:rFonts w:ascii="Times New Roman" w:cs="Times New Roman" w:eastAsia="Times New Roman" w:hAnsi="Times New Roman"/>
          <w:sz w:val="16"/>
          <w:szCs w:val="16"/>
          <w:color w:val="auto"/>
        </w:rPr>
        <w:t>The board of directors will take into consideration the outcome of this vote in making a determination about the frequency of future executive compensation advisory votes. However, because this vote is advisory and non-binding, the board of directors may decide that it is in the best interests of our stockholders and the company to hold the advisory vote to approve executive compensation more or less frequently.</w:t>
      </w:r>
    </w:p>
    <w:p>
      <w:pPr>
        <w:spacing w:after="0" w:line="177" w:lineRule="exact"/>
        <w:rPr>
          <w:sz w:val="20"/>
          <w:szCs w:val="20"/>
          <w:color w:val="auto"/>
        </w:rPr>
      </w:pPr>
    </w:p>
    <w:p>
      <w:pPr>
        <w:ind w:right="280"/>
        <w:spacing w:after="0" w:line="298" w:lineRule="auto"/>
        <w:rPr>
          <w:sz w:val="20"/>
          <w:szCs w:val="20"/>
          <w:color w:val="auto"/>
        </w:rPr>
      </w:pPr>
      <w:r>
        <w:rPr>
          <w:rFonts w:ascii="Times New Roman" w:cs="Times New Roman" w:eastAsia="Times New Roman" w:hAnsi="Times New Roman"/>
          <w:sz w:val="16"/>
          <w:szCs w:val="16"/>
          <w:color w:val="auto"/>
        </w:rPr>
        <w:t>After careful consideration, the board of directors believes that an executive compensation advisory vote should be held every year, and therefore our board of directors recommends that you vote for a frequency of every ONE YEAR for future executive compensation advisory votes.</w:t>
      </w:r>
    </w:p>
    <w:p>
      <w:pPr>
        <w:spacing w:after="0" w:line="164"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6"/>
          <w:szCs w:val="16"/>
          <w:color w:val="auto"/>
        </w:rPr>
        <w:t>The board of directors believes that an annual executive compensation advisory vote will facilitate more direct stockholder input about executive compensation. An annual executive compensation advisory vote is consistent with our policy of reviewing our compensation program annually, as well as seeking frequent input from our stockholders on corporate governance and executive compensation matters. We believe an annual vote would be the best governance practice for our company at this time. Therefore, the board of directors believes that holding the executive compensation advisory vote every year is in the best interests of the company and its stockholders.</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The board of directors recommends that stockholders vote for holding future executive compensation advisory votes every ONE YEAR in Proposal No. 4.</w:t>
      </w:r>
    </w:p>
    <w:p>
      <w:pPr>
        <w:spacing w:after="0" w:line="3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33" w:right="419" w:bottom="1440" w:gutter="0" w:footer="0" w:header="0"/>
        </w:sectPr>
      </w:pPr>
    </w:p>
    <w:bookmarkStart w:id="30" w:name="page31"/>
    <w:bookmarkEnd w:id="30"/>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COMPENSATION DISCUSSION AND ANALYSIS</w:t>
      </w:r>
    </w:p>
    <w:p>
      <w:pPr>
        <w:spacing w:after="0" w:line="251"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6"/>
          <w:szCs w:val="16"/>
          <w:color w:val="auto"/>
        </w:rPr>
        <w:t>This section describes the material elements of compensation awarded to, earned by or paid to each of our named executive officers in 2024. This section also provides qualitative information regarding the manner and context in which compensation is awarded to and earned by our executive officers and is intended to place in perspective the data presented in the tables and narrative that follow.</w:t>
      </w:r>
    </w:p>
    <w:p>
      <w:pPr>
        <w:spacing w:after="0" w:line="164"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6"/>
          <w:szCs w:val="16"/>
          <w:color w:val="auto"/>
        </w:rPr>
        <w:t>Our compensation committee is responsible for overseeing the total compensation of our senior management team, which is comprised of our executive officers and certain other officers. In this capacity, our compensation committee designs, implements, reviews and approves all compensation for our Chief Executive Officer and our senior officers. This section discusses the principles underlying our strategy, philosophy, policies and decisions with respect to the compensation of our named executive officers, and all material factors relevant to an analysis of these policies and decisions. Our named executive officers for the fiscal year ended on December 31, 2024 were:</w:t>
      </w:r>
    </w:p>
    <w:p>
      <w:pPr>
        <w:spacing w:after="0" w:line="277" w:lineRule="exact"/>
        <w:rPr>
          <w:sz w:val="20"/>
          <w:szCs w:val="20"/>
          <w:color w:val="auto"/>
        </w:rPr>
      </w:pPr>
    </w:p>
    <w:p>
      <w:pPr>
        <w:ind w:left="1020" w:hanging="503"/>
        <w:spacing w:after="0"/>
        <w:tabs>
          <w:tab w:leader="none" w:pos="102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Cedric Francois, our President, Chief Executive Officer and Principal Executive Officer;</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Caroline Baumal, our Chief Medical Officer;</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Timothy Sullivan, our Chief Financial Officer and Principal Financial Officer;</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Adam Townsend, our former Chief Operating Officer; and</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David Watson, our General Counsel.</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Executive Summary and Company Background</w:t>
      </w:r>
    </w:p>
    <w:p>
      <w:pPr>
        <w:spacing w:after="0" w:line="239"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6"/>
          <w:szCs w:val="16"/>
          <w:color w:val="auto"/>
        </w:rPr>
        <w:t>We are a commercial-stage biopharmaceutical company focused on the development and commercialization of novel therapeutic compounds to treat disease through the inhibition of the complement system, which is an integral component of the immune system, at the level of C3, the central protein in the complement cascade. We believe that this approach can result in broad inhibition of the principal pathways of the complement system and has the potential to effectively control a broad array of complement-dependent autoimmune and inflammatory diseases.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made significant progress in the development of our product candidates and the achievement of our business goals, including the following achievements in 2024:</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Corporate and Financial Highlights</w:t>
      </w:r>
    </w:p>
    <w:p>
      <w:pPr>
        <w:spacing w:after="0" w:line="129" w:lineRule="exact"/>
        <w:rPr>
          <w:sz w:val="20"/>
          <w:szCs w:val="20"/>
          <w:color w:val="auto"/>
        </w:rPr>
      </w:pPr>
    </w:p>
    <w:p>
      <w:pPr>
        <w:ind w:left="1020" w:hanging="503"/>
        <w:spacing w:after="0"/>
        <w:tabs>
          <w:tab w:leader="none" w:pos="102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w:t>
      </w:r>
      <w:r>
        <w:rPr>
          <w:rFonts w:ascii="Times New Roman" w:cs="Times New Roman" w:eastAsia="Times New Roman" w:hAnsi="Times New Roman"/>
          <w:sz w:val="14"/>
          <w:szCs w:val="14"/>
          <w:color w:val="auto"/>
        </w:rPr>
        <w:t>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5"/>
          <w:szCs w:val="15"/>
          <w:color w:val="auto"/>
        </w:rPr>
        <w:t>generated $781.4 million in fiscal year 2024 total revenue, representing 97% year-over-year growth.</w:t>
      </w:r>
    </w:p>
    <w:p>
      <w:pPr>
        <w:spacing w:after="0" w:line="123"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two commercial products, EMPAVELI and SYFOVRE, generated $710 million in U.S. net product revenue in fiscal year 2024.</w:t>
      </w:r>
    </w:p>
    <w:p>
      <w:pPr>
        <w:spacing w:after="0" w:line="97" w:lineRule="exact"/>
        <w:rPr>
          <w:rFonts w:ascii="Times New Roman" w:cs="Times New Roman" w:eastAsia="Times New Roman" w:hAnsi="Times New Roman"/>
          <w:sz w:val="15"/>
          <w:szCs w:val="15"/>
          <w:color w:val="auto"/>
        </w:rPr>
      </w:pPr>
    </w:p>
    <w:p>
      <w:pPr>
        <w:ind w:left="1020" w:right="160" w:hanging="503"/>
        <w:spacing w:after="0" w:line="261" w:lineRule="auto"/>
        <w:tabs>
          <w:tab w:leader="none" w:pos="102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entered into a senior secured credit facility with Sixth Street of up to $475 million, eliminating $366 million in cash payments through 2027 through a buyout of our previous development liability with SFJ Pharmaceuticals.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Ophthalmology Highlights</w:t>
      </w:r>
    </w:p>
    <w:p>
      <w:pPr>
        <w:spacing w:after="0" w:line="129" w:lineRule="exact"/>
        <w:rPr>
          <w:sz w:val="20"/>
          <w:szCs w:val="20"/>
          <w:color w:val="auto"/>
        </w:rPr>
      </w:pPr>
    </w:p>
    <w:p>
      <w:pPr>
        <w:ind w:left="1020" w:right="60" w:hanging="503"/>
        <w:spacing w:after="0" w:line="278" w:lineRule="auto"/>
        <w:tabs>
          <w:tab w:leader="none" w:pos="102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We </w:t>
      </w:r>
      <w:r>
        <w:rPr>
          <w:rFonts w:ascii="Times New Roman" w:cs="Times New Roman" w:eastAsia="Times New Roman" w:hAnsi="Times New Roman"/>
          <w:sz w:val="15"/>
          <w:szCs w:val="15"/>
          <w:color w:val="auto"/>
        </w:rPr>
        <w:t>launched SYFOVRE in the United States in March 2023. Since launch through year-end 2024, we delivered more than 510 thousand total doses (commercial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5"/>
          <w:szCs w:val="15"/>
          <w:color w:val="auto"/>
        </w:rPr>
        <w:t>sample) to physicians and have generated approximately $887 million in U.S. net product sales.</w:t>
      </w:r>
    </w:p>
    <w:p>
      <w:pPr>
        <w:spacing w:after="0" w:line="42"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January 2025, we received marketing approval from the Therapeutic Goods Administration in Australia.</w:t>
      </w:r>
    </w:p>
    <w:p>
      <w:pPr>
        <w:spacing w:after="0" w:line="100" w:lineRule="exact"/>
        <w:rPr>
          <w:rFonts w:ascii="Times New Roman" w:cs="Times New Roman" w:eastAsia="Times New Roman" w:hAnsi="Times New Roman"/>
          <w:sz w:val="15"/>
          <w:szCs w:val="15"/>
          <w:color w:val="auto"/>
        </w:rPr>
      </w:pPr>
    </w:p>
    <w:p>
      <w:pPr>
        <w:jc w:val="both"/>
        <w:ind w:left="1020" w:right="180" w:hanging="503"/>
        <w:spacing w:after="0" w:line="271" w:lineRule="auto"/>
        <w:tabs>
          <w:tab w:leader="none" w:pos="102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We presented 36- and 48-month data from the GALE extension study, which reinforce SYFOVRE’s increasing effects over time. These data demonstrated that early treatment with SYFOVRE leads to preservation of retinal tissue at magnitudes of </w:t>
      </w:r>
      <w:r>
        <w:rPr>
          <w:rFonts w:ascii="Times New Roman" w:cs="Times New Roman" w:eastAsia="Times New Roman" w:hAnsi="Times New Roman"/>
          <w:sz w:val="15"/>
          <w:szCs w:val="15"/>
          <w:color w:val="auto"/>
        </w:rPr>
        <w:t>approximately 1.5 disc areas on average, the size of approximately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5"/>
          <w:szCs w:val="15"/>
          <w:color w:val="auto"/>
        </w:rPr>
        <w:t>two foveal areas, in non-subfoveal GA patients dosed monthly.</w:t>
      </w:r>
    </w:p>
    <w:p>
      <w:pPr>
        <w:spacing w:after="0" w:line="48" w:lineRule="exact"/>
        <w:rPr>
          <w:rFonts w:ascii="Times New Roman" w:cs="Times New Roman" w:eastAsia="Times New Roman" w:hAnsi="Times New Roman"/>
          <w:sz w:val="16"/>
          <w:szCs w:val="16"/>
          <w:color w:val="auto"/>
        </w:rPr>
      </w:pPr>
    </w:p>
    <w:p>
      <w:pPr>
        <w:ind w:left="1020" w:hanging="503"/>
        <w:spacing w:after="0" w:line="261" w:lineRule="auto"/>
        <w:tabs>
          <w:tab w:leader="none" w:pos="1020"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reported positive Phase 1 results with APL-3007 in healthy volunteers. We are now preparing to initiate a Phase 2 clinical study in the second quarter of 2025 with SYFOVRE and APL-3007, which is aimed to provide comprehensive complement blockade in the retina and in the choroid.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Rare Disease Highlights</w:t>
      </w:r>
    </w:p>
    <w:p>
      <w:pPr>
        <w:spacing w:after="0" w:line="129" w:lineRule="exact"/>
        <w:rPr>
          <w:sz w:val="20"/>
          <w:szCs w:val="20"/>
          <w:color w:val="auto"/>
        </w:rPr>
      </w:pPr>
    </w:p>
    <w:p>
      <w:pPr>
        <w:ind w:left="1020" w:right="480" w:hanging="503"/>
        <w:spacing w:after="0" w:line="298" w:lineRule="auto"/>
        <w:tabs>
          <w:tab w:leader="none" w:pos="102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launched EMPAVELI as a commercial product in the United States in May 2021 for the treatment of PNH. We recorded $98.1 million in U.S. net product revenue from sales of EMPAVELI in the year ended December 31, 2024.</w:t>
      </w:r>
    </w:p>
    <w:p>
      <w:pPr>
        <w:spacing w:after="0" w:line="52" w:lineRule="exact"/>
        <w:rPr>
          <w:rFonts w:ascii="Times New Roman" w:cs="Times New Roman" w:eastAsia="Times New Roman" w:hAnsi="Times New Roman"/>
          <w:sz w:val="16"/>
          <w:szCs w:val="16"/>
          <w:color w:val="auto"/>
        </w:rPr>
      </w:pPr>
    </w:p>
    <w:p>
      <w:pPr>
        <w:ind w:left="1020" w:right="240" w:hanging="503"/>
        <w:spacing w:after="0" w:line="243" w:lineRule="auto"/>
        <w:tabs>
          <w:tab w:leader="none" w:pos="102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August 2024, we announced positive results from the Phase 3 VALIANT study highlighting the strength of EMPAVELI treatment in patients with C3G and IC-MPGN. In this study, EMPAVELI demonstrated clinically meaningful benefits across all three key markers of disease – unprecedented proteinuria reductions, substantial clearance of C3 staining, and stabilization of kidney function.</w:t>
      </w:r>
    </w:p>
    <w:p>
      <w:pPr>
        <w:spacing w:after="0" w:line="70" w:lineRule="exact"/>
        <w:rPr>
          <w:rFonts w:ascii="Times New Roman" w:cs="Times New Roman" w:eastAsia="Times New Roman" w:hAnsi="Times New Roman"/>
          <w:sz w:val="15"/>
          <w:szCs w:val="15"/>
          <w:color w:val="auto"/>
        </w:rPr>
      </w:pPr>
    </w:p>
    <w:p>
      <w:pPr>
        <w:ind w:left="1020" w:right="100" w:hanging="503"/>
        <w:spacing w:after="0" w:line="261" w:lineRule="auto"/>
        <w:tabs>
          <w:tab w:leader="none" w:pos="102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a result, in March 2025, we announced that the FDA has accepted and granted Priority Review designation of the sNDA for EMPAVELI for C3G and IC-MPGN. The PDUFA target action date is July 28, 2025.</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i w:val="1"/>
          <w:iCs w:val="1"/>
          <w:color w:val="auto"/>
        </w:rPr>
        <w:t>Pipeline Highlights</w:t>
      </w:r>
    </w:p>
    <w:p>
      <w:pPr>
        <w:spacing w:after="0" w:line="129" w:lineRule="exact"/>
        <w:rPr>
          <w:sz w:val="20"/>
          <w:szCs w:val="20"/>
          <w:color w:val="auto"/>
        </w:rPr>
      </w:pPr>
    </w:p>
    <w:p>
      <w:pPr>
        <w:ind w:left="1020" w:hanging="503"/>
        <w:spacing w:after="0" w:line="278" w:lineRule="auto"/>
        <w:tabs>
          <w:tab w:leader="none" w:pos="102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We </w:t>
      </w:r>
      <w:r>
        <w:rPr>
          <w:rFonts w:ascii="Times New Roman" w:cs="Times New Roman" w:eastAsia="Times New Roman" w:hAnsi="Times New Roman"/>
          <w:sz w:val="15"/>
          <w:szCs w:val="15"/>
          <w:color w:val="auto"/>
        </w:rPr>
        <w:t>are advancing investigational pre-clinical research for one-time neonatal Fc receptor (FcRn) treatment using gene editing technology from Beam Therapeutics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5"/>
          <w:szCs w:val="15"/>
          <w:color w:val="auto"/>
        </w:rPr>
        <w:t>other product candidates.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Executive Compensation Program Highlights</w:t>
      </w:r>
    </w:p>
    <w:p>
      <w:pPr>
        <w:spacing w:after="0" w:line="221"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6"/>
          <w:szCs w:val="16"/>
          <w:b w:val="1"/>
          <w:bCs w:val="1"/>
          <w:color w:val="auto"/>
        </w:rPr>
        <w:t xml:space="preserve">Executive compensation program is designed to attract, motivate, and retain executive officers, who are critical to our success. </w:t>
      </w:r>
      <w:r>
        <w:rPr>
          <w:rFonts w:ascii="Times New Roman" w:cs="Times New Roman" w:eastAsia="Times New Roman" w:hAnsi="Times New Roman"/>
          <w:sz w:val="16"/>
          <w:szCs w:val="16"/>
          <w:color w:val="auto"/>
        </w:rPr>
        <w:t>Due to the nature of our business, we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compete for executive talent with many public companies that are larger and more established than we are or that possess greater resources than we do, and with smaller private companies that may be able to offer greater equity compensation potential. Our compensation programs are structured to be competitive with the market and to reward our named executive officers for the achievement of near- and longer-term financial and strategic goals and for driving corporate financial performance and stability.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6"/>
          <w:szCs w:val="16"/>
          <w:b w:val="1"/>
          <w:bCs w:val="1"/>
          <w:color w:val="auto"/>
        </w:rPr>
        <w:t>Our executive compensation is aligned with long-term shareholder value creation</w:t>
      </w:r>
      <w:r>
        <w:rPr>
          <w:rFonts w:ascii="Times New Roman" w:cs="Times New Roman" w:eastAsia="Times New Roman" w:hAnsi="Times New Roman"/>
          <w:sz w:val="16"/>
          <w:szCs w:val="16"/>
          <w:color w:val="auto"/>
        </w:rPr>
        <w:t>. A significant portion of our executive compensation is variable and at risk, tied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our stock price performance or achievement of pre-set performance objectives. Consistent with the practice of biotech companies, we provide a significant portion of our long-term equity incentives in the form of service- and performance-based stock options that deliver value only if our stock price meaningfully appreciates.</w:t>
      </w:r>
    </w:p>
    <w:p>
      <w:pPr>
        <w:spacing w:after="0" w:line="188"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6"/>
          <w:szCs w:val="16"/>
          <w:b w:val="1"/>
          <w:bCs w:val="1"/>
          <w:color w:val="auto"/>
        </w:rPr>
        <w:t>Our 2024 short-term incentive program paid out below target</w:t>
      </w:r>
      <w:r>
        <w:rPr>
          <w:rFonts w:ascii="Times New Roman" w:cs="Times New Roman" w:eastAsia="Times New Roman" w:hAnsi="Times New Roman"/>
          <w:sz w:val="16"/>
          <w:szCs w:val="16"/>
          <w:color w:val="auto"/>
        </w:rPr>
        <w:t>. Our executive officers and employees earned 90.74% of their target short-term incentive opportunities,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consistent with performance results that included attainment at threshold for net product revenues for EMPAVELI and SYFOVRE; positive top line results for the Phase III study of systemic pegcetacoplan for the treatment of post-transplant recurrence of C3G/ and IC-MPGN; progress of product candidates (including APL-3007) into preclinical and early clinical trials; and attainment of various corporate and operational objectives to allow for efficiency, scalability and growth.</w:t>
      </w:r>
    </w:p>
    <w:p>
      <w:pPr>
        <w:spacing w:after="0" w:line="166" w:lineRule="exact"/>
        <w:rPr>
          <w:sz w:val="20"/>
          <w:szCs w:val="20"/>
          <w:color w:val="auto"/>
        </w:rPr>
      </w:pPr>
    </w:p>
    <w:p>
      <w:pPr>
        <w:ind w:right="240"/>
        <w:spacing w:after="0" w:line="276" w:lineRule="auto"/>
        <w:rPr>
          <w:sz w:val="20"/>
          <w:szCs w:val="20"/>
          <w:color w:val="auto"/>
        </w:rPr>
      </w:pPr>
      <w:r>
        <w:rPr>
          <w:rFonts w:ascii="Times New Roman" w:cs="Times New Roman" w:eastAsia="Times New Roman" w:hAnsi="Times New Roman"/>
          <w:sz w:val="16"/>
          <w:szCs w:val="16"/>
          <w:b w:val="1"/>
          <w:bCs w:val="1"/>
          <w:color w:val="auto"/>
        </w:rPr>
        <w:t xml:space="preserve">Starting in 2025, we introduced performance stock units (PSUs), which will make up 50% of our long-term incentive opportunities. </w:t>
      </w:r>
      <w:r>
        <w:rPr>
          <w:rFonts w:ascii="Times New Roman" w:cs="Times New Roman" w:eastAsia="Times New Roman" w:hAnsi="Times New Roman"/>
          <w:sz w:val="16"/>
          <w:szCs w:val="16"/>
          <w:color w:val="auto"/>
        </w:rPr>
        <w:t>To further align our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compensation program with our shareholder preferences and incentivize value creation, 50% of target long-term incentive opportunities in 2025 were allocated to PSUs, with vesting tied to total shareholder return (TSR) performance relative to companies in the NASDAQ Biotechnology Index. The target number of PSUs can be earned if our relative TSR performance equals the 55th percentile of the index. Payouts are capped at target if our absolute TSR is negative, regardless of relative ranking.</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Say-on-Pay Vote Results</w:t>
      </w:r>
    </w:p>
    <w:p>
      <w:pPr>
        <w:spacing w:after="0" w:line="23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At our 2024 annual meeting of stockholders, we conducted a non-binding advisory vote on the compensation of our named executive officers, commonly referred to as a “say-on-pay” vote, in accordance with the Dodd-Frank Wall Street Reform and Consumer Protection Act of 2010. Over 89.9% of the votes cast by stockholders on this proposal, excluding broker non-votes and abstaining votes, were cast in support of the compensation paid to our named executive officers. While this vote is a non-binding advisory vote, our compensation committee and board of directors take the voting results into account in determining the compensation of our named executive officers. The compensation committee considers the stockholder vote as one factor in determining the appropriate level of compensation for the named executive officers. Given the strong level of support evidenced by last year’s say-on-pay vote, among other factors, our compensation committee decided to maintain our general approach to executive compensation and made no significant changes to our executive compensation program this year; including an emphasis on approaches to compensation to align the incentives of the executive officers with long-term value creation for stockholders.</w:t>
      </w:r>
    </w:p>
    <w:p>
      <w:pPr>
        <w:spacing w:after="0" w:line="173"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6"/>
          <w:szCs w:val="16"/>
          <w:color w:val="auto"/>
        </w:rPr>
        <w:t>Our compensation committee and board of directors will continue to consider stockholder input and monitor our executive compensation program to ensure it aligns the interests of our named executive officers with the interests of our stockholders and adequately addresses any stockholder concerns that may be expressed in future votes. Consistent with the recommendation of our board of directors and the preference of our stockholders as reflected in the non-binding advisory vote on the frequency of “say-on-pay” votes conducted at our annual meetings of stockholders, our stockholders will have an annual opportunity to cast an advisory vote in connection with compensation for our named executive officers.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Compensation Objectives and Philosophy</w:t>
      </w:r>
    </w:p>
    <w:p>
      <w:pPr>
        <w:spacing w:after="0" w:line="239"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6"/>
          <w:szCs w:val="16"/>
          <w:color w:val="auto"/>
        </w:rPr>
        <w:t>Our compensation program is designed to attract, motivate and retain qualified and talented executives, motivating them to achieve our business goals and rewarding them for superior short- and long-term performance. In particular, our compensation program is intended to reward the achievement of specified pre-determined quantitative and qualitative individual and corporate performance goals and objectives and to align the interests of our executive officers with those of our stockholders in order to attain our ultimate objective of increasing stockholder value. The goal of our compensation committee is to ensure that our compensation program is aligned with the interests of our stockholders and our business goals and that the total compensation paid to each of our named executive officers is fair, reasonable and competitive. Key elements of our compensation program include the following: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Base salary</w:t>
      </w:r>
    </w:p>
    <w:p>
      <w:pPr>
        <w:spacing w:after="0" w:line="225" w:lineRule="exact"/>
        <w:rPr>
          <w:sz w:val="20"/>
          <w:szCs w:val="20"/>
          <w:color w:val="auto"/>
        </w:rPr>
      </w:pPr>
    </w:p>
    <w:p>
      <w:pPr>
        <w:ind w:right="140"/>
        <w:spacing w:after="0" w:line="298" w:lineRule="auto"/>
        <w:rPr>
          <w:sz w:val="20"/>
          <w:szCs w:val="20"/>
          <w:color w:val="auto"/>
        </w:rPr>
      </w:pPr>
      <w:r>
        <w:rPr>
          <w:rFonts w:ascii="Times New Roman" w:cs="Times New Roman" w:eastAsia="Times New Roman" w:hAnsi="Times New Roman"/>
          <w:sz w:val="16"/>
          <w:szCs w:val="16"/>
          <w:color w:val="auto"/>
        </w:rPr>
        <w:t>Our base salary is a fixed component of pay to provide financial stability and is based on responsibilities, experience, individual contributions and peer company data. The purpose is to attract and retain highly skilled executives.</w:t>
      </w: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5"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b w:val="1"/>
          <w:bCs w:val="1"/>
          <w:i w:val="1"/>
          <w:iCs w:val="1"/>
          <w:color w:val="auto"/>
        </w:rPr>
        <w:t>Annual cash incentive program</w:t>
      </w:r>
    </w:p>
    <w:p>
      <w:pPr>
        <w:spacing w:after="0" w:line="225"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6"/>
          <w:szCs w:val="16"/>
          <w:color w:val="auto"/>
        </w:rPr>
        <w:t>Our annual cash incentive program is a variable component of pay based on annual quantitative and qualitative company and individual goals to align with our pay-for-performance philosophy. The purpose is to promote and reward the achievement of our key short-term strategic and business goals as well as individual performance and to motivate and attract executives.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Equity incentive compensation</w:t>
      </w:r>
    </w:p>
    <w:p>
      <w:pPr>
        <w:spacing w:after="0" w:line="225"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6"/>
          <w:szCs w:val="16"/>
          <w:color w:val="auto"/>
        </w:rPr>
        <w:t>Our equity incentive compensation is typically subject to multi-year vesting based on continued service and primarily in the form of stock options and restricted stock units, the value of which depends on the performance of our common stock price, in order to align employee interests with those of our stockholders over the longer-term. In some cases we have issued grants subject to performance conditions based upon the achievement of corporate goals. Effective in September 2022, the compensation committee implemented stock ownership guidelines that apply to our executive officers, including all named executive officers, which are described further on page 34 of the CD&amp;A. The purpose of these guidelines is to encourage executives and other employees to focus on long-term company performance, to promote retention and to reward outstanding company and individual performance.</w:t>
      </w:r>
    </w:p>
    <w:p>
      <w:pPr>
        <w:spacing w:after="0" w:line="171"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6"/>
          <w:szCs w:val="16"/>
          <w:color w:val="auto"/>
        </w:rPr>
        <w:t>In order to align the compensation of our executive officers with stockholder interests and with market best practices, we work with an independent compensation advisor to maintain an industry-specific peer group for benchmarking pay and to base our target pay on market norms. We deliver the majority of executive compensation through equity and performance-based pay, and set challenging incentive goals for performance-based pay. Our executives receive benefits that are consistent with those offered to the rest of our employees and we do not provide excessive perquisites or supplemental executive retirement plans. We also have policies that allow us to recover excess incentive-based compensation resulting from an accounting restatement or related to activity that causes serious financial or reputational damage. We also require our executive officers and directors to comply with robust stock ownership guidelines and restrict hedging and pledging of our equity.</w:t>
      </w:r>
    </w:p>
    <w:p>
      <w:pPr>
        <w:spacing w:after="0" w:line="171" w:lineRule="exact"/>
        <w:rPr>
          <w:sz w:val="20"/>
          <w:szCs w:val="20"/>
          <w:color w:val="auto"/>
        </w:rPr>
      </w:pPr>
    </w:p>
    <w:p>
      <w:pPr>
        <w:ind w:right="200"/>
        <w:spacing w:after="0" w:line="298" w:lineRule="auto"/>
        <w:rPr>
          <w:sz w:val="20"/>
          <w:szCs w:val="20"/>
          <w:color w:val="auto"/>
        </w:rPr>
      </w:pPr>
      <w:r>
        <w:rPr>
          <w:rFonts w:ascii="Times New Roman" w:cs="Times New Roman" w:eastAsia="Times New Roman" w:hAnsi="Times New Roman"/>
          <w:sz w:val="16"/>
          <w:szCs w:val="16"/>
          <w:color w:val="auto"/>
        </w:rPr>
        <w:t>The Audit Committee may grant an exception where an executive officer or director wishes to pledge Company securities as collateral for a loan and clearly demonstrates the financial capacity to repay the loan without resort to the pledged securities.</w:t>
      </w:r>
    </w:p>
    <w:p>
      <w:pPr>
        <w:spacing w:after="0" w:line="164"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6"/>
          <w:szCs w:val="16"/>
          <w:color w:val="auto"/>
        </w:rPr>
        <w:t>Our compensation committee developed our compensation program and makes decisions regarding our compensation program with the assistance of a compensation consultant engaged by our compensation committee. The compensation committee engages an independent compensation consultant to advise on executive officer and director compensation matters including, overall compensation program design, peer group development and updates, and benchmarking of executive officer and director compensation programs. As part of its services, the independent compensation consultant provides the compensation committee with publicly available compensation data from a peer group of similarly situated publicly traded companies in the biopharmaceuticals and biotechnology industries and assistance reviewing subscription survey data and reported directly to our compensation committee. In August 2021, our compensation committee engaged Pay Governance as its independent compensation consultant, and thereafter Pay Governance has served as the independent compensation consultant to our compensation committee.</w:t>
      </w:r>
    </w:p>
    <w:p>
      <w:pPr>
        <w:spacing w:after="0" w:line="190" w:lineRule="exact"/>
        <w:rPr>
          <w:sz w:val="20"/>
          <w:szCs w:val="20"/>
          <w:color w:val="auto"/>
        </w:rPr>
      </w:pPr>
    </w:p>
    <w:p>
      <w:pPr>
        <w:ind w:right="260"/>
        <w:spacing w:after="0" w:line="272" w:lineRule="auto"/>
        <w:rPr>
          <w:sz w:val="20"/>
          <w:szCs w:val="20"/>
          <w:color w:val="auto"/>
        </w:rPr>
      </w:pPr>
      <w:r>
        <w:rPr>
          <w:rFonts w:ascii="Times New Roman" w:cs="Times New Roman" w:eastAsia="Times New Roman" w:hAnsi="Times New Roman"/>
          <w:sz w:val="16"/>
          <w:szCs w:val="16"/>
          <w:color w:val="auto"/>
        </w:rPr>
        <w:t>In addition to its services to the compensation committee described above, in 2023 and 2024, Pay Governance provided compensation consulting services to our management with respect to the compensation of non-officer employees within and outside the United States. The decision to engage Pay Governance for advice and services not related to executive compensation was made by management but at the Compensation Committee’s direction. Our compensation committee has assessed the independence of Pay Governance consistent with Nasdaq listing standards and has concluded that the engagement of this compensation consultant did not, and does not, raise any conflict of interest.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Defining and Comparing Compensation to Market Benchmarks</w:t>
      </w:r>
    </w:p>
    <w:p>
      <w:pPr>
        <w:spacing w:after="0" w:line="225"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6"/>
          <w:szCs w:val="16"/>
          <w:color w:val="auto"/>
        </w:rPr>
        <w:t>In late 2023 and early 2024, our compensation committee evaluated information from publicly traded companies in the biopharmaceutical and biotechnology industries and peer group data analyzed by Pay Governance, to make decisions on the compensation of our named executive officers with respect to the calendar year 2024. Due to the nature of our business, we compete for executive talent with many public companies that are larger and more established than we are or that possess greater resources than we do, and with smaller private companies that may be able to offer greater equity compensation potential. Accordingly, in 2024, our compensation committee generally targeted total compensation for our executive officers at the 50</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color w:val="auto"/>
        </w:rPr>
        <w:t xml:space="preserve"> percentile of the market data.</w:t>
      </w:r>
    </w:p>
    <w:p>
      <w:pPr>
        <w:spacing w:after="0" w:line="122" w:lineRule="exact"/>
        <w:rPr>
          <w:sz w:val="20"/>
          <w:szCs w:val="20"/>
          <w:color w:val="auto"/>
        </w:rPr>
      </w:pPr>
    </w:p>
    <w:p>
      <w:pPr>
        <w:ind w:right="580"/>
        <w:spacing w:after="0" w:line="298" w:lineRule="auto"/>
        <w:rPr>
          <w:sz w:val="20"/>
          <w:szCs w:val="20"/>
          <w:color w:val="auto"/>
        </w:rPr>
      </w:pPr>
      <w:r>
        <w:rPr>
          <w:rFonts w:ascii="Times New Roman" w:cs="Times New Roman" w:eastAsia="Times New Roman" w:hAnsi="Times New Roman"/>
          <w:sz w:val="16"/>
          <w:szCs w:val="16"/>
          <w:color w:val="auto"/>
        </w:rPr>
        <w:t>However, in making compensation decisions, our compensation committee considered other criteria, including market factors, the experience level of the executive, corporate performance, the performance of the executive and other factors described below.</w:t>
      </w:r>
    </w:p>
    <w:p>
      <w:pPr>
        <w:spacing w:after="0" w:line="15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Our compensation committee, with the advice of Pay Governance, selected a peer group of similarly situated companies and made compensation decisions based on publicly available compensation data from the peer group and subscription survey data analyzed by Pay Governance. Our compensation committee selected the peer companies based on a balance of the following criteria:</w:t>
      </w:r>
    </w:p>
    <w:p>
      <w:pPr>
        <w:spacing w:after="0" w:line="69" w:lineRule="exact"/>
        <w:rPr>
          <w:sz w:val="20"/>
          <w:szCs w:val="20"/>
          <w:color w:val="auto"/>
        </w:rPr>
      </w:pPr>
    </w:p>
    <w:p>
      <w:pPr>
        <w:ind w:left="1020" w:right="100" w:hanging="503"/>
        <w:spacing w:after="0" w:line="298" w:lineRule="auto"/>
        <w:tabs>
          <w:tab w:leader="none" w:pos="102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companies whose number of employees, stage of development, commercial status, and market capitalization are similar, though not necessarily identical, to ours;</w:t>
      </w:r>
    </w:p>
    <w:p>
      <w:pPr>
        <w:spacing w:after="0" w:line="5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companies with similar executive positions to ours;</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companies against which we believe we compete for executive talent; and</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33" w:name="page34"/>
    <w:bookmarkEnd w:id="33"/>
    <w:p>
      <w:pPr>
        <w:ind w:left="1020" w:right="760" w:hanging="503"/>
        <w:spacing w:after="0" w:line="298" w:lineRule="auto"/>
        <w:tabs>
          <w:tab w:leader="none" w:pos="102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public companies based in the United States whose compensation and financial data are available in proxy statements or through widely available compensation surveys.</w:t>
      </w:r>
    </w:p>
    <w:p>
      <w:pPr>
        <w:spacing w:after="0" w:line="151" w:lineRule="exact"/>
        <w:rPr>
          <w:sz w:val="20"/>
          <w:szCs w:val="20"/>
          <w:color w:val="auto"/>
        </w:rPr>
      </w:pPr>
    </w:p>
    <w:p>
      <w:pPr>
        <w:ind w:right="60"/>
        <w:spacing w:after="0" w:line="298" w:lineRule="auto"/>
        <w:rPr>
          <w:sz w:val="20"/>
          <w:szCs w:val="20"/>
          <w:color w:val="auto"/>
        </w:rPr>
      </w:pPr>
      <w:r>
        <w:rPr>
          <w:rFonts w:ascii="Times New Roman" w:cs="Times New Roman" w:eastAsia="Times New Roman" w:hAnsi="Times New Roman"/>
          <w:sz w:val="16"/>
          <w:szCs w:val="16"/>
          <w:color w:val="auto"/>
        </w:rPr>
        <w:t>Based on these criteria, our peer group for 2024, as approved by our compensation committee in September 2023, with the advice of Pay Governance, was comprised of the following 14 companies:</w:t>
      </w:r>
    </w:p>
    <w:p>
      <w:pPr>
        <w:spacing w:after="0" w:line="146"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ACADIA Pharmaceuticals</w:t>
            </w:r>
          </w:p>
        </w:tc>
        <w:tc>
          <w:tcPr>
            <w:tcW w:w="3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Exelixis, Inc.</w:t>
            </w:r>
          </w:p>
        </w:tc>
        <w:tc>
          <w:tcPr>
            <w:tcW w:w="29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PTC Therapeutics</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Alkermes plc</w:t>
            </w:r>
          </w:p>
        </w:tc>
        <w:tc>
          <w:tcPr>
            <w:tcW w:w="3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Insmed Incorporated</w:t>
            </w:r>
          </w:p>
        </w:tc>
        <w:tc>
          <w:tcPr>
            <w:tcW w:w="29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Sarepta Therapeutics</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Amicus Therapeutics, Inc.</w:t>
            </w:r>
          </w:p>
        </w:tc>
        <w:tc>
          <w:tcPr>
            <w:tcW w:w="3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Intra-Cellular Therapies, Inc.</w:t>
            </w:r>
          </w:p>
        </w:tc>
        <w:tc>
          <w:tcPr>
            <w:tcW w:w="290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99"/>
              </w:rPr>
              <w:t>Ultragenyx Pharmaceuticals</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Blueprint Medicines</w:t>
            </w:r>
          </w:p>
        </w:tc>
        <w:tc>
          <w:tcPr>
            <w:tcW w:w="3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Ionis Pharmaceuticals</w:t>
            </w:r>
          </w:p>
        </w:tc>
        <w:tc>
          <w:tcPr>
            <w:tcW w:w="29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United Therapeutics</w:t>
            </w:r>
          </w:p>
        </w:tc>
      </w:tr>
      <w:tr>
        <w:trPr>
          <w:trHeight w:val="234"/>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Corcept Therapeutics Incorporated</w:t>
            </w:r>
          </w:p>
        </w:tc>
        <w:tc>
          <w:tcPr>
            <w:tcW w:w="3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Neurocrine Biosciences</w:t>
            </w:r>
          </w:p>
        </w:tc>
        <w:tc>
          <w:tcPr>
            <w:tcW w:w="2900" w:type="dxa"/>
            <w:vAlign w:val="bottom"/>
          </w:tcPr>
          <w:p>
            <w:pPr>
              <w:spacing w:after="0"/>
              <w:rPr>
                <w:sz w:val="20"/>
                <w:szCs w:val="20"/>
                <w:color w:val="auto"/>
              </w:rPr>
            </w:pPr>
          </w:p>
        </w:tc>
      </w:tr>
    </w:tbl>
    <w:p>
      <w:pPr>
        <w:spacing w:after="0" w:line="189"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6"/>
          <w:szCs w:val="16"/>
          <w:color w:val="auto"/>
        </w:rPr>
        <w:t>The 2024 peer group represented a group of biopharmaceutical companies more similar to us in key measures than the list we used in 2023, in light of our growth and the advancement of our development pipeline in 2023, focusing on companies that were similar to us in terms of market capitalization, business results and product development. Specifically, Biohaven Ltd. and Global Blood Therapeutics, Inc. were removed from the 2023 peer group, and Corcept Therapeutics Incorporated and Intra-Cellular Therapies, Inc. were added to the 2024 peer group.</w:t>
      </w:r>
    </w:p>
    <w:p>
      <w:pPr>
        <w:spacing w:after="0" w:line="169" w:lineRule="exact"/>
        <w:rPr>
          <w:sz w:val="20"/>
          <w:szCs w:val="20"/>
          <w:color w:val="auto"/>
        </w:rPr>
      </w:pPr>
    </w:p>
    <w:p>
      <w:pPr>
        <w:jc w:val="both"/>
        <w:ind w:right="300"/>
        <w:spacing w:after="0" w:line="281" w:lineRule="auto"/>
        <w:rPr>
          <w:sz w:val="20"/>
          <w:szCs w:val="20"/>
          <w:color w:val="auto"/>
        </w:rPr>
      </w:pPr>
      <w:r>
        <w:rPr>
          <w:rFonts w:ascii="Times New Roman" w:cs="Times New Roman" w:eastAsia="Times New Roman" w:hAnsi="Times New Roman"/>
          <w:sz w:val="16"/>
          <w:szCs w:val="16"/>
          <w:color w:val="auto"/>
        </w:rPr>
        <w:t>For purposes of compensation for 2025, in September 2024, our compensation committee, with the advice of Pay Governance, selected a peer group based on the same criteria and made compensation decisions based on publicly available compensation data from the peer group and subscription survey data, which were analyzed by Pay Governance. Based on these criteria, our peer group for 2025, as approved by our compensation committee, is comprised of the following 14 companies:</w:t>
      </w:r>
    </w:p>
    <w:p>
      <w:pPr>
        <w:spacing w:after="0" w:line="159"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ACADIA Pharmaceuticals</w:t>
            </w:r>
          </w:p>
        </w:tc>
        <w:tc>
          <w:tcPr>
            <w:tcW w:w="40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Blueprint Medicines Corporation</w:t>
            </w:r>
          </w:p>
        </w:tc>
        <w:tc>
          <w:tcPr>
            <w:tcW w:w="286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8"/>
              </w:rPr>
              <w:t>Madrigal Pharmaceuticals, Inc.</w:t>
            </w: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Alkermes plc</w:t>
            </w:r>
          </w:p>
        </w:tc>
        <w:tc>
          <w:tcPr>
            <w:tcW w:w="40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Corcept Therapeutics Incorporated</w:t>
            </w:r>
          </w:p>
        </w:tc>
        <w:tc>
          <w:tcPr>
            <w:tcW w:w="28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Neurocrine Biosciences</w:t>
            </w: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Amicus Therapeutics, Inc.</w:t>
            </w:r>
          </w:p>
        </w:tc>
        <w:tc>
          <w:tcPr>
            <w:tcW w:w="40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Insmed Incorporated</w:t>
            </w:r>
          </w:p>
        </w:tc>
        <w:tc>
          <w:tcPr>
            <w:tcW w:w="28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PTC Therapeutics</w:t>
            </w: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Axsome Therapeutics, Inc.</w:t>
            </w:r>
          </w:p>
        </w:tc>
        <w:tc>
          <w:tcPr>
            <w:tcW w:w="40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Intra-Cellular Therapies, Inc.</w:t>
            </w:r>
          </w:p>
        </w:tc>
        <w:tc>
          <w:tcPr>
            <w:tcW w:w="28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Ultragenyx Pharmaceuticals</w:t>
            </w:r>
          </w:p>
        </w:tc>
      </w:tr>
      <w:tr>
        <w:trPr>
          <w:trHeight w:val="23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Biocryst Pharmaceuticals, Inc</w:t>
            </w:r>
          </w:p>
        </w:tc>
        <w:tc>
          <w:tcPr>
            <w:tcW w:w="40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Ionis Pharmaceuticals</w:t>
            </w:r>
          </w:p>
        </w:tc>
        <w:tc>
          <w:tcPr>
            <w:tcW w:w="2860" w:type="dxa"/>
            <w:vAlign w:val="bottom"/>
          </w:tcPr>
          <w:p>
            <w:pPr>
              <w:spacing w:after="0"/>
              <w:rPr>
                <w:sz w:val="20"/>
                <w:szCs w:val="20"/>
                <w:color w:val="auto"/>
              </w:rPr>
            </w:pPr>
          </w:p>
        </w:tc>
      </w:tr>
    </w:tbl>
    <w:p>
      <w:pPr>
        <w:spacing w:after="0" w:line="189" w:lineRule="exact"/>
        <w:rPr>
          <w:sz w:val="20"/>
          <w:szCs w:val="20"/>
          <w:color w:val="auto"/>
        </w:rPr>
      </w:pPr>
    </w:p>
    <w:p>
      <w:pPr>
        <w:ind w:right="60"/>
        <w:spacing w:after="0" w:line="298" w:lineRule="auto"/>
        <w:rPr>
          <w:sz w:val="20"/>
          <w:szCs w:val="20"/>
          <w:color w:val="auto"/>
        </w:rPr>
      </w:pPr>
      <w:r>
        <w:rPr>
          <w:rFonts w:ascii="Times New Roman" w:cs="Times New Roman" w:eastAsia="Times New Roman" w:hAnsi="Times New Roman"/>
          <w:sz w:val="16"/>
          <w:szCs w:val="16"/>
          <w:color w:val="auto"/>
        </w:rPr>
        <w:t>The 2025 peer group is comprised of the same companies as 2024 except that Exelixis, Inc., Sarepta Therapeutics, Inc. and United Therapeutics Corporations were removed and Axsome Therapeutics, Inc., Biocryst Pharmaceuticals, Inc. and Madrigal Pharmaceuticals, Inc. were added.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Annual Compensation Review</w:t>
      </w:r>
    </w:p>
    <w:p>
      <w:pPr>
        <w:spacing w:after="0" w:line="225"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6"/>
          <w:szCs w:val="16"/>
          <w:color w:val="auto"/>
        </w:rPr>
        <w:t>Based on recommendations from management and the board of directors, and with the advice from the independent compensation consultant, the compensation committee reviews and, other than in the case of our Chief Executive Officer, approves the annual compensation of our executive officers, determines bonus and equity awards and establishes performance objectives at one or more meetings held during the first quarter of the year. However, the compensation committee may also consider matters related to individual compensation, such as compensation for new executive hires, as well as high-level strategic issues, such as the efficacy of our compensation strategy, potential modifications to that strategy and new trends, plans or approaches to compensation, at various meetings throughout the year. For executive officers other than the Chief Executive Officer, the Chief Executive Officer makes recommendations for the annual compensation of such executive officers based on market data and the performance of the individual, and the compensation committee reviews and approves the compensation of such executive officers. In the case of the Chief Executive Officer, the compensation committee evaluates his performance and makes a recommendation to the board of directors, which reviews and approves the compensation of the Chief Executive Officer. For all executive officers as part of its deliberations, the compensation committee may review and consider, as appropriate, materials such as financial reports and projections, operational data, tax and accounting information, tally sheets that set forth the total compensation that may become payable to executive officers in various hypothetical scenarios, executive stock ownership information, company stock performance data, analyses of historical executive compensation levels and current Company- and industry-wide compensation levels and recommendations of the independent compensation consultant, including analyses of executive compensation paid at other companies identified by the independent compensation consultant.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Base Salary</w:t>
      </w:r>
    </w:p>
    <w:p>
      <w:pPr>
        <w:spacing w:after="0" w:line="239"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6"/>
          <w:szCs w:val="16"/>
          <w:color w:val="auto"/>
        </w:rPr>
        <w:t>Base salaries for our executive officers are intended to be competitive with those received by other individuals in similar positions at the companies with which we compete for talent. Base salaries are originally established at the time the executive is hired based on individual experience, skills and expected contributions, our understanding of what executives in similar positions at peer companies are paid, and negotiations during the hiring process. The base salaries of our executive officers are reviewed annually and may be adjusted to reflect market conditions, our executives’ performance during the prior year, our financial position and any changes in the scope of the officer’s responsibilities. None of our named executive officers is currently party to an employment agreement or other agreement or arrangement that provides for automatic or scheduled increases in base salary. Any changes in base salary made as part of the annual review are typically made effective in January or February of each year.</w:t>
      </w:r>
    </w:p>
    <w:p>
      <w:pPr>
        <w:spacing w:after="0" w:line="184"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16"/>
          <w:szCs w:val="16"/>
          <w:color w:val="auto"/>
        </w:rPr>
        <w:t>In January 2024, our compensation committee approved increases in base salary for each of our executive officers serving at that time, based upon our performance during calendar year 2023, the executive officer’s professional growth and achievement of individual objectives and the level of</w:t>
      </w:r>
    </w:p>
    <w:p>
      <w:pPr>
        <w:spacing w:after="0"/>
        <w:rPr>
          <w:sz w:val="20"/>
          <w:szCs w:val="20"/>
          <w:color w:val="auto"/>
        </w:rPr>
      </w:pPr>
      <w:r>
        <w:rPr>
          <w:rFonts w:ascii="Times New Roman" w:cs="Times New Roman" w:eastAsia="Times New Roman" w:hAnsi="Times New Roman"/>
          <w:sz w:val="16"/>
          <w:szCs w:val="16"/>
          <w:color w:val="auto"/>
        </w:rPr>
        <w:t>base salary paid by companies in our peer group or in survey data for similar positions. The table below sets forth the base salaries for each of our</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color w:val="auto"/>
        </w:rPr>
        <w:t>named executive officers in 2023 and 2024:</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20" w:type="dxa"/>
            <w:vAlign w:val="bottom"/>
          </w:tcPr>
          <w:p>
            <w:pPr>
              <w:spacing w:after="0"/>
              <w:rPr>
                <w:sz w:val="13"/>
                <w:szCs w:val="13"/>
                <w:color w:val="auto"/>
              </w:rPr>
            </w:pPr>
          </w:p>
        </w:tc>
        <w:tc>
          <w:tcPr>
            <w:tcW w:w="146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2023 Salary</w:t>
            </w:r>
          </w:p>
        </w:tc>
        <w:tc>
          <w:tcPr>
            <w:tcW w:w="100" w:type="dxa"/>
            <w:vAlign w:val="bottom"/>
          </w:tcPr>
          <w:p>
            <w:pPr>
              <w:spacing w:after="0"/>
              <w:rPr>
                <w:sz w:val="13"/>
                <w:szCs w:val="13"/>
                <w:color w:val="auto"/>
              </w:rPr>
            </w:pPr>
          </w:p>
        </w:tc>
        <w:tc>
          <w:tcPr>
            <w:tcW w:w="146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 Salary</w:t>
            </w:r>
          </w:p>
        </w:tc>
        <w:tc>
          <w:tcPr>
            <w:tcW w:w="100" w:type="dxa"/>
            <w:vAlign w:val="bottom"/>
          </w:tcPr>
          <w:p>
            <w:pPr>
              <w:spacing w:after="0"/>
              <w:rPr>
                <w:sz w:val="13"/>
                <w:szCs w:val="13"/>
                <w:color w:val="auto"/>
              </w:rPr>
            </w:pPr>
          </w:p>
        </w:tc>
        <w:tc>
          <w:tcPr>
            <w:tcW w:w="156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73"/>
        </w:trPr>
        <w:tc>
          <w:tcPr>
            <w:tcW w:w="64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Borders>
              <w:bottom w:val="single" w:sz="8" w:color="auto"/>
            </w:tcBorders>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1460" w:type="dxa"/>
            <w:vAlign w:val="bottom"/>
            <w:tcBorders>
              <w:bottom w:val="single" w:sz="8" w:color="auto"/>
            </w:tcBorders>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156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210"/>
        </w:trPr>
        <w:tc>
          <w:tcPr>
            <w:tcW w:w="6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Cedric Francois</w:t>
            </w:r>
          </w:p>
        </w:tc>
        <w:tc>
          <w:tcPr>
            <w:tcW w:w="15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741,000</w:t>
            </w:r>
          </w:p>
        </w:tc>
        <w:tc>
          <w:tcPr>
            <w:tcW w:w="15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800,000</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 Sullivan</w:t>
            </w:r>
          </w:p>
        </w:tc>
        <w:tc>
          <w:tcPr>
            <w:tcW w:w="15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500,000</w:t>
            </w:r>
          </w:p>
        </w:tc>
        <w:tc>
          <w:tcPr>
            <w:tcW w:w="15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535,000</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0" w:type="dxa"/>
            <w:vAlign w:val="bottom"/>
          </w:tcPr>
          <w:p>
            <w:pPr>
              <w:spacing w:after="0"/>
              <w:rPr>
                <w:sz w:val="1"/>
                <w:szCs w:val="1"/>
                <w:color w:val="auto"/>
              </w:rPr>
            </w:pPr>
          </w:p>
        </w:tc>
      </w:tr>
      <w:tr>
        <w:trPr>
          <w:trHeight w:val="216"/>
        </w:trPr>
        <w:tc>
          <w:tcPr>
            <w:tcW w:w="6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Caroline Baumal</w:t>
            </w:r>
          </w:p>
        </w:tc>
        <w:tc>
          <w:tcPr>
            <w:tcW w:w="15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575,000</w:t>
            </w:r>
          </w:p>
        </w:tc>
        <w:tc>
          <w:tcPr>
            <w:tcW w:w="15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615,000</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Adam Townsend</w:t>
            </w:r>
          </w:p>
        </w:tc>
        <w:tc>
          <w:tcPr>
            <w:tcW w:w="15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487,000</w:t>
            </w:r>
          </w:p>
        </w:tc>
        <w:tc>
          <w:tcPr>
            <w:tcW w:w="15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550,000</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12.9 %</w:t>
            </w:r>
          </w:p>
        </w:tc>
        <w:tc>
          <w:tcPr>
            <w:tcW w:w="0" w:type="dxa"/>
            <w:vAlign w:val="bottom"/>
          </w:tcPr>
          <w:p>
            <w:pPr>
              <w:spacing w:after="0"/>
              <w:rPr>
                <w:sz w:val="1"/>
                <w:szCs w:val="1"/>
                <w:color w:val="auto"/>
              </w:rPr>
            </w:pPr>
          </w:p>
        </w:tc>
      </w:tr>
      <w:tr>
        <w:trPr>
          <w:trHeight w:val="216"/>
        </w:trPr>
        <w:tc>
          <w:tcPr>
            <w:tcW w:w="6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David Watson</w:t>
            </w:r>
          </w:p>
        </w:tc>
        <w:tc>
          <w:tcPr>
            <w:tcW w:w="15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483,000</w:t>
            </w:r>
          </w:p>
        </w:tc>
        <w:tc>
          <w:tcPr>
            <w:tcW w:w="15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517,000</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6"/>
          <w:szCs w:val="16"/>
          <w:color w:val="auto"/>
        </w:rPr>
        <w:t>In January 2025, our compensation committee approved increases in base salary for each of our executive officers serving at that time, based upon our performance during calendar year 2024, the executive officer’s professional growth and achievement of individual objectives and the level of base salary paid by companies in our peer group or in survey data for similar positions. The table below sets forth the adjustments to base salary, in dollars and as a percentage, for each of our named executive officers: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20" w:type="dxa"/>
            <w:vAlign w:val="bottom"/>
          </w:tcPr>
          <w:p>
            <w:pPr>
              <w:spacing w:after="0"/>
              <w:rPr>
                <w:sz w:val="13"/>
                <w:szCs w:val="13"/>
                <w:color w:val="auto"/>
              </w:rPr>
            </w:pPr>
          </w:p>
        </w:tc>
        <w:tc>
          <w:tcPr>
            <w:tcW w:w="146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 Salary</w:t>
            </w:r>
          </w:p>
        </w:tc>
        <w:tc>
          <w:tcPr>
            <w:tcW w:w="100" w:type="dxa"/>
            <w:vAlign w:val="bottom"/>
          </w:tcPr>
          <w:p>
            <w:pPr>
              <w:spacing w:after="0"/>
              <w:rPr>
                <w:sz w:val="13"/>
                <w:szCs w:val="13"/>
                <w:color w:val="auto"/>
              </w:rPr>
            </w:pPr>
          </w:p>
        </w:tc>
        <w:tc>
          <w:tcPr>
            <w:tcW w:w="146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2025 Salary</w:t>
            </w:r>
          </w:p>
        </w:tc>
        <w:tc>
          <w:tcPr>
            <w:tcW w:w="100" w:type="dxa"/>
            <w:vAlign w:val="bottom"/>
          </w:tcPr>
          <w:p>
            <w:pPr>
              <w:spacing w:after="0"/>
              <w:rPr>
                <w:sz w:val="13"/>
                <w:szCs w:val="13"/>
                <w:color w:val="auto"/>
              </w:rPr>
            </w:pPr>
          </w:p>
        </w:tc>
        <w:tc>
          <w:tcPr>
            <w:tcW w:w="156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73"/>
        </w:trPr>
        <w:tc>
          <w:tcPr>
            <w:tcW w:w="64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Borders>
              <w:bottom w:val="single" w:sz="8" w:color="auto"/>
            </w:tcBorders>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1460" w:type="dxa"/>
            <w:vAlign w:val="bottom"/>
            <w:tcBorders>
              <w:bottom w:val="single" w:sz="8" w:color="auto"/>
            </w:tcBorders>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156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210"/>
        </w:trPr>
        <w:tc>
          <w:tcPr>
            <w:tcW w:w="6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Cedric Francois</w:t>
            </w:r>
          </w:p>
        </w:tc>
        <w:tc>
          <w:tcPr>
            <w:tcW w:w="15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800,000</w:t>
            </w:r>
          </w:p>
        </w:tc>
        <w:tc>
          <w:tcPr>
            <w:tcW w:w="15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825,000</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 Sullivan</w:t>
            </w:r>
          </w:p>
        </w:tc>
        <w:tc>
          <w:tcPr>
            <w:tcW w:w="15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535,000</w:t>
            </w:r>
          </w:p>
        </w:tc>
        <w:tc>
          <w:tcPr>
            <w:tcW w:w="15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550,000</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16"/>
        </w:trPr>
        <w:tc>
          <w:tcPr>
            <w:tcW w:w="6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Caroline Baumal</w:t>
            </w:r>
          </w:p>
        </w:tc>
        <w:tc>
          <w:tcPr>
            <w:tcW w:w="15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615,000</w:t>
            </w:r>
          </w:p>
        </w:tc>
        <w:tc>
          <w:tcPr>
            <w:tcW w:w="15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632,220</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Adam Townsend (1)</w:t>
            </w:r>
          </w:p>
        </w:tc>
        <w:tc>
          <w:tcPr>
            <w:tcW w:w="15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550,000</w:t>
            </w:r>
          </w:p>
        </w:tc>
        <w:tc>
          <w:tcPr>
            <w:tcW w:w="15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550,000</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16"/>
        </w:trPr>
        <w:tc>
          <w:tcPr>
            <w:tcW w:w="6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David Watson</w:t>
            </w:r>
          </w:p>
        </w:tc>
        <w:tc>
          <w:tcPr>
            <w:tcW w:w="15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517,000</w:t>
            </w:r>
          </w:p>
        </w:tc>
        <w:tc>
          <w:tcPr>
            <w:tcW w:w="15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550,000</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40" w:hanging="224"/>
        <w:spacing w:after="0"/>
        <w:tabs>
          <w:tab w:leader="none" w:pos="54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Adam Townsend </w:t>
      </w:r>
      <w:r>
        <w:rPr>
          <w:rFonts w:ascii="Times New Roman" w:cs="Times New Roman" w:eastAsia="Times New Roman" w:hAnsi="Times New Roman"/>
          <w:sz w:val="17"/>
          <w:szCs w:val="17"/>
          <w:color w:val="auto"/>
        </w:rPr>
        <w:t>resigned as the Company’s Chief Operating Officer effective as of February 21, 2025.</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Cash Incentive Program</w:t>
      </w:r>
    </w:p>
    <w:p>
      <w:pPr>
        <w:spacing w:after="0" w:line="234"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6"/>
          <w:szCs w:val="16"/>
          <w:color w:val="auto"/>
        </w:rPr>
        <w:t>Our cash incentive award under the 2024 annual cash incentive program as a percentage of the named executive officer’s annual base salary in 2024, the target cash incentive award opportunity in dollars for 2024 and the actual cash incentive award payments to our named executive officers for 2024 performance, which were paid in February 2025, as well as the actual 2024 cash incentive award payment as a percentage of each officer’s 2024 target cash incentive award opportunity are discussed below:</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 Target</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2024 Target</w:t>
            </w:r>
          </w:p>
        </w:tc>
        <w:tc>
          <w:tcPr>
            <w:tcW w:w="100" w:type="dxa"/>
            <w:vAlign w:val="bottom"/>
          </w:tcPr>
          <w:p>
            <w:pPr>
              <w:spacing w:after="0"/>
              <w:rPr>
                <w:sz w:val="13"/>
                <w:szCs w:val="13"/>
                <w:color w:val="auto"/>
              </w:rPr>
            </w:pPr>
          </w:p>
        </w:tc>
        <w:tc>
          <w:tcPr>
            <w:tcW w:w="126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Actual Bonus for</w:t>
            </w:r>
          </w:p>
        </w:tc>
        <w:tc>
          <w:tcPr>
            <w:tcW w:w="100" w:type="dxa"/>
            <w:vAlign w:val="bottom"/>
          </w:tcPr>
          <w:p>
            <w:pPr>
              <w:spacing w:after="0"/>
              <w:rPr>
                <w:sz w:val="13"/>
                <w:szCs w:val="13"/>
                <w:color w:val="auto"/>
              </w:rPr>
            </w:pPr>
          </w:p>
        </w:tc>
        <w:tc>
          <w:tcPr>
            <w:tcW w:w="1380" w:type="dxa"/>
            <w:vAlign w:val="bottom"/>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Ratio</w:t>
            </w:r>
          </w:p>
        </w:tc>
        <w:tc>
          <w:tcPr>
            <w:tcW w:w="0" w:type="dxa"/>
            <w:vAlign w:val="bottom"/>
          </w:tcPr>
          <w:p>
            <w:pPr>
              <w:spacing w:after="0"/>
              <w:rPr>
                <w:sz w:val="1"/>
                <w:szCs w:val="1"/>
                <w:color w:val="auto"/>
              </w:rPr>
            </w:pPr>
          </w:p>
        </w:tc>
      </w:tr>
      <w:tr>
        <w:trPr>
          <w:trHeight w:val="173"/>
        </w:trPr>
        <w:tc>
          <w:tcPr>
            <w:tcW w:w="55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126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2024 ($)</w:t>
            </w:r>
          </w:p>
        </w:tc>
        <w:tc>
          <w:tcPr>
            <w:tcW w:w="100" w:type="dxa"/>
            <w:vAlign w:val="bottom"/>
          </w:tcPr>
          <w:p>
            <w:pPr>
              <w:spacing w:after="0"/>
              <w:rPr>
                <w:sz w:val="15"/>
                <w:szCs w:val="15"/>
                <w:color w:val="auto"/>
              </w:rPr>
            </w:pPr>
          </w:p>
        </w:tc>
        <w:tc>
          <w:tcPr>
            <w:tcW w:w="138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0"/>
        </w:trPr>
        <w:tc>
          <w:tcPr>
            <w:tcW w:w="5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Cedric Francois</w:t>
            </w: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3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640,000</w:t>
            </w:r>
          </w:p>
        </w:tc>
        <w:tc>
          <w:tcPr>
            <w:tcW w:w="13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580,736</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90.74 %</w:t>
            </w:r>
          </w:p>
        </w:tc>
        <w:tc>
          <w:tcPr>
            <w:tcW w:w="0" w:type="dxa"/>
            <w:vAlign w:val="bottom"/>
          </w:tcPr>
          <w:p>
            <w:pPr>
              <w:spacing w:after="0"/>
              <w:rPr>
                <w:sz w:val="1"/>
                <w:szCs w:val="1"/>
                <w:color w:val="auto"/>
              </w:rPr>
            </w:pPr>
          </w:p>
        </w:tc>
      </w:tr>
      <w:tr>
        <w:trPr>
          <w:trHeight w:val="216"/>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Timothy Sullivan</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3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267,500</w:t>
            </w:r>
          </w:p>
        </w:tc>
        <w:tc>
          <w:tcPr>
            <w:tcW w:w="13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242,730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90.74 %</w:t>
            </w:r>
          </w:p>
        </w:tc>
        <w:tc>
          <w:tcPr>
            <w:tcW w:w="0" w:type="dxa"/>
            <w:vAlign w:val="bottom"/>
          </w:tcPr>
          <w:p>
            <w:pPr>
              <w:spacing w:after="0"/>
              <w:rPr>
                <w:sz w:val="1"/>
                <w:szCs w:val="1"/>
                <w:color w:val="auto"/>
              </w:rPr>
            </w:pPr>
          </w:p>
        </w:tc>
      </w:tr>
      <w:tr>
        <w:trPr>
          <w:trHeight w:val="216"/>
        </w:trPr>
        <w:tc>
          <w:tcPr>
            <w:tcW w:w="5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Caroline Baumal</w:t>
            </w: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3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307,500</w:t>
            </w:r>
          </w:p>
        </w:tc>
        <w:tc>
          <w:tcPr>
            <w:tcW w:w="13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279,026</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90.74 %</w:t>
            </w:r>
          </w:p>
        </w:tc>
        <w:tc>
          <w:tcPr>
            <w:tcW w:w="0" w:type="dxa"/>
            <w:vAlign w:val="bottom"/>
          </w:tcPr>
          <w:p>
            <w:pPr>
              <w:spacing w:after="0"/>
              <w:rPr>
                <w:sz w:val="1"/>
                <w:szCs w:val="1"/>
                <w:color w:val="auto"/>
              </w:rPr>
            </w:pPr>
          </w:p>
        </w:tc>
      </w:tr>
      <w:tr>
        <w:trPr>
          <w:trHeight w:val="216"/>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Adam Townsend</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3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275,000</w:t>
            </w:r>
          </w:p>
        </w:tc>
        <w:tc>
          <w:tcPr>
            <w:tcW w:w="13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249,535</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90.74 %</w:t>
            </w:r>
          </w:p>
        </w:tc>
        <w:tc>
          <w:tcPr>
            <w:tcW w:w="0" w:type="dxa"/>
            <w:vAlign w:val="bottom"/>
          </w:tcPr>
          <w:p>
            <w:pPr>
              <w:spacing w:after="0"/>
              <w:rPr>
                <w:sz w:val="1"/>
                <w:szCs w:val="1"/>
                <w:color w:val="auto"/>
              </w:rPr>
            </w:pPr>
          </w:p>
        </w:tc>
      </w:tr>
      <w:tr>
        <w:trPr>
          <w:trHeight w:val="216"/>
        </w:trPr>
        <w:tc>
          <w:tcPr>
            <w:tcW w:w="5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David Watson</w:t>
            </w: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3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232,650</w:t>
            </w:r>
          </w:p>
        </w:tc>
        <w:tc>
          <w:tcPr>
            <w:tcW w:w="13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211,107</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90.74 %</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6"/>
          <w:szCs w:val="16"/>
          <w:color w:val="auto"/>
        </w:rPr>
        <w:t>Under our 2024 annual cash incentive program, cash incentive awards were determined by multiplying the target cash incentive award for each executive officer by a corporate performance factor established by our compensation committee based on our performance as measured against our corporate goals, which cover our clinical and pipeline development, our commercialization of our products and our operational effectiveness. Our compensation committee has the discretion to adjust the size of individual awards upward or downward based on individual performance but did not do so with respect to the 2024 cash incentive awards for any of the named executive officers. The compensation committee sets the target cash incentive award opportunity at the beginning of the year, based primarily on peer group data analyzed by the independent compensation consultant.</w:t>
      </w:r>
    </w:p>
    <w:p>
      <w:pPr>
        <w:spacing w:after="0" w:line="171"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6"/>
          <w:szCs w:val="16"/>
          <w:color w:val="auto"/>
        </w:rPr>
        <w:t>In March 2024 our compensation committee approved a set of corporate performance goals for 2024 after discussion and review with management. For calendar year 2024 our corporate performance goals included: (1) attainment of net product revenues for EMPAVELI and SYFOVRE; (2) achievement of regulatory objectives that enable growth; (3) positive top line results from the Phase 3 studies of systemic pegcetacoplan for the treatment of post-transplant recurrence of C3G/ and IC-MPGN; (4) progress of product candidates (including APL-3007) into preclinical and early clinical trials; and (5) attainment of various corporate and operational objectives to allow for efficiency, scalability and growth.</w:t>
      </w:r>
    </w:p>
    <w:p>
      <w:pPr>
        <w:spacing w:after="0" w:line="186"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6"/>
          <w:szCs w:val="16"/>
          <w:color w:val="auto"/>
        </w:rPr>
        <w:t>During the last quarter of each year, our senior management team evaluates our company’s performance. Based on this evaluation, our Chief Executive Officer recommends to our compensation committee a corporate performance factor based on our achievement of the corporate performance goals for the year and any cash awards to our named executive officers under our annual cash incentive program. Our compensation committee then carefully reviews overall corporate performance and evaluates corporate achievements against the pre-set corporate performance goals in accordance with its pay-for-performance philosophy.</w:t>
      </w:r>
    </w:p>
    <w:p>
      <w:pPr>
        <w:spacing w:after="0" w:line="169" w:lineRule="exact"/>
        <w:rPr>
          <w:sz w:val="20"/>
          <w:szCs w:val="20"/>
          <w:color w:val="auto"/>
        </w:rPr>
      </w:pPr>
    </w:p>
    <w:p>
      <w:pPr>
        <w:ind w:right="40"/>
        <w:spacing w:after="0" w:line="298" w:lineRule="auto"/>
        <w:rPr>
          <w:sz w:val="20"/>
          <w:szCs w:val="20"/>
          <w:color w:val="auto"/>
        </w:rPr>
      </w:pPr>
      <w:r>
        <w:rPr>
          <w:rFonts w:ascii="Times New Roman" w:cs="Times New Roman" w:eastAsia="Times New Roman" w:hAnsi="Times New Roman"/>
          <w:sz w:val="16"/>
          <w:szCs w:val="16"/>
          <w:color w:val="auto"/>
        </w:rPr>
        <w:t>During the fourth quarter of 2024 and the first quarter of 2025, our compensation committee met with our Chief Executive Officer as part of its annual compensation review and discussed our corporate performance in 2024 and the Chief Executive Officer’s recommendations for a corporate</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35" w:name="page36"/>
    <w:bookmarkEnd w:id="35"/>
    <w:p>
      <w:pPr>
        <w:ind w:right="380"/>
        <w:spacing w:after="0" w:line="275" w:lineRule="auto"/>
        <w:rPr>
          <w:sz w:val="20"/>
          <w:szCs w:val="20"/>
          <w:color w:val="auto"/>
        </w:rPr>
      </w:pPr>
      <w:r>
        <w:rPr>
          <w:rFonts w:ascii="Times New Roman" w:cs="Times New Roman" w:eastAsia="Times New Roman" w:hAnsi="Times New Roman"/>
          <w:sz w:val="16"/>
          <w:szCs w:val="16"/>
          <w:color w:val="auto"/>
        </w:rPr>
        <w:t>performance factor and cash incentive awards for each of our executive officers other than the Chief Executive Officer. As part of its evaluation of our corporate performance against our corporate performance goals, the committee noted achievement at the threshold of the product revenue objectives, failure to receive regulatory approval of SYFOVRE from the European Medicines Agency, strong positive results from the C3G/IC-MPGN Phase III clinical trial, continued advancement of development candidates, including APL-3007, and strong attainment of corporate and operational objectives.</w:t>
      </w:r>
    </w:p>
    <w:p>
      <w:pPr>
        <w:spacing w:after="0" w:line="183"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6"/>
          <w:szCs w:val="16"/>
          <w:color w:val="auto"/>
        </w:rPr>
        <w:t>In accordance with the compensation philosophy of pay-for-performance and based upon our overall performance during 2024 as measured against our pre-set corporate goals for calendar year 2024, our compensation committee recommended, and our board approved, a corporate performance factor of 90.74% for the purposes of the annual cash bonus. On that basis, each of our named executive officers received cash incentive awards equal to 90.74% of their target cash incentive award for calendar year 2024 without individual adjustments.</w:t>
      </w:r>
    </w:p>
    <w:p>
      <w:pPr>
        <w:spacing w:after="0" w:line="169"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In January 2025, our compensation committee reviewed the current target bonus percentage as a percentage of each executive officer’s 2024 base salary, based upon the target bonus percentages for similar positions within our peer group, and approved the following target bonus percentages for each of our named executive officers for 2025:</w:t>
      </w:r>
    </w:p>
    <w:p>
      <w:pPr>
        <w:spacing w:after="0" w:line="16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290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2024 Target</w:t>
            </w:r>
          </w:p>
        </w:tc>
        <w:tc>
          <w:tcPr>
            <w:tcW w:w="720" w:type="dxa"/>
            <w:vAlign w:val="bottom"/>
          </w:tcPr>
          <w:p>
            <w:pPr>
              <w:spacing w:after="0"/>
              <w:rPr>
                <w:sz w:val="13"/>
                <w:szCs w:val="13"/>
                <w:color w:val="auto"/>
              </w:rPr>
            </w:pPr>
          </w:p>
        </w:tc>
        <w:tc>
          <w:tcPr>
            <w:tcW w:w="17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2025 Target</w:t>
            </w:r>
          </w:p>
        </w:tc>
        <w:tc>
          <w:tcPr>
            <w:tcW w:w="0" w:type="dxa"/>
            <w:vAlign w:val="bottom"/>
          </w:tcPr>
          <w:p>
            <w:pPr>
              <w:spacing w:after="0"/>
              <w:rPr>
                <w:sz w:val="1"/>
                <w:szCs w:val="1"/>
                <w:color w:val="auto"/>
              </w:rPr>
            </w:pPr>
          </w:p>
        </w:tc>
      </w:tr>
      <w:tr>
        <w:trPr>
          <w:trHeight w:val="173"/>
        </w:trPr>
        <w:tc>
          <w:tcPr>
            <w:tcW w:w="3580" w:type="dxa"/>
            <w:vAlign w:val="bottom"/>
            <w:tcBorders>
              <w:bottom w:val="single" w:sz="8" w:color="auto"/>
            </w:tcBorders>
            <w:vMerge w:val="continue"/>
          </w:tcPr>
          <w:p>
            <w:pPr>
              <w:spacing w:after="0"/>
              <w:rPr>
                <w:sz w:val="15"/>
                <w:szCs w:val="15"/>
                <w:color w:val="auto"/>
              </w:rPr>
            </w:pPr>
          </w:p>
        </w:tc>
        <w:tc>
          <w:tcPr>
            <w:tcW w:w="290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0"/>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Cedric Francois</w:t>
            </w:r>
          </w:p>
        </w:tc>
        <w:tc>
          <w:tcPr>
            <w:tcW w:w="290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80 %</w:t>
            </w:r>
          </w:p>
        </w:tc>
        <w:tc>
          <w:tcPr>
            <w:tcW w:w="1780" w:type="dxa"/>
            <w:vAlign w:val="bottom"/>
            <w:shd w:val="clear" w:color="auto" w:fill="CFF0FC"/>
          </w:tcPr>
          <w:p>
            <w:pPr>
              <w:ind w:left="1400"/>
              <w:spacing w:after="0"/>
              <w:rPr>
                <w:sz w:val="20"/>
                <w:szCs w:val="20"/>
                <w:color w:val="auto"/>
              </w:rPr>
            </w:pPr>
            <w:r>
              <w:rPr>
                <w:rFonts w:ascii="Times New Roman" w:cs="Times New Roman" w:eastAsia="Times New Roman" w:hAnsi="Times New Roman"/>
                <w:sz w:val="18"/>
                <w:szCs w:val="18"/>
                <w:color w:val="auto"/>
                <w:w w:val="95"/>
              </w:rPr>
              <w:t>80 %</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Timothy Sullivan</w:t>
            </w:r>
          </w:p>
        </w:tc>
        <w:tc>
          <w:tcPr>
            <w:tcW w:w="2900" w:type="dxa"/>
            <w:vAlign w:val="bottom"/>
          </w:tcPr>
          <w:p>
            <w:pPr>
              <w:spacing w:after="0"/>
              <w:rPr>
                <w:sz w:val="18"/>
                <w:szCs w:val="18"/>
                <w:color w:val="auto"/>
              </w:rPr>
            </w:pP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50 %</w:t>
            </w:r>
          </w:p>
        </w:tc>
        <w:tc>
          <w:tcPr>
            <w:tcW w:w="1780" w:type="dxa"/>
            <w:vAlign w:val="bottom"/>
          </w:tcPr>
          <w:p>
            <w:pPr>
              <w:ind w:left="1400"/>
              <w:spacing w:after="0"/>
              <w:rPr>
                <w:sz w:val="20"/>
                <w:szCs w:val="20"/>
                <w:color w:val="auto"/>
              </w:rPr>
            </w:pPr>
            <w:r>
              <w:rPr>
                <w:rFonts w:ascii="Times New Roman" w:cs="Times New Roman" w:eastAsia="Times New Roman" w:hAnsi="Times New Roman"/>
                <w:sz w:val="18"/>
                <w:szCs w:val="18"/>
                <w:color w:val="auto"/>
                <w:w w:val="95"/>
              </w:rPr>
              <w:t>50 %</w:t>
            </w: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Caroline Baumal</w:t>
            </w:r>
          </w:p>
        </w:tc>
        <w:tc>
          <w:tcPr>
            <w:tcW w:w="290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50 %</w:t>
            </w:r>
          </w:p>
        </w:tc>
        <w:tc>
          <w:tcPr>
            <w:tcW w:w="1780" w:type="dxa"/>
            <w:vAlign w:val="bottom"/>
            <w:shd w:val="clear" w:color="auto" w:fill="CFF0FC"/>
          </w:tcPr>
          <w:p>
            <w:pPr>
              <w:ind w:left="1400"/>
              <w:spacing w:after="0"/>
              <w:rPr>
                <w:sz w:val="20"/>
                <w:szCs w:val="20"/>
                <w:color w:val="auto"/>
              </w:rPr>
            </w:pPr>
            <w:r>
              <w:rPr>
                <w:rFonts w:ascii="Times New Roman" w:cs="Times New Roman" w:eastAsia="Times New Roman" w:hAnsi="Times New Roman"/>
                <w:sz w:val="18"/>
                <w:szCs w:val="18"/>
                <w:color w:val="auto"/>
                <w:w w:val="95"/>
              </w:rPr>
              <w:t>50 %</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Adam Townsend</w:t>
            </w:r>
          </w:p>
        </w:tc>
        <w:tc>
          <w:tcPr>
            <w:tcW w:w="2900" w:type="dxa"/>
            <w:vAlign w:val="bottom"/>
          </w:tcPr>
          <w:p>
            <w:pPr>
              <w:spacing w:after="0"/>
              <w:rPr>
                <w:sz w:val="18"/>
                <w:szCs w:val="18"/>
                <w:color w:val="auto"/>
              </w:rPr>
            </w:pP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50 %</w:t>
            </w:r>
          </w:p>
        </w:tc>
        <w:tc>
          <w:tcPr>
            <w:tcW w:w="178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David Watson</w:t>
            </w:r>
          </w:p>
        </w:tc>
        <w:tc>
          <w:tcPr>
            <w:tcW w:w="290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45 %</w:t>
            </w:r>
          </w:p>
        </w:tc>
        <w:tc>
          <w:tcPr>
            <w:tcW w:w="1780" w:type="dxa"/>
            <w:vAlign w:val="bottom"/>
            <w:shd w:val="clear" w:color="auto" w:fill="CFF0FC"/>
          </w:tcPr>
          <w:p>
            <w:pPr>
              <w:ind w:left="1400"/>
              <w:spacing w:after="0"/>
              <w:rPr>
                <w:sz w:val="20"/>
                <w:szCs w:val="20"/>
                <w:color w:val="auto"/>
              </w:rPr>
            </w:pPr>
            <w:r>
              <w:rPr>
                <w:rFonts w:ascii="Times New Roman" w:cs="Times New Roman" w:eastAsia="Times New Roman" w:hAnsi="Times New Roman"/>
                <w:sz w:val="18"/>
                <w:szCs w:val="18"/>
                <w:color w:val="auto"/>
                <w:w w:val="95"/>
              </w:rPr>
              <w:t>50 %</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Awards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equity awards program is designed to:</w:t>
      </w:r>
    </w:p>
    <w:p>
      <w:pPr>
        <w:spacing w:after="0" w:line="127" w:lineRule="exact"/>
        <w:rPr>
          <w:sz w:val="20"/>
          <w:szCs w:val="20"/>
          <w:color w:val="auto"/>
        </w:rPr>
      </w:pPr>
    </w:p>
    <w:p>
      <w:pPr>
        <w:ind w:left="1020" w:hanging="503"/>
        <w:spacing w:after="0"/>
        <w:tabs>
          <w:tab w:leader="none" w:pos="102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reward demonstrated leadership and performance;</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align our executive officers’ interests with those of our stockholders;</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retain our executive officers through the term of the awards;</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 competitive levels of executive compensation; and</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motivate our executive officers for outstanding future performance.</w:t>
      </w:r>
    </w:p>
    <w:p>
      <w:pPr>
        <w:spacing w:after="0" w:line="221"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6"/>
          <w:szCs w:val="16"/>
          <w:color w:val="auto"/>
        </w:rPr>
        <w:t>The market for qualified and talented executives in the biopharmaceutical and biotechnology industries is highly competitive and we compete for talent with many companies that have greater resources than we do. Accordingly, we believe equity compensation is a crucial component of any competitive executive compensation package we offer.</w:t>
      </w:r>
    </w:p>
    <w:p>
      <w:pPr>
        <w:spacing w:after="0" w:line="371"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6"/>
          <w:szCs w:val="16"/>
          <w:color w:val="auto"/>
        </w:rPr>
        <w:t>Prior to 2020, our equity awards generally took the form of stock options. In 2020 we introduced restricted stock units as part of our equity award program, consistent with the competitive market for talent in our industry and reflective of the growth of our company. Each restricted stock unit represents the right to receive one share of common stock upon vesting. In addition, in 2021 and 2022, we issued performance-based equity incentives designed to encourage achievement of pre-established performance conditions to our executive officers. We typically make equity award grants to each of our executive officers upon commencement of employment, annually in conjunction with our review of executive compensation, or as a special incentive.</w:t>
      </w:r>
    </w:p>
    <w:p>
      <w:pPr>
        <w:spacing w:after="0" w:line="172"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6"/>
          <w:szCs w:val="16"/>
          <w:color w:val="auto"/>
        </w:rPr>
        <w:t>All equity awards to our executive officers are approved by our compensation committee and by the full Board for awards to our CEO and, other than equity awards to new hires, are typically granted by our compensation committee in the first quarter of the year. The size of equity awards varies among our executive officers based on their positions and annual performance assessments. All stock options granted to our executive officers have exercise prices equal to the fair market value of our common stock on the date of grant, so that the recipient will not realize any value from his or her options unless our share price increases above the exercise price on the date of grant. Accordingly, this portion of our executive officers’ compensation is at risk and is directly aligned with stockholder value creation.</w:t>
      </w:r>
    </w:p>
    <w:p>
      <w:pPr>
        <w:spacing w:after="0" w:line="172"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6"/>
          <w:szCs w:val="16"/>
          <w:color w:val="auto"/>
        </w:rPr>
        <w:t>In addition, equity grants to our executive officers with time-based vesting typically vest over four years. We believe that time-based vesting provides an incentive to our executive officers to add value over the long-term and to remain with our company. Typically, options with time-based vesting have a ten-year term and vest as to 25% of the shares on the first anniversary of their grant date and then in equal monthly installments thereafter until the fourth anniversary of such date. Vesting of option grants to employees ceases upon termination of service, and, except in the case of death or disability, exercise rights typically cease three months following termination of service for grants made under our 2017 Plan and one year following termination of service for grants made under our 2010 equity incentive plan, or our 2010 Plan. Prior to the exercise of an option, the stock option holder does not have any rights as a stockholder with respect to the shares subject to such option, including voting rights or the right to receive dividends or dividend equivalents. We also grant restricted stock units with time-based vesting. Typically, our restricted stock units with time-based</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36" w:name="page37"/>
    <w:bookmarkEnd w:id="36"/>
    <w:p>
      <w:pPr>
        <w:ind w:right="280"/>
        <w:spacing w:after="0" w:line="298" w:lineRule="auto"/>
        <w:rPr>
          <w:sz w:val="20"/>
          <w:szCs w:val="20"/>
          <w:color w:val="auto"/>
        </w:rPr>
      </w:pPr>
      <w:r>
        <w:rPr>
          <w:rFonts w:ascii="Times New Roman" w:cs="Times New Roman" w:eastAsia="Times New Roman" w:hAnsi="Times New Roman"/>
          <w:sz w:val="16"/>
          <w:szCs w:val="16"/>
          <w:color w:val="auto"/>
        </w:rPr>
        <w:t>vesting vest as to 25% of the shares on the first anniversary of the grant date and 25% on each anniversary of the grant date thereafter. Vesting of restricted stock units to employees ceases upon termination of service.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60" w:type="dxa"/>
            <w:vAlign w:val="bottom"/>
            <w:vMerge w:val="restart"/>
          </w:tcPr>
          <w:p>
            <w:pPr>
              <w:ind w:left="3000"/>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20" w:type="dxa"/>
            <w:vAlign w:val="bottom"/>
            <w:vMerge w:val="restart"/>
          </w:tcPr>
          <w:p>
            <w:pPr>
              <w:spacing w:after="0"/>
              <w:rPr>
                <w:sz w:val="15"/>
                <w:szCs w:val="15"/>
                <w:color w:val="auto"/>
              </w:rPr>
            </w:pPr>
          </w:p>
        </w:tc>
        <w:tc>
          <w:tcPr>
            <w:tcW w:w="3560" w:type="dxa"/>
            <w:vAlign w:val="bottom"/>
            <w:tcBorders>
              <w:bottom w:val="single" w:sz="8" w:color="auto"/>
            </w:tcBorders>
            <w:gridSpan w:val="3"/>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2024 Time-Based Equity Award</w:t>
            </w:r>
          </w:p>
        </w:tc>
        <w:tc>
          <w:tcPr>
            <w:tcW w:w="0" w:type="dxa"/>
            <w:vAlign w:val="bottom"/>
          </w:tcPr>
          <w:p>
            <w:pPr>
              <w:spacing w:after="0"/>
              <w:rPr>
                <w:sz w:val="1"/>
                <w:szCs w:val="1"/>
                <w:color w:val="auto"/>
              </w:rPr>
            </w:pPr>
          </w:p>
        </w:tc>
      </w:tr>
      <w:tr>
        <w:trPr>
          <w:trHeight w:val="142"/>
        </w:trPr>
        <w:tc>
          <w:tcPr>
            <w:tcW w:w="756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740" w:type="dxa"/>
            <w:vAlign w:val="bottom"/>
            <w:tcBorders>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Stock Options (1)</w:t>
            </w:r>
          </w:p>
        </w:tc>
        <w:tc>
          <w:tcPr>
            <w:tcW w:w="100" w:type="dxa"/>
            <w:vAlign w:val="bottom"/>
          </w:tcPr>
          <w:p>
            <w:pPr>
              <w:spacing w:after="0"/>
              <w:rPr>
                <w:sz w:val="12"/>
                <w:szCs w:val="12"/>
                <w:color w:val="auto"/>
              </w:rPr>
            </w:pPr>
          </w:p>
        </w:tc>
        <w:tc>
          <w:tcPr>
            <w:tcW w:w="172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Restricted Stock Units (2)</w:t>
            </w:r>
          </w:p>
        </w:tc>
        <w:tc>
          <w:tcPr>
            <w:tcW w:w="0" w:type="dxa"/>
            <w:vAlign w:val="bottom"/>
          </w:tcPr>
          <w:p>
            <w:pPr>
              <w:spacing w:after="0"/>
              <w:rPr>
                <w:sz w:val="1"/>
                <w:szCs w:val="1"/>
                <w:color w:val="auto"/>
              </w:rPr>
            </w:pPr>
          </w:p>
        </w:tc>
      </w:tr>
      <w:tr>
        <w:trPr>
          <w:trHeight w:val="209"/>
        </w:trPr>
        <w:tc>
          <w:tcPr>
            <w:tcW w:w="7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Cedric Francois</w:t>
            </w:r>
          </w:p>
        </w:tc>
        <w:tc>
          <w:tcPr>
            <w:tcW w:w="17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104,834</w:t>
            </w:r>
          </w:p>
        </w:tc>
        <w:tc>
          <w:tcPr>
            <w:tcW w:w="18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72,094</w:t>
            </w:r>
          </w:p>
        </w:tc>
        <w:tc>
          <w:tcPr>
            <w:tcW w:w="0" w:type="dxa"/>
            <w:vAlign w:val="bottom"/>
          </w:tcPr>
          <w:p>
            <w:pPr>
              <w:spacing w:after="0"/>
              <w:rPr>
                <w:sz w:val="1"/>
                <w:szCs w:val="1"/>
                <w:color w:val="auto"/>
              </w:rPr>
            </w:pPr>
          </w:p>
        </w:tc>
      </w:tr>
      <w:tr>
        <w:trPr>
          <w:trHeight w:val="216"/>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Timothy Sullivan</w:t>
            </w:r>
          </w:p>
        </w:tc>
        <w:tc>
          <w:tcPr>
            <w:tcW w:w="17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34,533</w:t>
            </w:r>
          </w:p>
        </w:tc>
        <w:tc>
          <w:tcPr>
            <w:tcW w:w="18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23,748</w:t>
            </w:r>
          </w:p>
        </w:tc>
        <w:tc>
          <w:tcPr>
            <w:tcW w:w="0" w:type="dxa"/>
            <w:vAlign w:val="bottom"/>
          </w:tcPr>
          <w:p>
            <w:pPr>
              <w:spacing w:after="0"/>
              <w:rPr>
                <w:sz w:val="1"/>
                <w:szCs w:val="1"/>
                <w:color w:val="auto"/>
              </w:rPr>
            </w:pPr>
          </w:p>
        </w:tc>
      </w:tr>
      <w:tr>
        <w:trPr>
          <w:trHeight w:val="216"/>
        </w:trPr>
        <w:tc>
          <w:tcPr>
            <w:tcW w:w="7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Caroline Baumal</w:t>
            </w:r>
          </w:p>
        </w:tc>
        <w:tc>
          <w:tcPr>
            <w:tcW w:w="17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37,000</w:t>
            </w:r>
          </w:p>
        </w:tc>
        <w:tc>
          <w:tcPr>
            <w:tcW w:w="18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25,445</w:t>
            </w:r>
          </w:p>
        </w:tc>
        <w:tc>
          <w:tcPr>
            <w:tcW w:w="0" w:type="dxa"/>
            <w:vAlign w:val="bottom"/>
          </w:tcPr>
          <w:p>
            <w:pPr>
              <w:spacing w:after="0"/>
              <w:rPr>
                <w:sz w:val="1"/>
                <w:szCs w:val="1"/>
                <w:color w:val="auto"/>
              </w:rPr>
            </w:pPr>
          </w:p>
        </w:tc>
      </w:tr>
      <w:tr>
        <w:trPr>
          <w:trHeight w:val="216"/>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Adam Townsend</w:t>
            </w:r>
          </w:p>
        </w:tc>
        <w:tc>
          <w:tcPr>
            <w:tcW w:w="17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34,533</w:t>
            </w:r>
          </w:p>
        </w:tc>
        <w:tc>
          <w:tcPr>
            <w:tcW w:w="18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23,748</w:t>
            </w:r>
          </w:p>
        </w:tc>
        <w:tc>
          <w:tcPr>
            <w:tcW w:w="0" w:type="dxa"/>
            <w:vAlign w:val="bottom"/>
          </w:tcPr>
          <w:p>
            <w:pPr>
              <w:spacing w:after="0"/>
              <w:rPr>
                <w:sz w:val="1"/>
                <w:szCs w:val="1"/>
                <w:color w:val="auto"/>
              </w:rPr>
            </w:pPr>
          </w:p>
        </w:tc>
      </w:tr>
      <w:tr>
        <w:trPr>
          <w:trHeight w:val="216"/>
        </w:trPr>
        <w:tc>
          <w:tcPr>
            <w:tcW w:w="7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David Watson</w:t>
            </w:r>
          </w:p>
        </w:tc>
        <w:tc>
          <w:tcPr>
            <w:tcW w:w="17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34,533</w:t>
            </w:r>
          </w:p>
        </w:tc>
        <w:tc>
          <w:tcPr>
            <w:tcW w:w="18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23,748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85725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169" w:lineRule="exact"/>
        <w:rPr>
          <w:sz w:val="20"/>
          <w:szCs w:val="20"/>
          <w:color w:val="auto"/>
        </w:rPr>
      </w:pPr>
    </w:p>
    <w:p>
      <w:pPr>
        <w:ind w:left="520" w:right="60" w:hanging="512"/>
        <w:spacing w:after="0" w:line="298" w:lineRule="auto"/>
        <w:tabs>
          <w:tab w:leader="none" w:pos="52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stock options vest as to 25% of the shares on the first anniversary of the grant date and then in equal monthly installments thereafter until the fourth anniversary of such date, subject to continued service.</w:t>
      </w:r>
    </w:p>
    <w:p>
      <w:pPr>
        <w:spacing w:after="0" w:line="56" w:lineRule="exact"/>
        <w:rPr>
          <w:rFonts w:ascii="Times New Roman" w:cs="Times New Roman" w:eastAsia="Times New Roman" w:hAnsi="Times New Roman"/>
          <w:sz w:val="16"/>
          <w:szCs w:val="16"/>
          <w:color w:val="auto"/>
        </w:rPr>
      </w:pPr>
    </w:p>
    <w:p>
      <w:pPr>
        <w:ind w:left="520" w:right="200" w:hanging="512"/>
        <w:spacing w:after="0" w:line="298" w:lineRule="auto"/>
        <w:tabs>
          <w:tab w:leader="none" w:pos="52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restricted stock units vest as to 25% of the shares on the first anniversary of the grant date and 25% on each anniversary of the grant date thereafter, subject to continued service.</w:t>
      </w:r>
    </w:p>
    <w:p>
      <w:pPr>
        <w:spacing w:after="0" w:line="16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The compensation committee may approve different award types in the future as part of the overall compensation strategy. Awards made in connection with a new, extended or expanded employment relationship may involve a different mix of equity awards, depending on the compensation committee’s assessment of the total compensation package being offered.</w:t>
      </w:r>
    </w:p>
    <w:p>
      <w:pPr>
        <w:spacing w:after="0" w:line="164"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The equity awards granted to our named executive officers during the fiscal year ended December 31, 2024, and the grant date fair value of those awards determined in accordance with FASB ASC Topic 718, are shown in the Summary Compensation Table and the 2024 Grants of Plan-Based Awards table below.</w:t>
      </w:r>
    </w:p>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In January 2025, after a review of our executive compensation policies with Pay Governance, our compensation committee approved a change to the annual long-term incentive program for 2025 such that the annual grant of equity awards to our executive officers would be comprised of time-based restricted stock units (RSUs) and performance-based stock units (PSUs). The compensation committee determined that the allocation of value of the equity awards between performance stock units and restricted stock units should be 50% to PSUs and 50% to RSUs, with both valued using the average of the closing price of the Company’s common stock on the previous 20 trading days prior to the date of grant. The 2025 PSUs for executive officers are set to pay out depending on the Company’s total shareholder return (TSR) performance compared to NASDAQ biotechnology index companies as follows: (i) at 50% of target if TSR performance is equal to 25th percentile of index TSR performance, (ii) at 100% of target if TSR performance is equal to 55</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color w:val="auto"/>
        </w:rPr>
        <w:t xml:space="preserve"> percentile of index TSR performance and (iii) at 200% of target if TSR performance is equal to or greater than 90th percentile of index TSR performance. Linear interpolation will be applied to determine the payout if TSR performance is between the 25</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color w:val="auto"/>
        </w:rPr>
        <w:t xml:space="preserve"> and 55th percentile or 55th and 90</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color w:val="auto"/>
        </w:rPr>
        <w:t xml:space="preserve"> percentile of index TSR performance. TSR performance below the 25th percentile of index TSR performance will result in no payout. Payout for negative TSR performance will be capped at 100% of target. TSR performance will be evaluated over 3 distinct performance periods during the 3-year period covering 2025-2027 as follows: (i) 2025 1-year TSR, (ii) 2025-2026 2-year cumulative TSR and (iii) 2025-2027 3-year cumulative TSR. The approved 2025 equity incentive awards for our named executive officers serving at that time are set forth in the table below:</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560" w:type="dxa"/>
            <w:vAlign w:val="bottom"/>
            <w:tcBorders>
              <w:bottom w:val="single" w:sz="8" w:color="auto"/>
            </w:tcBorders>
            <w:gridSpan w:val="3"/>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2025 Time-Based Equity Award</w:t>
            </w:r>
          </w:p>
        </w:tc>
        <w:tc>
          <w:tcPr>
            <w:tcW w:w="0" w:type="dxa"/>
            <w:vAlign w:val="bottom"/>
          </w:tcPr>
          <w:p>
            <w:pPr>
              <w:spacing w:after="0"/>
              <w:rPr>
                <w:sz w:val="1"/>
                <w:szCs w:val="1"/>
                <w:color w:val="auto"/>
              </w:rPr>
            </w:pPr>
          </w:p>
        </w:tc>
      </w:tr>
      <w:tr>
        <w:trPr>
          <w:trHeight w:val="117"/>
        </w:trPr>
        <w:tc>
          <w:tcPr>
            <w:tcW w:w="7560" w:type="dxa"/>
            <w:vAlign w:val="bottom"/>
            <w:vMerge w:val="restart"/>
          </w:tcPr>
          <w:p>
            <w:pPr>
              <w:ind w:left="3000"/>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20" w:type="dxa"/>
            <w:vAlign w:val="bottom"/>
            <w:vMerge w:val="restart"/>
          </w:tcPr>
          <w:p>
            <w:pPr>
              <w:spacing w:after="0"/>
              <w:rPr>
                <w:sz w:val="10"/>
                <w:szCs w:val="10"/>
                <w:color w:val="auto"/>
              </w:rPr>
            </w:pPr>
          </w:p>
        </w:tc>
        <w:tc>
          <w:tcPr>
            <w:tcW w:w="1740" w:type="dxa"/>
            <w:vAlign w:val="bottom"/>
          </w:tcPr>
          <w:p>
            <w:pPr>
              <w:jc w:val="right"/>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Performance - Stock</w:t>
            </w:r>
          </w:p>
        </w:tc>
        <w:tc>
          <w:tcPr>
            <w:tcW w:w="100" w:type="dxa"/>
            <w:vAlign w:val="bottom"/>
          </w:tcPr>
          <w:p>
            <w:pPr>
              <w:spacing w:after="0"/>
              <w:rPr>
                <w:sz w:val="10"/>
                <w:szCs w:val="10"/>
                <w:color w:val="auto"/>
              </w:rPr>
            </w:pPr>
          </w:p>
        </w:tc>
        <w:tc>
          <w:tcPr>
            <w:tcW w:w="1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Restricted Stock Units (2)</w:t>
            </w:r>
          </w:p>
        </w:tc>
        <w:tc>
          <w:tcPr>
            <w:tcW w:w="0" w:type="dxa"/>
            <w:vAlign w:val="bottom"/>
          </w:tcPr>
          <w:p>
            <w:pPr>
              <w:spacing w:after="0"/>
              <w:rPr>
                <w:sz w:val="1"/>
                <w:szCs w:val="1"/>
                <w:color w:val="auto"/>
              </w:rPr>
            </w:pPr>
          </w:p>
        </w:tc>
      </w:tr>
      <w:tr>
        <w:trPr>
          <w:trHeight w:val="173"/>
        </w:trPr>
        <w:tc>
          <w:tcPr>
            <w:tcW w:w="75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7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Options (1)</w:t>
            </w:r>
          </w:p>
        </w:tc>
        <w:tc>
          <w:tcPr>
            <w:tcW w:w="100" w:type="dxa"/>
            <w:vAlign w:val="bottom"/>
          </w:tcPr>
          <w:p>
            <w:pPr>
              <w:spacing w:after="0"/>
              <w:rPr>
                <w:sz w:val="15"/>
                <w:szCs w:val="15"/>
                <w:color w:val="auto"/>
              </w:rPr>
            </w:pPr>
          </w:p>
        </w:tc>
        <w:tc>
          <w:tcPr>
            <w:tcW w:w="17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Cedric Francois</w:t>
            </w:r>
          </w:p>
        </w:tc>
        <w:tc>
          <w:tcPr>
            <w:tcW w:w="17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130,662</w:t>
            </w:r>
          </w:p>
        </w:tc>
        <w:tc>
          <w:tcPr>
            <w:tcW w:w="18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130,662</w:t>
            </w:r>
          </w:p>
        </w:tc>
        <w:tc>
          <w:tcPr>
            <w:tcW w:w="0" w:type="dxa"/>
            <w:vAlign w:val="bottom"/>
          </w:tcPr>
          <w:p>
            <w:pPr>
              <w:spacing w:after="0"/>
              <w:rPr>
                <w:sz w:val="1"/>
                <w:szCs w:val="1"/>
                <w:color w:val="auto"/>
              </w:rPr>
            </w:pPr>
          </w:p>
        </w:tc>
      </w:tr>
      <w:tr>
        <w:trPr>
          <w:trHeight w:val="216"/>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Timothy Sullivan</w:t>
            </w:r>
          </w:p>
        </w:tc>
        <w:tc>
          <w:tcPr>
            <w:tcW w:w="174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45,929</w:t>
            </w:r>
          </w:p>
        </w:tc>
        <w:tc>
          <w:tcPr>
            <w:tcW w:w="18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45,929</w:t>
            </w:r>
          </w:p>
        </w:tc>
        <w:tc>
          <w:tcPr>
            <w:tcW w:w="0" w:type="dxa"/>
            <w:vAlign w:val="bottom"/>
          </w:tcPr>
          <w:p>
            <w:pPr>
              <w:spacing w:after="0"/>
              <w:rPr>
                <w:sz w:val="1"/>
                <w:szCs w:val="1"/>
                <w:color w:val="auto"/>
              </w:rPr>
            </w:pPr>
          </w:p>
        </w:tc>
      </w:tr>
      <w:tr>
        <w:trPr>
          <w:trHeight w:val="216"/>
        </w:trPr>
        <w:tc>
          <w:tcPr>
            <w:tcW w:w="7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Caroline Baumal</w:t>
            </w:r>
          </w:p>
        </w:tc>
        <w:tc>
          <w:tcPr>
            <w:tcW w:w="17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39,594</w:t>
            </w:r>
          </w:p>
        </w:tc>
        <w:tc>
          <w:tcPr>
            <w:tcW w:w="18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39,594</w:t>
            </w:r>
          </w:p>
        </w:tc>
        <w:tc>
          <w:tcPr>
            <w:tcW w:w="0" w:type="dxa"/>
            <w:vAlign w:val="bottom"/>
          </w:tcPr>
          <w:p>
            <w:pPr>
              <w:spacing w:after="0"/>
              <w:rPr>
                <w:sz w:val="1"/>
                <w:szCs w:val="1"/>
                <w:color w:val="auto"/>
              </w:rPr>
            </w:pPr>
          </w:p>
        </w:tc>
      </w:tr>
      <w:tr>
        <w:trPr>
          <w:trHeight w:val="216"/>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Adam Townsend (3)</w:t>
            </w:r>
          </w:p>
        </w:tc>
        <w:tc>
          <w:tcPr>
            <w:tcW w:w="1740" w:type="dxa"/>
            <w:vAlign w:val="bottom"/>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7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David Watson</w:t>
            </w:r>
          </w:p>
        </w:tc>
        <w:tc>
          <w:tcPr>
            <w:tcW w:w="17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42,762</w:t>
            </w:r>
          </w:p>
        </w:tc>
        <w:tc>
          <w:tcPr>
            <w:tcW w:w="18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42,762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85725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182" w:lineRule="exact"/>
        <w:rPr>
          <w:sz w:val="20"/>
          <w:szCs w:val="20"/>
          <w:color w:val="auto"/>
        </w:rPr>
      </w:pPr>
    </w:p>
    <w:p>
      <w:pPr>
        <w:ind w:left="520" w:right="140" w:hanging="512"/>
        <w:spacing w:after="0" w:line="281" w:lineRule="auto"/>
        <w:tabs>
          <w:tab w:leader="none" w:pos="52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target number of PSUs covering the entire 3-year period, which is divided equally among the three distinct performance periods. Subject to satisfaction of TSR performance conditions, 50%-200% of the PSUs attributable to each performance period vest on the anniversary of the grant date following the conclusion of each performance period.</w:t>
      </w:r>
    </w:p>
    <w:p>
      <w:pPr>
        <w:spacing w:after="0" w:line="69" w:lineRule="exact"/>
        <w:rPr>
          <w:rFonts w:ascii="Times New Roman" w:cs="Times New Roman" w:eastAsia="Times New Roman" w:hAnsi="Times New Roman"/>
          <w:sz w:val="16"/>
          <w:szCs w:val="16"/>
          <w:color w:val="auto"/>
        </w:rPr>
      </w:pPr>
    </w:p>
    <w:p>
      <w:pPr>
        <w:ind w:left="520" w:right="540" w:hanging="512"/>
        <w:spacing w:after="0" w:line="298" w:lineRule="auto"/>
        <w:tabs>
          <w:tab w:leader="none" w:pos="52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restricted stock units vest 25% of the shares on the first anniversary of the grant date and 25% on each anniversary of the grant date thereafter, subject to continued service.</w:t>
      </w:r>
    </w:p>
    <w:p>
      <w:pPr>
        <w:spacing w:after="0" w:line="56"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Townsend’s employment terminated on February 21, 2025 and he therefore did not receive a 2025 annual long-term incentive award.</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Separation Benefits Plan</w:t>
      </w:r>
    </w:p>
    <w:p>
      <w:pPr>
        <w:spacing w:after="0" w:line="239" w:lineRule="exact"/>
        <w:rPr>
          <w:sz w:val="20"/>
          <w:szCs w:val="20"/>
          <w:color w:val="auto"/>
        </w:rPr>
      </w:pPr>
    </w:p>
    <w:p>
      <w:pPr>
        <w:ind w:right="360"/>
        <w:spacing w:after="0" w:line="298" w:lineRule="auto"/>
        <w:rPr>
          <w:sz w:val="20"/>
          <w:szCs w:val="20"/>
          <w:color w:val="auto"/>
        </w:rPr>
      </w:pPr>
      <w:r>
        <w:rPr>
          <w:rFonts w:ascii="Times New Roman" w:cs="Times New Roman" w:eastAsia="Times New Roman" w:hAnsi="Times New Roman"/>
          <w:sz w:val="16"/>
          <w:szCs w:val="16"/>
          <w:color w:val="auto"/>
        </w:rPr>
        <w:t>On October 1, 2019, our board of directors adopted an Executive Separation Benefits and Retention Plan, or the Separation Benefits Plan. The Separation Benefits Plan applies to the Company’s Chief Executive Officer, Chief Financial Officer, Chief Medical Officer, Chief Operating Officer,</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37" w:name="page38"/>
    <w:bookmarkEnd w:id="37"/>
    <w:p>
      <w:pPr>
        <w:ind w:right="160"/>
        <w:spacing w:after="0" w:line="281" w:lineRule="auto"/>
        <w:rPr>
          <w:sz w:val="20"/>
          <w:szCs w:val="20"/>
          <w:color w:val="auto"/>
        </w:rPr>
      </w:pPr>
      <w:r>
        <w:rPr>
          <w:rFonts w:ascii="Times New Roman" w:cs="Times New Roman" w:eastAsia="Times New Roman" w:hAnsi="Times New Roman"/>
          <w:sz w:val="16"/>
          <w:szCs w:val="16"/>
          <w:color w:val="auto"/>
        </w:rPr>
        <w:t>General Counsel and certain other executive officers designated as such by the board of directors, collectively referred to as “C-level officers,” as well as certain other employees of the Company who hold a title of vice-president or higher, who, together with the C-Level Officers, are referred to as “covered employees.” All of our named executive officers are covered by the Separation Benefits Plan.</w:t>
      </w:r>
    </w:p>
    <w:p>
      <w:pPr>
        <w:spacing w:after="0" w:line="177" w:lineRule="exact"/>
        <w:rPr>
          <w:sz w:val="20"/>
          <w:szCs w:val="20"/>
          <w:color w:val="auto"/>
        </w:rPr>
      </w:pPr>
    </w:p>
    <w:p>
      <w:pPr>
        <w:ind w:right="220"/>
        <w:spacing w:after="0" w:line="272" w:lineRule="auto"/>
        <w:rPr>
          <w:sz w:val="20"/>
          <w:szCs w:val="20"/>
          <w:color w:val="auto"/>
        </w:rPr>
      </w:pPr>
      <w:r>
        <w:rPr>
          <w:rFonts w:ascii="Times New Roman" w:cs="Times New Roman" w:eastAsia="Times New Roman" w:hAnsi="Times New Roman"/>
          <w:sz w:val="16"/>
          <w:szCs w:val="16"/>
          <w:color w:val="auto"/>
        </w:rPr>
        <w:t>The Separation Benefits Plan provides for separation benefits for covered employees in the event of (i) a termination of employment by us other than for cause or (ii) a resignation for good reason upon a change in control or within 12 months following a change in control. Prior to the adoption of the Separation Benefits Plan, most of our executive officers did not have a severance arrangement. The Separation Benefits Plan was adopted in consultation with our outside compensation consultant, which provided data on severance practices among our peer group at the time of adoption, to more closely align our executives’ total compensation packages with market standards.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Not for Cause Termination Not Within Twelve Months of Change of Control</w:t>
      </w:r>
    </w:p>
    <w:p>
      <w:pPr>
        <w:spacing w:after="0" w:line="223" w:lineRule="exact"/>
        <w:rPr>
          <w:sz w:val="20"/>
          <w:szCs w:val="20"/>
          <w:color w:val="auto"/>
        </w:rPr>
      </w:pPr>
    </w:p>
    <w:p>
      <w:pPr>
        <w:ind w:right="240"/>
        <w:spacing w:after="0" w:line="298" w:lineRule="auto"/>
        <w:rPr>
          <w:sz w:val="20"/>
          <w:szCs w:val="20"/>
          <w:color w:val="auto"/>
        </w:rPr>
      </w:pPr>
      <w:r>
        <w:rPr>
          <w:rFonts w:ascii="Times New Roman" w:cs="Times New Roman" w:eastAsia="Times New Roman" w:hAnsi="Times New Roman"/>
          <w:sz w:val="16"/>
          <w:szCs w:val="16"/>
          <w:color w:val="auto"/>
        </w:rPr>
        <w:t>Under the terms of the Separation Benefits Plan, subject to the execution and effectiveness of a separation and release of claims agreement, if a covered employee’s employment is terminated by us other than for cause, which termination does not occur during the twelve-month period after a change of control, we will be obligated to:</w:t>
      </w:r>
    </w:p>
    <w:p>
      <w:pPr>
        <w:spacing w:after="0" w:line="56" w:lineRule="exact"/>
        <w:rPr>
          <w:sz w:val="20"/>
          <w:szCs w:val="20"/>
          <w:color w:val="auto"/>
        </w:rPr>
      </w:pPr>
    </w:p>
    <w:p>
      <w:pPr>
        <w:ind w:left="1020" w:right="220" w:hanging="503"/>
        <w:spacing w:after="0" w:line="298" w:lineRule="auto"/>
        <w:tabs>
          <w:tab w:leader="none" w:pos="102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continue to pay the covered employee’s base salary for a severance period of (i) 12 months, in the case of the Chief Executive Officer, (ii) nine months, in the case of the other C-level officers, or (iii) 26 weeks, in the case of other covered employees; and</w:t>
      </w:r>
    </w:p>
    <w:p>
      <w:pPr>
        <w:spacing w:after="0" w:line="56" w:lineRule="exact"/>
        <w:rPr>
          <w:rFonts w:ascii="Times New Roman" w:cs="Times New Roman" w:eastAsia="Times New Roman" w:hAnsi="Times New Roman"/>
          <w:sz w:val="16"/>
          <w:szCs w:val="16"/>
          <w:color w:val="auto"/>
        </w:rPr>
      </w:pPr>
    </w:p>
    <w:p>
      <w:pPr>
        <w:ind w:left="1020" w:right="180" w:hanging="503"/>
        <w:spacing w:after="0" w:line="275" w:lineRule="auto"/>
        <w:tabs>
          <w:tab w:leader="none" w:pos="102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provided that the covered employee is eligible for and elects to continue receiving medical insurance pursuant to COBRA, pay on such person’s behalf the share of the monthly premiums for such coverage that it pays for active and similarly situated employees receiving the same type of coverage during the severance period; provided, however, that in the event the covered employee becomes eligible during the severance period for group health insurance coverage through another employer, our obligation to make monthly premium payments shall end when the new employment begins.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Not for Cause Termination or Good Reason Resignation Within Twelve Months of Change of Control</w:t>
      </w:r>
    </w:p>
    <w:p>
      <w:pPr>
        <w:spacing w:after="0" w:line="223"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6"/>
          <w:szCs w:val="16"/>
          <w:color w:val="auto"/>
        </w:rPr>
        <w:t>Under the terms of the Separation Benefits Plan, subject to the execution and effectiveness of a severance and release of claims agreement, if, during the twelve-month period after a change of control, a covered employee’s employment is terminated by us other than for cause, or the covered employee resigns for good reason, we will be obligated to:</w:t>
      </w:r>
    </w:p>
    <w:p>
      <w:pPr>
        <w:spacing w:after="0" w:line="69" w:lineRule="exact"/>
        <w:rPr>
          <w:sz w:val="20"/>
          <w:szCs w:val="20"/>
          <w:color w:val="auto"/>
        </w:rPr>
      </w:pPr>
    </w:p>
    <w:p>
      <w:pPr>
        <w:ind w:left="1020" w:right="460" w:hanging="503"/>
        <w:spacing w:after="0" w:line="298" w:lineRule="auto"/>
        <w:tabs>
          <w:tab w:leader="none" w:pos="10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 a lump sum equal to the covered employee’s base salary for a severance period of (i) 18 months, in the case of the Chief Executive Officer, (ii) 12 months, in the case of the other C-level officers, or (iii) 26 weeks, in the case of other covered employees;</w:t>
      </w:r>
    </w:p>
    <w:p>
      <w:pPr>
        <w:spacing w:after="0" w:line="56" w:lineRule="exact"/>
        <w:rPr>
          <w:rFonts w:ascii="Times New Roman" w:cs="Times New Roman" w:eastAsia="Times New Roman" w:hAnsi="Times New Roman"/>
          <w:sz w:val="16"/>
          <w:szCs w:val="16"/>
          <w:color w:val="auto"/>
        </w:rPr>
      </w:pPr>
    </w:p>
    <w:p>
      <w:pPr>
        <w:jc w:val="both"/>
        <w:ind w:left="1020" w:right="20" w:hanging="503"/>
        <w:spacing w:after="0" w:line="281" w:lineRule="auto"/>
        <w:tabs>
          <w:tab w:leader="none" w:pos="10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 to C-level officers a lump sum equal (i) to 150%, in the case of the Chief Executive Officer, or (ii) 100%, in the case of other C-level officers, of such C-level officers’ target bonus award for the year in which the termination of employment occurs, without regard to whether the performance goals applicable to such target bonus had been established or satisfied at the date of termination;</w:t>
      </w:r>
    </w:p>
    <w:p>
      <w:pPr>
        <w:spacing w:after="0" w:line="69" w:lineRule="exact"/>
        <w:rPr>
          <w:rFonts w:ascii="Times New Roman" w:cs="Times New Roman" w:eastAsia="Times New Roman" w:hAnsi="Times New Roman"/>
          <w:sz w:val="16"/>
          <w:szCs w:val="16"/>
          <w:color w:val="auto"/>
        </w:rPr>
      </w:pPr>
    </w:p>
    <w:p>
      <w:pPr>
        <w:ind w:left="1020" w:right="120" w:hanging="503"/>
        <w:spacing w:after="0" w:line="275" w:lineRule="auto"/>
        <w:tabs>
          <w:tab w:leader="none" w:pos="10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provided that the covered employee is eligible for and elects to continue receiving medical insurance pursuant to COBRA, pay on such covered employee’s behalf the share of the monthly premiums for such coverage that it pays for active and similarly situated employees receiving the same type of coverage during the severance period; provided, however, that in the event the covered employee becomes eligible during the severance period for group health insurance coverage through another employer, our obligation to make monthly premium payments shall end when the new employment begins;</w:t>
      </w:r>
    </w:p>
    <w:p>
      <w:pPr>
        <w:spacing w:after="0" w:line="74"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arrange and pay for reasonable outplacement services for the covered employee; and</w:t>
      </w:r>
    </w:p>
    <w:p>
      <w:pPr>
        <w:spacing w:after="0" w:line="126" w:lineRule="exact"/>
        <w:rPr>
          <w:rFonts w:ascii="Times New Roman" w:cs="Times New Roman" w:eastAsia="Times New Roman" w:hAnsi="Times New Roman"/>
          <w:sz w:val="16"/>
          <w:szCs w:val="16"/>
          <w:color w:val="auto"/>
        </w:rPr>
      </w:pPr>
    </w:p>
    <w:p>
      <w:pPr>
        <w:ind w:left="1020" w:right="300" w:hanging="503"/>
        <w:spacing w:after="0" w:line="281" w:lineRule="auto"/>
        <w:tabs>
          <w:tab w:leader="none" w:pos="10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accelerate the vesting of all equity awards, other than terms more favorable to the covered employee, effective as of the date of termination, held by such covered employee at the date of termination (other than equity awards that vest on the basis of performance and do not provide solely for time-based vesting), such that such equity awards shall become 100% vested.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Benefits and Other Compensation</w:t>
      </w:r>
    </w:p>
    <w:p>
      <w:pPr>
        <w:spacing w:after="0" w:line="23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Other compensation to our executive officers consists primarily of the broad-based benefits we provide to all full-time employees in the United States, including medical, dental and vision insurance, group life and disability insurance, an employee stock purchase plan and a 401(k) plan. Pursuant to our employee stock purchase plan, employees, including our named executive officers, have an opportunity to purchase our common stock at a discount on a tax-qualified basis through payroll deductions. The employee stock purchase plan is designed to qualify as an “employee stock purchase plan” under Section 423 of the Internal Revenue Code. The purpose of the employee stock purchase plan is to encourage our employees, including our named executive officers, to become our stockholders and better align their interests with those of our other stockholders. Pursuant to our 401(k) plan, employees, including our named executive officers, may elect to defer a portion of their current compensation up to the statutorily prescribed annual limit (which was $23,000 in 2024), with additional salary deferrals not to exceed $30,500 available to those employees 50 years of age or older, and to have the amount of this deferral contributed to our 401(k) plan. We make discretionary matching contributions and other employer contributions on behalf of eligible employees under our 401(k) plan. For the fiscal year ended December 31, 2024, we matched a portion of eligible employee contributions equal to 50% of the first 10% of eligible contributions pursuant to our 401(k) plan’s matching formula.</w:t>
      </w:r>
    </w:p>
    <w:p>
      <w:pPr>
        <w:spacing w:after="0" w:line="194" w:lineRule="exact"/>
        <w:rPr>
          <w:sz w:val="20"/>
          <w:szCs w:val="20"/>
          <w:color w:val="auto"/>
        </w:rPr>
      </w:pPr>
    </w:p>
    <w:p>
      <w:pPr>
        <w:ind w:right="560"/>
        <w:spacing w:after="0" w:line="298" w:lineRule="auto"/>
        <w:rPr>
          <w:sz w:val="20"/>
          <w:szCs w:val="20"/>
          <w:color w:val="auto"/>
        </w:rPr>
      </w:pPr>
      <w:r>
        <w:rPr>
          <w:rFonts w:ascii="Times New Roman" w:cs="Times New Roman" w:eastAsia="Times New Roman" w:hAnsi="Times New Roman"/>
          <w:sz w:val="16"/>
          <w:szCs w:val="16"/>
          <w:color w:val="auto"/>
        </w:rPr>
        <w:t>Currently, we do not view perquisites or other personal benefits as a significant component of our executive compensation program. Accordingly, we do not provide perquisites to our named executive officers, except in situations where we believe it is appropriate to assist an individual in the</w:t>
      </w:r>
    </w:p>
    <w:p>
      <w:pPr>
        <w:spacing w:after="0" w:line="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38" w:name="page39"/>
    <w:bookmarkEnd w:id="38"/>
    <w:p>
      <w:pPr>
        <w:ind w:right="20"/>
        <w:spacing w:after="0" w:line="281" w:lineRule="auto"/>
        <w:rPr>
          <w:sz w:val="20"/>
          <w:szCs w:val="20"/>
          <w:color w:val="auto"/>
        </w:rPr>
      </w:pPr>
      <w:r>
        <w:rPr>
          <w:rFonts w:ascii="Times New Roman" w:cs="Times New Roman" w:eastAsia="Times New Roman" w:hAnsi="Times New Roman"/>
          <w:sz w:val="16"/>
          <w:szCs w:val="16"/>
          <w:color w:val="auto"/>
        </w:rPr>
        <w:t>performance of his or her duties, to make him or her more efficient and effective, and for recruitment and retention purposes. None of our named executive officers received perquisites or other personal benefits with an aggregate value of $10,000 or more in 2024. All future practices with respect to perquisites or other personal benefits will be approved and subject to periodic review by our compensation committee.</w:t>
      </w:r>
    </w:p>
    <w:p>
      <w:pPr>
        <w:spacing w:after="0" w:line="177" w:lineRule="exact"/>
        <w:rPr>
          <w:sz w:val="20"/>
          <w:szCs w:val="20"/>
          <w:color w:val="auto"/>
        </w:rPr>
      </w:pPr>
    </w:p>
    <w:p>
      <w:pPr>
        <w:ind w:right="160"/>
        <w:spacing w:after="0" w:line="298" w:lineRule="auto"/>
        <w:rPr>
          <w:sz w:val="20"/>
          <w:szCs w:val="20"/>
          <w:color w:val="auto"/>
        </w:rPr>
      </w:pPr>
      <w:r>
        <w:rPr>
          <w:rFonts w:ascii="Times New Roman" w:cs="Times New Roman" w:eastAsia="Times New Roman" w:hAnsi="Times New Roman"/>
          <w:sz w:val="16"/>
          <w:szCs w:val="16"/>
          <w:color w:val="auto"/>
        </w:rPr>
        <w:t>Certain executive officers, other than the named executive officers, may be entitled to certain severance and/or change in control protections pursuant to their employment agreements.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do not offer any defined benefit pension plans or nonqualified deferred compensation arrangements for our employees.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Stock Ownership Policy</w:t>
      </w:r>
    </w:p>
    <w:p>
      <w:pPr>
        <w:spacing w:after="0" w:line="225"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16"/>
          <w:szCs w:val="16"/>
          <w:color w:val="auto"/>
        </w:rPr>
        <w:t>In September 2022, our board of directors established equity ownership guidelines for our directors and executive officers to further align the interests of our board of directors and executive officers with those of our stockholders. The equity ownership guidelines are as follows: our chief executive officer must own shares worth at least six times his or her base salary; our other executive officers must own shares worth at least one to three times his or her base salary depending on their title; and our non-employee directors must own shares worth at least three times the annual cash retainer. Our chief executive officer, other executive officers and non-employee directors have five years from first being subject to these guidelines to satisfy the applicable ownership threshold. We assess stock ownership levels under the policy on an annual basis. At the time of implementation of our stock ownership policy and as of December 31, 2024, all of our directors and executive officers met the criteria set forth in the guidelines.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Recoupment Policy</w:t>
      </w:r>
    </w:p>
    <w:p>
      <w:pPr>
        <w:spacing w:after="0" w:line="22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6"/>
          <w:szCs w:val="16"/>
          <w:color w:val="auto"/>
        </w:rPr>
        <w:t>In December 2023, we adopted a recoupment policy to implement the requirements of the final rule adopted by the SEC to implement the applicable provisions of the Dodd-Frank Wall Street Reform and Consumer Protection Act relating to recoupment of erroneously awarded incentive-based compensation and amended the recoupment policy that we adopted in September 2022. Under these recoupment policies, in the event that we are required to prepare an accounting restatement due to material non-compliance with financial reporting requirements, we will make a reasonable attempt to recover from our current or former executive officers the amount of incentive-based compensation paid to the executive officer during the three-year period preceding the date on which we are required to prepare an accounting restatement. Any such amount will not be greater than the excess of what would have been paid to the covered person based on the restated data. In addition, if our board of directors, in its sole discretion, determined that a covered person’s acts or omissions that contributed to the circumstances requiring an accounting restatement involved either (i) intentional misconduct or an intentional violation of any applicable rules or laws or (ii) fraud, then in each such case, we will use reasonable efforts to recover from such covered person up to 100% (as determined by our board of directors in its sole discretion) of the incentive-based compensation, and not just the excess of what would have been paid to the covered person. Further, if such conduct described in the prior sentence results in serious financial or reputation damage to the company and regardless of whether we were required to prepare an accounting restatement on account of such activity, then we will use reasonable efforts to recover from such covered person up to 100% (as determined by our board of directors in its sole discretion) of the incentive-based compensation from the company during the three-year period preceding the relevant activity.</w:t>
      </w:r>
    </w:p>
    <w:p>
      <w:pPr>
        <w:spacing w:after="0" w:line="176"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6"/>
          <w:szCs w:val="16"/>
          <w:color w:val="auto"/>
        </w:rPr>
        <w:t>For purposes of the recoupment policies, incentive-based compensation includes cash bonuses, stock options and other awards under our long-term incentive plans awarded to a covered person as compensation. To the extent the applicable law or rules require recovery of incentive-based compensation in additional circumstances besides those specified in the policies, our right or obligation to recover incentive-based compensation is not limited or restricted.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Insider Trading Policy</w:t>
      </w:r>
    </w:p>
    <w:p>
      <w:pPr>
        <w:spacing w:after="0" w:line="225"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6"/>
          <w:szCs w:val="16"/>
          <w:color w:val="auto"/>
        </w:rPr>
        <w:t>Our insider trading policy expressly prohibits short sales and derivative transactions of our stock by our named executive officers, directors and specified other employees, including short sales “against the box”; purchases or sales of puts, calls or other derivative securities based on the Company’s securities; and purchases of financial instruments that are designed to hedge or offset any decrease in the market value of Company securities. In addition, our insider trading policy prohibits our named executive officers, directors and specified other employees from purchasing our securities on margin, borrowing against company securities held in a margin account, or pledging our securities as collateral for a loan, although the Audit Committee may grant an exception where an executive officer or director wishes to pledge Company securities as part of the collateral for a loan and clearly demonstrates the financial capacity to repay the loan without resort to the pledged securities.</w:t>
      </w:r>
    </w:p>
    <w:p>
      <w:pPr>
        <w:spacing w:after="0" w:line="171" w:lineRule="exact"/>
        <w:rPr>
          <w:sz w:val="20"/>
          <w:szCs w:val="20"/>
          <w:color w:val="auto"/>
        </w:rPr>
      </w:pPr>
    </w:p>
    <w:p>
      <w:pPr>
        <w:ind w:right="280"/>
        <w:spacing w:after="0" w:line="298" w:lineRule="auto"/>
        <w:rPr>
          <w:sz w:val="20"/>
          <w:szCs w:val="20"/>
          <w:color w:val="auto"/>
        </w:rPr>
      </w:pPr>
      <w:r>
        <w:rPr>
          <w:rFonts w:ascii="Times New Roman" w:cs="Times New Roman" w:eastAsia="Times New Roman" w:hAnsi="Times New Roman"/>
          <w:sz w:val="16"/>
          <w:szCs w:val="16"/>
          <w:color w:val="auto"/>
        </w:rPr>
        <w:t>In 2024, the Audit Committee permitted Mr. Machiels to pledge Company securities as part of a pledge of a larger portfolio of securities in exchange for an extension of credit.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Tax and Accounting Considerations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Deductibility of Executive Compensation</w:t>
      </w:r>
    </w:p>
    <w:p>
      <w:pPr>
        <w:spacing w:after="0" w:line="225"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6"/>
          <w:szCs w:val="16"/>
          <w:color w:val="auto"/>
        </w:rPr>
        <w:t>We are generally entitled to a U.S. federal income tax deduction with respect to compensation income paid to our service providers, subject to a limitation under Section 162(m) of the Internal Revenue Code of 1986, as amended, with respect to compensation in excess of $1 million paid in any one year to each of certain of the company’s current and former executive officers. While the board and compensation committee generally consider the tax implications to its executive officers of its executive compensation decisions, such implications did not have a material consideration in the compensation awarded to our named executive officers in 2024.</w:t>
      </w: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7"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b w:val="1"/>
          <w:bCs w:val="1"/>
          <w:i w:val="1"/>
          <w:iCs w:val="1"/>
          <w:color w:val="auto"/>
        </w:rPr>
        <w:t>Taxation of “Parachute” Payment</w:t>
      </w:r>
      <w:r>
        <w:rPr>
          <w:rFonts w:ascii="Times New Roman" w:cs="Times New Roman" w:eastAsia="Times New Roman" w:hAnsi="Times New Roman"/>
          <w:sz w:val="17"/>
          <w:szCs w:val="17"/>
          <w:b w:val="1"/>
          <w:bCs w:val="1"/>
          <w:i w:val="1"/>
          <w:iCs w:val="1"/>
          <w:color w:val="auto"/>
        </w:rPr>
        <w:t>s</w:t>
      </w:r>
    </w:p>
    <w:p>
      <w:pPr>
        <w:spacing w:after="0" w:line="232"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6"/>
          <w:szCs w:val="16"/>
          <w:color w:val="auto"/>
        </w:rPr>
        <w:t>Sections 280G and 4999 of the Internal Revenue Code provide that officers and directors who hold significant equity interests and certain other service providers may be subject to significant additional taxes if they receive payments or benefits in connection with a change in control of the Company that exceeds certain prescribed limits, and that the Company (or a successor) may forfeit a deduction on the amounts subject to this additional tax. We have not agreed to provide any executive officer, including any named executive officers, with a “gross-up” or other reimbursement payment for any tax liability that the executive officer might owe as a result of the application of Sections 280G or 4999 of the Internal Revenue Code.</w:t>
      </w: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Accounting for Stock-Based Compensation Awards</w:t>
      </w:r>
    </w:p>
    <w:p>
      <w:pPr>
        <w:spacing w:after="0" w:line="225"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6"/>
          <w:szCs w:val="16"/>
          <w:color w:val="auto"/>
        </w:rPr>
        <w:t>We follow FASB ASC 718 for our stock-based compensation awards. FASB ASC Topic 718 requires us to measure the compensation expense for all share-based payment awards made to our employees and non-employee members of our board of directors, including options to purchase shares of our common stock and other stock awards, based on the grant date “fair value” of these awards. This calculation is performed for accounting purposes and reported in the executive compensation tables required by the federal securities laws, even though the recipient of the awards may never realize any value from their awards.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Compensation Risk Assessment</w:t>
      </w:r>
    </w:p>
    <w:p>
      <w:pPr>
        <w:spacing w:after="0" w:line="223"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6"/>
          <w:szCs w:val="16"/>
          <w:color w:val="auto"/>
        </w:rPr>
        <w:t>We believe that our executive compensation program does not encourage excessive or unnecessary risk taking. As described more fully above, we structure our pay to consist of both fixed and variable compensation, particularly in connection with our pay-for-performance compensation philosophy. We believe this structure motivates our executive officers to produce superior short- and long-term results that are in the best interests of our company and stockholders in order to attain our ultimate objective of increasing stockholder value. We have established, and our compensation committee endorses, these structures in order to address and mitigate compensation related risk. As a result, we do not believe that our compensation programs are reasonably likely to have a material adverse effect on us.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Compensation Committee Report</w:t>
      </w:r>
    </w:p>
    <w:p>
      <w:pPr>
        <w:spacing w:after="0" w:line="223" w:lineRule="exact"/>
        <w:rPr>
          <w:sz w:val="20"/>
          <w:szCs w:val="20"/>
          <w:color w:val="auto"/>
        </w:rPr>
      </w:pPr>
    </w:p>
    <w:p>
      <w:pPr>
        <w:jc w:val="both"/>
        <w:ind w:right="120"/>
        <w:spacing w:after="0" w:line="281" w:lineRule="auto"/>
        <w:rPr>
          <w:sz w:val="20"/>
          <w:szCs w:val="20"/>
          <w:color w:val="auto"/>
        </w:rPr>
      </w:pPr>
      <w:r>
        <w:rPr>
          <w:rFonts w:ascii="Times New Roman" w:cs="Times New Roman" w:eastAsia="Times New Roman" w:hAnsi="Times New Roman"/>
          <w:sz w:val="16"/>
          <w:szCs w:val="16"/>
          <w:color w:val="auto"/>
        </w:rPr>
        <w:t>The compensation committee has reviewed and discussed the Compensation Discussion and Analysis required by Item 402(b) of Regulation S-K with management. Based on this review and discussion, the compensation committee recommended to the Company’s board of directors that the Compensation Discussion and Analysis be included in this proxy statement.</w:t>
      </w:r>
    </w:p>
    <w:p>
      <w:pPr>
        <w:spacing w:after="0" w:line="164"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6"/>
          <w:szCs w:val="16"/>
          <w:color w:val="auto"/>
        </w:rPr>
        <w:t>This report of the compensation committee is not “soliciting material,” shall not be deemed “filed” with the SEC and shall not be incorporated by reference by any general statement incorporating by reference this proxy statement into any filing under the Securities Act of 1933, as amended, or the Securities Exchange Act of 1934, as amended, whether made before or after the date hereof and irrespective of any general incorporation language in any such filing, except to the extent that we specifically incorporate this information by reference, and shall not otherwise be deemed filed under such acts.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foregoing report has been furnished by the compensation committee.</w:t>
      </w:r>
    </w:p>
    <w:p>
      <w:pPr>
        <w:spacing w:after="0" w:line="3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6"/>
          <w:szCs w:val="16"/>
          <w:color w:val="auto"/>
        </w:rPr>
        <w:t>THE COMPENSATION COMMITTEE OF THE</w:t>
      </w:r>
    </w:p>
    <w:p>
      <w:pPr>
        <w:spacing w:after="0" w:line="2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6"/>
          <w:szCs w:val="16"/>
          <w:color w:val="auto"/>
        </w:rPr>
        <w:t>BOARD OF DIRECTORS OF APELLIS</w:t>
      </w:r>
    </w:p>
    <w:p>
      <w:pPr>
        <w:spacing w:after="0" w:line="1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6"/>
          <w:szCs w:val="16"/>
          <w:color w:val="auto"/>
        </w:rPr>
        <w:t>PHARMACEUTICALS, INC.</w:t>
      </w:r>
    </w:p>
    <w:p>
      <w:pPr>
        <w:spacing w:after="0" w:line="2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6"/>
          <w:szCs w:val="16"/>
          <w:color w:val="auto"/>
        </w:rPr>
        <w:t>Stephanie Monaghan O’Brien, Chair</w:t>
      </w:r>
    </w:p>
    <w:p>
      <w:pPr>
        <w:spacing w:after="0" w:line="2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6"/>
          <w:szCs w:val="16"/>
          <w:color w:val="auto"/>
        </w:rPr>
        <w:t>Alec Machiels</w:t>
      </w:r>
    </w:p>
    <w:p>
      <w:pPr>
        <w:spacing w:after="0" w:line="1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6"/>
          <w:szCs w:val="16"/>
          <w:color w:val="auto"/>
        </w:rPr>
        <w:t>Paul Fonteyne</w:t>
      </w:r>
    </w:p>
    <w:p>
      <w:pPr>
        <w:spacing w:after="0" w:line="1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6"/>
          <w:szCs w:val="16"/>
          <w:color w:val="auto"/>
        </w:rPr>
        <w:t>Keli Walbert</w:t>
      </w:r>
    </w:p>
    <w:p>
      <w:pPr>
        <w:spacing w:after="0" w:line="2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6"/>
          <w:szCs w:val="16"/>
          <w:color w:val="auto"/>
        </w:rPr>
        <w:t>April 23, 2025</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40" w:name="page41"/>
    <w:bookmarkEnd w:id="40"/>
    <w:p>
      <w:pPr>
        <w:ind w:left="1980"/>
        <w:spacing w:after="0"/>
        <w:rPr>
          <w:sz w:val="20"/>
          <w:szCs w:val="20"/>
          <w:color w:val="auto"/>
        </w:rPr>
      </w:pPr>
      <w:r>
        <w:rPr>
          <w:rFonts w:ascii="Times New Roman" w:cs="Times New Roman" w:eastAsia="Times New Roman" w:hAnsi="Times New Roman"/>
          <w:sz w:val="22"/>
          <w:szCs w:val="22"/>
          <w:b w:val="1"/>
          <w:bCs w:val="1"/>
          <w:color w:val="auto"/>
        </w:rPr>
        <w:t>FURTHER INFORMATION REGARDING EXECUTIVE COMPENSATION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Compensation Table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information regarding compensation earned by our named executive officers for the fiscal years ended December 31, 2024, 2023 and 2022.</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3"/>
                <w:szCs w:val="13"/>
                <w:color w:val="auto"/>
              </w:rPr>
            </w:pPr>
          </w:p>
        </w:tc>
        <w:tc>
          <w:tcPr>
            <w:tcW w:w="98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22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260" w:type="dxa"/>
            <w:vAlign w:val="bottom"/>
          </w:tcPr>
          <w:p>
            <w:pPr>
              <w:spacing w:after="0"/>
              <w:rPr>
                <w:sz w:val="12"/>
                <w:szCs w:val="12"/>
                <w:color w:val="auto"/>
              </w:rPr>
            </w:pPr>
          </w:p>
        </w:tc>
        <w:tc>
          <w:tcPr>
            <w:tcW w:w="10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Bonus</w:t>
            </w:r>
          </w:p>
        </w:tc>
        <w:tc>
          <w:tcPr>
            <w:tcW w:w="2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w:t>
            </w:r>
          </w:p>
        </w:tc>
        <w:tc>
          <w:tcPr>
            <w:tcW w:w="220" w:type="dxa"/>
            <w:vAlign w:val="bottom"/>
          </w:tcPr>
          <w:p>
            <w:pPr>
              <w:spacing w:after="0"/>
              <w:rPr>
                <w:sz w:val="12"/>
                <w:szCs w:val="12"/>
                <w:color w:val="auto"/>
              </w:rPr>
            </w:pPr>
          </w:p>
        </w:tc>
        <w:tc>
          <w:tcPr>
            <w:tcW w:w="11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20" w:type="dxa"/>
            <w:vAlign w:val="bottom"/>
          </w:tcPr>
          <w:p>
            <w:pPr>
              <w:spacing w:after="0"/>
              <w:rPr>
                <w:sz w:val="12"/>
                <w:szCs w:val="12"/>
                <w:color w:val="auto"/>
              </w:rPr>
            </w:pPr>
          </w:p>
        </w:tc>
        <w:tc>
          <w:tcPr>
            <w:tcW w:w="68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2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2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w:t>
            </w:r>
          </w:p>
        </w:tc>
        <w:tc>
          <w:tcPr>
            <w:tcW w:w="2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0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14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 (1)</w:t>
            </w:r>
          </w:p>
        </w:tc>
        <w:tc>
          <w:tcPr>
            <w:tcW w:w="134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 (2)</w:t>
            </w:r>
          </w:p>
        </w:tc>
        <w:tc>
          <w:tcPr>
            <w:tcW w:w="120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 (3)</w:t>
            </w:r>
          </w:p>
        </w:tc>
        <w:tc>
          <w:tcPr>
            <w:tcW w:w="1120" w:type="dxa"/>
            <w:vAlign w:val="bottom"/>
            <w:gridSpan w:val="2"/>
          </w:tcPr>
          <w:p>
            <w:pPr>
              <w:jc w:val="center"/>
              <w:ind w:left="131"/>
              <w:spacing w:after="0"/>
              <w:rPr>
                <w:sz w:val="20"/>
                <w:szCs w:val="20"/>
                <w:color w:val="auto"/>
              </w:rPr>
            </w:pPr>
            <w:r>
              <w:rPr>
                <w:rFonts w:ascii="Times New Roman" w:cs="Times New Roman" w:eastAsia="Times New Roman" w:hAnsi="Times New Roman"/>
                <w:sz w:val="14"/>
                <w:szCs w:val="14"/>
                <w:b w:val="1"/>
                <w:bCs w:val="1"/>
                <w:color w:val="auto"/>
              </w:rPr>
              <w:t>($) (4)</w:t>
            </w:r>
          </w:p>
        </w:tc>
        <w:tc>
          <w:tcPr>
            <w:tcW w:w="1220" w:type="dxa"/>
            <w:vAlign w:val="bottom"/>
            <w:gridSpan w:val="2"/>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040" w:type="dxa"/>
            <w:vAlign w:val="bottom"/>
            <w:tcBorders>
              <w:top w:val="single" w:sz="8" w:color="auto"/>
            </w:tcBorders>
            <w:gridSpan w:val="2"/>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Cedric Francois, M.D., Ph.D.(5)</w:t>
            </w:r>
          </w:p>
        </w:tc>
        <w:tc>
          <w:tcPr>
            <w:tcW w:w="120" w:type="dxa"/>
            <w:vAlign w:val="bottom"/>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8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0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President &amp; Chief Executive Officer</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140" w:type="dxa"/>
            <w:vAlign w:val="bottom"/>
            <w:gridSpan w:val="2"/>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w w:val="95"/>
              </w:rPr>
              <w:t>793,193</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580,736</w:t>
            </w:r>
          </w:p>
        </w:tc>
        <w:tc>
          <w:tcPr>
            <w:tcW w:w="1340" w:type="dxa"/>
            <w:vAlign w:val="bottom"/>
            <w:gridSpan w:val="2"/>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w w:val="99"/>
              </w:rPr>
              <w:t>4,779,832</w:t>
            </w:r>
          </w:p>
        </w:tc>
        <w:tc>
          <w:tcPr>
            <w:tcW w:w="120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7"/>
              </w:rPr>
              <w:t>4,787,768</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15,922</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10,957,451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140" w:type="dxa"/>
            <w:vAlign w:val="bottom"/>
            <w:gridSpan w:val="2"/>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w w:val="95"/>
              </w:rPr>
              <w:t>734,539</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694,688</w:t>
            </w:r>
          </w:p>
        </w:tc>
        <w:tc>
          <w:tcPr>
            <w:tcW w:w="1340" w:type="dxa"/>
            <w:vAlign w:val="bottom"/>
            <w:gridSpan w:val="2"/>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w w:val="99"/>
              </w:rPr>
              <w:t>4,394,319</w:t>
            </w:r>
          </w:p>
        </w:tc>
        <w:tc>
          <w:tcPr>
            <w:tcW w:w="120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7"/>
              </w:rPr>
              <w:t>4,542,373</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7,130</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10,373,049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140" w:type="dxa"/>
            <w:vAlign w:val="bottom"/>
            <w:gridSpan w:val="2"/>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w w:val="95"/>
              </w:rPr>
              <w:t>680,827</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512,380</w:t>
            </w:r>
          </w:p>
        </w:tc>
        <w:tc>
          <w:tcPr>
            <w:tcW w:w="1340" w:type="dxa"/>
            <w:vAlign w:val="bottom"/>
            <w:gridSpan w:val="2"/>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w w:val="99"/>
              </w:rPr>
              <w:t>4,260,590</w:t>
            </w:r>
          </w:p>
        </w:tc>
        <w:tc>
          <w:tcPr>
            <w:tcW w:w="120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7"/>
              </w:rPr>
              <w:t>3,744,353</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5,406</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9,203,556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040" w:type="dxa"/>
            <w:vAlign w:val="bottom"/>
            <w:gridSpan w:val="2"/>
          </w:tcPr>
          <w:p>
            <w:pPr>
              <w:ind w:left="20"/>
              <w:spacing w:after="0" w:line="195" w:lineRule="exact"/>
              <w:rPr>
                <w:sz w:val="20"/>
                <w:szCs w:val="20"/>
                <w:color w:val="auto"/>
              </w:rPr>
            </w:pPr>
            <w:r>
              <w:rPr>
                <w:rFonts w:ascii="Times New Roman" w:cs="Times New Roman" w:eastAsia="Times New Roman" w:hAnsi="Times New Roman"/>
                <w:sz w:val="18"/>
                <w:szCs w:val="18"/>
                <w:color w:val="auto"/>
              </w:rPr>
              <w:t>Timothy Sullivan</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1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w w:val="95"/>
              </w:rPr>
              <w:t>530,963</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242,730</w:t>
            </w:r>
          </w:p>
        </w:tc>
        <w:tc>
          <w:tcPr>
            <w:tcW w:w="13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w w:val="99"/>
              </w:rPr>
              <w:t>1,574,492</w:t>
            </w:r>
          </w:p>
        </w:tc>
        <w:tc>
          <w:tcPr>
            <w:tcW w:w="12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w w:val="97"/>
              </w:rPr>
              <w:t>1,577,122</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23,768</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3,949,075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1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w w:val="95"/>
              </w:rPr>
              <w:t>496,654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281,250</w:t>
            </w:r>
          </w:p>
        </w:tc>
        <w:tc>
          <w:tcPr>
            <w:tcW w:w="13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w w:val="99"/>
              </w:rPr>
              <w:t>1,447,518</w:t>
            </w:r>
          </w:p>
        </w:tc>
        <w:tc>
          <w:tcPr>
            <w:tcW w:w="12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w w:val="97"/>
              </w:rPr>
              <w:t>1,496,291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15,522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3,737,235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1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w w:val="95"/>
              </w:rPr>
              <w:t>469,093</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233,145</w:t>
            </w:r>
          </w:p>
        </w:tc>
        <w:tc>
          <w:tcPr>
            <w:tcW w:w="13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w w:val="99"/>
              </w:rPr>
              <w:t>1,505,986</w:t>
            </w:r>
          </w:p>
        </w:tc>
        <w:tc>
          <w:tcPr>
            <w:tcW w:w="12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w w:val="97"/>
              </w:rPr>
              <w:t>1,323,752</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14,172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3,546,148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040" w:type="dxa"/>
            <w:vAlign w:val="bottom"/>
            <w:gridSpan w:val="2"/>
            <w:shd w:val="clear" w:color="auto" w:fill="CFF0FC"/>
          </w:tcPr>
          <w:p>
            <w:pPr>
              <w:ind w:left="20"/>
              <w:spacing w:after="0" w:line="195" w:lineRule="exact"/>
              <w:rPr>
                <w:sz w:val="20"/>
                <w:szCs w:val="20"/>
                <w:color w:val="auto"/>
              </w:rPr>
            </w:pPr>
            <w:r>
              <w:rPr>
                <w:rFonts w:ascii="Times New Roman" w:cs="Times New Roman" w:eastAsia="Times New Roman" w:hAnsi="Times New Roman"/>
                <w:sz w:val="18"/>
                <w:szCs w:val="18"/>
                <w:color w:val="auto"/>
              </w:rPr>
              <w:t>Caroline Baumal, M.D. (6)</w:t>
            </w: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0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Chief Medical Officer</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140" w:type="dxa"/>
            <w:vAlign w:val="bottom"/>
            <w:gridSpan w:val="2"/>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w w:val="95"/>
              </w:rPr>
              <w:t>610,386</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279,026</w:t>
            </w:r>
          </w:p>
        </w:tc>
        <w:tc>
          <w:tcPr>
            <w:tcW w:w="1340" w:type="dxa"/>
            <w:vAlign w:val="bottom"/>
            <w:gridSpan w:val="2"/>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w w:val="99"/>
              </w:rPr>
              <w:t>1,687,004</w:t>
            </w:r>
          </w:p>
        </w:tc>
        <w:tc>
          <w:tcPr>
            <w:tcW w:w="120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7"/>
              </w:rPr>
              <w:t>1,689,790</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140,922</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4,407,128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140" w:type="dxa"/>
            <w:vAlign w:val="bottom"/>
            <w:gridSpan w:val="2"/>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w w:val="95"/>
              </w:rPr>
              <w:t>550,673</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323,438</w:t>
            </w:r>
          </w:p>
        </w:tc>
        <w:tc>
          <w:tcPr>
            <w:tcW w:w="1340" w:type="dxa"/>
            <w:vAlign w:val="bottom"/>
            <w:gridSpan w:val="2"/>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w w:val="99"/>
              </w:rPr>
              <w:t>1,787,404</w:t>
            </w:r>
          </w:p>
        </w:tc>
        <w:tc>
          <w:tcPr>
            <w:tcW w:w="120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7"/>
              </w:rPr>
              <w:t>1,632,190</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136,754</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4,430,459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040" w:type="dxa"/>
            <w:vAlign w:val="bottom"/>
            <w:gridSpan w:val="2"/>
          </w:tcPr>
          <w:p>
            <w:pPr>
              <w:ind w:left="20"/>
              <w:spacing w:after="0" w:line="195" w:lineRule="exact"/>
              <w:rPr>
                <w:sz w:val="20"/>
                <w:szCs w:val="20"/>
                <w:color w:val="auto"/>
              </w:rPr>
            </w:pPr>
            <w:r>
              <w:rPr>
                <w:rFonts w:ascii="Times New Roman" w:cs="Times New Roman" w:eastAsia="Times New Roman" w:hAnsi="Times New Roman"/>
                <w:sz w:val="18"/>
                <w:szCs w:val="18"/>
                <w:color w:val="auto"/>
              </w:rPr>
              <w:t>David Watson</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General Counsel</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1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w w:val="95"/>
              </w:rPr>
              <w:t>513,078</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211,107</w:t>
            </w:r>
          </w:p>
        </w:tc>
        <w:tc>
          <w:tcPr>
            <w:tcW w:w="13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w w:val="99"/>
              </w:rPr>
              <w:t>1,574,492</w:t>
            </w:r>
          </w:p>
        </w:tc>
        <w:tc>
          <w:tcPr>
            <w:tcW w:w="12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w w:val="97"/>
              </w:rPr>
              <w:t>1,577,122</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15,922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3,891,721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1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w w:val="95"/>
              </w:rPr>
              <w:t>479,193</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271,688</w:t>
            </w:r>
          </w:p>
        </w:tc>
        <w:tc>
          <w:tcPr>
            <w:tcW w:w="13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w w:val="99"/>
              </w:rPr>
              <w:t>2,814,940</w:t>
            </w:r>
          </w:p>
        </w:tc>
        <w:tc>
          <w:tcPr>
            <w:tcW w:w="12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w w:val="97"/>
              </w:rPr>
              <w:t>1,306,582</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13,486</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4,885,889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1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w w:val="95"/>
              </w:rPr>
              <w:t>445,827</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222,750</w:t>
            </w:r>
          </w:p>
        </w:tc>
        <w:tc>
          <w:tcPr>
            <w:tcW w:w="13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w w:val="99"/>
              </w:rPr>
              <w:t>1,274,326</w:t>
            </w:r>
          </w:p>
        </w:tc>
        <w:tc>
          <w:tcPr>
            <w:tcW w:w="12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w w:val="97"/>
              </w:rPr>
              <w:t>1,120,098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6,772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3,069,773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040" w:type="dxa"/>
            <w:vAlign w:val="bottom"/>
            <w:gridSpan w:val="2"/>
            <w:shd w:val="clear" w:color="auto" w:fill="CFF0FC"/>
          </w:tcPr>
          <w:p>
            <w:pPr>
              <w:ind w:left="20"/>
              <w:spacing w:after="0" w:line="195" w:lineRule="exact"/>
              <w:rPr>
                <w:sz w:val="20"/>
                <w:szCs w:val="20"/>
                <w:color w:val="auto"/>
              </w:rPr>
            </w:pPr>
            <w:r>
              <w:rPr>
                <w:rFonts w:ascii="Times New Roman" w:cs="Times New Roman" w:eastAsia="Times New Roman" w:hAnsi="Times New Roman"/>
                <w:sz w:val="18"/>
                <w:szCs w:val="18"/>
                <w:color w:val="auto"/>
              </w:rPr>
              <w:t>Adam Townsend</w:t>
            </w: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0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Chief Commercial Officer</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140" w:type="dxa"/>
            <w:vAlign w:val="bottom"/>
            <w:gridSpan w:val="2"/>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w w:val="95"/>
              </w:rPr>
              <w:t>542,732</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249,535</w:t>
            </w:r>
          </w:p>
        </w:tc>
        <w:tc>
          <w:tcPr>
            <w:tcW w:w="1340" w:type="dxa"/>
            <w:vAlign w:val="bottom"/>
            <w:gridSpan w:val="2"/>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w w:val="99"/>
              </w:rPr>
              <w:t>1,574,492</w:t>
            </w:r>
          </w:p>
        </w:tc>
        <w:tc>
          <w:tcPr>
            <w:tcW w:w="120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7"/>
              </w:rPr>
              <w:t>1,577,122</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12,172</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3,956,053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140" w:type="dxa"/>
            <w:vAlign w:val="bottom"/>
            <w:gridSpan w:val="2"/>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w w:val="95"/>
              </w:rPr>
              <w:t>484,577</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273,938</w:t>
            </w:r>
          </w:p>
        </w:tc>
        <w:tc>
          <w:tcPr>
            <w:tcW w:w="1340" w:type="dxa"/>
            <w:vAlign w:val="bottom"/>
            <w:gridSpan w:val="2"/>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w w:val="99"/>
              </w:rPr>
              <w:t>1,447,518</w:t>
            </w:r>
          </w:p>
        </w:tc>
        <w:tc>
          <w:tcPr>
            <w:tcW w:w="120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7"/>
              </w:rPr>
              <w:t>1,496,291</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11,922</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3,714,246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140" w:type="dxa"/>
            <w:vAlign w:val="bottom"/>
            <w:gridSpan w:val="2"/>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w w:val="95"/>
              </w:rPr>
              <w:t>460,013</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230,670</w:t>
            </w:r>
          </w:p>
        </w:tc>
        <w:tc>
          <w:tcPr>
            <w:tcW w:w="1340" w:type="dxa"/>
            <w:vAlign w:val="bottom"/>
            <w:gridSpan w:val="2"/>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w w:val="99"/>
              </w:rPr>
              <w:t>1,274,326</w:t>
            </w:r>
          </w:p>
        </w:tc>
        <w:tc>
          <w:tcPr>
            <w:tcW w:w="120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7"/>
              </w:rPr>
              <w:t>1,120,098</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10,922</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3,096,029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360" w:type="dxa"/>
            <w:vAlign w:val="bottom"/>
            <w:tcBorders>
              <w:bottom w:val="single" w:sz="8" w:color="auto"/>
            </w:tcBorders>
          </w:tcPr>
          <w:p>
            <w:pPr>
              <w:spacing w:after="0"/>
              <w:rPr>
                <w:sz w:val="11"/>
                <w:szCs w:val="11"/>
                <w:color w:val="auto"/>
              </w:rPr>
            </w:pPr>
          </w:p>
        </w:tc>
        <w:tc>
          <w:tcPr>
            <w:tcW w:w="1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20" w:hanging="512"/>
        <w:spacing w:after="0"/>
        <w:tabs>
          <w:tab w:leader="none" w:pos="5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in the “Bonus” column represent annual cash bonuses awarded to our named executive officers.</w:t>
      </w:r>
    </w:p>
    <w:p>
      <w:pPr>
        <w:spacing w:after="0" w:line="126" w:lineRule="exact"/>
        <w:rPr>
          <w:rFonts w:ascii="Times New Roman" w:cs="Times New Roman" w:eastAsia="Times New Roman" w:hAnsi="Times New Roman"/>
          <w:sz w:val="16"/>
          <w:szCs w:val="16"/>
          <w:color w:val="auto"/>
        </w:rPr>
      </w:pPr>
    </w:p>
    <w:p>
      <w:pPr>
        <w:ind w:left="520" w:right="120" w:hanging="512"/>
        <w:spacing w:after="0" w:line="275" w:lineRule="auto"/>
        <w:tabs>
          <w:tab w:leader="none" w:pos="5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dollar amounts in this column represent the grant date market value of the restricted stock units awarded during the year computed in accordance with FASB ASC Topic 718, which is determined by multiplying the market price of shares as of the date of the grant by the number of restricted stock units granted. The value of restricted stock units subject to the 2022 Performance Condition is included at the highest level of performance, as the achievement of the 2022 Performance Condition was regarded as probable at the grant date. Note that the 2022 Performance Condition was achieved.</w:t>
      </w:r>
    </w:p>
    <w:p>
      <w:pPr>
        <w:spacing w:after="0" w:line="74" w:lineRule="exact"/>
        <w:rPr>
          <w:rFonts w:ascii="Times New Roman" w:cs="Times New Roman" w:eastAsia="Times New Roman" w:hAnsi="Times New Roman"/>
          <w:sz w:val="16"/>
          <w:szCs w:val="16"/>
          <w:color w:val="auto"/>
        </w:rPr>
      </w:pPr>
    </w:p>
    <w:p>
      <w:pPr>
        <w:ind w:left="520" w:right="140" w:hanging="512"/>
        <w:spacing w:after="0" w:line="271" w:lineRule="auto"/>
        <w:tabs>
          <w:tab w:leader="none" w:pos="5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in the “Options Awards” column reflect the aggregate grant date fair value of options awarded during the year, computed in accordance with the provisions of FASB ASC Topic 718, using a Black-Scholes valuation model. For the assumptions made in determining these values, see Note 15 to the consolidated financial statements in our Annual Report on Form 10-K for the year ended December 31, 2024. For purposes of these calculations, we have disregarded the possibility of forfeitures related to service-based vesting conditions. The value of stock options subject to the 2022 Performance Condition is included at the highest level of performance, as the achievement of the 2022 Performance Condition was regarded as probable at the grant date. Note that the 2022 Performance Condition was achieved.</w:t>
      </w:r>
    </w:p>
    <w:p>
      <w:pPr>
        <w:spacing w:after="0" w:line="76" w:lineRule="exact"/>
        <w:rPr>
          <w:rFonts w:ascii="Times New Roman" w:cs="Times New Roman" w:eastAsia="Times New Roman" w:hAnsi="Times New Roman"/>
          <w:sz w:val="16"/>
          <w:szCs w:val="16"/>
          <w:color w:val="auto"/>
        </w:rPr>
      </w:pPr>
    </w:p>
    <w:p>
      <w:pPr>
        <w:ind w:left="520" w:right="40" w:hanging="512"/>
        <w:spacing w:after="0" w:line="272" w:lineRule="auto"/>
        <w:tabs>
          <w:tab w:leader="none" w:pos="5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in the “All Other Compensation” column consist of the value of Company paid life insurance premiums and the amounts we contributed to our 401(k) plan in respect of our named executive officers. In 2024, we paid life insurance premiums of $672 for each named executive officer, and we made 401(k) plan contributions of $15,250 for each of Dr. Francois, Mr. Sullivan, Dr. Baumal, and Mr. Watson, and $11,500 for Mr. Townsend. For Dr. Baumal this column also includes 50% of a $250,000 cash sign on bonus paid on the one-year anniversary of her hire date. For Mr. Sullivan this column also includes financial planning services in the amount of $7,846.</w:t>
      </w:r>
    </w:p>
    <w:p>
      <w:pPr>
        <w:spacing w:after="0" w:line="77"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Dr. Francois also serves as a member of our board of directors but does not receive any additional compensation for his service as a director.</w:t>
      </w:r>
    </w:p>
    <w:p>
      <w:pPr>
        <w:spacing w:after="0" w:line="126"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Dr. Baumal joined the company in January 2023, and was not a named executive officer during 2022.</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Grants of Plan Based Awards</w:t>
      </w:r>
    </w:p>
    <w:p>
      <w:pPr>
        <w:spacing w:after="0" w:line="12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grants of plan-based awards made to our named executive officers during the year ended December 31, 2024.</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Grants of Plan-Based Awards for Fiscal Year Ended December 31, 2024</w:t>
      </w:r>
    </w:p>
    <w:p>
      <w:pPr>
        <w:spacing w:after="0" w:line="25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1"/>
          <w:szCs w:val="11"/>
          <w:b w:val="1"/>
          <w:bCs w:val="1"/>
          <w:color w:val="auto"/>
        </w:rPr>
        <w:t>Estimated Future Payouts</w:t>
      </w:r>
    </w:p>
    <w:p>
      <w:pPr>
        <w:spacing w:after="0" w:line="4"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1"/>
          <w:szCs w:val="11"/>
          <w:b w:val="1"/>
          <w:bCs w:val="1"/>
          <w:color w:val="auto"/>
        </w:rPr>
        <w:t>Under Equity Incentive Plan</w:t>
      </w:r>
    </w:p>
    <w:p>
      <w:pPr>
        <w:jc w:val="center"/>
        <w:ind w:right="1020"/>
        <w:spacing w:after="0" w:line="233" w:lineRule="auto"/>
        <w:rPr>
          <w:sz w:val="20"/>
          <w:szCs w:val="20"/>
          <w:color w:val="auto"/>
        </w:rPr>
      </w:pPr>
      <w:r>
        <w:rPr>
          <w:rFonts w:ascii="Times New Roman" w:cs="Times New Roman" w:eastAsia="Times New Roman" w:hAnsi="Times New Roman"/>
          <w:sz w:val="11"/>
          <w:szCs w:val="11"/>
          <w:b w:val="1"/>
          <w:bCs w:val="1"/>
          <w:color w:val="auto"/>
        </w:rPr>
        <w:t>Awards</w:t>
      </w:r>
    </w:p>
    <w:tbl>
      <w:tblPr>
        <w:tblLayout w:type="fixed"/>
        <w:tblInd w:w="0" w:type="dxa"/>
        <w:tblCellMar>
          <w:top w:w="0" w:type="dxa"/>
          <w:left w:w="0" w:type="dxa"/>
          <w:bottom w:w="0" w:type="dxa"/>
          <w:right w:w="0" w:type="dxa"/>
        </w:tblCellMar>
      </w:tblPr>
      <w:tr>
        <w:trPr>
          <w:trHeight w:val="99"/>
        </w:trPr>
        <w:tc>
          <w:tcPr>
            <w:tcW w:w="13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040" w:type="dxa"/>
            <w:vAlign w:val="bottom"/>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w w:val="97"/>
              </w:rPr>
              <w:t>All Other Stock</w:t>
            </w:r>
          </w:p>
        </w:tc>
        <w:tc>
          <w:tcPr>
            <w:tcW w:w="220" w:type="dxa"/>
            <w:vAlign w:val="bottom"/>
          </w:tcPr>
          <w:p>
            <w:pPr>
              <w:spacing w:after="0"/>
              <w:rPr>
                <w:sz w:val="8"/>
                <w:szCs w:val="8"/>
                <w:color w:val="auto"/>
              </w:rPr>
            </w:pPr>
          </w:p>
        </w:tc>
        <w:tc>
          <w:tcPr>
            <w:tcW w:w="1100" w:type="dxa"/>
            <w:vAlign w:val="bottom"/>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w w:val="99"/>
              </w:rPr>
              <w:t>All Other Option</w:t>
            </w: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22"/>
        </w:trPr>
        <w:tc>
          <w:tcPr>
            <w:tcW w:w="13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Awards</w:t>
            </w:r>
          </w:p>
        </w:tc>
        <w:tc>
          <w:tcPr>
            <w:tcW w:w="220" w:type="dxa"/>
            <w:vAlign w:val="bottom"/>
          </w:tcPr>
          <w:p>
            <w:pPr>
              <w:spacing w:after="0"/>
              <w:rPr>
                <w:sz w:val="10"/>
                <w:szCs w:val="10"/>
                <w:color w:val="auto"/>
              </w:rPr>
            </w:pPr>
          </w:p>
        </w:tc>
        <w:tc>
          <w:tcPr>
            <w:tcW w:w="11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Awards: Number</w:t>
            </w:r>
          </w:p>
        </w:tc>
        <w:tc>
          <w:tcPr>
            <w:tcW w:w="200" w:type="dxa"/>
            <w:vAlign w:val="bottom"/>
          </w:tcPr>
          <w:p>
            <w:pPr>
              <w:spacing w:after="0"/>
              <w:rPr>
                <w:sz w:val="10"/>
                <w:szCs w:val="10"/>
                <w:color w:val="auto"/>
              </w:rPr>
            </w:pPr>
          </w:p>
        </w:tc>
        <w:tc>
          <w:tcPr>
            <w:tcW w:w="10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Exercise Price</w:t>
            </w:r>
          </w:p>
        </w:tc>
        <w:tc>
          <w:tcPr>
            <w:tcW w:w="220" w:type="dxa"/>
            <w:vAlign w:val="bottom"/>
          </w:tcPr>
          <w:p>
            <w:pPr>
              <w:spacing w:after="0"/>
              <w:rPr>
                <w:sz w:val="10"/>
                <w:szCs w:val="10"/>
                <w:color w:val="auto"/>
              </w:rPr>
            </w:pPr>
          </w:p>
        </w:tc>
        <w:tc>
          <w:tcPr>
            <w:tcW w:w="130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9"/>
              </w:rPr>
              <w:t>Grant Date Fair</w:t>
            </w:r>
          </w:p>
        </w:tc>
      </w:tr>
      <w:tr>
        <w:trPr>
          <w:trHeight w:val="122"/>
        </w:trPr>
        <w:tc>
          <w:tcPr>
            <w:tcW w:w="13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220" w:type="dxa"/>
            <w:vAlign w:val="bottom"/>
          </w:tcPr>
          <w:p>
            <w:pPr>
              <w:spacing w:after="0"/>
              <w:rPr>
                <w:sz w:val="10"/>
                <w:szCs w:val="10"/>
                <w:color w:val="auto"/>
              </w:rPr>
            </w:pPr>
          </w:p>
        </w:tc>
        <w:tc>
          <w:tcPr>
            <w:tcW w:w="11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of Securities</w:t>
            </w:r>
          </w:p>
        </w:tc>
        <w:tc>
          <w:tcPr>
            <w:tcW w:w="200" w:type="dxa"/>
            <w:vAlign w:val="bottom"/>
          </w:tcPr>
          <w:p>
            <w:pPr>
              <w:spacing w:after="0"/>
              <w:rPr>
                <w:sz w:val="10"/>
                <w:szCs w:val="10"/>
                <w:color w:val="auto"/>
              </w:rPr>
            </w:pPr>
          </w:p>
        </w:tc>
        <w:tc>
          <w:tcPr>
            <w:tcW w:w="10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of Option</w:t>
            </w:r>
          </w:p>
        </w:tc>
        <w:tc>
          <w:tcPr>
            <w:tcW w:w="220" w:type="dxa"/>
            <w:vAlign w:val="bottom"/>
          </w:tcPr>
          <w:p>
            <w:pPr>
              <w:spacing w:after="0"/>
              <w:rPr>
                <w:sz w:val="10"/>
                <w:szCs w:val="10"/>
                <w:color w:val="auto"/>
              </w:rPr>
            </w:pPr>
          </w:p>
        </w:tc>
        <w:tc>
          <w:tcPr>
            <w:tcW w:w="130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9"/>
              </w:rPr>
              <w:t>Value of Stock</w:t>
            </w:r>
          </w:p>
        </w:tc>
      </w:tr>
      <w:tr>
        <w:trPr>
          <w:trHeight w:val="121"/>
        </w:trPr>
        <w:tc>
          <w:tcPr>
            <w:tcW w:w="13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ind w:left="220"/>
              <w:spacing w:after="0" w:line="122" w:lineRule="exact"/>
              <w:rPr>
                <w:sz w:val="20"/>
                <w:szCs w:val="20"/>
                <w:color w:val="auto"/>
              </w:rPr>
            </w:pPr>
            <w:r>
              <w:rPr>
                <w:rFonts w:ascii="Times New Roman" w:cs="Times New Roman" w:eastAsia="Times New Roman" w:hAnsi="Times New Roman"/>
                <w:sz w:val="11"/>
                <w:szCs w:val="11"/>
                <w:b w:val="1"/>
                <w:bCs w:val="1"/>
                <w:color w:val="auto"/>
              </w:rPr>
              <w:t>Grant</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ind w:left="180"/>
              <w:spacing w:after="0" w:line="122" w:lineRule="exact"/>
              <w:rPr>
                <w:sz w:val="20"/>
                <w:szCs w:val="20"/>
                <w:color w:val="auto"/>
              </w:rPr>
            </w:pPr>
            <w:r>
              <w:rPr>
                <w:rFonts w:ascii="Times New Roman" w:cs="Times New Roman" w:eastAsia="Times New Roman" w:hAnsi="Times New Roman"/>
                <w:sz w:val="11"/>
                <w:szCs w:val="11"/>
                <w:b w:val="1"/>
                <w:bCs w:val="1"/>
                <w:color w:val="auto"/>
              </w:rPr>
              <w:t>Threshold</w:t>
            </w:r>
          </w:p>
        </w:tc>
        <w:tc>
          <w:tcPr>
            <w:tcW w:w="260" w:type="dxa"/>
            <w:vAlign w:val="bottom"/>
          </w:tcPr>
          <w:p>
            <w:pPr>
              <w:spacing w:after="0"/>
              <w:rPr>
                <w:sz w:val="10"/>
                <w:szCs w:val="10"/>
                <w:color w:val="auto"/>
              </w:rPr>
            </w:pPr>
          </w:p>
        </w:tc>
        <w:tc>
          <w:tcPr>
            <w:tcW w:w="920" w:type="dxa"/>
            <w:vAlign w:val="bottom"/>
            <w:gridSpan w:val="2"/>
          </w:tcPr>
          <w:p>
            <w:pPr>
              <w:ind w:left="200"/>
              <w:spacing w:after="0" w:line="122" w:lineRule="exact"/>
              <w:rPr>
                <w:sz w:val="20"/>
                <w:szCs w:val="20"/>
                <w:color w:val="auto"/>
              </w:rPr>
            </w:pPr>
            <w:r>
              <w:rPr>
                <w:rFonts w:ascii="Times New Roman" w:cs="Times New Roman" w:eastAsia="Times New Roman" w:hAnsi="Times New Roman"/>
                <w:sz w:val="11"/>
                <w:szCs w:val="11"/>
                <w:b w:val="1"/>
                <w:bCs w:val="1"/>
                <w:color w:val="auto"/>
              </w:rPr>
              <w:t>Target</w:t>
            </w:r>
          </w:p>
        </w:tc>
        <w:tc>
          <w:tcPr>
            <w:tcW w:w="10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Shares of Stock</w:t>
            </w:r>
          </w:p>
        </w:tc>
        <w:tc>
          <w:tcPr>
            <w:tcW w:w="220" w:type="dxa"/>
            <w:vAlign w:val="bottom"/>
          </w:tcPr>
          <w:p>
            <w:pPr>
              <w:spacing w:after="0"/>
              <w:rPr>
                <w:sz w:val="10"/>
                <w:szCs w:val="10"/>
                <w:color w:val="auto"/>
              </w:rPr>
            </w:pPr>
          </w:p>
        </w:tc>
        <w:tc>
          <w:tcPr>
            <w:tcW w:w="11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Underlying</w:t>
            </w:r>
          </w:p>
        </w:tc>
        <w:tc>
          <w:tcPr>
            <w:tcW w:w="200" w:type="dxa"/>
            <w:vAlign w:val="bottom"/>
          </w:tcPr>
          <w:p>
            <w:pPr>
              <w:spacing w:after="0"/>
              <w:rPr>
                <w:sz w:val="10"/>
                <w:szCs w:val="10"/>
                <w:color w:val="auto"/>
              </w:rPr>
            </w:pPr>
          </w:p>
        </w:tc>
        <w:tc>
          <w:tcPr>
            <w:tcW w:w="10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Awards ($/</w:t>
            </w:r>
          </w:p>
        </w:tc>
        <w:tc>
          <w:tcPr>
            <w:tcW w:w="220" w:type="dxa"/>
            <w:vAlign w:val="bottom"/>
          </w:tcPr>
          <w:p>
            <w:pPr>
              <w:spacing w:after="0"/>
              <w:rPr>
                <w:sz w:val="10"/>
                <w:szCs w:val="10"/>
                <w:color w:val="auto"/>
              </w:rPr>
            </w:pPr>
          </w:p>
        </w:tc>
        <w:tc>
          <w:tcPr>
            <w:tcW w:w="130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7"/>
              </w:rPr>
              <w:t>and Option</w:t>
            </w:r>
          </w:p>
        </w:tc>
      </w:tr>
      <w:tr>
        <w:trPr>
          <w:trHeight w:val="137"/>
        </w:trPr>
        <w:tc>
          <w:tcPr>
            <w:tcW w:w="2220" w:type="dxa"/>
            <w:vAlign w:val="bottom"/>
            <w:tcBorders>
              <w:bottom w:val="single" w:sz="8" w:color="auto"/>
            </w:tcBorders>
            <w:gridSpan w:val="2"/>
          </w:tcPr>
          <w:p>
            <w:pPr>
              <w:ind w:left="980"/>
              <w:spacing w:after="0"/>
              <w:rPr>
                <w:sz w:val="20"/>
                <w:szCs w:val="20"/>
                <w:color w:val="auto"/>
              </w:rPr>
            </w:pPr>
            <w:r>
              <w:rPr>
                <w:rFonts w:ascii="Times New Roman" w:cs="Times New Roman" w:eastAsia="Times New Roman" w:hAnsi="Times New Roman"/>
                <w:sz w:val="11"/>
                <w:szCs w:val="11"/>
                <w:b w:val="1"/>
                <w:bCs w:val="1"/>
                <w:color w:val="auto"/>
              </w:rPr>
              <w:t>Name</w:t>
            </w:r>
          </w:p>
        </w:tc>
        <w:tc>
          <w:tcPr>
            <w:tcW w:w="120" w:type="dxa"/>
            <w:vAlign w:val="bottom"/>
          </w:tcPr>
          <w:p>
            <w:pPr>
              <w:spacing w:after="0"/>
              <w:rPr>
                <w:sz w:val="11"/>
                <w:szCs w:val="11"/>
                <w:color w:val="auto"/>
              </w:rPr>
            </w:pPr>
          </w:p>
        </w:tc>
        <w:tc>
          <w:tcPr>
            <w:tcW w:w="7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1"/>
                <w:szCs w:val="11"/>
                <w:b w:val="1"/>
                <w:bCs w:val="1"/>
                <w:color w:val="auto"/>
              </w:rPr>
              <w:t>Date</w:t>
            </w:r>
          </w:p>
        </w:tc>
        <w:tc>
          <w:tcPr>
            <w:tcW w:w="120" w:type="dxa"/>
            <w:vAlign w:val="bottom"/>
          </w:tcPr>
          <w:p>
            <w:pPr>
              <w:spacing w:after="0"/>
              <w:rPr>
                <w:sz w:val="11"/>
                <w:szCs w:val="11"/>
                <w:color w:val="auto"/>
              </w:rPr>
            </w:pPr>
          </w:p>
        </w:tc>
        <w:tc>
          <w:tcPr>
            <w:tcW w:w="6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1"/>
                <w:szCs w:val="11"/>
                <w:b w:val="1"/>
                <w:bCs w:val="1"/>
                <w:color w:val="auto"/>
              </w:rPr>
              <w:t>Notes</w:t>
            </w:r>
          </w:p>
        </w:tc>
        <w:tc>
          <w:tcPr>
            <w:tcW w:w="240" w:type="dxa"/>
            <w:vAlign w:val="bottom"/>
          </w:tcPr>
          <w:p>
            <w:pPr>
              <w:spacing w:after="0"/>
              <w:rPr>
                <w:sz w:val="11"/>
                <w:szCs w:val="11"/>
                <w:color w:val="auto"/>
              </w:rPr>
            </w:pPr>
          </w:p>
        </w:tc>
        <w:tc>
          <w:tcPr>
            <w:tcW w:w="8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1"/>
                <w:szCs w:val="11"/>
                <w:b w:val="1"/>
                <w:bCs w:val="1"/>
                <w:color w:val="auto"/>
              </w:rPr>
              <w:t>(#)</w:t>
            </w:r>
          </w:p>
        </w:tc>
        <w:tc>
          <w:tcPr>
            <w:tcW w:w="260" w:type="dxa"/>
            <w:vAlign w:val="bottom"/>
          </w:tcPr>
          <w:p>
            <w:pPr>
              <w:spacing w:after="0"/>
              <w:rPr>
                <w:sz w:val="11"/>
                <w:szCs w:val="11"/>
                <w:color w:val="auto"/>
              </w:rPr>
            </w:pPr>
          </w:p>
        </w:tc>
        <w:tc>
          <w:tcPr>
            <w:tcW w:w="7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tcPr>
          <w:p>
            <w:pPr>
              <w:spacing w:after="0"/>
              <w:rPr>
                <w:sz w:val="11"/>
                <w:szCs w:val="11"/>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or Units (#)</w:t>
            </w:r>
          </w:p>
        </w:tc>
        <w:tc>
          <w:tcPr>
            <w:tcW w:w="220" w:type="dxa"/>
            <w:vAlign w:val="bottom"/>
          </w:tcPr>
          <w:p>
            <w:pPr>
              <w:spacing w:after="0"/>
              <w:rPr>
                <w:sz w:val="11"/>
                <w:szCs w:val="1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Options (#)</w:t>
            </w:r>
          </w:p>
        </w:tc>
        <w:tc>
          <w:tcPr>
            <w:tcW w:w="200" w:type="dxa"/>
            <w:vAlign w:val="bottom"/>
          </w:tcPr>
          <w:p>
            <w:pPr>
              <w:spacing w:after="0"/>
              <w:rPr>
                <w:sz w:val="11"/>
                <w:szCs w:val="11"/>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share) (1)</w:t>
            </w:r>
          </w:p>
        </w:tc>
        <w:tc>
          <w:tcPr>
            <w:tcW w:w="220" w:type="dxa"/>
            <w:vAlign w:val="bottom"/>
          </w:tcPr>
          <w:p>
            <w:pPr>
              <w:spacing w:after="0"/>
              <w:rPr>
                <w:sz w:val="11"/>
                <w:szCs w:val="11"/>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Awards ($) (2)</w:t>
            </w:r>
          </w:p>
        </w:tc>
        <w:tc>
          <w:tcPr>
            <w:tcW w:w="100" w:type="dxa"/>
            <w:vAlign w:val="bottom"/>
          </w:tcPr>
          <w:p>
            <w:pPr>
              <w:spacing w:after="0"/>
              <w:rPr>
                <w:sz w:val="11"/>
                <w:szCs w:val="11"/>
                <w:color w:val="auto"/>
              </w:rPr>
            </w:pPr>
          </w:p>
        </w:tc>
      </w:tr>
      <w:tr>
        <w:trPr>
          <w:trHeight w:val="119"/>
        </w:trPr>
        <w:tc>
          <w:tcPr>
            <w:tcW w:w="2220" w:type="dxa"/>
            <w:vAlign w:val="bottom"/>
            <w:gridSpan w:val="2"/>
            <w:shd w:val="clear" w:color="auto" w:fill="CFF0FC"/>
          </w:tcPr>
          <w:p>
            <w:pPr>
              <w:ind w:left="20"/>
              <w:spacing w:after="0" w:line="119" w:lineRule="exact"/>
              <w:rPr>
                <w:sz w:val="20"/>
                <w:szCs w:val="20"/>
                <w:color w:val="auto"/>
              </w:rPr>
            </w:pPr>
            <w:r>
              <w:rPr>
                <w:rFonts w:ascii="Times New Roman" w:cs="Times New Roman" w:eastAsia="Times New Roman" w:hAnsi="Times New Roman"/>
                <w:sz w:val="13"/>
                <w:szCs w:val="13"/>
                <w:color w:val="auto"/>
              </w:rPr>
              <w:t>Cedric Francois, M.D., Ph.D</w:t>
            </w:r>
          </w:p>
        </w:tc>
        <w:tc>
          <w:tcPr>
            <w:tcW w:w="840" w:type="dxa"/>
            <w:vAlign w:val="bottom"/>
            <w:gridSpan w:val="2"/>
            <w:shd w:val="clear" w:color="auto" w:fill="CFF0FC"/>
          </w:tcPr>
          <w:p>
            <w:pPr>
              <w:ind w:left="380"/>
              <w:spacing w:after="0" w:line="119" w:lineRule="exact"/>
              <w:rPr>
                <w:sz w:val="20"/>
                <w:szCs w:val="20"/>
                <w:color w:val="auto"/>
              </w:rPr>
            </w:pPr>
            <w:r>
              <w:rPr>
                <w:rFonts w:ascii="Times New Roman" w:cs="Times New Roman" w:eastAsia="Times New Roman" w:hAnsi="Times New Roman"/>
                <w:sz w:val="13"/>
                <w:szCs w:val="13"/>
                <w:color w:val="auto"/>
              </w:rPr>
              <w:t>1/16/24</w:t>
            </w:r>
          </w:p>
        </w:tc>
        <w:tc>
          <w:tcPr>
            <w:tcW w:w="1040" w:type="dxa"/>
            <w:vAlign w:val="bottom"/>
            <w:gridSpan w:val="3"/>
            <w:shd w:val="clear" w:color="auto" w:fill="CFF0FC"/>
          </w:tcPr>
          <w:p>
            <w:pPr>
              <w:jc w:val="right"/>
              <w:ind w:right="180"/>
              <w:spacing w:after="0" w:line="119" w:lineRule="exact"/>
              <w:rPr>
                <w:sz w:val="20"/>
                <w:szCs w:val="20"/>
                <w:color w:val="auto"/>
              </w:rPr>
            </w:pPr>
            <w:r>
              <w:rPr>
                <w:rFonts w:ascii="Times New Roman" w:cs="Times New Roman" w:eastAsia="Times New Roman" w:hAnsi="Times New Roman"/>
                <w:sz w:val="13"/>
                <w:szCs w:val="13"/>
                <w:color w:val="auto"/>
              </w:rPr>
              <w:t>(3 )</w:t>
            </w:r>
          </w:p>
        </w:tc>
        <w:tc>
          <w:tcPr>
            <w:tcW w:w="840" w:type="dxa"/>
            <w:vAlign w:val="bottom"/>
            <w:shd w:val="clear" w:color="auto" w:fill="CFF0FC"/>
          </w:tcPr>
          <w:p>
            <w:pPr>
              <w:ind w:left="700"/>
              <w:spacing w:after="0" w:line="119" w:lineRule="exact"/>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shd w:val="clear" w:color="auto" w:fill="CFF0FC"/>
          </w:tcPr>
          <w:p>
            <w:pPr>
              <w:spacing w:after="0"/>
              <w:rPr>
                <w:sz w:val="10"/>
                <w:szCs w:val="10"/>
                <w:color w:val="auto"/>
              </w:rPr>
            </w:pPr>
          </w:p>
        </w:tc>
        <w:tc>
          <w:tcPr>
            <w:tcW w:w="920" w:type="dxa"/>
            <w:vAlign w:val="bottom"/>
            <w:gridSpan w:val="2"/>
            <w:shd w:val="clear" w:color="auto" w:fill="CFF0FC"/>
          </w:tcPr>
          <w:p>
            <w:pPr>
              <w:ind w:left="560"/>
              <w:spacing w:after="0" w:line="119"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72,094</w:t>
            </w:r>
          </w:p>
        </w:tc>
        <w:tc>
          <w:tcPr>
            <w:tcW w:w="220" w:type="dxa"/>
            <w:vAlign w:val="bottom"/>
            <w:shd w:val="clear" w:color="auto" w:fill="CFF0FC"/>
          </w:tcPr>
          <w:p>
            <w:pPr>
              <w:spacing w:after="0"/>
              <w:rPr>
                <w:sz w:val="10"/>
                <w:szCs w:val="10"/>
                <w:color w:val="auto"/>
              </w:rPr>
            </w:pPr>
          </w:p>
        </w:tc>
        <w:tc>
          <w:tcPr>
            <w:tcW w:w="110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0"/>
                <w:szCs w:val="10"/>
                <w:color w:val="auto"/>
              </w:rPr>
            </w:pPr>
          </w:p>
        </w:tc>
        <w:tc>
          <w:tcPr>
            <w:tcW w:w="10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4,779,832</w:t>
            </w:r>
          </w:p>
        </w:tc>
        <w:tc>
          <w:tcPr>
            <w:tcW w:w="100" w:type="dxa"/>
            <w:vAlign w:val="bottom"/>
            <w:shd w:val="clear" w:color="auto" w:fill="CFF0FC"/>
          </w:tcPr>
          <w:p>
            <w:pPr>
              <w:spacing w:after="0"/>
              <w:rPr>
                <w:sz w:val="10"/>
                <w:szCs w:val="10"/>
                <w:color w:val="auto"/>
              </w:rPr>
            </w:pPr>
          </w:p>
        </w:tc>
      </w:tr>
      <w:tr>
        <w:trPr>
          <w:trHeight w:val="171"/>
        </w:trPr>
        <w:tc>
          <w:tcPr>
            <w:tcW w:w="13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1/16/24</w:t>
            </w:r>
          </w:p>
        </w:tc>
        <w:tc>
          <w:tcPr>
            <w:tcW w:w="104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(4 )</w:t>
            </w:r>
          </w:p>
        </w:tc>
        <w:tc>
          <w:tcPr>
            <w:tcW w:w="84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104,834</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66.30</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4,787,768</w:t>
            </w:r>
          </w:p>
        </w:tc>
        <w:tc>
          <w:tcPr>
            <w:tcW w:w="100" w:type="dxa"/>
            <w:vAlign w:val="bottom"/>
            <w:shd w:val="clear" w:color="auto" w:fill="CFF0FC"/>
          </w:tcPr>
          <w:p>
            <w:pPr>
              <w:spacing w:after="0"/>
              <w:rPr>
                <w:sz w:val="14"/>
                <w:szCs w:val="14"/>
                <w:color w:val="auto"/>
              </w:rPr>
            </w:pPr>
          </w:p>
        </w:tc>
      </w:tr>
      <w:tr>
        <w:trPr>
          <w:trHeight w:val="126"/>
        </w:trPr>
        <w:tc>
          <w:tcPr>
            <w:tcW w:w="222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4"/>
                <w:szCs w:val="14"/>
                <w:color w:val="auto"/>
              </w:rPr>
              <w:t>Timothy Sullivan</w:t>
            </w:r>
          </w:p>
        </w:tc>
        <w:tc>
          <w:tcPr>
            <w:tcW w:w="840" w:type="dxa"/>
            <w:vAlign w:val="bottom"/>
            <w:gridSpan w:val="2"/>
          </w:tcPr>
          <w:p>
            <w:pPr>
              <w:ind w:left="380"/>
              <w:spacing w:after="0" w:line="126" w:lineRule="exact"/>
              <w:rPr>
                <w:sz w:val="20"/>
                <w:szCs w:val="20"/>
                <w:color w:val="auto"/>
              </w:rPr>
            </w:pPr>
            <w:r>
              <w:rPr>
                <w:rFonts w:ascii="Times New Roman" w:cs="Times New Roman" w:eastAsia="Times New Roman" w:hAnsi="Times New Roman"/>
                <w:sz w:val="14"/>
                <w:szCs w:val="14"/>
                <w:color w:val="auto"/>
              </w:rPr>
              <w:t>1/16/24</w:t>
            </w:r>
          </w:p>
        </w:tc>
        <w:tc>
          <w:tcPr>
            <w:tcW w:w="1040" w:type="dxa"/>
            <w:vAlign w:val="bottom"/>
            <w:gridSpan w:val="3"/>
          </w:tcPr>
          <w:p>
            <w:pPr>
              <w:jc w:val="right"/>
              <w:ind w:right="180"/>
              <w:spacing w:after="0" w:line="126" w:lineRule="exact"/>
              <w:rPr>
                <w:sz w:val="20"/>
                <w:szCs w:val="20"/>
                <w:color w:val="auto"/>
              </w:rPr>
            </w:pPr>
            <w:r>
              <w:rPr>
                <w:rFonts w:ascii="Times New Roman" w:cs="Times New Roman" w:eastAsia="Times New Roman" w:hAnsi="Times New Roman"/>
                <w:sz w:val="14"/>
                <w:szCs w:val="14"/>
                <w:color w:val="auto"/>
              </w:rPr>
              <w:t>(3 )</w:t>
            </w:r>
          </w:p>
        </w:tc>
        <w:tc>
          <w:tcPr>
            <w:tcW w:w="840" w:type="dxa"/>
            <w:vAlign w:val="bottom"/>
          </w:tcPr>
          <w:p>
            <w:pPr>
              <w:ind w:left="700"/>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Pr>
          <w:p>
            <w:pPr>
              <w:spacing w:after="0"/>
              <w:rPr>
                <w:sz w:val="10"/>
                <w:szCs w:val="10"/>
                <w:color w:val="auto"/>
              </w:rPr>
            </w:pPr>
          </w:p>
        </w:tc>
        <w:tc>
          <w:tcPr>
            <w:tcW w:w="920" w:type="dxa"/>
            <w:vAlign w:val="bottom"/>
            <w:gridSpan w:val="2"/>
          </w:tcPr>
          <w:p>
            <w:pPr>
              <w:ind w:left="560"/>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23,748</w:t>
            </w:r>
          </w:p>
        </w:tc>
        <w:tc>
          <w:tcPr>
            <w:tcW w:w="220" w:type="dxa"/>
            <w:vAlign w:val="bottom"/>
          </w:tcPr>
          <w:p>
            <w:pPr>
              <w:spacing w:after="0"/>
              <w:rPr>
                <w:sz w:val="10"/>
                <w:szCs w:val="10"/>
                <w:color w:val="auto"/>
              </w:rPr>
            </w:pPr>
          </w:p>
        </w:tc>
        <w:tc>
          <w:tcPr>
            <w:tcW w:w="110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104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1,574,492</w:t>
            </w:r>
          </w:p>
        </w:tc>
        <w:tc>
          <w:tcPr>
            <w:tcW w:w="100" w:type="dxa"/>
            <w:vAlign w:val="bottom"/>
          </w:tcPr>
          <w:p>
            <w:pPr>
              <w:spacing w:after="0"/>
              <w:rPr>
                <w:sz w:val="10"/>
                <w:szCs w:val="10"/>
                <w:color w:val="auto"/>
              </w:rPr>
            </w:pPr>
          </w:p>
        </w:tc>
      </w:tr>
      <w:tr>
        <w:trPr>
          <w:trHeight w:val="171"/>
        </w:trPr>
        <w:tc>
          <w:tcPr>
            <w:tcW w:w="1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1/16/24</w:t>
            </w: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(4 )</w:t>
            </w:r>
          </w:p>
        </w:tc>
        <w:tc>
          <w:tcPr>
            <w:tcW w:w="840" w:type="dxa"/>
            <w:vAlign w:val="bottom"/>
          </w:tcPr>
          <w:p>
            <w:pPr>
              <w:ind w:left="700"/>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Pr>
          <w:p>
            <w:pPr>
              <w:spacing w:after="0"/>
              <w:rPr>
                <w:sz w:val="14"/>
                <w:szCs w:val="14"/>
                <w:color w:val="auto"/>
              </w:rPr>
            </w:pPr>
          </w:p>
        </w:tc>
        <w:tc>
          <w:tcPr>
            <w:tcW w:w="92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34,533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66.30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1,577,122</w:t>
            </w:r>
          </w:p>
        </w:tc>
        <w:tc>
          <w:tcPr>
            <w:tcW w:w="100" w:type="dxa"/>
            <w:vAlign w:val="bottom"/>
          </w:tcPr>
          <w:p>
            <w:pPr>
              <w:spacing w:after="0"/>
              <w:rPr>
                <w:sz w:val="14"/>
                <w:szCs w:val="14"/>
                <w:color w:val="auto"/>
              </w:rPr>
            </w:pPr>
          </w:p>
        </w:tc>
      </w:tr>
      <w:tr>
        <w:trPr>
          <w:trHeight w:val="126"/>
        </w:trPr>
        <w:tc>
          <w:tcPr>
            <w:tcW w:w="2220" w:type="dxa"/>
            <w:vAlign w:val="bottom"/>
            <w:gridSpan w:val="2"/>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Caroline Baumal, M.D.</w:t>
            </w:r>
          </w:p>
        </w:tc>
        <w:tc>
          <w:tcPr>
            <w:tcW w:w="840" w:type="dxa"/>
            <w:vAlign w:val="bottom"/>
            <w:gridSpan w:val="2"/>
            <w:shd w:val="clear" w:color="auto" w:fill="CFF0FC"/>
          </w:tcPr>
          <w:p>
            <w:pPr>
              <w:ind w:left="380"/>
              <w:spacing w:after="0" w:line="126" w:lineRule="exact"/>
              <w:rPr>
                <w:sz w:val="20"/>
                <w:szCs w:val="20"/>
                <w:color w:val="auto"/>
              </w:rPr>
            </w:pPr>
            <w:r>
              <w:rPr>
                <w:rFonts w:ascii="Times New Roman" w:cs="Times New Roman" w:eastAsia="Times New Roman" w:hAnsi="Times New Roman"/>
                <w:sz w:val="14"/>
                <w:szCs w:val="14"/>
                <w:color w:val="auto"/>
              </w:rPr>
              <w:t>1/16/24</w:t>
            </w:r>
          </w:p>
        </w:tc>
        <w:tc>
          <w:tcPr>
            <w:tcW w:w="1040" w:type="dxa"/>
            <w:vAlign w:val="bottom"/>
            <w:gridSpan w:val="3"/>
            <w:shd w:val="clear" w:color="auto" w:fill="CFF0FC"/>
          </w:tcPr>
          <w:p>
            <w:pPr>
              <w:jc w:val="right"/>
              <w:ind w:right="180"/>
              <w:spacing w:after="0" w:line="126" w:lineRule="exact"/>
              <w:rPr>
                <w:sz w:val="20"/>
                <w:szCs w:val="20"/>
                <w:color w:val="auto"/>
              </w:rPr>
            </w:pPr>
            <w:r>
              <w:rPr>
                <w:rFonts w:ascii="Times New Roman" w:cs="Times New Roman" w:eastAsia="Times New Roman" w:hAnsi="Times New Roman"/>
                <w:sz w:val="14"/>
                <w:szCs w:val="14"/>
                <w:color w:val="auto"/>
              </w:rPr>
              <w:t>(3 )</w:t>
            </w:r>
          </w:p>
        </w:tc>
        <w:tc>
          <w:tcPr>
            <w:tcW w:w="840" w:type="dxa"/>
            <w:vAlign w:val="bottom"/>
            <w:shd w:val="clear" w:color="auto" w:fill="CFF0FC"/>
          </w:tcPr>
          <w:p>
            <w:pPr>
              <w:ind w:left="700"/>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shd w:val="clear" w:color="auto" w:fill="CFF0FC"/>
          </w:tcPr>
          <w:p>
            <w:pPr>
              <w:spacing w:after="0"/>
              <w:rPr>
                <w:sz w:val="10"/>
                <w:szCs w:val="10"/>
                <w:color w:val="auto"/>
              </w:rPr>
            </w:pPr>
          </w:p>
        </w:tc>
        <w:tc>
          <w:tcPr>
            <w:tcW w:w="920" w:type="dxa"/>
            <w:vAlign w:val="bottom"/>
            <w:gridSpan w:val="2"/>
            <w:shd w:val="clear" w:color="auto" w:fill="CFF0FC"/>
          </w:tcPr>
          <w:p>
            <w:pPr>
              <w:ind w:left="560"/>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25,445</w:t>
            </w:r>
          </w:p>
        </w:tc>
        <w:tc>
          <w:tcPr>
            <w:tcW w:w="220" w:type="dxa"/>
            <w:vAlign w:val="bottom"/>
            <w:shd w:val="clear" w:color="auto" w:fill="CFF0FC"/>
          </w:tcPr>
          <w:p>
            <w:pPr>
              <w:spacing w:after="0"/>
              <w:rPr>
                <w:sz w:val="10"/>
                <w:szCs w:val="10"/>
                <w:color w:val="auto"/>
              </w:rPr>
            </w:pPr>
          </w:p>
        </w:tc>
        <w:tc>
          <w:tcPr>
            <w:tcW w:w="110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0"/>
                <w:szCs w:val="10"/>
                <w:color w:val="auto"/>
              </w:rPr>
            </w:pPr>
          </w:p>
        </w:tc>
        <w:tc>
          <w:tcPr>
            <w:tcW w:w="104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1,687,004</w:t>
            </w:r>
          </w:p>
        </w:tc>
        <w:tc>
          <w:tcPr>
            <w:tcW w:w="100" w:type="dxa"/>
            <w:vAlign w:val="bottom"/>
            <w:shd w:val="clear" w:color="auto" w:fill="CFF0FC"/>
          </w:tcPr>
          <w:p>
            <w:pPr>
              <w:spacing w:after="0"/>
              <w:rPr>
                <w:sz w:val="10"/>
                <w:szCs w:val="10"/>
                <w:color w:val="auto"/>
              </w:rPr>
            </w:pPr>
          </w:p>
        </w:tc>
      </w:tr>
      <w:tr>
        <w:trPr>
          <w:trHeight w:val="171"/>
        </w:trPr>
        <w:tc>
          <w:tcPr>
            <w:tcW w:w="13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1/16/24</w:t>
            </w:r>
          </w:p>
        </w:tc>
        <w:tc>
          <w:tcPr>
            <w:tcW w:w="104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(4 )</w:t>
            </w:r>
          </w:p>
        </w:tc>
        <w:tc>
          <w:tcPr>
            <w:tcW w:w="84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66.30</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1,689,790</w:t>
            </w:r>
          </w:p>
        </w:tc>
        <w:tc>
          <w:tcPr>
            <w:tcW w:w="100" w:type="dxa"/>
            <w:vAlign w:val="bottom"/>
            <w:shd w:val="clear" w:color="auto" w:fill="CFF0FC"/>
          </w:tcPr>
          <w:p>
            <w:pPr>
              <w:spacing w:after="0"/>
              <w:rPr>
                <w:sz w:val="14"/>
                <w:szCs w:val="14"/>
                <w:color w:val="auto"/>
              </w:rPr>
            </w:pPr>
          </w:p>
        </w:tc>
      </w:tr>
      <w:tr>
        <w:trPr>
          <w:trHeight w:val="126"/>
        </w:trPr>
        <w:tc>
          <w:tcPr>
            <w:tcW w:w="222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4"/>
                <w:szCs w:val="14"/>
                <w:color w:val="auto"/>
              </w:rPr>
              <w:t>David Watson</w:t>
            </w:r>
          </w:p>
        </w:tc>
        <w:tc>
          <w:tcPr>
            <w:tcW w:w="840" w:type="dxa"/>
            <w:vAlign w:val="bottom"/>
            <w:gridSpan w:val="2"/>
          </w:tcPr>
          <w:p>
            <w:pPr>
              <w:ind w:left="380"/>
              <w:spacing w:after="0" w:line="126" w:lineRule="exact"/>
              <w:rPr>
                <w:sz w:val="20"/>
                <w:szCs w:val="20"/>
                <w:color w:val="auto"/>
              </w:rPr>
            </w:pPr>
            <w:r>
              <w:rPr>
                <w:rFonts w:ascii="Times New Roman" w:cs="Times New Roman" w:eastAsia="Times New Roman" w:hAnsi="Times New Roman"/>
                <w:sz w:val="14"/>
                <w:szCs w:val="14"/>
                <w:color w:val="auto"/>
              </w:rPr>
              <w:t>1/16/24</w:t>
            </w:r>
          </w:p>
        </w:tc>
        <w:tc>
          <w:tcPr>
            <w:tcW w:w="1040" w:type="dxa"/>
            <w:vAlign w:val="bottom"/>
            <w:gridSpan w:val="3"/>
          </w:tcPr>
          <w:p>
            <w:pPr>
              <w:jc w:val="right"/>
              <w:ind w:right="180"/>
              <w:spacing w:after="0" w:line="126" w:lineRule="exact"/>
              <w:rPr>
                <w:sz w:val="20"/>
                <w:szCs w:val="20"/>
                <w:color w:val="auto"/>
              </w:rPr>
            </w:pPr>
            <w:r>
              <w:rPr>
                <w:rFonts w:ascii="Times New Roman" w:cs="Times New Roman" w:eastAsia="Times New Roman" w:hAnsi="Times New Roman"/>
                <w:sz w:val="14"/>
                <w:szCs w:val="14"/>
                <w:color w:val="auto"/>
              </w:rPr>
              <w:t>(3 )</w:t>
            </w:r>
          </w:p>
        </w:tc>
        <w:tc>
          <w:tcPr>
            <w:tcW w:w="840" w:type="dxa"/>
            <w:vAlign w:val="bottom"/>
          </w:tcPr>
          <w:p>
            <w:pPr>
              <w:ind w:left="700"/>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Pr>
          <w:p>
            <w:pPr>
              <w:spacing w:after="0"/>
              <w:rPr>
                <w:sz w:val="10"/>
                <w:szCs w:val="10"/>
                <w:color w:val="auto"/>
              </w:rPr>
            </w:pPr>
          </w:p>
        </w:tc>
        <w:tc>
          <w:tcPr>
            <w:tcW w:w="920" w:type="dxa"/>
            <w:vAlign w:val="bottom"/>
            <w:gridSpan w:val="2"/>
          </w:tcPr>
          <w:p>
            <w:pPr>
              <w:ind w:left="560"/>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23,748</w:t>
            </w:r>
          </w:p>
        </w:tc>
        <w:tc>
          <w:tcPr>
            <w:tcW w:w="220" w:type="dxa"/>
            <w:vAlign w:val="bottom"/>
          </w:tcPr>
          <w:p>
            <w:pPr>
              <w:spacing w:after="0"/>
              <w:rPr>
                <w:sz w:val="10"/>
                <w:szCs w:val="10"/>
                <w:color w:val="auto"/>
              </w:rPr>
            </w:pPr>
          </w:p>
        </w:tc>
        <w:tc>
          <w:tcPr>
            <w:tcW w:w="110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104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1,574,492</w:t>
            </w:r>
          </w:p>
        </w:tc>
        <w:tc>
          <w:tcPr>
            <w:tcW w:w="100" w:type="dxa"/>
            <w:vAlign w:val="bottom"/>
          </w:tcPr>
          <w:p>
            <w:pPr>
              <w:spacing w:after="0"/>
              <w:rPr>
                <w:sz w:val="10"/>
                <w:szCs w:val="10"/>
                <w:color w:val="auto"/>
              </w:rPr>
            </w:pPr>
          </w:p>
        </w:tc>
      </w:tr>
      <w:tr>
        <w:trPr>
          <w:trHeight w:val="171"/>
        </w:trPr>
        <w:tc>
          <w:tcPr>
            <w:tcW w:w="1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1/16/24</w:t>
            </w: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(4 )</w:t>
            </w:r>
          </w:p>
        </w:tc>
        <w:tc>
          <w:tcPr>
            <w:tcW w:w="840" w:type="dxa"/>
            <w:vAlign w:val="bottom"/>
          </w:tcPr>
          <w:p>
            <w:pPr>
              <w:ind w:left="700"/>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Pr>
          <w:p>
            <w:pPr>
              <w:spacing w:after="0"/>
              <w:rPr>
                <w:sz w:val="14"/>
                <w:szCs w:val="14"/>
                <w:color w:val="auto"/>
              </w:rPr>
            </w:pPr>
          </w:p>
        </w:tc>
        <w:tc>
          <w:tcPr>
            <w:tcW w:w="92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34,533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66.30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1,577,122</w:t>
            </w:r>
          </w:p>
        </w:tc>
        <w:tc>
          <w:tcPr>
            <w:tcW w:w="100" w:type="dxa"/>
            <w:vAlign w:val="bottom"/>
          </w:tcPr>
          <w:p>
            <w:pPr>
              <w:spacing w:after="0"/>
              <w:rPr>
                <w:sz w:val="14"/>
                <w:szCs w:val="14"/>
                <w:color w:val="auto"/>
              </w:rPr>
            </w:pPr>
          </w:p>
        </w:tc>
      </w:tr>
      <w:tr>
        <w:trPr>
          <w:trHeight w:val="126"/>
        </w:trPr>
        <w:tc>
          <w:tcPr>
            <w:tcW w:w="2220" w:type="dxa"/>
            <w:vAlign w:val="bottom"/>
            <w:gridSpan w:val="2"/>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Adam Townsend</w:t>
            </w:r>
          </w:p>
        </w:tc>
        <w:tc>
          <w:tcPr>
            <w:tcW w:w="840" w:type="dxa"/>
            <w:vAlign w:val="bottom"/>
            <w:gridSpan w:val="2"/>
            <w:shd w:val="clear" w:color="auto" w:fill="CFF0FC"/>
          </w:tcPr>
          <w:p>
            <w:pPr>
              <w:ind w:left="380"/>
              <w:spacing w:after="0" w:line="126" w:lineRule="exact"/>
              <w:rPr>
                <w:sz w:val="20"/>
                <w:szCs w:val="20"/>
                <w:color w:val="auto"/>
              </w:rPr>
            </w:pPr>
            <w:r>
              <w:rPr>
                <w:rFonts w:ascii="Times New Roman" w:cs="Times New Roman" w:eastAsia="Times New Roman" w:hAnsi="Times New Roman"/>
                <w:sz w:val="14"/>
                <w:szCs w:val="14"/>
                <w:color w:val="auto"/>
              </w:rPr>
              <w:t>1/16/24</w:t>
            </w:r>
          </w:p>
        </w:tc>
        <w:tc>
          <w:tcPr>
            <w:tcW w:w="1040" w:type="dxa"/>
            <w:vAlign w:val="bottom"/>
            <w:gridSpan w:val="3"/>
            <w:shd w:val="clear" w:color="auto" w:fill="CFF0FC"/>
          </w:tcPr>
          <w:p>
            <w:pPr>
              <w:jc w:val="right"/>
              <w:ind w:right="180"/>
              <w:spacing w:after="0" w:line="126" w:lineRule="exact"/>
              <w:rPr>
                <w:sz w:val="20"/>
                <w:szCs w:val="20"/>
                <w:color w:val="auto"/>
              </w:rPr>
            </w:pPr>
            <w:r>
              <w:rPr>
                <w:rFonts w:ascii="Times New Roman" w:cs="Times New Roman" w:eastAsia="Times New Roman" w:hAnsi="Times New Roman"/>
                <w:sz w:val="14"/>
                <w:szCs w:val="14"/>
                <w:color w:val="auto"/>
              </w:rPr>
              <w:t>(3 )</w:t>
            </w:r>
          </w:p>
        </w:tc>
        <w:tc>
          <w:tcPr>
            <w:tcW w:w="840" w:type="dxa"/>
            <w:vAlign w:val="bottom"/>
            <w:shd w:val="clear" w:color="auto" w:fill="CFF0FC"/>
          </w:tcPr>
          <w:p>
            <w:pPr>
              <w:ind w:left="700"/>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shd w:val="clear" w:color="auto" w:fill="CFF0FC"/>
          </w:tcPr>
          <w:p>
            <w:pPr>
              <w:spacing w:after="0"/>
              <w:rPr>
                <w:sz w:val="10"/>
                <w:szCs w:val="10"/>
                <w:color w:val="auto"/>
              </w:rPr>
            </w:pPr>
          </w:p>
        </w:tc>
        <w:tc>
          <w:tcPr>
            <w:tcW w:w="920" w:type="dxa"/>
            <w:vAlign w:val="bottom"/>
            <w:gridSpan w:val="2"/>
            <w:shd w:val="clear" w:color="auto" w:fill="CFF0FC"/>
          </w:tcPr>
          <w:p>
            <w:pPr>
              <w:ind w:left="560"/>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23,748</w:t>
            </w:r>
          </w:p>
        </w:tc>
        <w:tc>
          <w:tcPr>
            <w:tcW w:w="220" w:type="dxa"/>
            <w:vAlign w:val="bottom"/>
            <w:shd w:val="clear" w:color="auto" w:fill="CFF0FC"/>
          </w:tcPr>
          <w:p>
            <w:pPr>
              <w:spacing w:after="0"/>
              <w:rPr>
                <w:sz w:val="10"/>
                <w:szCs w:val="10"/>
                <w:color w:val="auto"/>
              </w:rPr>
            </w:pPr>
          </w:p>
        </w:tc>
        <w:tc>
          <w:tcPr>
            <w:tcW w:w="110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0"/>
                <w:szCs w:val="10"/>
                <w:color w:val="auto"/>
              </w:rPr>
            </w:pPr>
          </w:p>
        </w:tc>
        <w:tc>
          <w:tcPr>
            <w:tcW w:w="104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1,574,492</w:t>
            </w:r>
          </w:p>
        </w:tc>
        <w:tc>
          <w:tcPr>
            <w:tcW w:w="100" w:type="dxa"/>
            <w:vAlign w:val="bottom"/>
            <w:shd w:val="clear" w:color="auto" w:fill="CFF0FC"/>
          </w:tcPr>
          <w:p>
            <w:pPr>
              <w:spacing w:after="0"/>
              <w:rPr>
                <w:sz w:val="10"/>
                <w:szCs w:val="10"/>
                <w:color w:val="auto"/>
              </w:rPr>
            </w:pPr>
          </w:p>
        </w:tc>
      </w:tr>
      <w:tr>
        <w:trPr>
          <w:trHeight w:val="171"/>
        </w:trPr>
        <w:tc>
          <w:tcPr>
            <w:tcW w:w="13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1/16/24</w:t>
            </w:r>
          </w:p>
        </w:tc>
        <w:tc>
          <w:tcPr>
            <w:tcW w:w="104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(4 )</w:t>
            </w:r>
          </w:p>
        </w:tc>
        <w:tc>
          <w:tcPr>
            <w:tcW w:w="84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34,533</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66.30</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1,577,122</w:t>
            </w:r>
          </w:p>
        </w:tc>
        <w:tc>
          <w:tcPr>
            <w:tcW w:w="100" w:type="dxa"/>
            <w:vAlign w:val="bottom"/>
            <w:shd w:val="clear" w:color="auto" w:fill="CFF0FC"/>
          </w:tcPr>
          <w:p>
            <w:pPr>
              <w:spacing w:after="0"/>
              <w:rPr>
                <w:sz w:val="14"/>
                <w:szCs w:val="14"/>
                <w:color w:val="auto"/>
              </w:rPr>
            </w:pPr>
          </w:p>
        </w:tc>
      </w:tr>
      <w:tr>
        <w:trPr>
          <w:trHeight w:val="135"/>
        </w:trPr>
        <w:tc>
          <w:tcPr>
            <w:tcW w:w="136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94" w:lineRule="exact"/>
        <w:rPr>
          <w:sz w:val="20"/>
          <w:szCs w:val="20"/>
          <w:color w:val="auto"/>
        </w:rPr>
      </w:pPr>
    </w:p>
    <w:p>
      <w:pPr>
        <w:ind w:left="520" w:hanging="512"/>
        <w:spacing w:after="0"/>
        <w:tabs>
          <w:tab w:leader="none" w:pos="52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exercise price of these stock options is equal to the closing price of our common stock on the Nasdaq Global Select Market on the grant date.</w:t>
      </w:r>
    </w:p>
    <w:p>
      <w:pPr>
        <w:spacing w:after="0" w:line="126" w:lineRule="exact"/>
        <w:rPr>
          <w:rFonts w:ascii="Times New Roman" w:cs="Times New Roman" w:eastAsia="Times New Roman" w:hAnsi="Times New Roman"/>
          <w:sz w:val="16"/>
          <w:szCs w:val="16"/>
          <w:color w:val="auto"/>
        </w:rPr>
      </w:pPr>
    </w:p>
    <w:p>
      <w:pPr>
        <w:ind w:left="520" w:right="360" w:hanging="512"/>
        <w:spacing w:after="0" w:line="272" w:lineRule="auto"/>
        <w:tabs>
          <w:tab w:leader="none" w:pos="52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represent the grant date market value of the restricted stock units and grant date fair value of stock options awarded to the named executive officers, calculated in accordance with FASB ASC Topic 718, which is determined by multiplying the market price of shares as of the date of the grant by the number of restricted stock units granted and the Black-Scholes value per share as of the date of grant by the number of stock options granted. For the assumptions made in determining these values, see Note 15 to the consolidated financial statements in our Annual Report on Form 10-K for the year ended December 31, 2024. For purposes of these calculations, we have disregarded the possibility of forfeitures related to service-based vesting conditions.</w:t>
      </w:r>
    </w:p>
    <w:p>
      <w:pPr>
        <w:spacing w:after="0" w:line="77" w:lineRule="exact"/>
        <w:rPr>
          <w:rFonts w:ascii="Times New Roman" w:cs="Times New Roman" w:eastAsia="Times New Roman" w:hAnsi="Times New Roman"/>
          <w:sz w:val="16"/>
          <w:szCs w:val="16"/>
          <w:color w:val="auto"/>
        </w:rPr>
      </w:pPr>
    </w:p>
    <w:p>
      <w:pPr>
        <w:ind w:left="520" w:right="160" w:hanging="512"/>
        <w:spacing w:after="0" w:line="298" w:lineRule="auto"/>
        <w:tabs>
          <w:tab w:leader="none" w:pos="52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shown reflect time-based restricted stock units granted pursuant to our 2017 Plan. These restricted stock units vest as to 25% of the shares on the first anniversary of the grant date and 25% on each anniversary of the grant date thereafter.</w:t>
      </w:r>
    </w:p>
    <w:p>
      <w:pPr>
        <w:spacing w:after="0" w:line="56" w:lineRule="exact"/>
        <w:rPr>
          <w:rFonts w:ascii="Times New Roman" w:cs="Times New Roman" w:eastAsia="Times New Roman" w:hAnsi="Times New Roman"/>
          <w:sz w:val="16"/>
          <w:szCs w:val="16"/>
          <w:color w:val="auto"/>
        </w:rPr>
      </w:pPr>
    </w:p>
    <w:p>
      <w:pPr>
        <w:ind w:left="520" w:hanging="512"/>
        <w:spacing w:after="0" w:line="281" w:lineRule="auto"/>
        <w:tabs>
          <w:tab w:leader="none" w:pos="52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shown reflect time-based stock options granted pursuant to our 2017 Plan. These options have a ten-year term and vest over four years with 25% vesting on the first anniversary of the grant date and the balance vesting thereafter in 36 equal monthly installments with the first such installment vesting on the date one month after the first anniversary of the grant date.</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2024 Fiscal Year End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outstanding equity awards held by our named executive officers as of December 31, 2024.</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1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1"/>
                <w:szCs w:val="11"/>
                <w:b w:val="1"/>
                <w:bCs w:val="1"/>
                <w:color w:val="auto"/>
                <w:w w:val="99"/>
              </w:rPr>
              <w:t>Option Awards</w:t>
            </w:r>
          </w:p>
        </w:tc>
        <w:tc>
          <w:tcPr>
            <w:tcW w:w="6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Stock Awards</w:t>
            </w:r>
          </w:p>
        </w:tc>
        <w:tc>
          <w:tcPr>
            <w:tcW w:w="20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gridSpan w:val="2"/>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3"/>
          </w:tcPr>
          <w:p>
            <w:pPr>
              <w:jc w:val="center"/>
              <w:ind w:right="400"/>
              <w:spacing w:after="0" w:line="122"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100" w:type="dxa"/>
            <w:vAlign w:val="bottom"/>
          </w:tcPr>
          <w:p>
            <w:pPr>
              <w:spacing w:after="0"/>
              <w:rPr>
                <w:sz w:val="10"/>
                <w:szCs w:val="10"/>
                <w:color w:val="auto"/>
              </w:rPr>
            </w:pPr>
          </w:p>
        </w:tc>
        <w:tc>
          <w:tcPr>
            <w:tcW w:w="62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Securities</w:t>
            </w:r>
          </w:p>
        </w:tc>
        <w:tc>
          <w:tcPr>
            <w:tcW w:w="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Equity incentive</w:t>
            </w:r>
          </w:p>
        </w:tc>
        <w:tc>
          <w:tcPr>
            <w:tcW w:w="200" w:type="dxa"/>
            <w:vAlign w:val="bottom"/>
          </w:tcPr>
          <w:p>
            <w:pPr>
              <w:spacing w:after="0"/>
              <w:rPr>
                <w:sz w:val="10"/>
                <w:szCs w:val="10"/>
                <w:color w:val="auto"/>
              </w:rPr>
            </w:pPr>
          </w:p>
        </w:tc>
        <w:tc>
          <w:tcPr>
            <w:tcW w:w="144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6"/>
              </w:rPr>
              <w:t>Equity incentive</w:t>
            </w:r>
          </w:p>
        </w:tc>
        <w:tc>
          <w:tcPr>
            <w:tcW w:w="0" w:type="dxa"/>
            <w:vAlign w:val="bottom"/>
          </w:tcPr>
          <w:p>
            <w:pPr>
              <w:spacing w:after="0"/>
              <w:rPr>
                <w:sz w:val="1"/>
                <w:szCs w:val="1"/>
                <w:color w:val="auto"/>
              </w:rPr>
            </w:pPr>
          </w:p>
        </w:tc>
      </w:tr>
      <w:tr>
        <w:trPr>
          <w:trHeight w:val="121"/>
        </w:trPr>
        <w:tc>
          <w:tcPr>
            <w:tcW w:w="1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3"/>
          </w:tcPr>
          <w:p>
            <w:pPr>
              <w:jc w:val="center"/>
              <w:ind w:right="400"/>
              <w:spacing w:after="0" w:line="122" w:lineRule="exact"/>
              <w:rPr>
                <w:sz w:val="20"/>
                <w:szCs w:val="20"/>
                <w:color w:val="auto"/>
              </w:rPr>
            </w:pPr>
            <w:r>
              <w:rPr>
                <w:rFonts w:ascii="Times New Roman" w:cs="Times New Roman" w:eastAsia="Times New Roman" w:hAnsi="Times New Roman"/>
                <w:sz w:val="11"/>
                <w:szCs w:val="11"/>
                <w:b w:val="1"/>
                <w:bCs w:val="1"/>
                <w:color w:val="auto"/>
              </w:rPr>
              <w:t>Securities</w:t>
            </w:r>
          </w:p>
        </w:tc>
        <w:tc>
          <w:tcPr>
            <w:tcW w:w="100" w:type="dxa"/>
            <w:vAlign w:val="bottom"/>
          </w:tcPr>
          <w:p>
            <w:pPr>
              <w:spacing w:after="0"/>
              <w:rPr>
                <w:sz w:val="10"/>
                <w:szCs w:val="10"/>
                <w:color w:val="auto"/>
              </w:rPr>
            </w:pPr>
          </w:p>
        </w:tc>
        <w:tc>
          <w:tcPr>
            <w:tcW w:w="62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Underlying</w:t>
            </w:r>
          </w:p>
        </w:tc>
        <w:tc>
          <w:tcPr>
            <w:tcW w:w="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200" w:type="dxa"/>
            <w:vAlign w:val="bottom"/>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Market Value</w:t>
            </w:r>
          </w:p>
        </w:tc>
        <w:tc>
          <w:tcPr>
            <w:tcW w:w="200" w:type="dxa"/>
            <w:vAlign w:val="bottom"/>
          </w:tcPr>
          <w:p>
            <w:pPr>
              <w:spacing w:after="0"/>
              <w:rPr>
                <w:sz w:val="10"/>
                <w:szCs w:val="10"/>
                <w:color w:val="auto"/>
              </w:rPr>
            </w:pPr>
          </w:p>
        </w:tc>
        <w:tc>
          <w:tcPr>
            <w:tcW w:w="10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plan awards:</w:t>
            </w:r>
          </w:p>
        </w:tc>
        <w:tc>
          <w:tcPr>
            <w:tcW w:w="200" w:type="dxa"/>
            <w:vAlign w:val="bottom"/>
          </w:tcPr>
          <w:p>
            <w:pPr>
              <w:spacing w:after="0"/>
              <w:rPr>
                <w:sz w:val="10"/>
                <w:szCs w:val="10"/>
                <w:color w:val="auto"/>
              </w:rPr>
            </w:pPr>
          </w:p>
        </w:tc>
        <w:tc>
          <w:tcPr>
            <w:tcW w:w="144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rPr>
              <w:t>plan awards:</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3"/>
          </w:tcPr>
          <w:p>
            <w:pPr>
              <w:jc w:val="center"/>
              <w:ind w:right="420"/>
              <w:spacing w:after="0" w:line="122" w:lineRule="exact"/>
              <w:rPr>
                <w:sz w:val="20"/>
                <w:szCs w:val="20"/>
                <w:color w:val="auto"/>
              </w:rPr>
            </w:pPr>
            <w:r>
              <w:rPr>
                <w:rFonts w:ascii="Times New Roman" w:cs="Times New Roman" w:eastAsia="Times New Roman" w:hAnsi="Times New Roman"/>
                <w:sz w:val="11"/>
                <w:szCs w:val="11"/>
                <w:b w:val="1"/>
                <w:bCs w:val="1"/>
                <w:color w:val="auto"/>
                <w:w w:val="97"/>
              </w:rPr>
              <w:t>Underlying</w:t>
            </w:r>
          </w:p>
        </w:tc>
        <w:tc>
          <w:tcPr>
            <w:tcW w:w="100" w:type="dxa"/>
            <w:vAlign w:val="bottom"/>
          </w:tcPr>
          <w:p>
            <w:pPr>
              <w:spacing w:after="0"/>
              <w:rPr>
                <w:sz w:val="10"/>
                <w:szCs w:val="10"/>
                <w:color w:val="auto"/>
              </w:rPr>
            </w:pPr>
          </w:p>
        </w:tc>
        <w:tc>
          <w:tcPr>
            <w:tcW w:w="62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Unexercised</w:t>
            </w:r>
          </w:p>
        </w:tc>
        <w:tc>
          <w:tcPr>
            <w:tcW w:w="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Shares or Units</w:t>
            </w:r>
          </w:p>
        </w:tc>
        <w:tc>
          <w:tcPr>
            <w:tcW w:w="200" w:type="dxa"/>
            <w:vAlign w:val="bottom"/>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of Shares or</w:t>
            </w:r>
          </w:p>
        </w:tc>
        <w:tc>
          <w:tcPr>
            <w:tcW w:w="200" w:type="dxa"/>
            <w:vAlign w:val="bottom"/>
          </w:tcPr>
          <w:p>
            <w:pPr>
              <w:spacing w:after="0"/>
              <w:rPr>
                <w:sz w:val="10"/>
                <w:szCs w:val="10"/>
                <w:color w:val="auto"/>
              </w:rPr>
            </w:pPr>
          </w:p>
        </w:tc>
        <w:tc>
          <w:tcPr>
            <w:tcW w:w="10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number of unearned</w:t>
            </w:r>
          </w:p>
        </w:tc>
        <w:tc>
          <w:tcPr>
            <w:tcW w:w="200" w:type="dxa"/>
            <w:vAlign w:val="bottom"/>
          </w:tcPr>
          <w:p>
            <w:pPr>
              <w:spacing w:after="0"/>
              <w:rPr>
                <w:sz w:val="10"/>
                <w:szCs w:val="10"/>
                <w:color w:val="auto"/>
              </w:rPr>
            </w:pPr>
          </w:p>
        </w:tc>
        <w:tc>
          <w:tcPr>
            <w:tcW w:w="144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9"/>
              </w:rPr>
              <w:t>market or payout</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3"/>
          </w:tcPr>
          <w:p>
            <w:pPr>
              <w:jc w:val="center"/>
              <w:ind w:right="400"/>
              <w:spacing w:after="0" w:line="122" w:lineRule="exact"/>
              <w:rPr>
                <w:sz w:val="20"/>
                <w:szCs w:val="20"/>
                <w:color w:val="auto"/>
              </w:rPr>
            </w:pPr>
            <w:r>
              <w:rPr>
                <w:rFonts w:ascii="Times New Roman" w:cs="Times New Roman" w:eastAsia="Times New Roman" w:hAnsi="Times New Roman"/>
                <w:sz w:val="11"/>
                <w:szCs w:val="11"/>
                <w:b w:val="1"/>
                <w:bCs w:val="1"/>
                <w:color w:val="auto"/>
              </w:rPr>
              <w:t>Unexercised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center"/>
              <w:ind w:right="30"/>
              <w:spacing w:after="0" w:line="122" w:lineRule="exact"/>
              <w:rPr>
                <w:sz w:val="20"/>
                <w:szCs w:val="20"/>
                <w:color w:val="auto"/>
              </w:rPr>
            </w:pPr>
            <w:r>
              <w:rPr>
                <w:rFonts w:ascii="Times New Roman" w:cs="Times New Roman" w:eastAsia="Times New Roman" w:hAnsi="Times New Roman"/>
                <w:sz w:val="11"/>
                <w:szCs w:val="11"/>
                <w:b w:val="1"/>
                <w:bCs w:val="1"/>
                <w:color w:val="auto"/>
              </w:rPr>
              <w:t>Options</w:t>
            </w:r>
          </w:p>
        </w:tc>
        <w:tc>
          <w:tcPr>
            <w:tcW w:w="50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Option</w:t>
            </w: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of Stock That</w:t>
            </w:r>
          </w:p>
        </w:tc>
        <w:tc>
          <w:tcPr>
            <w:tcW w:w="200" w:type="dxa"/>
            <w:vAlign w:val="bottom"/>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Units of Stock</w:t>
            </w:r>
          </w:p>
        </w:tc>
        <w:tc>
          <w:tcPr>
            <w:tcW w:w="200" w:type="dxa"/>
            <w:vAlign w:val="bottom"/>
          </w:tcPr>
          <w:p>
            <w:pPr>
              <w:spacing w:after="0"/>
              <w:rPr>
                <w:sz w:val="10"/>
                <w:szCs w:val="10"/>
                <w:color w:val="auto"/>
              </w:rPr>
            </w:pPr>
          </w:p>
        </w:tc>
        <w:tc>
          <w:tcPr>
            <w:tcW w:w="10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shares, units or</w:t>
            </w:r>
          </w:p>
        </w:tc>
        <w:tc>
          <w:tcPr>
            <w:tcW w:w="200" w:type="dxa"/>
            <w:vAlign w:val="bottom"/>
          </w:tcPr>
          <w:p>
            <w:pPr>
              <w:spacing w:after="0"/>
              <w:rPr>
                <w:sz w:val="10"/>
                <w:szCs w:val="10"/>
                <w:color w:val="auto"/>
              </w:rPr>
            </w:pPr>
          </w:p>
        </w:tc>
        <w:tc>
          <w:tcPr>
            <w:tcW w:w="144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7"/>
              </w:rPr>
              <w:t>value of unearned</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ind w:right="500"/>
              <w:spacing w:after="0" w:line="122" w:lineRule="exact"/>
              <w:rPr>
                <w:sz w:val="20"/>
                <w:szCs w:val="20"/>
                <w:color w:val="auto"/>
              </w:rPr>
            </w:pPr>
            <w:r>
              <w:rPr>
                <w:rFonts w:ascii="Times New Roman" w:cs="Times New Roman" w:eastAsia="Times New Roman" w:hAnsi="Times New Roman"/>
                <w:sz w:val="11"/>
                <w:szCs w:val="11"/>
                <w:b w:val="1"/>
                <w:bCs w:val="1"/>
                <w:color w:val="auto"/>
              </w:rPr>
              <w:t>Options</w:t>
            </w:r>
          </w:p>
        </w:tc>
        <w:tc>
          <w:tcPr>
            <w:tcW w:w="100" w:type="dxa"/>
            <w:vAlign w:val="bottom"/>
          </w:tcPr>
          <w:p>
            <w:pPr>
              <w:spacing w:after="0"/>
              <w:rPr>
                <w:sz w:val="10"/>
                <w:szCs w:val="10"/>
                <w:color w:val="auto"/>
              </w:rPr>
            </w:pPr>
          </w:p>
        </w:tc>
        <w:tc>
          <w:tcPr>
            <w:tcW w:w="62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Unexercisab</w:t>
            </w:r>
          </w:p>
        </w:tc>
        <w:tc>
          <w:tcPr>
            <w:tcW w:w="50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Exercise</w:t>
            </w:r>
          </w:p>
        </w:tc>
        <w:tc>
          <w:tcPr>
            <w:tcW w:w="22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Option</w:t>
            </w:r>
          </w:p>
        </w:tc>
        <w:tc>
          <w:tcPr>
            <w:tcW w:w="220" w:type="dxa"/>
            <w:vAlign w:val="bottom"/>
          </w:tcPr>
          <w:p>
            <w:pPr>
              <w:spacing w:after="0"/>
              <w:rPr>
                <w:sz w:val="10"/>
                <w:szCs w:val="10"/>
                <w:color w:val="auto"/>
              </w:rPr>
            </w:pPr>
          </w:p>
        </w:tc>
        <w:tc>
          <w:tcPr>
            <w:tcW w:w="9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4"/>
              </w:rPr>
              <w:t>Have Not</w:t>
            </w:r>
          </w:p>
        </w:tc>
        <w:tc>
          <w:tcPr>
            <w:tcW w:w="200" w:type="dxa"/>
            <w:vAlign w:val="bottom"/>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That Have Not</w:t>
            </w:r>
          </w:p>
        </w:tc>
        <w:tc>
          <w:tcPr>
            <w:tcW w:w="200" w:type="dxa"/>
            <w:vAlign w:val="bottom"/>
          </w:tcPr>
          <w:p>
            <w:pPr>
              <w:spacing w:after="0"/>
              <w:rPr>
                <w:sz w:val="10"/>
                <w:szCs w:val="10"/>
                <w:color w:val="auto"/>
              </w:rPr>
            </w:pPr>
          </w:p>
        </w:tc>
        <w:tc>
          <w:tcPr>
            <w:tcW w:w="10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other rights that</w:t>
            </w:r>
          </w:p>
        </w:tc>
        <w:tc>
          <w:tcPr>
            <w:tcW w:w="200" w:type="dxa"/>
            <w:vAlign w:val="bottom"/>
          </w:tcPr>
          <w:p>
            <w:pPr>
              <w:spacing w:after="0"/>
              <w:rPr>
                <w:sz w:val="10"/>
                <w:szCs w:val="10"/>
                <w:color w:val="auto"/>
              </w:rPr>
            </w:pPr>
          </w:p>
        </w:tc>
        <w:tc>
          <w:tcPr>
            <w:tcW w:w="144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8"/>
              </w:rPr>
              <w:t>shares, units or other</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ind w:right="129"/>
              <w:spacing w:after="0" w:line="122" w:lineRule="exact"/>
              <w:rPr>
                <w:sz w:val="20"/>
                <w:szCs w:val="20"/>
                <w:color w:val="auto"/>
              </w:rPr>
            </w:pPr>
            <w:r>
              <w:rPr>
                <w:rFonts w:ascii="Times New Roman" w:cs="Times New Roman" w:eastAsia="Times New Roman" w:hAnsi="Times New Roman"/>
                <w:sz w:val="11"/>
                <w:szCs w:val="11"/>
                <w:b w:val="1"/>
                <w:bCs w:val="1"/>
                <w:color w:val="auto"/>
              </w:rPr>
              <w:t>Grant</w:t>
            </w:r>
          </w:p>
        </w:tc>
        <w:tc>
          <w:tcPr>
            <w:tcW w:w="120" w:type="dxa"/>
            <w:vAlign w:val="bottom"/>
          </w:tcPr>
          <w:p>
            <w:pPr>
              <w:spacing w:after="0"/>
              <w:rPr>
                <w:sz w:val="10"/>
                <w:szCs w:val="10"/>
                <w:color w:val="auto"/>
              </w:rPr>
            </w:pPr>
          </w:p>
        </w:tc>
        <w:tc>
          <w:tcPr>
            <w:tcW w:w="1020" w:type="dxa"/>
            <w:vAlign w:val="bottom"/>
            <w:gridSpan w:val="3"/>
          </w:tcPr>
          <w:p>
            <w:pPr>
              <w:jc w:val="center"/>
              <w:ind w:right="440"/>
              <w:spacing w:after="0" w:line="122" w:lineRule="exact"/>
              <w:rPr>
                <w:sz w:val="20"/>
                <w:szCs w:val="20"/>
                <w:color w:val="auto"/>
              </w:rPr>
            </w:pPr>
            <w:r>
              <w:rPr>
                <w:rFonts w:ascii="Times New Roman" w:cs="Times New Roman" w:eastAsia="Times New Roman" w:hAnsi="Times New Roman"/>
                <w:sz w:val="11"/>
                <w:szCs w:val="11"/>
                <w:b w:val="1"/>
                <w:bCs w:val="1"/>
                <w:color w:val="auto"/>
                <w:w w:val="99"/>
              </w:rPr>
              <w:t>Exercisable</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center"/>
              <w:ind w:right="30"/>
              <w:spacing w:after="0" w:line="122" w:lineRule="exact"/>
              <w:rPr>
                <w:sz w:val="20"/>
                <w:szCs w:val="20"/>
                <w:color w:val="auto"/>
              </w:rPr>
            </w:pPr>
            <w:r>
              <w:rPr>
                <w:rFonts w:ascii="Times New Roman" w:cs="Times New Roman" w:eastAsia="Times New Roman" w:hAnsi="Times New Roman"/>
                <w:sz w:val="11"/>
                <w:szCs w:val="11"/>
                <w:b w:val="1"/>
                <w:bCs w:val="1"/>
                <w:color w:val="auto"/>
                <w:w w:val="74"/>
              </w:rPr>
              <w:t>le</w:t>
            </w:r>
          </w:p>
        </w:tc>
        <w:tc>
          <w:tcPr>
            <w:tcW w:w="50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Price</w:t>
            </w:r>
          </w:p>
        </w:tc>
        <w:tc>
          <w:tcPr>
            <w:tcW w:w="22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Expiration</w:t>
            </w:r>
          </w:p>
        </w:tc>
        <w:tc>
          <w:tcPr>
            <w:tcW w:w="220" w:type="dxa"/>
            <w:vAlign w:val="bottom"/>
          </w:tcPr>
          <w:p>
            <w:pPr>
              <w:spacing w:after="0"/>
              <w:rPr>
                <w:sz w:val="10"/>
                <w:szCs w:val="10"/>
                <w:color w:val="auto"/>
              </w:rPr>
            </w:pPr>
          </w:p>
        </w:tc>
        <w:tc>
          <w:tcPr>
            <w:tcW w:w="9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4"/>
              </w:rPr>
              <w:t>Vested</w:t>
            </w:r>
          </w:p>
        </w:tc>
        <w:tc>
          <w:tcPr>
            <w:tcW w:w="200" w:type="dxa"/>
            <w:vAlign w:val="bottom"/>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Vested</w:t>
            </w:r>
          </w:p>
        </w:tc>
        <w:tc>
          <w:tcPr>
            <w:tcW w:w="200" w:type="dxa"/>
            <w:vAlign w:val="bottom"/>
          </w:tcPr>
          <w:p>
            <w:pPr>
              <w:spacing w:after="0"/>
              <w:rPr>
                <w:sz w:val="10"/>
                <w:szCs w:val="10"/>
                <w:color w:val="auto"/>
              </w:rPr>
            </w:pPr>
          </w:p>
        </w:tc>
        <w:tc>
          <w:tcPr>
            <w:tcW w:w="10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have not vested</w:t>
            </w:r>
          </w:p>
        </w:tc>
        <w:tc>
          <w:tcPr>
            <w:tcW w:w="200" w:type="dxa"/>
            <w:vAlign w:val="bottom"/>
          </w:tcPr>
          <w:p>
            <w:pPr>
              <w:spacing w:after="0"/>
              <w:rPr>
                <w:sz w:val="10"/>
                <w:szCs w:val="10"/>
                <w:color w:val="auto"/>
              </w:rPr>
            </w:pPr>
          </w:p>
        </w:tc>
        <w:tc>
          <w:tcPr>
            <w:tcW w:w="144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7"/>
              </w:rPr>
              <w:t>rights that have not</w:t>
            </w:r>
          </w:p>
        </w:tc>
        <w:tc>
          <w:tcPr>
            <w:tcW w:w="0" w:type="dxa"/>
            <w:vAlign w:val="bottom"/>
          </w:tcPr>
          <w:p>
            <w:pPr>
              <w:spacing w:after="0"/>
              <w:rPr>
                <w:sz w:val="1"/>
                <w:szCs w:val="1"/>
                <w:color w:val="auto"/>
              </w:rPr>
            </w:pPr>
          </w:p>
        </w:tc>
      </w:tr>
      <w:tr>
        <w:trPr>
          <w:trHeight w:val="137"/>
        </w:trPr>
        <w:tc>
          <w:tcPr>
            <w:tcW w:w="15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Name</w:t>
            </w:r>
          </w:p>
        </w:tc>
        <w:tc>
          <w:tcPr>
            <w:tcW w:w="120" w:type="dxa"/>
            <w:vAlign w:val="bottom"/>
          </w:tcPr>
          <w:p>
            <w:pPr>
              <w:spacing w:after="0"/>
              <w:rPr>
                <w:sz w:val="11"/>
                <w:szCs w:val="11"/>
                <w:color w:val="auto"/>
              </w:rPr>
            </w:pPr>
          </w:p>
        </w:tc>
        <w:tc>
          <w:tcPr>
            <w:tcW w:w="70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1"/>
                <w:szCs w:val="11"/>
                <w:b w:val="1"/>
                <w:bCs w:val="1"/>
                <w:color w:val="auto"/>
              </w:rPr>
              <w:t>Date</w:t>
            </w:r>
          </w:p>
        </w:tc>
        <w:tc>
          <w:tcPr>
            <w:tcW w:w="120" w:type="dxa"/>
            <w:vAlign w:val="bottom"/>
          </w:tcPr>
          <w:p>
            <w:pPr>
              <w:spacing w:after="0"/>
              <w:rPr>
                <w:sz w:val="11"/>
                <w:szCs w:val="11"/>
                <w:color w:val="auto"/>
              </w:rPr>
            </w:pPr>
          </w:p>
        </w:tc>
        <w:tc>
          <w:tcPr>
            <w:tcW w:w="6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(#)(1)</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(#)(1)</w:t>
            </w:r>
          </w:p>
        </w:tc>
        <w:tc>
          <w:tcPr>
            <w:tcW w:w="500" w:type="dxa"/>
            <w:vAlign w:val="bottom"/>
          </w:tcPr>
          <w:p>
            <w:pPr>
              <w:spacing w:after="0"/>
              <w:rPr>
                <w:sz w:val="11"/>
                <w:szCs w:val="11"/>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($/share)</w:t>
            </w:r>
          </w:p>
        </w:tc>
        <w:tc>
          <w:tcPr>
            <w:tcW w:w="220" w:type="dxa"/>
            <w:vAlign w:val="bottom"/>
          </w:tcPr>
          <w:p>
            <w:pPr>
              <w:spacing w:after="0"/>
              <w:rPr>
                <w:sz w:val="11"/>
                <w:szCs w:val="11"/>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220" w:type="dxa"/>
            <w:vAlign w:val="bottom"/>
          </w:tcPr>
          <w:p>
            <w:pPr>
              <w:spacing w:after="0"/>
              <w:rPr>
                <w:sz w:val="11"/>
                <w:szCs w:val="11"/>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(#)(2)</w:t>
            </w:r>
          </w:p>
        </w:tc>
        <w:tc>
          <w:tcPr>
            <w:tcW w:w="200" w:type="dxa"/>
            <w:vAlign w:val="bottom"/>
          </w:tcPr>
          <w:p>
            <w:pPr>
              <w:spacing w:after="0"/>
              <w:rPr>
                <w:sz w:val="11"/>
                <w:szCs w:val="11"/>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($)(3)</w:t>
            </w:r>
          </w:p>
        </w:tc>
        <w:tc>
          <w:tcPr>
            <w:tcW w:w="200" w:type="dxa"/>
            <w:vAlign w:val="bottom"/>
          </w:tcPr>
          <w:p>
            <w:pPr>
              <w:spacing w:after="0"/>
              <w:rPr>
                <w:sz w:val="11"/>
                <w:szCs w:val="11"/>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200" w:type="dxa"/>
            <w:vAlign w:val="bottom"/>
          </w:tcPr>
          <w:p>
            <w:pPr>
              <w:spacing w:after="0"/>
              <w:rPr>
                <w:sz w:val="11"/>
                <w:szCs w:val="11"/>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vested ($)(3)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1500" w:type="dxa"/>
            <w:vAlign w:val="bottom"/>
            <w:gridSpan w:val="2"/>
            <w:shd w:val="clear" w:color="auto" w:fill="CFF0FC"/>
          </w:tcPr>
          <w:p>
            <w:pPr>
              <w:ind w:left="20"/>
              <w:spacing w:after="0" w:line="119" w:lineRule="exact"/>
              <w:rPr>
                <w:sz w:val="20"/>
                <w:szCs w:val="20"/>
                <w:color w:val="auto"/>
              </w:rPr>
            </w:pPr>
            <w:r>
              <w:rPr>
                <w:rFonts w:ascii="Times New Roman" w:cs="Times New Roman" w:eastAsia="Times New Roman" w:hAnsi="Times New Roman"/>
                <w:sz w:val="13"/>
                <w:szCs w:val="13"/>
                <w:color w:val="auto"/>
              </w:rPr>
              <w:t>Cedric Francois,</w:t>
            </w:r>
          </w:p>
        </w:tc>
        <w:tc>
          <w:tcPr>
            <w:tcW w:w="8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1/16/24</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20" w:type="dxa"/>
            <w:vAlign w:val="bottom"/>
            <w:gridSpan w:val="2"/>
            <w:vMerge w:val="restart"/>
            <w:shd w:val="clear" w:color="auto" w:fill="CFF0FC"/>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FF0FC"/>
          </w:tcPr>
          <w:p>
            <w:pPr>
              <w:spacing w:after="0"/>
              <w:rPr>
                <w:sz w:val="10"/>
                <w:szCs w:val="10"/>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72,094</w:t>
            </w:r>
          </w:p>
        </w:tc>
        <w:tc>
          <w:tcPr>
            <w:tcW w:w="10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2,300,520</w:t>
            </w:r>
          </w:p>
        </w:tc>
        <w:tc>
          <w:tcPr>
            <w:tcW w:w="20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ind w:left="92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0"/>
                <w:szCs w:val="10"/>
                <w:color w:val="auto"/>
              </w:rPr>
            </w:pPr>
          </w:p>
        </w:tc>
        <w:tc>
          <w:tcPr>
            <w:tcW w:w="1440" w:type="dxa"/>
            <w:vAlign w:val="bottom"/>
            <w:gridSpan w:val="2"/>
            <w:vMerge w:val="restart"/>
            <w:shd w:val="clear" w:color="auto" w:fill="CFF0FC"/>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500" w:type="dxa"/>
            <w:vAlign w:val="bottom"/>
            <w:gridSpan w:val="2"/>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M.D., Ph.D.</w:t>
            </w:r>
          </w:p>
        </w:tc>
        <w:tc>
          <w:tcPr>
            <w:tcW w:w="820" w:type="dxa"/>
            <w:vAlign w:val="bottom"/>
            <w:gridSpan w:val="2"/>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vMerge w:val="continue"/>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62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vMerge w:val="continue"/>
            <w:shd w:val="clear" w:color="auto" w:fill="CFF0FC"/>
          </w:tcPr>
          <w:p>
            <w:pPr>
              <w:spacing w:after="0"/>
              <w:rPr>
                <w:sz w:val="12"/>
                <w:szCs w:val="12"/>
                <w:color w:val="auto"/>
              </w:rPr>
            </w:pPr>
          </w:p>
        </w:tc>
        <w:tc>
          <w:tcPr>
            <w:tcW w:w="1140" w:type="dxa"/>
            <w:vAlign w:val="bottom"/>
            <w:gridSpan w:val="2"/>
            <w:vMerge w:val="continue"/>
            <w:shd w:val="clear" w:color="auto" w:fill="CFF0FC"/>
          </w:tcPr>
          <w:p>
            <w:pPr>
              <w:spacing w:after="0"/>
              <w:rPr>
                <w:sz w:val="12"/>
                <w:szCs w:val="12"/>
                <w:color w:val="auto"/>
              </w:rPr>
            </w:pPr>
          </w:p>
        </w:tc>
        <w:tc>
          <w:tcPr>
            <w:tcW w:w="1040" w:type="dxa"/>
            <w:vAlign w:val="bottom"/>
            <w:gridSpan w:val="2"/>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8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4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1/16/24</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104,834</w:t>
            </w:r>
          </w:p>
        </w:tc>
        <w:tc>
          <w:tcPr>
            <w:tcW w:w="5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66.30</w:t>
            </w:r>
          </w:p>
        </w:tc>
        <w:tc>
          <w:tcPr>
            <w:tcW w:w="8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1/15/34</w:t>
            </w:r>
          </w:p>
        </w:tc>
        <w:tc>
          <w:tcPr>
            <w:tcW w:w="22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080" w:type="dxa"/>
            <w:vAlign w:val="bottom"/>
            <w:shd w:val="clear" w:color="auto" w:fill="CFF0FC"/>
          </w:tcPr>
          <w:p>
            <w:pPr>
              <w:ind w:left="9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ind w:left="1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3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1/12/23</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FF0FC"/>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62,586</w:t>
            </w:r>
          </w:p>
        </w:tc>
        <w:tc>
          <w:tcPr>
            <w:tcW w:w="10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1,997,119</w:t>
            </w:r>
          </w:p>
        </w:tc>
        <w:tc>
          <w:tcPr>
            <w:tcW w:w="200" w:type="dxa"/>
            <w:vAlign w:val="bottom"/>
            <w:shd w:val="clear" w:color="auto" w:fill="CFF0FC"/>
          </w:tcPr>
          <w:p>
            <w:pPr>
              <w:spacing w:after="0"/>
              <w:rPr>
                <w:sz w:val="12"/>
                <w:szCs w:val="12"/>
                <w:color w:val="auto"/>
              </w:rPr>
            </w:pPr>
          </w:p>
        </w:tc>
        <w:tc>
          <w:tcPr>
            <w:tcW w:w="1080" w:type="dxa"/>
            <w:vAlign w:val="bottom"/>
            <w:shd w:val="clear" w:color="auto" w:fill="CFF0FC"/>
          </w:tcPr>
          <w:p>
            <w:pPr>
              <w:ind w:left="9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ind w:left="1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3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1/12/23</w:t>
            </w:r>
          </w:p>
        </w:tc>
        <w:tc>
          <w:tcPr>
            <w:tcW w:w="12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62,815</w:t>
            </w:r>
          </w:p>
        </w:tc>
        <w:tc>
          <w:tcPr>
            <w:tcW w:w="400" w:type="dxa"/>
            <w:vAlign w:val="bottom"/>
            <w:shd w:val="clear" w:color="auto" w:fill="CFF0FC"/>
          </w:tcPr>
          <w:p>
            <w:pPr>
              <w:spacing w:after="0"/>
              <w:rPr>
                <w:sz w:val="12"/>
                <w:szCs w:val="12"/>
                <w:color w:val="auto"/>
              </w:rPr>
            </w:pPr>
          </w:p>
        </w:tc>
        <w:tc>
          <w:tcPr>
            <w:tcW w:w="720" w:type="dxa"/>
            <w:vAlign w:val="bottom"/>
            <w:gridSpan w:val="3"/>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68,278</w:t>
            </w:r>
          </w:p>
        </w:tc>
        <w:tc>
          <w:tcPr>
            <w:tcW w:w="5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52.66</w:t>
            </w:r>
          </w:p>
        </w:tc>
        <w:tc>
          <w:tcPr>
            <w:tcW w:w="8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1/11/33</w:t>
            </w:r>
          </w:p>
        </w:tc>
        <w:tc>
          <w:tcPr>
            <w:tcW w:w="22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080" w:type="dxa"/>
            <w:vAlign w:val="bottom"/>
            <w:shd w:val="clear" w:color="auto" w:fill="CFF0FC"/>
          </w:tcPr>
          <w:p>
            <w:pPr>
              <w:ind w:left="9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ind w:left="1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3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1/21/22</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60,076</w:t>
            </w:r>
          </w:p>
        </w:tc>
        <w:tc>
          <w:tcPr>
            <w:tcW w:w="10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1,917,025</w:t>
            </w:r>
          </w:p>
        </w:tc>
        <w:tc>
          <w:tcPr>
            <w:tcW w:w="200" w:type="dxa"/>
            <w:vAlign w:val="bottom"/>
            <w:shd w:val="clear" w:color="auto" w:fill="CFF0FC"/>
          </w:tcPr>
          <w:p>
            <w:pPr>
              <w:spacing w:after="0"/>
              <w:rPr>
                <w:sz w:val="12"/>
                <w:szCs w:val="12"/>
                <w:color w:val="auto"/>
              </w:rPr>
            </w:pPr>
          </w:p>
        </w:tc>
        <w:tc>
          <w:tcPr>
            <w:tcW w:w="1080" w:type="dxa"/>
            <w:vAlign w:val="bottom"/>
            <w:shd w:val="clear" w:color="auto" w:fill="CFF0FC"/>
          </w:tcPr>
          <w:p>
            <w:pPr>
              <w:ind w:left="9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ind w:left="1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3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1/21/22</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124,250</w:t>
            </w:r>
          </w:p>
        </w:tc>
        <w:tc>
          <w:tcPr>
            <w:tcW w:w="400" w:type="dxa"/>
            <w:vAlign w:val="bottom"/>
            <w:shd w:val="clear" w:color="auto" w:fill="CFF0FC"/>
          </w:tcPr>
          <w:p>
            <w:pPr>
              <w:spacing w:after="0"/>
              <w:rPr>
                <w:sz w:val="12"/>
                <w:szCs w:val="12"/>
                <w:color w:val="auto"/>
              </w:rPr>
            </w:pPr>
          </w:p>
        </w:tc>
        <w:tc>
          <w:tcPr>
            <w:tcW w:w="720" w:type="dxa"/>
            <w:vAlign w:val="bottom"/>
            <w:gridSpan w:val="3"/>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46,150</w:t>
            </w:r>
          </w:p>
        </w:tc>
        <w:tc>
          <w:tcPr>
            <w:tcW w:w="5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35.46</w:t>
            </w:r>
          </w:p>
        </w:tc>
        <w:tc>
          <w:tcPr>
            <w:tcW w:w="8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1/20/32</w:t>
            </w:r>
          </w:p>
        </w:tc>
        <w:tc>
          <w:tcPr>
            <w:tcW w:w="22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080" w:type="dxa"/>
            <w:vAlign w:val="bottom"/>
            <w:shd w:val="clear" w:color="auto" w:fill="CFF0FC"/>
          </w:tcPr>
          <w:p>
            <w:pPr>
              <w:ind w:left="9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ind w:left="1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13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1/28/21</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6,250</w:t>
            </w:r>
          </w:p>
        </w:tc>
        <w:tc>
          <w:tcPr>
            <w:tcW w:w="10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199,438</w:t>
            </w:r>
          </w:p>
        </w:tc>
        <w:tc>
          <w:tcPr>
            <w:tcW w:w="200" w:type="dxa"/>
            <w:vAlign w:val="bottom"/>
            <w:shd w:val="clear" w:color="auto" w:fill="CFF0FC"/>
          </w:tcPr>
          <w:p>
            <w:pPr>
              <w:spacing w:after="0"/>
              <w:rPr>
                <w:sz w:val="12"/>
                <w:szCs w:val="12"/>
                <w:color w:val="auto"/>
              </w:rPr>
            </w:pPr>
          </w:p>
        </w:tc>
        <w:tc>
          <w:tcPr>
            <w:tcW w:w="1080" w:type="dxa"/>
            <w:vAlign w:val="bottom"/>
            <w:shd w:val="clear" w:color="auto" w:fill="CFF0FC"/>
          </w:tcPr>
          <w:p>
            <w:pPr>
              <w:ind w:left="9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ind w:left="1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3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1/28/21</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146,875</w:t>
            </w:r>
          </w:p>
        </w:tc>
        <w:tc>
          <w:tcPr>
            <w:tcW w:w="400" w:type="dxa"/>
            <w:vAlign w:val="bottom"/>
            <w:shd w:val="clear" w:color="auto" w:fill="CFF0FC"/>
          </w:tcPr>
          <w:p>
            <w:pPr>
              <w:spacing w:after="0"/>
              <w:rPr>
                <w:sz w:val="12"/>
                <w:szCs w:val="12"/>
                <w:color w:val="auto"/>
              </w:rPr>
            </w:pPr>
          </w:p>
        </w:tc>
        <w:tc>
          <w:tcPr>
            <w:tcW w:w="720" w:type="dxa"/>
            <w:vAlign w:val="bottom"/>
            <w:gridSpan w:val="3"/>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3,125</w:t>
            </w:r>
          </w:p>
        </w:tc>
        <w:tc>
          <w:tcPr>
            <w:tcW w:w="5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44.90</w:t>
            </w:r>
          </w:p>
        </w:tc>
        <w:tc>
          <w:tcPr>
            <w:tcW w:w="8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1/27/31</w:t>
            </w:r>
          </w:p>
        </w:tc>
        <w:tc>
          <w:tcPr>
            <w:tcW w:w="22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080" w:type="dxa"/>
            <w:vAlign w:val="bottom"/>
            <w:shd w:val="clear" w:color="auto" w:fill="CFF0FC"/>
          </w:tcPr>
          <w:p>
            <w:pPr>
              <w:ind w:left="9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ind w:left="1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3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2/10/20</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206,250</w:t>
            </w:r>
          </w:p>
        </w:tc>
        <w:tc>
          <w:tcPr>
            <w:tcW w:w="4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44.33</w:t>
            </w:r>
          </w:p>
        </w:tc>
        <w:tc>
          <w:tcPr>
            <w:tcW w:w="8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2/9/30</w:t>
            </w:r>
          </w:p>
        </w:tc>
        <w:tc>
          <w:tcPr>
            <w:tcW w:w="22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080" w:type="dxa"/>
            <w:vAlign w:val="bottom"/>
            <w:shd w:val="clear" w:color="auto" w:fill="CFF0FC"/>
          </w:tcPr>
          <w:p>
            <w:pPr>
              <w:ind w:left="9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ind w:left="1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3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2/8/19</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273,779</w:t>
            </w:r>
          </w:p>
        </w:tc>
        <w:tc>
          <w:tcPr>
            <w:tcW w:w="4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13.85</w:t>
            </w:r>
          </w:p>
        </w:tc>
        <w:tc>
          <w:tcPr>
            <w:tcW w:w="8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2/7/29</w:t>
            </w:r>
          </w:p>
        </w:tc>
        <w:tc>
          <w:tcPr>
            <w:tcW w:w="22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080" w:type="dxa"/>
            <w:vAlign w:val="bottom"/>
            <w:shd w:val="clear" w:color="auto" w:fill="CFF0FC"/>
          </w:tcPr>
          <w:p>
            <w:pPr>
              <w:ind w:left="9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ind w:left="1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3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2/16/18</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273,312</w:t>
            </w:r>
          </w:p>
        </w:tc>
        <w:tc>
          <w:tcPr>
            <w:tcW w:w="4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14.95</w:t>
            </w:r>
          </w:p>
        </w:tc>
        <w:tc>
          <w:tcPr>
            <w:tcW w:w="8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2/15/28</w:t>
            </w:r>
          </w:p>
        </w:tc>
        <w:tc>
          <w:tcPr>
            <w:tcW w:w="22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080" w:type="dxa"/>
            <w:vAlign w:val="bottom"/>
            <w:shd w:val="clear" w:color="auto" w:fill="CFF0FC"/>
          </w:tcPr>
          <w:p>
            <w:pPr>
              <w:ind w:left="9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ind w:left="1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3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8/21/17</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175,538</w:t>
            </w:r>
          </w:p>
        </w:tc>
        <w:tc>
          <w:tcPr>
            <w:tcW w:w="4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4.31</w:t>
            </w:r>
          </w:p>
        </w:tc>
        <w:tc>
          <w:tcPr>
            <w:tcW w:w="8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8/20/27</w:t>
            </w:r>
          </w:p>
        </w:tc>
        <w:tc>
          <w:tcPr>
            <w:tcW w:w="22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080" w:type="dxa"/>
            <w:vAlign w:val="bottom"/>
            <w:shd w:val="clear" w:color="auto" w:fill="CFF0FC"/>
          </w:tcPr>
          <w:p>
            <w:pPr>
              <w:ind w:left="9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ind w:left="1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3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2/8/16</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8,840</w:t>
            </w:r>
          </w:p>
        </w:tc>
        <w:tc>
          <w:tcPr>
            <w:tcW w:w="4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2/6/26</w:t>
            </w: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08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150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4"/>
                <w:szCs w:val="14"/>
                <w:color w:val="auto"/>
              </w:rPr>
              <w:t>Timothy Sullivan</w:t>
            </w:r>
          </w:p>
        </w:tc>
        <w:tc>
          <w:tcPr>
            <w:tcW w:w="120" w:type="dxa"/>
            <w:vAlign w:val="bottom"/>
          </w:tcPr>
          <w:p>
            <w:pPr>
              <w:spacing w:after="0"/>
              <w:rPr>
                <w:sz w:val="10"/>
                <w:szCs w:val="10"/>
                <w:color w:val="auto"/>
              </w:rPr>
            </w:pPr>
          </w:p>
        </w:tc>
        <w:tc>
          <w:tcPr>
            <w:tcW w:w="70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1/16/24</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0"/>
                <w:szCs w:val="10"/>
                <w:color w:val="auto"/>
              </w:rPr>
            </w:pPr>
          </w:p>
        </w:tc>
        <w:tc>
          <w:tcPr>
            <w:tcW w:w="6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6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23,748</w:t>
            </w:r>
          </w:p>
        </w:tc>
        <w:tc>
          <w:tcPr>
            <w:tcW w:w="104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757,799</w:t>
            </w:r>
          </w:p>
        </w:tc>
        <w:tc>
          <w:tcPr>
            <w:tcW w:w="200" w:type="dxa"/>
            <w:vAlign w:val="bottom"/>
          </w:tcPr>
          <w:p>
            <w:pPr>
              <w:spacing w:after="0"/>
              <w:rPr>
                <w:sz w:val="10"/>
                <w:szCs w:val="10"/>
                <w:color w:val="auto"/>
              </w:rPr>
            </w:pPr>
          </w:p>
        </w:tc>
        <w:tc>
          <w:tcPr>
            <w:tcW w:w="1080" w:type="dxa"/>
            <w:vAlign w:val="bottom"/>
          </w:tcPr>
          <w:p>
            <w:pPr>
              <w:ind w:left="920"/>
              <w:spacing w:after="0" w:line="126"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0"/>
                <w:szCs w:val="10"/>
                <w:color w:val="auto"/>
              </w:rPr>
            </w:pPr>
          </w:p>
        </w:tc>
        <w:tc>
          <w:tcPr>
            <w:tcW w:w="1440" w:type="dxa"/>
            <w:vAlign w:val="bottom"/>
            <w:gridSpan w:val="2"/>
          </w:tcPr>
          <w:p>
            <w:pPr>
              <w:ind w:left="11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1/16/24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34,533</w:t>
            </w:r>
          </w:p>
        </w:tc>
        <w:tc>
          <w:tcPr>
            <w:tcW w:w="5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66.30</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1/15/34</w:t>
            </w:r>
          </w:p>
        </w:tc>
        <w:tc>
          <w:tcPr>
            <w:tcW w:w="2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80" w:type="dxa"/>
            <w:vAlign w:val="bottom"/>
          </w:tcPr>
          <w:p>
            <w:pPr>
              <w:ind w:left="9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2"/>
                <w:szCs w:val="12"/>
                <w:color w:val="auto"/>
              </w:rPr>
            </w:pPr>
          </w:p>
        </w:tc>
        <w:tc>
          <w:tcPr>
            <w:tcW w:w="1440" w:type="dxa"/>
            <w:vAlign w:val="bottom"/>
            <w:gridSpan w:val="2"/>
          </w:tcPr>
          <w:p>
            <w:pPr>
              <w:ind w:left="1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1/12/23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20,616</w:t>
            </w:r>
          </w:p>
        </w:tc>
        <w:tc>
          <w:tcPr>
            <w:tcW w:w="10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657,857</w:t>
            </w:r>
          </w:p>
        </w:tc>
        <w:tc>
          <w:tcPr>
            <w:tcW w:w="200" w:type="dxa"/>
            <w:vAlign w:val="bottom"/>
          </w:tcPr>
          <w:p>
            <w:pPr>
              <w:spacing w:after="0"/>
              <w:rPr>
                <w:sz w:val="12"/>
                <w:szCs w:val="12"/>
                <w:color w:val="auto"/>
              </w:rPr>
            </w:pPr>
          </w:p>
        </w:tc>
        <w:tc>
          <w:tcPr>
            <w:tcW w:w="1080" w:type="dxa"/>
            <w:vAlign w:val="bottom"/>
          </w:tcPr>
          <w:p>
            <w:pPr>
              <w:ind w:left="9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2"/>
                <w:szCs w:val="12"/>
                <w:color w:val="auto"/>
              </w:rPr>
            </w:pPr>
          </w:p>
        </w:tc>
        <w:tc>
          <w:tcPr>
            <w:tcW w:w="1440" w:type="dxa"/>
            <w:vAlign w:val="bottom"/>
            <w:gridSpan w:val="2"/>
          </w:tcPr>
          <w:p>
            <w:pPr>
              <w:ind w:left="1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1/12/23</w:t>
            </w:r>
          </w:p>
        </w:tc>
        <w:tc>
          <w:tcPr>
            <w:tcW w:w="7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20,691</w:t>
            </w:r>
          </w:p>
        </w:tc>
        <w:tc>
          <w:tcPr>
            <w:tcW w:w="400" w:type="dxa"/>
            <w:vAlign w:val="bottom"/>
          </w:tcPr>
          <w:p>
            <w:pPr>
              <w:spacing w:after="0"/>
              <w:rPr>
                <w:sz w:val="12"/>
                <w:szCs w:val="12"/>
                <w:color w:val="auto"/>
              </w:rPr>
            </w:pPr>
          </w:p>
        </w:tc>
        <w:tc>
          <w:tcPr>
            <w:tcW w:w="7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22,492</w:t>
            </w:r>
          </w:p>
        </w:tc>
        <w:tc>
          <w:tcPr>
            <w:tcW w:w="5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52.66</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1/11/33</w:t>
            </w:r>
          </w:p>
        </w:tc>
        <w:tc>
          <w:tcPr>
            <w:tcW w:w="2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80" w:type="dxa"/>
            <w:vAlign w:val="bottom"/>
          </w:tcPr>
          <w:p>
            <w:pPr>
              <w:ind w:left="9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2"/>
                <w:szCs w:val="12"/>
                <w:color w:val="auto"/>
              </w:rPr>
            </w:pPr>
          </w:p>
        </w:tc>
        <w:tc>
          <w:tcPr>
            <w:tcW w:w="1440" w:type="dxa"/>
            <w:vAlign w:val="bottom"/>
            <w:gridSpan w:val="2"/>
          </w:tcPr>
          <w:p>
            <w:pPr>
              <w:ind w:left="1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1/21/22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21,236</w:t>
            </w:r>
          </w:p>
        </w:tc>
        <w:tc>
          <w:tcPr>
            <w:tcW w:w="10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677,641</w:t>
            </w:r>
          </w:p>
        </w:tc>
        <w:tc>
          <w:tcPr>
            <w:tcW w:w="200" w:type="dxa"/>
            <w:vAlign w:val="bottom"/>
          </w:tcPr>
          <w:p>
            <w:pPr>
              <w:spacing w:after="0"/>
              <w:rPr>
                <w:sz w:val="12"/>
                <w:szCs w:val="12"/>
                <w:color w:val="auto"/>
              </w:rPr>
            </w:pPr>
          </w:p>
        </w:tc>
        <w:tc>
          <w:tcPr>
            <w:tcW w:w="1080" w:type="dxa"/>
            <w:vAlign w:val="bottom"/>
          </w:tcPr>
          <w:p>
            <w:pPr>
              <w:ind w:left="9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2"/>
                <w:szCs w:val="12"/>
                <w:color w:val="auto"/>
              </w:rPr>
            </w:pPr>
          </w:p>
        </w:tc>
        <w:tc>
          <w:tcPr>
            <w:tcW w:w="1440" w:type="dxa"/>
            <w:vAlign w:val="bottom"/>
            <w:gridSpan w:val="2"/>
          </w:tcPr>
          <w:p>
            <w:pPr>
              <w:ind w:left="1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1/21/22</w:t>
            </w:r>
          </w:p>
        </w:tc>
        <w:tc>
          <w:tcPr>
            <w:tcW w:w="7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43,925</w:t>
            </w:r>
          </w:p>
        </w:tc>
        <w:tc>
          <w:tcPr>
            <w:tcW w:w="400" w:type="dxa"/>
            <w:vAlign w:val="bottom"/>
          </w:tcPr>
          <w:p>
            <w:pPr>
              <w:spacing w:after="0"/>
              <w:rPr>
                <w:sz w:val="12"/>
                <w:szCs w:val="12"/>
                <w:color w:val="auto"/>
              </w:rPr>
            </w:pPr>
          </w:p>
        </w:tc>
        <w:tc>
          <w:tcPr>
            <w:tcW w:w="7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16,317</w:t>
            </w:r>
          </w:p>
        </w:tc>
        <w:tc>
          <w:tcPr>
            <w:tcW w:w="5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35.46</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1/20/32</w:t>
            </w:r>
          </w:p>
        </w:tc>
        <w:tc>
          <w:tcPr>
            <w:tcW w:w="2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80" w:type="dxa"/>
            <w:vAlign w:val="bottom"/>
          </w:tcPr>
          <w:p>
            <w:pPr>
              <w:ind w:left="9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2"/>
                <w:szCs w:val="12"/>
                <w:color w:val="auto"/>
              </w:rPr>
            </w:pPr>
          </w:p>
        </w:tc>
        <w:tc>
          <w:tcPr>
            <w:tcW w:w="1440" w:type="dxa"/>
            <w:vAlign w:val="bottom"/>
            <w:gridSpan w:val="2"/>
          </w:tcPr>
          <w:p>
            <w:pPr>
              <w:ind w:left="1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1/28/21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1,875</w:t>
            </w:r>
          </w:p>
        </w:tc>
        <w:tc>
          <w:tcPr>
            <w:tcW w:w="10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59,831</w:t>
            </w:r>
          </w:p>
        </w:tc>
        <w:tc>
          <w:tcPr>
            <w:tcW w:w="200" w:type="dxa"/>
            <w:vAlign w:val="bottom"/>
          </w:tcPr>
          <w:p>
            <w:pPr>
              <w:spacing w:after="0"/>
              <w:rPr>
                <w:sz w:val="12"/>
                <w:szCs w:val="12"/>
                <w:color w:val="auto"/>
              </w:rPr>
            </w:pPr>
          </w:p>
        </w:tc>
        <w:tc>
          <w:tcPr>
            <w:tcW w:w="1080" w:type="dxa"/>
            <w:vAlign w:val="bottom"/>
          </w:tcPr>
          <w:p>
            <w:pPr>
              <w:ind w:left="9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2"/>
                <w:szCs w:val="12"/>
                <w:color w:val="auto"/>
              </w:rPr>
            </w:pPr>
          </w:p>
        </w:tc>
        <w:tc>
          <w:tcPr>
            <w:tcW w:w="1440" w:type="dxa"/>
            <w:vAlign w:val="bottom"/>
            <w:gridSpan w:val="2"/>
          </w:tcPr>
          <w:p>
            <w:pPr>
              <w:ind w:left="1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1/28/21</w:t>
            </w:r>
          </w:p>
        </w:tc>
        <w:tc>
          <w:tcPr>
            <w:tcW w:w="7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44,062</w:t>
            </w:r>
          </w:p>
        </w:tc>
        <w:tc>
          <w:tcPr>
            <w:tcW w:w="400" w:type="dxa"/>
            <w:vAlign w:val="bottom"/>
          </w:tcPr>
          <w:p>
            <w:pPr>
              <w:spacing w:after="0"/>
              <w:rPr>
                <w:sz w:val="12"/>
                <w:szCs w:val="12"/>
                <w:color w:val="auto"/>
              </w:rPr>
            </w:pPr>
          </w:p>
        </w:tc>
        <w:tc>
          <w:tcPr>
            <w:tcW w:w="7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938</w:t>
            </w:r>
          </w:p>
        </w:tc>
        <w:tc>
          <w:tcPr>
            <w:tcW w:w="5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44.90</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1/27/31</w:t>
            </w:r>
          </w:p>
        </w:tc>
        <w:tc>
          <w:tcPr>
            <w:tcW w:w="2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80" w:type="dxa"/>
            <w:vAlign w:val="bottom"/>
          </w:tcPr>
          <w:p>
            <w:pPr>
              <w:ind w:left="9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2"/>
                <w:szCs w:val="12"/>
                <w:color w:val="auto"/>
              </w:rPr>
            </w:pPr>
          </w:p>
        </w:tc>
        <w:tc>
          <w:tcPr>
            <w:tcW w:w="1440" w:type="dxa"/>
            <w:vAlign w:val="bottom"/>
            <w:gridSpan w:val="2"/>
          </w:tcPr>
          <w:p>
            <w:pPr>
              <w:ind w:left="1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2/10/20</w:t>
            </w:r>
          </w:p>
        </w:tc>
        <w:tc>
          <w:tcPr>
            <w:tcW w:w="7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70,125</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44.33</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2/9/30</w:t>
            </w:r>
          </w:p>
        </w:tc>
        <w:tc>
          <w:tcPr>
            <w:tcW w:w="2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80" w:type="dxa"/>
            <w:vAlign w:val="bottom"/>
          </w:tcPr>
          <w:p>
            <w:pPr>
              <w:ind w:left="9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2"/>
                <w:szCs w:val="12"/>
                <w:color w:val="auto"/>
              </w:rPr>
            </w:pPr>
          </w:p>
        </w:tc>
        <w:tc>
          <w:tcPr>
            <w:tcW w:w="1440" w:type="dxa"/>
            <w:vAlign w:val="bottom"/>
            <w:gridSpan w:val="2"/>
          </w:tcPr>
          <w:p>
            <w:pPr>
              <w:ind w:left="1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2/8/19</w:t>
            </w:r>
          </w:p>
        </w:tc>
        <w:tc>
          <w:tcPr>
            <w:tcW w:w="7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84,946</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13.85</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2/7/29</w:t>
            </w:r>
          </w:p>
        </w:tc>
        <w:tc>
          <w:tcPr>
            <w:tcW w:w="2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80" w:type="dxa"/>
            <w:vAlign w:val="bottom"/>
          </w:tcPr>
          <w:p>
            <w:pPr>
              <w:ind w:left="9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2"/>
                <w:szCs w:val="12"/>
                <w:color w:val="auto"/>
              </w:rPr>
            </w:pPr>
          </w:p>
        </w:tc>
        <w:tc>
          <w:tcPr>
            <w:tcW w:w="1440" w:type="dxa"/>
            <w:vAlign w:val="bottom"/>
            <w:gridSpan w:val="2"/>
          </w:tcPr>
          <w:p>
            <w:pPr>
              <w:ind w:left="1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2/16/18</w:t>
            </w:r>
          </w:p>
        </w:tc>
        <w:tc>
          <w:tcPr>
            <w:tcW w:w="7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23,958</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14.95</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2/15/28</w:t>
            </w:r>
          </w:p>
        </w:tc>
        <w:tc>
          <w:tcPr>
            <w:tcW w:w="2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80" w:type="dxa"/>
            <w:vAlign w:val="bottom"/>
          </w:tcPr>
          <w:p>
            <w:pPr>
              <w:ind w:left="9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2"/>
                <w:szCs w:val="12"/>
                <w:color w:val="auto"/>
              </w:rPr>
            </w:pPr>
          </w:p>
        </w:tc>
        <w:tc>
          <w:tcPr>
            <w:tcW w:w="1440" w:type="dxa"/>
            <w:vAlign w:val="bottom"/>
            <w:gridSpan w:val="2"/>
          </w:tcPr>
          <w:p>
            <w:pPr>
              <w:ind w:left="1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10/18/17</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257,903</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10/17/27</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080" w:type="dxa"/>
            <w:vAlign w:val="bottom"/>
          </w:tcPr>
          <w:p>
            <w:pPr>
              <w:ind w:left="92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4"/>
                <w:szCs w:val="14"/>
                <w:color w:val="auto"/>
              </w:rPr>
            </w:pPr>
          </w:p>
        </w:tc>
        <w:tc>
          <w:tcPr>
            <w:tcW w:w="144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1500" w:type="dxa"/>
            <w:vAlign w:val="bottom"/>
            <w:gridSpan w:val="2"/>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Caroline Baumal, M.D.</w:t>
            </w:r>
          </w:p>
        </w:tc>
        <w:tc>
          <w:tcPr>
            <w:tcW w:w="82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1/16/24</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20" w:type="dxa"/>
            <w:vAlign w:val="bottom"/>
            <w:gridSpan w:val="2"/>
            <w:shd w:val="clear" w:color="auto" w:fill="CFF0FC"/>
          </w:tcPr>
          <w:p>
            <w:pPr>
              <w:jc w:val="right"/>
              <w:ind w:right="4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25,445</w:t>
            </w:r>
          </w:p>
        </w:tc>
        <w:tc>
          <w:tcPr>
            <w:tcW w:w="104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811,950</w:t>
            </w:r>
          </w:p>
        </w:tc>
        <w:tc>
          <w:tcPr>
            <w:tcW w:w="200" w:type="dxa"/>
            <w:vAlign w:val="bottom"/>
            <w:shd w:val="clear" w:color="auto" w:fill="CFF0FC"/>
          </w:tcPr>
          <w:p>
            <w:pPr>
              <w:spacing w:after="0"/>
              <w:rPr>
                <w:sz w:val="10"/>
                <w:szCs w:val="10"/>
                <w:color w:val="auto"/>
              </w:rPr>
            </w:pPr>
          </w:p>
        </w:tc>
        <w:tc>
          <w:tcPr>
            <w:tcW w:w="1080" w:type="dxa"/>
            <w:vAlign w:val="bottom"/>
            <w:shd w:val="clear" w:color="auto" w:fill="CFF0FC"/>
          </w:tcPr>
          <w:p>
            <w:pPr>
              <w:ind w:left="920"/>
              <w:spacing w:after="0" w:line="126"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0"/>
                <w:szCs w:val="10"/>
                <w:color w:val="auto"/>
              </w:rPr>
            </w:pPr>
          </w:p>
        </w:tc>
        <w:tc>
          <w:tcPr>
            <w:tcW w:w="1440" w:type="dxa"/>
            <w:vAlign w:val="bottom"/>
            <w:gridSpan w:val="2"/>
            <w:shd w:val="clear" w:color="auto" w:fill="CFF0FC"/>
          </w:tcPr>
          <w:p>
            <w:pPr>
              <w:ind w:left="11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3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1/16/24</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37,000</w:t>
            </w:r>
          </w:p>
        </w:tc>
        <w:tc>
          <w:tcPr>
            <w:tcW w:w="5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66.30</w:t>
            </w:r>
          </w:p>
        </w:tc>
        <w:tc>
          <w:tcPr>
            <w:tcW w:w="8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1/15/34</w:t>
            </w:r>
          </w:p>
        </w:tc>
        <w:tc>
          <w:tcPr>
            <w:tcW w:w="22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080" w:type="dxa"/>
            <w:vAlign w:val="bottom"/>
            <w:shd w:val="clear" w:color="auto" w:fill="CFF0FC"/>
          </w:tcPr>
          <w:p>
            <w:pPr>
              <w:ind w:left="9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ind w:left="1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13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1/3/23</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ind w:left="3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FF0FC"/>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26,662</w:t>
            </w:r>
          </w:p>
        </w:tc>
        <w:tc>
          <w:tcPr>
            <w:tcW w:w="10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850,784</w:t>
            </w:r>
          </w:p>
        </w:tc>
        <w:tc>
          <w:tcPr>
            <w:tcW w:w="200" w:type="dxa"/>
            <w:vAlign w:val="bottom"/>
            <w:shd w:val="clear" w:color="auto" w:fill="CFF0FC"/>
          </w:tcPr>
          <w:p>
            <w:pPr>
              <w:spacing w:after="0"/>
              <w:rPr>
                <w:sz w:val="12"/>
                <w:szCs w:val="12"/>
                <w:color w:val="auto"/>
              </w:rPr>
            </w:pPr>
          </w:p>
        </w:tc>
        <w:tc>
          <w:tcPr>
            <w:tcW w:w="1080" w:type="dxa"/>
            <w:vAlign w:val="bottom"/>
            <w:shd w:val="clear" w:color="auto" w:fill="CFF0FC"/>
          </w:tcPr>
          <w:p>
            <w:pPr>
              <w:ind w:left="9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ind w:left="1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3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1/3/23</w:t>
            </w:r>
          </w:p>
        </w:tc>
        <w:tc>
          <w:tcPr>
            <w:tcW w:w="7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23,479</w:t>
            </w:r>
          </w:p>
        </w:tc>
        <w:tc>
          <w:tcPr>
            <w:tcW w:w="400" w:type="dxa"/>
            <w:vAlign w:val="bottom"/>
            <w:shd w:val="clear" w:color="auto" w:fill="CFF0FC"/>
          </w:tcPr>
          <w:p>
            <w:pPr>
              <w:spacing w:after="0"/>
              <w:rPr>
                <w:sz w:val="14"/>
                <w:szCs w:val="14"/>
                <w:color w:val="auto"/>
              </w:rPr>
            </w:pPr>
          </w:p>
        </w:tc>
        <w:tc>
          <w:tcPr>
            <w:tcW w:w="7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25,521</w:t>
            </w:r>
          </w:p>
        </w:tc>
        <w:tc>
          <w:tcPr>
            <w:tcW w:w="5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50.28</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1/2/33</w:t>
            </w: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08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150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4"/>
                <w:szCs w:val="14"/>
                <w:color w:val="auto"/>
              </w:rPr>
              <w:t>David Watson</w:t>
            </w:r>
          </w:p>
        </w:tc>
        <w:tc>
          <w:tcPr>
            <w:tcW w:w="120" w:type="dxa"/>
            <w:vAlign w:val="bottom"/>
          </w:tcPr>
          <w:p>
            <w:pPr>
              <w:spacing w:after="0"/>
              <w:rPr>
                <w:sz w:val="10"/>
                <w:szCs w:val="10"/>
                <w:color w:val="auto"/>
              </w:rPr>
            </w:pPr>
          </w:p>
        </w:tc>
        <w:tc>
          <w:tcPr>
            <w:tcW w:w="70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1/16/24</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right"/>
              <w:ind w:right="4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0"/>
                <w:szCs w:val="10"/>
                <w:color w:val="auto"/>
              </w:rPr>
            </w:pPr>
          </w:p>
        </w:tc>
        <w:tc>
          <w:tcPr>
            <w:tcW w:w="6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6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23,748</w:t>
            </w:r>
          </w:p>
        </w:tc>
        <w:tc>
          <w:tcPr>
            <w:tcW w:w="104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757,799</w:t>
            </w:r>
          </w:p>
        </w:tc>
        <w:tc>
          <w:tcPr>
            <w:tcW w:w="200" w:type="dxa"/>
            <w:vAlign w:val="bottom"/>
          </w:tcPr>
          <w:p>
            <w:pPr>
              <w:spacing w:after="0"/>
              <w:rPr>
                <w:sz w:val="10"/>
                <w:szCs w:val="10"/>
                <w:color w:val="auto"/>
              </w:rPr>
            </w:pPr>
          </w:p>
        </w:tc>
        <w:tc>
          <w:tcPr>
            <w:tcW w:w="1080" w:type="dxa"/>
            <w:vAlign w:val="bottom"/>
          </w:tcPr>
          <w:p>
            <w:pPr>
              <w:ind w:left="920"/>
              <w:spacing w:after="0" w:line="126"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0"/>
                <w:szCs w:val="10"/>
                <w:color w:val="auto"/>
              </w:rPr>
            </w:pPr>
          </w:p>
        </w:tc>
        <w:tc>
          <w:tcPr>
            <w:tcW w:w="1440" w:type="dxa"/>
            <w:vAlign w:val="bottom"/>
            <w:gridSpan w:val="2"/>
          </w:tcPr>
          <w:p>
            <w:pPr>
              <w:ind w:left="11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1/16/24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34,533</w:t>
            </w:r>
          </w:p>
        </w:tc>
        <w:tc>
          <w:tcPr>
            <w:tcW w:w="5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66.30</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1/15/34</w:t>
            </w:r>
          </w:p>
        </w:tc>
        <w:tc>
          <w:tcPr>
            <w:tcW w:w="2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80" w:type="dxa"/>
            <w:vAlign w:val="bottom"/>
          </w:tcPr>
          <w:p>
            <w:pPr>
              <w:ind w:left="9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2"/>
                <w:szCs w:val="12"/>
                <w:color w:val="auto"/>
              </w:rPr>
            </w:pPr>
          </w:p>
        </w:tc>
        <w:tc>
          <w:tcPr>
            <w:tcW w:w="1440" w:type="dxa"/>
            <w:vAlign w:val="bottom"/>
            <w:gridSpan w:val="2"/>
          </w:tcPr>
          <w:p>
            <w:pPr>
              <w:ind w:left="1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1/12/23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40,092</w:t>
            </w:r>
          </w:p>
        </w:tc>
        <w:tc>
          <w:tcPr>
            <w:tcW w:w="10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1,279,336</w:t>
            </w:r>
          </w:p>
        </w:tc>
        <w:tc>
          <w:tcPr>
            <w:tcW w:w="200" w:type="dxa"/>
            <w:vAlign w:val="bottom"/>
          </w:tcPr>
          <w:p>
            <w:pPr>
              <w:spacing w:after="0"/>
              <w:rPr>
                <w:sz w:val="12"/>
                <w:szCs w:val="12"/>
                <w:color w:val="auto"/>
              </w:rPr>
            </w:pPr>
          </w:p>
        </w:tc>
        <w:tc>
          <w:tcPr>
            <w:tcW w:w="1080" w:type="dxa"/>
            <w:vAlign w:val="bottom"/>
          </w:tcPr>
          <w:p>
            <w:pPr>
              <w:ind w:left="9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2"/>
                <w:szCs w:val="12"/>
                <w:color w:val="auto"/>
              </w:rPr>
            </w:pPr>
          </w:p>
        </w:tc>
        <w:tc>
          <w:tcPr>
            <w:tcW w:w="1440" w:type="dxa"/>
            <w:vAlign w:val="bottom"/>
            <w:gridSpan w:val="2"/>
          </w:tcPr>
          <w:p>
            <w:pPr>
              <w:ind w:left="1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1/12/23</w:t>
            </w:r>
          </w:p>
        </w:tc>
        <w:tc>
          <w:tcPr>
            <w:tcW w:w="7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18,068</w:t>
            </w:r>
          </w:p>
        </w:tc>
        <w:tc>
          <w:tcPr>
            <w:tcW w:w="400" w:type="dxa"/>
            <w:vAlign w:val="bottom"/>
          </w:tcPr>
          <w:p>
            <w:pPr>
              <w:spacing w:after="0"/>
              <w:rPr>
                <w:sz w:val="12"/>
                <w:szCs w:val="12"/>
                <w:color w:val="auto"/>
              </w:rPr>
            </w:pPr>
          </w:p>
        </w:tc>
        <w:tc>
          <w:tcPr>
            <w:tcW w:w="7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19,640</w:t>
            </w:r>
          </w:p>
        </w:tc>
        <w:tc>
          <w:tcPr>
            <w:tcW w:w="5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52.66</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1/11/33</w:t>
            </w:r>
          </w:p>
        </w:tc>
        <w:tc>
          <w:tcPr>
            <w:tcW w:w="2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80" w:type="dxa"/>
            <w:vAlign w:val="bottom"/>
          </w:tcPr>
          <w:p>
            <w:pPr>
              <w:ind w:left="9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2"/>
                <w:szCs w:val="12"/>
                <w:color w:val="auto"/>
              </w:rPr>
            </w:pPr>
          </w:p>
        </w:tc>
        <w:tc>
          <w:tcPr>
            <w:tcW w:w="1440" w:type="dxa"/>
            <w:vAlign w:val="bottom"/>
            <w:gridSpan w:val="2"/>
          </w:tcPr>
          <w:p>
            <w:pPr>
              <w:ind w:left="1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1/21/22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17,969</w:t>
            </w:r>
          </w:p>
        </w:tc>
        <w:tc>
          <w:tcPr>
            <w:tcW w:w="10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573,391</w:t>
            </w:r>
          </w:p>
        </w:tc>
        <w:tc>
          <w:tcPr>
            <w:tcW w:w="200" w:type="dxa"/>
            <w:vAlign w:val="bottom"/>
          </w:tcPr>
          <w:p>
            <w:pPr>
              <w:spacing w:after="0"/>
              <w:rPr>
                <w:sz w:val="12"/>
                <w:szCs w:val="12"/>
                <w:color w:val="auto"/>
              </w:rPr>
            </w:pPr>
          </w:p>
        </w:tc>
        <w:tc>
          <w:tcPr>
            <w:tcW w:w="1080" w:type="dxa"/>
            <w:vAlign w:val="bottom"/>
          </w:tcPr>
          <w:p>
            <w:pPr>
              <w:ind w:left="9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2"/>
                <w:szCs w:val="12"/>
                <w:color w:val="auto"/>
              </w:rPr>
            </w:pPr>
          </w:p>
        </w:tc>
        <w:tc>
          <w:tcPr>
            <w:tcW w:w="1440" w:type="dxa"/>
            <w:vAlign w:val="bottom"/>
            <w:gridSpan w:val="2"/>
          </w:tcPr>
          <w:p>
            <w:pPr>
              <w:ind w:left="1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1/21/22</w:t>
            </w:r>
          </w:p>
        </w:tc>
        <w:tc>
          <w:tcPr>
            <w:tcW w:w="7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37,166</w:t>
            </w:r>
          </w:p>
        </w:tc>
        <w:tc>
          <w:tcPr>
            <w:tcW w:w="400" w:type="dxa"/>
            <w:vAlign w:val="bottom"/>
          </w:tcPr>
          <w:p>
            <w:pPr>
              <w:spacing w:after="0"/>
              <w:rPr>
                <w:sz w:val="12"/>
                <w:szCs w:val="12"/>
                <w:color w:val="auto"/>
              </w:rPr>
            </w:pPr>
          </w:p>
        </w:tc>
        <w:tc>
          <w:tcPr>
            <w:tcW w:w="7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13,808</w:t>
            </w:r>
          </w:p>
        </w:tc>
        <w:tc>
          <w:tcPr>
            <w:tcW w:w="5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35.46</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1/20/32</w:t>
            </w:r>
          </w:p>
        </w:tc>
        <w:tc>
          <w:tcPr>
            <w:tcW w:w="2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80" w:type="dxa"/>
            <w:vAlign w:val="bottom"/>
          </w:tcPr>
          <w:p>
            <w:pPr>
              <w:ind w:left="9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2"/>
                <w:szCs w:val="12"/>
                <w:color w:val="auto"/>
              </w:rPr>
            </w:pPr>
          </w:p>
        </w:tc>
        <w:tc>
          <w:tcPr>
            <w:tcW w:w="1440" w:type="dxa"/>
            <w:vAlign w:val="bottom"/>
            <w:gridSpan w:val="2"/>
          </w:tcPr>
          <w:p>
            <w:pPr>
              <w:ind w:left="1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1/28/21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1,875</w:t>
            </w:r>
          </w:p>
        </w:tc>
        <w:tc>
          <w:tcPr>
            <w:tcW w:w="10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59,831</w:t>
            </w:r>
          </w:p>
        </w:tc>
        <w:tc>
          <w:tcPr>
            <w:tcW w:w="200" w:type="dxa"/>
            <w:vAlign w:val="bottom"/>
          </w:tcPr>
          <w:p>
            <w:pPr>
              <w:spacing w:after="0"/>
              <w:rPr>
                <w:sz w:val="12"/>
                <w:szCs w:val="12"/>
                <w:color w:val="auto"/>
              </w:rPr>
            </w:pPr>
          </w:p>
        </w:tc>
        <w:tc>
          <w:tcPr>
            <w:tcW w:w="1080" w:type="dxa"/>
            <w:vAlign w:val="bottom"/>
          </w:tcPr>
          <w:p>
            <w:pPr>
              <w:ind w:left="9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2"/>
                <w:szCs w:val="12"/>
                <w:color w:val="auto"/>
              </w:rPr>
            </w:pPr>
          </w:p>
        </w:tc>
        <w:tc>
          <w:tcPr>
            <w:tcW w:w="1440" w:type="dxa"/>
            <w:vAlign w:val="bottom"/>
            <w:gridSpan w:val="2"/>
          </w:tcPr>
          <w:p>
            <w:pPr>
              <w:ind w:left="1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1/28/21</w:t>
            </w:r>
          </w:p>
        </w:tc>
        <w:tc>
          <w:tcPr>
            <w:tcW w:w="7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44,062</w:t>
            </w:r>
          </w:p>
        </w:tc>
        <w:tc>
          <w:tcPr>
            <w:tcW w:w="400" w:type="dxa"/>
            <w:vAlign w:val="bottom"/>
          </w:tcPr>
          <w:p>
            <w:pPr>
              <w:spacing w:after="0"/>
              <w:rPr>
                <w:sz w:val="12"/>
                <w:szCs w:val="12"/>
                <w:color w:val="auto"/>
              </w:rPr>
            </w:pPr>
          </w:p>
        </w:tc>
        <w:tc>
          <w:tcPr>
            <w:tcW w:w="7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938</w:t>
            </w:r>
          </w:p>
        </w:tc>
        <w:tc>
          <w:tcPr>
            <w:tcW w:w="5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44.90</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1/27/31</w:t>
            </w:r>
          </w:p>
        </w:tc>
        <w:tc>
          <w:tcPr>
            <w:tcW w:w="2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80" w:type="dxa"/>
            <w:vAlign w:val="bottom"/>
          </w:tcPr>
          <w:p>
            <w:pPr>
              <w:ind w:left="9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2"/>
                <w:szCs w:val="12"/>
                <w:color w:val="auto"/>
              </w:rPr>
            </w:pPr>
          </w:p>
        </w:tc>
        <w:tc>
          <w:tcPr>
            <w:tcW w:w="1440" w:type="dxa"/>
            <w:vAlign w:val="bottom"/>
            <w:gridSpan w:val="2"/>
          </w:tcPr>
          <w:p>
            <w:pPr>
              <w:ind w:left="1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2/10/20</w:t>
            </w:r>
          </w:p>
        </w:tc>
        <w:tc>
          <w:tcPr>
            <w:tcW w:w="7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38,250</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44.33</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2/9/30</w:t>
            </w:r>
          </w:p>
        </w:tc>
        <w:tc>
          <w:tcPr>
            <w:tcW w:w="2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80" w:type="dxa"/>
            <w:vAlign w:val="bottom"/>
          </w:tcPr>
          <w:p>
            <w:pPr>
              <w:ind w:left="9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2"/>
                <w:szCs w:val="12"/>
                <w:color w:val="auto"/>
              </w:rPr>
            </w:pPr>
          </w:p>
        </w:tc>
        <w:tc>
          <w:tcPr>
            <w:tcW w:w="1440" w:type="dxa"/>
            <w:vAlign w:val="bottom"/>
            <w:gridSpan w:val="2"/>
          </w:tcPr>
          <w:p>
            <w:pPr>
              <w:ind w:left="1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2/16/18</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14,888</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2/15/28</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080" w:type="dxa"/>
            <w:vAlign w:val="bottom"/>
          </w:tcPr>
          <w:p>
            <w:pPr>
              <w:ind w:left="92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4"/>
                <w:szCs w:val="14"/>
                <w:color w:val="auto"/>
              </w:rPr>
            </w:pPr>
          </w:p>
        </w:tc>
        <w:tc>
          <w:tcPr>
            <w:tcW w:w="144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1500" w:type="dxa"/>
            <w:vAlign w:val="bottom"/>
            <w:gridSpan w:val="2"/>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Adam Townsend</w:t>
            </w:r>
          </w:p>
        </w:tc>
        <w:tc>
          <w:tcPr>
            <w:tcW w:w="82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1/16/24</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20" w:type="dxa"/>
            <w:vAlign w:val="bottom"/>
            <w:gridSpan w:val="2"/>
            <w:shd w:val="clear" w:color="auto" w:fill="CFF0FC"/>
          </w:tcPr>
          <w:p>
            <w:pPr>
              <w:jc w:val="right"/>
              <w:ind w:right="4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23,748</w:t>
            </w:r>
          </w:p>
        </w:tc>
        <w:tc>
          <w:tcPr>
            <w:tcW w:w="104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757,799</w:t>
            </w:r>
          </w:p>
        </w:tc>
        <w:tc>
          <w:tcPr>
            <w:tcW w:w="200" w:type="dxa"/>
            <w:vAlign w:val="bottom"/>
            <w:shd w:val="clear" w:color="auto" w:fill="CFF0FC"/>
          </w:tcPr>
          <w:p>
            <w:pPr>
              <w:spacing w:after="0"/>
              <w:rPr>
                <w:sz w:val="10"/>
                <w:szCs w:val="10"/>
                <w:color w:val="auto"/>
              </w:rPr>
            </w:pPr>
          </w:p>
        </w:tc>
        <w:tc>
          <w:tcPr>
            <w:tcW w:w="1080" w:type="dxa"/>
            <w:vAlign w:val="bottom"/>
            <w:shd w:val="clear" w:color="auto" w:fill="CFF0FC"/>
          </w:tcPr>
          <w:p>
            <w:pPr>
              <w:ind w:left="920"/>
              <w:spacing w:after="0" w:line="126"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0"/>
                <w:szCs w:val="10"/>
                <w:color w:val="auto"/>
              </w:rPr>
            </w:pPr>
          </w:p>
        </w:tc>
        <w:tc>
          <w:tcPr>
            <w:tcW w:w="1440" w:type="dxa"/>
            <w:vAlign w:val="bottom"/>
            <w:gridSpan w:val="2"/>
            <w:shd w:val="clear" w:color="auto" w:fill="CFF0FC"/>
          </w:tcPr>
          <w:p>
            <w:pPr>
              <w:ind w:left="11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13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1/16/24</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34,533</w:t>
            </w:r>
          </w:p>
        </w:tc>
        <w:tc>
          <w:tcPr>
            <w:tcW w:w="5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66.30</w:t>
            </w:r>
          </w:p>
        </w:tc>
        <w:tc>
          <w:tcPr>
            <w:tcW w:w="8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1/15/34</w:t>
            </w:r>
          </w:p>
        </w:tc>
        <w:tc>
          <w:tcPr>
            <w:tcW w:w="22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080" w:type="dxa"/>
            <w:vAlign w:val="bottom"/>
            <w:shd w:val="clear" w:color="auto" w:fill="CFF0FC"/>
          </w:tcPr>
          <w:p>
            <w:pPr>
              <w:ind w:left="9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ind w:left="1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3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1/12/23</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20,616</w:t>
            </w:r>
          </w:p>
        </w:tc>
        <w:tc>
          <w:tcPr>
            <w:tcW w:w="10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657,857</w:t>
            </w:r>
          </w:p>
        </w:tc>
        <w:tc>
          <w:tcPr>
            <w:tcW w:w="200" w:type="dxa"/>
            <w:vAlign w:val="bottom"/>
            <w:shd w:val="clear" w:color="auto" w:fill="CFF0FC"/>
          </w:tcPr>
          <w:p>
            <w:pPr>
              <w:spacing w:after="0"/>
              <w:rPr>
                <w:sz w:val="12"/>
                <w:szCs w:val="12"/>
                <w:color w:val="auto"/>
              </w:rPr>
            </w:pPr>
          </w:p>
        </w:tc>
        <w:tc>
          <w:tcPr>
            <w:tcW w:w="1080" w:type="dxa"/>
            <w:vAlign w:val="bottom"/>
            <w:shd w:val="clear" w:color="auto" w:fill="CFF0FC"/>
          </w:tcPr>
          <w:p>
            <w:pPr>
              <w:ind w:left="9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ind w:left="1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3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1/12/23</w:t>
            </w:r>
          </w:p>
        </w:tc>
        <w:tc>
          <w:tcPr>
            <w:tcW w:w="12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20,691</w:t>
            </w:r>
          </w:p>
        </w:tc>
        <w:tc>
          <w:tcPr>
            <w:tcW w:w="400" w:type="dxa"/>
            <w:vAlign w:val="bottom"/>
            <w:shd w:val="clear" w:color="auto" w:fill="CFF0FC"/>
          </w:tcPr>
          <w:p>
            <w:pPr>
              <w:spacing w:after="0"/>
              <w:rPr>
                <w:sz w:val="12"/>
                <w:szCs w:val="12"/>
                <w:color w:val="auto"/>
              </w:rPr>
            </w:pPr>
          </w:p>
        </w:tc>
        <w:tc>
          <w:tcPr>
            <w:tcW w:w="720" w:type="dxa"/>
            <w:vAlign w:val="bottom"/>
            <w:gridSpan w:val="3"/>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22,492</w:t>
            </w:r>
          </w:p>
        </w:tc>
        <w:tc>
          <w:tcPr>
            <w:tcW w:w="5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52.66</w:t>
            </w:r>
          </w:p>
        </w:tc>
        <w:tc>
          <w:tcPr>
            <w:tcW w:w="8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1/11/33</w:t>
            </w:r>
          </w:p>
        </w:tc>
        <w:tc>
          <w:tcPr>
            <w:tcW w:w="22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080" w:type="dxa"/>
            <w:vAlign w:val="bottom"/>
            <w:shd w:val="clear" w:color="auto" w:fill="CFF0FC"/>
          </w:tcPr>
          <w:p>
            <w:pPr>
              <w:ind w:left="9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ind w:left="1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13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1/21/22</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17,969</w:t>
            </w:r>
          </w:p>
        </w:tc>
        <w:tc>
          <w:tcPr>
            <w:tcW w:w="10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573,391</w:t>
            </w:r>
          </w:p>
        </w:tc>
        <w:tc>
          <w:tcPr>
            <w:tcW w:w="200" w:type="dxa"/>
            <w:vAlign w:val="bottom"/>
            <w:shd w:val="clear" w:color="auto" w:fill="CFF0FC"/>
          </w:tcPr>
          <w:p>
            <w:pPr>
              <w:spacing w:after="0"/>
              <w:rPr>
                <w:sz w:val="12"/>
                <w:szCs w:val="12"/>
                <w:color w:val="auto"/>
              </w:rPr>
            </w:pPr>
          </w:p>
        </w:tc>
        <w:tc>
          <w:tcPr>
            <w:tcW w:w="1080" w:type="dxa"/>
            <w:vAlign w:val="bottom"/>
            <w:shd w:val="clear" w:color="auto" w:fill="CFF0FC"/>
          </w:tcPr>
          <w:p>
            <w:pPr>
              <w:ind w:left="9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ind w:left="1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3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1/21/22</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37,166</w:t>
            </w:r>
          </w:p>
        </w:tc>
        <w:tc>
          <w:tcPr>
            <w:tcW w:w="400" w:type="dxa"/>
            <w:vAlign w:val="bottom"/>
            <w:shd w:val="clear" w:color="auto" w:fill="CFF0FC"/>
          </w:tcPr>
          <w:p>
            <w:pPr>
              <w:spacing w:after="0"/>
              <w:rPr>
                <w:sz w:val="12"/>
                <w:szCs w:val="12"/>
                <w:color w:val="auto"/>
              </w:rPr>
            </w:pPr>
          </w:p>
        </w:tc>
        <w:tc>
          <w:tcPr>
            <w:tcW w:w="720" w:type="dxa"/>
            <w:vAlign w:val="bottom"/>
            <w:gridSpan w:val="3"/>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13,808</w:t>
            </w:r>
          </w:p>
        </w:tc>
        <w:tc>
          <w:tcPr>
            <w:tcW w:w="5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35.46</w:t>
            </w:r>
          </w:p>
        </w:tc>
        <w:tc>
          <w:tcPr>
            <w:tcW w:w="8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1/20/32</w:t>
            </w:r>
          </w:p>
        </w:tc>
        <w:tc>
          <w:tcPr>
            <w:tcW w:w="22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080" w:type="dxa"/>
            <w:vAlign w:val="bottom"/>
            <w:shd w:val="clear" w:color="auto" w:fill="CFF0FC"/>
          </w:tcPr>
          <w:p>
            <w:pPr>
              <w:ind w:left="9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ind w:left="1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13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1/28/21</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1,875</w:t>
            </w:r>
          </w:p>
        </w:tc>
        <w:tc>
          <w:tcPr>
            <w:tcW w:w="10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59,831</w:t>
            </w:r>
          </w:p>
        </w:tc>
        <w:tc>
          <w:tcPr>
            <w:tcW w:w="200" w:type="dxa"/>
            <w:vAlign w:val="bottom"/>
            <w:shd w:val="clear" w:color="auto" w:fill="CFF0FC"/>
          </w:tcPr>
          <w:p>
            <w:pPr>
              <w:spacing w:after="0"/>
              <w:rPr>
                <w:sz w:val="12"/>
                <w:szCs w:val="12"/>
                <w:color w:val="auto"/>
              </w:rPr>
            </w:pPr>
          </w:p>
        </w:tc>
        <w:tc>
          <w:tcPr>
            <w:tcW w:w="1080" w:type="dxa"/>
            <w:vAlign w:val="bottom"/>
            <w:shd w:val="clear" w:color="auto" w:fill="CFF0FC"/>
          </w:tcPr>
          <w:p>
            <w:pPr>
              <w:ind w:left="9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ind w:left="1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3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1/28/21</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44,062</w:t>
            </w:r>
          </w:p>
        </w:tc>
        <w:tc>
          <w:tcPr>
            <w:tcW w:w="400" w:type="dxa"/>
            <w:vAlign w:val="bottom"/>
            <w:shd w:val="clear" w:color="auto" w:fill="CFF0FC"/>
          </w:tcPr>
          <w:p>
            <w:pPr>
              <w:spacing w:after="0"/>
              <w:rPr>
                <w:sz w:val="12"/>
                <w:szCs w:val="12"/>
                <w:color w:val="auto"/>
              </w:rPr>
            </w:pPr>
          </w:p>
        </w:tc>
        <w:tc>
          <w:tcPr>
            <w:tcW w:w="720" w:type="dxa"/>
            <w:vAlign w:val="bottom"/>
            <w:gridSpan w:val="3"/>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938</w:t>
            </w:r>
          </w:p>
        </w:tc>
        <w:tc>
          <w:tcPr>
            <w:tcW w:w="5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44.90</w:t>
            </w:r>
          </w:p>
        </w:tc>
        <w:tc>
          <w:tcPr>
            <w:tcW w:w="8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1/27/31</w:t>
            </w:r>
          </w:p>
        </w:tc>
        <w:tc>
          <w:tcPr>
            <w:tcW w:w="22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080" w:type="dxa"/>
            <w:vAlign w:val="bottom"/>
            <w:shd w:val="clear" w:color="auto" w:fill="CFF0FC"/>
          </w:tcPr>
          <w:p>
            <w:pPr>
              <w:ind w:left="9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ind w:left="1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3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2/10/20</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56,250</w:t>
            </w:r>
          </w:p>
        </w:tc>
        <w:tc>
          <w:tcPr>
            <w:tcW w:w="4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44.33</w:t>
            </w:r>
          </w:p>
        </w:tc>
        <w:tc>
          <w:tcPr>
            <w:tcW w:w="8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2/9/30</w:t>
            </w:r>
          </w:p>
        </w:tc>
        <w:tc>
          <w:tcPr>
            <w:tcW w:w="22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080" w:type="dxa"/>
            <w:vAlign w:val="bottom"/>
            <w:shd w:val="clear" w:color="auto" w:fill="CFF0FC"/>
          </w:tcPr>
          <w:p>
            <w:pPr>
              <w:ind w:left="9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ind w:left="1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13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2/8/19</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w:t>
            </w:r>
          </w:p>
        </w:tc>
        <w:tc>
          <w:tcPr>
            <w:tcW w:w="4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13.85</w:t>
            </w:r>
          </w:p>
        </w:tc>
        <w:tc>
          <w:tcPr>
            <w:tcW w:w="8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2/7/29</w:t>
            </w:r>
          </w:p>
        </w:tc>
        <w:tc>
          <w:tcPr>
            <w:tcW w:w="22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080" w:type="dxa"/>
            <w:vAlign w:val="bottom"/>
            <w:shd w:val="clear" w:color="auto" w:fill="CFF0FC"/>
          </w:tcPr>
          <w:p>
            <w:pPr>
              <w:ind w:left="9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ind w:left="1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3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11/16/18</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172,500</w:t>
            </w:r>
          </w:p>
        </w:tc>
        <w:tc>
          <w:tcPr>
            <w:tcW w:w="4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15.09</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11/15/28</w:t>
            </w: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08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5"/>
        </w:trPr>
        <w:tc>
          <w:tcPr>
            <w:tcW w:w="13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20" w:right="360" w:hanging="512"/>
        <w:spacing w:after="0" w:line="298" w:lineRule="auto"/>
        <w:tabs>
          <w:tab w:leader="none" w:pos="52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time-based stock options have a ten-year term and vest over four years with 25% vesting on the first anniversary of the grant date and the balance vesting thereafter in 36 equal monthly installments with the first such installment vesting on the date one month after the first anniversary of the grant date.</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43" w:name="page44"/>
    <w:bookmarkEnd w:id="43"/>
    <w:p>
      <w:pPr>
        <w:ind w:left="520" w:right="80" w:hanging="512"/>
        <w:spacing w:after="0" w:line="298" w:lineRule="auto"/>
        <w:tabs>
          <w:tab w:leader="none" w:pos="52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time-based restricted stock units vest over four years with 25% of each restricted stock unit vesting on the first anniversary of the grant date and 25% on each anniversary of the grant date thereafter.</w:t>
      </w:r>
    </w:p>
    <w:p>
      <w:pPr>
        <w:spacing w:after="0" w:line="56" w:lineRule="exact"/>
        <w:rPr>
          <w:rFonts w:ascii="Times New Roman" w:cs="Times New Roman" w:eastAsia="Times New Roman" w:hAnsi="Times New Roman"/>
          <w:sz w:val="16"/>
          <w:szCs w:val="16"/>
          <w:color w:val="auto"/>
        </w:rPr>
      </w:pPr>
    </w:p>
    <w:p>
      <w:pPr>
        <w:ind w:left="520" w:right="400" w:hanging="512"/>
        <w:spacing w:after="0" w:line="298" w:lineRule="auto"/>
        <w:tabs>
          <w:tab w:leader="none" w:pos="52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shown are based on a price of $31.91 per share, which was the closing price of our common stock as reported on the Nasdaq Global Select Market on December 31, 2024, the last trading day of the year.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Exercises and Stock Vested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information concerning option exercises for each of our named executive officers during the fiscal year ended December 31, 2024:</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36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60" w:type="dxa"/>
            <w:vAlign w:val="bottom"/>
            <w:gridSpan w:val="3"/>
          </w:tcPr>
          <w:p>
            <w:pPr>
              <w:jc w:val="right"/>
              <w:ind w:right="722"/>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220" w:type="dxa"/>
            <w:vAlign w:val="bottom"/>
          </w:tcPr>
          <w:p>
            <w:pPr>
              <w:spacing w:after="0"/>
              <w:rPr>
                <w:sz w:val="15"/>
                <w:szCs w:val="15"/>
                <w:color w:val="auto"/>
              </w:rPr>
            </w:pPr>
          </w:p>
        </w:tc>
        <w:tc>
          <w:tcPr>
            <w:tcW w:w="2660" w:type="dxa"/>
            <w:vAlign w:val="bottom"/>
            <w:gridSpan w:val="4"/>
          </w:tcPr>
          <w:p>
            <w:pPr>
              <w:ind w:left="84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17"/>
        </w:trPr>
        <w:tc>
          <w:tcPr>
            <w:tcW w:w="1360" w:type="dxa"/>
            <w:vAlign w:val="bottom"/>
          </w:tcPr>
          <w:p>
            <w:pPr>
              <w:spacing w:after="0"/>
              <w:rPr>
                <w:sz w:val="10"/>
                <w:szCs w:val="10"/>
                <w:color w:val="auto"/>
              </w:rPr>
            </w:pPr>
          </w:p>
        </w:tc>
        <w:tc>
          <w:tcPr>
            <w:tcW w:w="4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 Shares</w:t>
            </w:r>
          </w:p>
        </w:tc>
        <w:tc>
          <w:tcPr>
            <w:tcW w:w="2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Value Realized</w:t>
            </w:r>
          </w:p>
        </w:tc>
        <w:tc>
          <w:tcPr>
            <w:tcW w:w="220" w:type="dxa"/>
            <w:vAlign w:val="bottom"/>
          </w:tcPr>
          <w:p>
            <w:pPr>
              <w:spacing w:after="0"/>
              <w:rPr>
                <w:sz w:val="10"/>
                <w:szCs w:val="10"/>
                <w:color w:val="auto"/>
              </w:rPr>
            </w:pPr>
          </w:p>
        </w:tc>
        <w:tc>
          <w:tcPr>
            <w:tcW w:w="11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 Shares</w:t>
            </w:r>
          </w:p>
        </w:tc>
        <w:tc>
          <w:tcPr>
            <w:tcW w:w="22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Value 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vMerge w:val="restart"/>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Acquired on</w:t>
            </w:r>
          </w:p>
        </w:tc>
        <w:tc>
          <w:tcPr>
            <w:tcW w:w="2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on Exercise</w:t>
            </w:r>
          </w:p>
        </w:tc>
        <w:tc>
          <w:tcPr>
            <w:tcW w:w="2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Acquired on</w:t>
            </w:r>
          </w:p>
        </w:tc>
        <w:tc>
          <w:tcPr>
            <w:tcW w:w="220" w:type="dxa"/>
            <w:vAlign w:val="bottom"/>
          </w:tcPr>
          <w:p>
            <w:pPr>
              <w:spacing w:after="0"/>
              <w:rPr>
                <w:sz w:val="12"/>
                <w:szCs w:val="12"/>
                <w:color w:val="auto"/>
              </w:rPr>
            </w:pPr>
          </w:p>
        </w:tc>
        <w:tc>
          <w:tcPr>
            <w:tcW w:w="13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on Vesting</w:t>
            </w:r>
          </w:p>
        </w:tc>
        <w:tc>
          <w:tcPr>
            <w:tcW w:w="0" w:type="dxa"/>
            <w:vAlign w:val="bottom"/>
          </w:tcPr>
          <w:p>
            <w:pPr>
              <w:spacing w:after="0"/>
              <w:rPr>
                <w:sz w:val="1"/>
                <w:szCs w:val="1"/>
                <w:color w:val="auto"/>
              </w:rPr>
            </w:pPr>
          </w:p>
        </w:tc>
      </w:tr>
      <w:tr>
        <w:trPr>
          <w:trHeight w:val="173"/>
        </w:trPr>
        <w:tc>
          <w:tcPr>
            <w:tcW w:w="5680" w:type="dxa"/>
            <w:vAlign w:val="bottom"/>
            <w:tcBorders>
              <w:bottom w:val="single" w:sz="8" w:color="auto"/>
            </w:tcBorders>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w:t>
            </w:r>
          </w:p>
        </w:tc>
        <w:tc>
          <w:tcPr>
            <w:tcW w:w="24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(1)</w:t>
            </w:r>
          </w:p>
        </w:tc>
        <w:tc>
          <w:tcPr>
            <w:tcW w:w="22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Vesting (#)</w:t>
            </w:r>
          </w:p>
        </w:tc>
        <w:tc>
          <w:tcPr>
            <w:tcW w:w="22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 (2)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Cedric Francois, M.D., Ph.D.</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14,978,715</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65,743</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4,370,947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Timothy Sullivan</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720,282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22,287</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1,480,456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Caroline Baumal, M.D.</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8,887</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533,220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David Watson</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177,416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25,817</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1,741,086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Adam Townsend</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20,076</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1,336,643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360" w:type="dxa"/>
            <w:vAlign w:val="bottom"/>
            <w:tcBorders>
              <w:bottom w:val="single" w:sz="8" w:color="auto"/>
            </w:tcBorders>
          </w:tcPr>
          <w:p>
            <w:pPr>
              <w:spacing w:after="0"/>
              <w:rPr>
                <w:sz w:val="11"/>
                <w:szCs w:val="11"/>
                <w:color w:val="auto"/>
              </w:rPr>
            </w:pPr>
          </w:p>
        </w:tc>
        <w:tc>
          <w:tcPr>
            <w:tcW w:w="4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20" w:right="20" w:hanging="512"/>
        <w:spacing w:after="0" w:line="298" w:lineRule="auto"/>
        <w:tabs>
          <w:tab w:leader="none" w:pos="52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value realized when the stock options were exercised represents the excess of the fair market value of the shares at the time of exercise over the exercise price of the stock options.</w:t>
      </w:r>
    </w:p>
    <w:p>
      <w:pPr>
        <w:spacing w:after="0" w:line="56"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value realized when the stock awards vested represents the fair market value of the shares at the time of vesting of the stock awards.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and Change in Control and Severance Arrangements</w:t>
      </w:r>
    </w:p>
    <w:p>
      <w:pPr>
        <w:spacing w:after="0" w:line="126"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16"/>
          <w:szCs w:val="16"/>
          <w:color w:val="auto"/>
        </w:rPr>
        <w:t>We entered into an offer letter with Mr. Sullivan, our Chief Financial Officer, on October 9, 2017, an employment agreement with Mr. Townsend, our Chief Operating Officer, on November 16, 2018 and an offer letter with Dr. Baumal, our Chief Medical Officer, on December 25, 2022. These offer letters and employment agreements established their terms of employment with us, including their respective title, salary, bonus and eligibility for benefits. Otherwise, we are not party to offer letters or employment agreements with our other two named executive officers.</w:t>
      </w:r>
    </w:p>
    <w:p>
      <w:pPr>
        <w:spacing w:after="0" w:line="75"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16"/>
          <w:szCs w:val="16"/>
          <w:color w:val="auto"/>
        </w:rPr>
        <w:t>We entered into a separation agreement with Mr. Townsend in January 2025. Under the terms of the separation agreement with Mr. Townsend, he received (i) a lump sum payment in an aggregate amount equivalent to nine months of his base salary in effect on the date of separation, less all applicable taxes and withholdings, (ii) company contributions to the cost of health care continuation under the Consolidated Omnibus Budget Reconciliation Act until the earlier of nine months following the date of separation and the date on which he and his eligible dependents, if applicable, become eligible for group health insurance coverage through a new employer, and (iii) his 2024 bonus.</w:t>
      </w:r>
    </w:p>
    <w:p>
      <w:pPr>
        <w:spacing w:after="0" w:line="78" w:lineRule="exact"/>
        <w:rPr>
          <w:sz w:val="20"/>
          <w:szCs w:val="20"/>
          <w:color w:val="auto"/>
        </w:rPr>
      </w:pPr>
    </w:p>
    <w:p>
      <w:pPr>
        <w:jc w:val="both"/>
        <w:ind w:right="60"/>
        <w:spacing w:after="0" w:line="281" w:lineRule="auto"/>
        <w:rPr>
          <w:sz w:val="20"/>
          <w:szCs w:val="20"/>
          <w:color w:val="auto"/>
        </w:rPr>
      </w:pPr>
      <w:r>
        <w:rPr>
          <w:rFonts w:ascii="Times New Roman" w:cs="Times New Roman" w:eastAsia="Times New Roman" w:hAnsi="Times New Roman"/>
          <w:sz w:val="16"/>
          <w:szCs w:val="16"/>
          <w:color w:val="auto"/>
        </w:rPr>
        <w:t>The Separation Benefits Plan provides for separation benefits for C-level officers, including our named executive officers, and other covered employees in the event of (i) a termination of employment by us other than for cause or (ii) a resignation for good reason upon a change in control upon or within 12 months following a change in control. These provisions are summarized above. See “—Compensation Discussion and Analysis.”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Severance upon Termination without Cause, Not Upon Change of Control</w:t>
      </w:r>
    </w:p>
    <w:p>
      <w:pPr>
        <w:spacing w:after="0" w:line="126" w:lineRule="exact"/>
        <w:rPr>
          <w:sz w:val="20"/>
          <w:szCs w:val="20"/>
          <w:color w:val="auto"/>
        </w:rPr>
      </w:pPr>
    </w:p>
    <w:p>
      <w:pPr>
        <w:ind w:right="240"/>
        <w:spacing w:after="0" w:line="298" w:lineRule="auto"/>
        <w:rPr>
          <w:sz w:val="20"/>
          <w:szCs w:val="20"/>
          <w:color w:val="auto"/>
        </w:rPr>
      </w:pPr>
      <w:r>
        <w:rPr>
          <w:rFonts w:ascii="Times New Roman" w:cs="Times New Roman" w:eastAsia="Times New Roman" w:hAnsi="Times New Roman"/>
          <w:sz w:val="16"/>
          <w:szCs w:val="16"/>
          <w:color w:val="auto"/>
        </w:rPr>
        <w:t>The following table sets forth information regarding the value of the benefits that our named executive officers would have received under the Separation Benefits Plan if they were terminated by us other than for cause on December 31, 2024.</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6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3"/>
                <w:szCs w:val="13"/>
                <w:color w:val="auto"/>
              </w:rPr>
            </w:pPr>
          </w:p>
        </w:tc>
        <w:tc>
          <w:tcPr>
            <w:tcW w:w="146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Not-for-Cause</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6960" w:type="dxa"/>
            <w:vAlign w:val="bottom"/>
            <w:tcBorders>
              <w:bottom w:val="single" w:sz="8" w:color="auto"/>
            </w:tcBorders>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Separation ($)</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Cedric Francois, M.D., Ph.D.</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834,834</w:t>
            </w:r>
          </w:p>
        </w:tc>
        <w:tc>
          <w:tcPr>
            <w:tcW w:w="4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Timothy Sullivan</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427,375</w:t>
            </w: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Caroline Baumal, M.D.</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476,778</w:t>
            </w:r>
          </w:p>
        </w:tc>
        <w:tc>
          <w:tcPr>
            <w:tcW w:w="4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Watson</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413,875</w:t>
            </w: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Adam Townsend</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441,405</w:t>
            </w:r>
          </w:p>
        </w:tc>
        <w:tc>
          <w:tcPr>
            <w:tcW w:w="4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48"/>
        </w:trPr>
        <w:tc>
          <w:tcPr>
            <w:tcW w:w="11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20" w:hanging="512"/>
        <w:spacing w:after="0"/>
        <w:tabs>
          <w:tab w:leader="none" w:pos="52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Twelve (12) months of monthly Base Salary and COBRA coverage for twelve (12) months.</w:t>
      </w:r>
    </w:p>
    <w:p>
      <w:pPr>
        <w:spacing w:after="0" w:line="126"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Nine (9) months of monthly Base Salary and COBRA coverage for nine (9) months.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Severance Upon a Change of Control</w:t>
      </w:r>
    </w:p>
    <w:p>
      <w:pPr>
        <w:spacing w:after="0" w:line="220"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6"/>
          <w:szCs w:val="16"/>
          <w:color w:val="auto"/>
        </w:rPr>
        <w:t>The following table sets forth information regarding the value of the benefits that our named executive officers would have received under the Separation Benefits Plan if, on December 31, 2024, they were terminated by us other than for cause or resigned with good reason, and such separation occurred within 12 months following a change of control.</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Qualifying Termination</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vMerge w:val="restart"/>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Change of</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within 12 Months</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5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Following Change of</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5180" w:type="dxa"/>
            <w:vAlign w:val="bottom"/>
            <w:tcBorders>
              <w:bottom w:val="single" w:sz="8" w:color="auto"/>
            </w:tcBorders>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Borders>
              <w:bottom w:val="single" w:sz="8" w:color="auto"/>
            </w:tcBorders>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Control ($)</w:t>
            </w:r>
          </w:p>
        </w:tc>
        <w:tc>
          <w:tcPr>
            <w:tcW w:w="2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Control ($)</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5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Cedric Francois, M.D., Ph.D.</w:t>
            </w:r>
          </w:p>
        </w:tc>
        <w:tc>
          <w:tcPr>
            <w:tcW w:w="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2,225,250</w:t>
            </w:r>
          </w:p>
        </w:tc>
        <w:tc>
          <w:tcPr>
            <w:tcW w:w="4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Timothy Sullivan</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850,334</w:t>
            </w: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Caroline Baumal, M.D.</w:t>
            </w:r>
          </w:p>
        </w:tc>
        <w:tc>
          <w:tcPr>
            <w:tcW w:w="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956,204</w:t>
            </w:r>
          </w:p>
        </w:tc>
        <w:tc>
          <w:tcPr>
            <w:tcW w:w="4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Watson</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797,484</w:t>
            </w: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Adam Townsend</w:t>
            </w:r>
          </w:p>
        </w:tc>
        <w:tc>
          <w:tcPr>
            <w:tcW w:w="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876,540</w:t>
            </w:r>
          </w:p>
        </w:tc>
        <w:tc>
          <w:tcPr>
            <w:tcW w:w="4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35"/>
        </w:trPr>
        <w:tc>
          <w:tcPr>
            <w:tcW w:w="11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20" w:right="320" w:hanging="512"/>
        <w:spacing w:after="0" w:line="298" w:lineRule="auto"/>
        <w:tabs>
          <w:tab w:leader="none" w:pos="52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Eighteen (18) months of monthly Base Salary, 150% of the target bonus award for the year in which the termination occurs, COBRA coverage for eighteen (18) months and outplacement services for six (6) months.</w:t>
      </w:r>
    </w:p>
    <w:p>
      <w:pPr>
        <w:spacing w:after="0" w:line="56" w:lineRule="exact"/>
        <w:rPr>
          <w:rFonts w:ascii="Times New Roman" w:cs="Times New Roman" w:eastAsia="Times New Roman" w:hAnsi="Times New Roman"/>
          <w:sz w:val="16"/>
          <w:szCs w:val="16"/>
          <w:color w:val="auto"/>
        </w:rPr>
      </w:pPr>
    </w:p>
    <w:p>
      <w:pPr>
        <w:ind w:left="520" w:hanging="512"/>
        <w:spacing w:after="0" w:line="298" w:lineRule="auto"/>
        <w:tabs>
          <w:tab w:leader="none" w:pos="52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Twelve (12) months of monthly Base Salary, 100% of the target bonus award for the year in which the termination occurs, COBRA coverage for twelve (12) months and outplacement services for six (6) months.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Acceleration of Vesting Upon a Change of Control</w:t>
      </w:r>
    </w:p>
    <w:p>
      <w:pPr>
        <w:spacing w:after="0" w:line="234" w:lineRule="exact"/>
        <w:rPr>
          <w:sz w:val="20"/>
          <w:szCs w:val="20"/>
          <w:color w:val="auto"/>
        </w:rPr>
      </w:pPr>
    </w:p>
    <w:p>
      <w:pPr>
        <w:ind w:right="140"/>
        <w:spacing w:after="0" w:line="298" w:lineRule="auto"/>
        <w:rPr>
          <w:sz w:val="20"/>
          <w:szCs w:val="20"/>
          <w:color w:val="auto"/>
        </w:rPr>
      </w:pPr>
      <w:r>
        <w:rPr>
          <w:rFonts w:ascii="Times New Roman" w:cs="Times New Roman" w:eastAsia="Times New Roman" w:hAnsi="Times New Roman"/>
          <w:sz w:val="16"/>
          <w:szCs w:val="16"/>
          <w:color w:val="auto"/>
        </w:rPr>
        <w:t>Under the Separation Benefits Plan, the options and restricted stock units held by the named executive officers vest with respect to all of the then unvested shares upon the occurrence of a termination of employment without cause or a resignation for good reason within twelve months following a change of control.</w:t>
      </w:r>
    </w:p>
    <w:p>
      <w:pPr>
        <w:spacing w:after="0" w:line="151"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6"/>
          <w:szCs w:val="16"/>
          <w:color w:val="auto"/>
        </w:rPr>
        <w:t>The following table sets forth information regarding the value that would have been received by each of our named executive officers from an acceleration of vesting in connection with a change of control or, as applicable, a qualifying termination of employment following a change of control, assuming the acceleration event had occurred on December 31, 2024.</w:t>
      </w:r>
    </w:p>
    <w:p>
      <w:pPr>
        <w:spacing w:after="0" w:line="1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Qualifying Termination</w:t>
            </w:r>
          </w:p>
        </w:tc>
        <w:tc>
          <w:tcPr>
            <w:tcW w:w="0" w:type="dxa"/>
            <w:vAlign w:val="bottom"/>
          </w:tcPr>
          <w:p>
            <w:pPr>
              <w:spacing w:after="0"/>
              <w:rPr>
                <w:sz w:val="1"/>
                <w:szCs w:val="1"/>
                <w:color w:val="auto"/>
              </w:rPr>
            </w:pPr>
          </w:p>
        </w:tc>
      </w:tr>
      <w:tr>
        <w:trPr>
          <w:trHeight w:val="149"/>
        </w:trPr>
        <w:tc>
          <w:tcPr>
            <w:tcW w:w="5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Change of</w:t>
            </w:r>
          </w:p>
        </w:tc>
        <w:tc>
          <w:tcPr>
            <w:tcW w:w="160" w:type="dxa"/>
            <w:vAlign w:val="bottom"/>
          </w:tcPr>
          <w:p>
            <w:pPr>
              <w:spacing w:after="0"/>
              <w:rPr>
                <w:sz w:val="12"/>
                <w:szCs w:val="12"/>
                <w:color w:val="auto"/>
              </w:rPr>
            </w:pPr>
          </w:p>
        </w:tc>
        <w:tc>
          <w:tcPr>
            <w:tcW w:w="22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within 12 Months</w:t>
            </w:r>
          </w:p>
        </w:tc>
        <w:tc>
          <w:tcPr>
            <w:tcW w:w="0" w:type="dxa"/>
            <w:vAlign w:val="bottom"/>
          </w:tcPr>
          <w:p>
            <w:pPr>
              <w:spacing w:after="0"/>
              <w:rPr>
                <w:sz w:val="1"/>
                <w:szCs w:val="1"/>
                <w:color w:val="auto"/>
              </w:rPr>
            </w:pPr>
          </w:p>
        </w:tc>
      </w:tr>
      <w:tr>
        <w:trPr>
          <w:trHeight w:val="149"/>
        </w:trPr>
        <w:tc>
          <w:tcPr>
            <w:tcW w:w="5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2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Following Change of</w:t>
            </w:r>
          </w:p>
        </w:tc>
        <w:tc>
          <w:tcPr>
            <w:tcW w:w="0" w:type="dxa"/>
            <w:vAlign w:val="bottom"/>
          </w:tcPr>
          <w:p>
            <w:pPr>
              <w:spacing w:after="0"/>
              <w:rPr>
                <w:sz w:val="1"/>
                <w:szCs w:val="1"/>
                <w:color w:val="auto"/>
              </w:rPr>
            </w:pPr>
          </w:p>
        </w:tc>
      </w:tr>
      <w:tr>
        <w:trPr>
          <w:trHeight w:val="173"/>
        </w:trPr>
        <w:tc>
          <w:tcPr>
            <w:tcW w:w="522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Control ($) (1)</w:t>
            </w:r>
          </w:p>
        </w:tc>
        <w:tc>
          <w:tcPr>
            <w:tcW w:w="160" w:type="dxa"/>
            <w:vAlign w:val="bottom"/>
          </w:tcPr>
          <w:p>
            <w:pPr>
              <w:spacing w:after="0"/>
              <w:rPr>
                <w:sz w:val="15"/>
                <w:szCs w:val="15"/>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Control ($) (1)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Cedric Francois, M.D., Ph.D.</w:t>
            </w:r>
          </w:p>
        </w:tc>
        <w:tc>
          <w:tcPr>
            <w:tcW w:w="80" w:type="dxa"/>
            <w:vAlign w:val="bottom"/>
            <w:shd w:val="clear" w:color="auto" w:fill="CFF0FC"/>
          </w:tcPr>
          <w:p>
            <w:pPr>
              <w:spacing w:after="0"/>
              <w:rPr>
                <w:sz w:val="18"/>
                <w:szCs w:val="18"/>
                <w:color w:val="auto"/>
              </w:rPr>
            </w:pPr>
          </w:p>
        </w:tc>
        <w:tc>
          <w:tcPr>
            <w:tcW w:w="1260" w:type="dxa"/>
            <w:vAlign w:val="bottom"/>
            <w:shd w:val="clear" w:color="auto" w:fill="CFF0FC"/>
          </w:tcPr>
          <w:p>
            <w:pPr>
              <w:ind w:left="1060"/>
              <w:spacing w:after="0"/>
              <w:rPr>
                <w:sz w:val="20"/>
                <w:szCs w:val="20"/>
                <w:color w:val="auto"/>
              </w:rPr>
            </w:pPr>
            <w:r>
              <w:rPr>
                <w:rFonts w:ascii="Times New Roman" w:cs="Times New Roman" w:eastAsia="Times New Roman" w:hAnsi="Times New Roman"/>
                <w:sz w:val="18"/>
                <w:szCs w:val="18"/>
                <w:color w:val="auto"/>
                <w:w w:val="99"/>
              </w:rPr>
              <w:t>—</w:t>
            </w:r>
          </w:p>
        </w:tc>
        <w:tc>
          <w:tcPr>
            <w:tcW w:w="2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6,414,101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Timothy Sullivan</w:t>
            </w:r>
          </w:p>
        </w:tc>
        <w:tc>
          <w:tcPr>
            <w:tcW w:w="80" w:type="dxa"/>
            <w:vAlign w:val="bottom"/>
          </w:tcPr>
          <w:p>
            <w:pPr>
              <w:spacing w:after="0"/>
              <w:rPr>
                <w:sz w:val="18"/>
                <w:szCs w:val="18"/>
                <w:color w:val="auto"/>
              </w:rPr>
            </w:pPr>
          </w:p>
        </w:tc>
        <w:tc>
          <w:tcPr>
            <w:tcW w:w="1260" w:type="dxa"/>
            <w:vAlign w:val="bottom"/>
          </w:tcPr>
          <w:p>
            <w:pPr>
              <w:ind w:left="1060"/>
              <w:spacing w:after="0"/>
              <w:rPr>
                <w:sz w:val="20"/>
                <w:szCs w:val="20"/>
                <w:color w:val="auto"/>
              </w:rPr>
            </w:pPr>
            <w:r>
              <w:rPr>
                <w:rFonts w:ascii="Times New Roman" w:cs="Times New Roman" w:eastAsia="Times New Roman" w:hAnsi="Times New Roman"/>
                <w:sz w:val="18"/>
                <w:szCs w:val="18"/>
                <w:color w:val="auto"/>
                <w:w w:val="99"/>
              </w:rPr>
              <w:t>—</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2,153,127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Caroline Baumal, M.D.</w:t>
            </w:r>
          </w:p>
        </w:tc>
        <w:tc>
          <w:tcPr>
            <w:tcW w:w="80" w:type="dxa"/>
            <w:vAlign w:val="bottom"/>
            <w:shd w:val="clear" w:color="auto" w:fill="CFF0FC"/>
          </w:tcPr>
          <w:p>
            <w:pPr>
              <w:spacing w:after="0"/>
              <w:rPr>
                <w:sz w:val="18"/>
                <w:szCs w:val="18"/>
                <w:color w:val="auto"/>
              </w:rPr>
            </w:pPr>
          </w:p>
        </w:tc>
        <w:tc>
          <w:tcPr>
            <w:tcW w:w="1260" w:type="dxa"/>
            <w:vAlign w:val="bottom"/>
            <w:shd w:val="clear" w:color="auto" w:fill="CFF0FC"/>
          </w:tcPr>
          <w:p>
            <w:pPr>
              <w:ind w:left="1060"/>
              <w:spacing w:after="0"/>
              <w:rPr>
                <w:sz w:val="20"/>
                <w:szCs w:val="20"/>
                <w:color w:val="auto"/>
              </w:rPr>
            </w:pPr>
            <w:r>
              <w:rPr>
                <w:rFonts w:ascii="Times New Roman" w:cs="Times New Roman" w:eastAsia="Times New Roman" w:hAnsi="Times New Roman"/>
                <w:sz w:val="18"/>
                <w:szCs w:val="18"/>
                <w:color w:val="auto"/>
                <w:w w:val="99"/>
              </w:rPr>
              <w:t>—</w:t>
            </w:r>
          </w:p>
        </w:tc>
        <w:tc>
          <w:tcPr>
            <w:tcW w:w="2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1,662,734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David Watson</w:t>
            </w:r>
          </w:p>
        </w:tc>
        <w:tc>
          <w:tcPr>
            <w:tcW w:w="80" w:type="dxa"/>
            <w:vAlign w:val="bottom"/>
          </w:tcPr>
          <w:p>
            <w:pPr>
              <w:spacing w:after="0"/>
              <w:rPr>
                <w:sz w:val="18"/>
                <w:szCs w:val="18"/>
                <w:color w:val="auto"/>
              </w:rPr>
            </w:pPr>
          </w:p>
        </w:tc>
        <w:tc>
          <w:tcPr>
            <w:tcW w:w="1260" w:type="dxa"/>
            <w:vAlign w:val="bottom"/>
          </w:tcPr>
          <w:p>
            <w:pPr>
              <w:ind w:left="1060"/>
              <w:spacing w:after="0"/>
              <w:rPr>
                <w:sz w:val="20"/>
                <w:szCs w:val="20"/>
                <w:color w:val="auto"/>
              </w:rPr>
            </w:pPr>
            <w:r>
              <w:rPr>
                <w:rFonts w:ascii="Times New Roman" w:cs="Times New Roman" w:eastAsia="Times New Roman" w:hAnsi="Times New Roman"/>
                <w:sz w:val="18"/>
                <w:szCs w:val="18"/>
                <w:color w:val="auto"/>
                <w:w w:val="99"/>
              </w:rPr>
              <w:t>—</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2,670,356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Adam Townsend</w:t>
            </w:r>
          </w:p>
        </w:tc>
        <w:tc>
          <w:tcPr>
            <w:tcW w:w="80" w:type="dxa"/>
            <w:vAlign w:val="bottom"/>
            <w:shd w:val="clear" w:color="auto" w:fill="CFF0FC"/>
          </w:tcPr>
          <w:p>
            <w:pPr>
              <w:spacing w:after="0"/>
              <w:rPr>
                <w:sz w:val="18"/>
                <w:szCs w:val="18"/>
                <w:color w:val="auto"/>
              </w:rPr>
            </w:pPr>
          </w:p>
        </w:tc>
        <w:tc>
          <w:tcPr>
            <w:tcW w:w="1260" w:type="dxa"/>
            <w:vAlign w:val="bottom"/>
            <w:shd w:val="clear" w:color="auto" w:fill="CFF0FC"/>
          </w:tcPr>
          <w:p>
            <w:pPr>
              <w:ind w:left="1060"/>
              <w:spacing w:after="0"/>
              <w:rPr>
                <w:sz w:val="20"/>
                <w:szCs w:val="20"/>
                <w:color w:val="auto"/>
              </w:rPr>
            </w:pPr>
            <w:r>
              <w:rPr>
                <w:rFonts w:ascii="Times New Roman" w:cs="Times New Roman" w:eastAsia="Times New Roman" w:hAnsi="Times New Roman"/>
                <w:sz w:val="18"/>
                <w:szCs w:val="18"/>
                <w:color w:val="auto"/>
                <w:w w:val="99"/>
              </w:rPr>
              <w:t>—</w:t>
            </w:r>
          </w:p>
        </w:tc>
        <w:tc>
          <w:tcPr>
            <w:tcW w:w="2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2,048,877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85725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182" w:lineRule="exact"/>
        <w:rPr>
          <w:sz w:val="20"/>
          <w:szCs w:val="20"/>
          <w:color w:val="auto"/>
        </w:rPr>
      </w:pPr>
    </w:p>
    <w:p>
      <w:pPr>
        <w:ind w:left="520" w:hanging="512"/>
        <w:spacing w:after="0"/>
        <w:tabs>
          <w:tab w:leader="none" w:pos="52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Values calculated based on a per-share price of $31.91, the closing price of our common stock on December 31, 2024 on the Nasdaq Global Select Market.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Agreements</w:t>
      </w:r>
    </w:p>
    <w:p>
      <w:pPr>
        <w:spacing w:after="0" w:line="178"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6"/>
          <w:szCs w:val="16"/>
          <w:color w:val="auto"/>
        </w:rPr>
        <w:t>We have also entered into employee confidentiality, inventions, non-solicitation, and non-competition agreements with each of our named executive officers. Under the employee confidentiality, inventions, non-solicitation, and non-competition agreements, each named executive officer has agreed (1) not to compete with us during his or her employment and for a period of one year after the termination of his or her employment, (2) not to solicit our employees during his or her employment and for a period of one year after the termination of his or her employment, (3) to protect our confidential and proprietary information and (4) to assign to us related intellectual property developed during the course of his or her employment.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Rule 10b5-1 Plans</w:t>
      </w:r>
    </w:p>
    <w:p>
      <w:pPr>
        <w:spacing w:after="0" w:line="237"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6"/>
          <w:szCs w:val="16"/>
          <w:color w:val="auto"/>
        </w:rPr>
        <w:t>Certain of our executive officers have adopted, and directors and other executive officers may in the future adopt, written plans, known as Rule 10b5-1 plans, in which they will contract with a broker to buy or sell shares of our common stock on a periodic basis. Under a Rule 10b5-1 plan, a broker executes trades pursuant to parameters established by the director or officer when entering into the plan, without further direction from the director or officer. The director or officer may amend or terminate the plan in some circumstances. Our directors and executive officers may also buy or sell additional shares outside of a Rule 10b5-1 plan when they are not in possession of material, nonpublic information.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Pay Ratio Disclosure</w:t>
      </w:r>
    </w:p>
    <w:p>
      <w:pPr>
        <w:spacing w:after="0" w:line="237"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16"/>
          <w:szCs w:val="16"/>
          <w:color w:val="auto"/>
        </w:rPr>
        <w:t>As required by Section 953(b) of the Dodd-Frank Wall Street Reform and Consumer Protection Act and Item 402(u) of Regulation S-K, we are required to disclose the ratio of our median employee’s annual total compensation to the annual total compensation of our principal executive officer.</w:t>
      </w: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36"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color w:val="auto"/>
        </w:rPr>
        <w:t>We identified our median employee based on our global workforce as of December 31, 2024. We determined the median employee from the global workforce of 709</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persons (excluding our chief executive officer) based on the aggregate of base salary (plus overtime, as applicable and annualized in the case of full- and part-time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employees who joined the Company during 2024), cash bonus, and the grant date fair value of long-term incentive compensation awards. The annual total compensation of</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median employee (other than the chief executive officer) for 2024 was $330,094. As disclosed in the Summary Compensation Table above, our chief executive officer’s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annual total compensation for 2024 was $10,957,451. Based on the foregoing, our estimate of the ratio of the annual total compensation of our chief executive officer to the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median of the annual total compensation of all other employees was 33.2 to 1.</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360" w:type="dxa"/>
            <w:vAlign w:val="bottom"/>
          </w:tcPr>
          <w:p>
            <w:pPr>
              <w:spacing w:after="0"/>
              <w:rPr>
                <w:sz w:val="13"/>
                <w:szCs w:val="13"/>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Median</w:t>
            </w:r>
          </w:p>
        </w:tc>
      </w:tr>
      <w:tr>
        <w:trPr>
          <w:trHeight w:val="173"/>
        </w:trPr>
        <w:tc>
          <w:tcPr>
            <w:tcW w:w="7360" w:type="dxa"/>
            <w:vAlign w:val="bottom"/>
          </w:tcPr>
          <w:p>
            <w:pPr>
              <w:spacing w:after="0"/>
              <w:rPr>
                <w:sz w:val="15"/>
                <w:szCs w:val="15"/>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Employee</w:t>
            </w:r>
          </w:p>
        </w:tc>
      </w:tr>
      <w:tr>
        <w:trPr>
          <w:trHeight w:val="210"/>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Base Salary ($)</w:t>
            </w: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183,938</w:t>
            </w:r>
          </w:p>
        </w:tc>
        <w:tc>
          <w:tcPr>
            <w:tcW w:w="80" w:type="dxa"/>
            <w:vAlign w:val="bottom"/>
            <w:shd w:val="clear" w:color="auto" w:fill="CFF0FC"/>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Cash Bonus ($)</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33,530</w:t>
            </w:r>
          </w:p>
        </w:tc>
        <w:tc>
          <w:tcPr>
            <w:tcW w:w="80" w:type="dxa"/>
            <w:vAlign w:val="bottom"/>
          </w:tcPr>
          <w:p>
            <w:pPr>
              <w:spacing w:after="0"/>
              <w:rPr>
                <w:sz w:val="18"/>
                <w:szCs w:val="18"/>
                <w:color w:val="auto"/>
              </w:rPr>
            </w:pPr>
          </w:p>
        </w:tc>
      </w:tr>
      <w:tr>
        <w:trPr>
          <w:trHeight w:val="216"/>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Incentive Awards ($)</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106,809</w:t>
            </w:r>
          </w:p>
        </w:tc>
        <w:tc>
          <w:tcPr>
            <w:tcW w:w="80" w:type="dxa"/>
            <w:vAlign w:val="bottom"/>
            <w:shd w:val="clear" w:color="auto" w:fill="CFF0FC"/>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All Other Compensation ($) (1)</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5,817</w:t>
            </w:r>
          </w:p>
        </w:tc>
        <w:tc>
          <w:tcPr>
            <w:tcW w:w="80" w:type="dxa"/>
            <w:vAlign w:val="bottom"/>
          </w:tcPr>
          <w:p>
            <w:pPr>
              <w:spacing w:after="0"/>
              <w:rPr>
                <w:sz w:val="18"/>
                <w:szCs w:val="18"/>
                <w:color w:val="auto"/>
              </w:rPr>
            </w:pPr>
          </w:p>
        </w:tc>
      </w:tr>
      <w:tr>
        <w:trPr>
          <w:trHeight w:val="216"/>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330,094</w:t>
            </w:r>
          </w:p>
        </w:tc>
        <w:tc>
          <w:tcPr>
            <w:tcW w:w="8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85725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169" w:lineRule="exact"/>
        <w:rPr>
          <w:sz w:val="20"/>
          <w:szCs w:val="20"/>
          <w:color w:val="auto"/>
        </w:rPr>
      </w:pPr>
    </w:p>
    <w:p>
      <w:pPr>
        <w:ind w:left="520" w:right="440" w:hanging="512"/>
        <w:spacing w:after="0" w:line="304" w:lineRule="auto"/>
        <w:tabs>
          <w:tab w:leader="none" w:pos="52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represents the value of Company paid life insurance and discretionary matching employer contribution under our 401(k) plan in respect of the median employee</w:t>
      </w:r>
      <w:r>
        <w:rPr>
          <w:rFonts w:ascii="Times New Roman" w:cs="Times New Roman" w:eastAsia="Times New Roman" w:hAnsi="Times New Roman"/>
          <w:sz w:val="17"/>
          <w:szCs w:val="17"/>
          <w:color w:val="auto"/>
        </w:rPr>
        <w:t>.</w:t>
      </w:r>
    </w:p>
    <w:p>
      <w:pPr>
        <w:spacing w:after="0" w:line="140"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6"/>
          <w:szCs w:val="16"/>
          <w:color w:val="auto"/>
        </w:rPr>
        <w:t>The pay ratio reported above is a reasonable estimate calculated in a manner consistent with SEC rules based on our internal records and the methodology described above.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Therefore, the pay ratio reported by other companies may not be comparable to the pay ratio reported above, as other companies have different employee populations and compensation practices and may utilize different methodologies, exclusions, estimates and assumptions in calculating their own pay ratios.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Pay Versus Performance</w:t>
      </w:r>
    </w:p>
    <w:p>
      <w:pPr>
        <w:spacing w:after="0" w:line="223"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6"/>
          <w:szCs w:val="16"/>
          <w:color w:val="auto"/>
        </w:rPr>
        <w:t>The following table reports (i) the “total compensation” of our chief executive officer, or our Principal Executive Officer, or PEO, and our other named executive officers, or Other NEOs, as set forth above under “Executive Compensation—Summary Compensation Table” or the SCT Amounts, (ii) the “compensation actually paid”, or CAP Amounts, to our PEO and Other NEOs as calculated pursuant to the SEC’s pay-versus performance rules, (iii) certain financial and other performance measures and (iv) the relationship of the CAP Amounts to those financial performance measurers.</w:t>
      </w:r>
    </w:p>
    <w:p>
      <w:pPr>
        <w:spacing w:after="0" w:line="169"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6"/>
          <w:szCs w:val="16"/>
          <w:color w:val="auto"/>
        </w:rPr>
        <w:t>This disclosure has been prepared in accordance with Item 402(v) of Regulation S-K under the Exchange Act and does not necessarily reflect value actually realized by the executives or how our compensation committee evaluates compensation decisions in light of company or individual performance. The CAP Amounts included in the table below reflect a new measure of compensation which is a combined realizable and realized pay measure predicated on fair value. The grant date fair values included in the SCT Amounts have been replaced with fair values reflecting the change in value of equity awards during the fiscal year. The calculations do not reflect the actual sale of stock underlying equity awards or the exercise of stock options by the applicable executive. For discussion of how our compensation committee seeks to align pay with performance when making compensation decisions, please see the “Compensation Discussion and Analysis” section of this proxy statement beginning on page 26.</w:t>
      </w:r>
    </w:p>
    <w:tbl>
      <w:tblPr>
        <w:tblLayout w:type="fixed"/>
        <w:tblInd w:w="0" w:type="dxa"/>
        <w:tblCellMar>
          <w:top w:w="0" w:type="dxa"/>
          <w:left w:w="0" w:type="dxa"/>
          <w:bottom w:w="0" w:type="dxa"/>
          <w:right w:w="0" w:type="dxa"/>
        </w:tblCellMar>
      </w:tblPr>
      <w:tr>
        <w:trPr>
          <w:trHeight w:val="134"/>
        </w:trPr>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520" w:type="dxa"/>
            <w:vAlign w:val="bottom"/>
            <w:gridSpan w:val="4"/>
          </w:tcPr>
          <w:p>
            <w:pPr>
              <w:jc w:val="right"/>
              <w:ind w:right="497"/>
              <w:spacing w:after="0" w:line="134" w:lineRule="exact"/>
              <w:rPr>
                <w:sz w:val="20"/>
                <w:szCs w:val="20"/>
                <w:color w:val="auto"/>
              </w:rPr>
            </w:pPr>
            <w:r>
              <w:rPr>
                <w:rFonts w:ascii="Times New Roman" w:cs="Times New Roman" w:eastAsia="Times New Roman" w:hAnsi="Times New Roman"/>
                <w:sz w:val="14"/>
                <w:szCs w:val="14"/>
                <w:b w:val="1"/>
                <w:bCs w:val="1"/>
                <w:color w:val="auto"/>
              </w:rPr>
              <w:t>Value of Initial Fixed $100</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restart"/>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vMerge w:val="restart"/>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Average Summary</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Based On</w:t>
            </w:r>
          </w:p>
        </w:tc>
        <w:tc>
          <w:tcPr>
            <w:tcW w:w="10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0" w:type="dxa"/>
            <w:vAlign w:val="bottom"/>
          </w:tcPr>
          <w:p>
            <w:pPr>
              <w:spacing w:after="0"/>
              <w:rPr>
                <w:sz w:val="1"/>
                <w:szCs w:val="1"/>
                <w:color w:val="auto"/>
              </w:rPr>
            </w:pPr>
          </w:p>
        </w:tc>
      </w:tr>
      <w:tr>
        <w:trPr>
          <w:trHeight w:val="117"/>
        </w:trPr>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vMerge w:val="restart"/>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Peer Group</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140" w:type="dxa"/>
            <w:vAlign w:val="bottom"/>
          </w:tcPr>
          <w:p>
            <w:pPr>
              <w:spacing w:after="0"/>
              <w:rPr>
                <w:sz w:val="12"/>
                <w:szCs w:val="12"/>
                <w:color w:val="auto"/>
              </w:rPr>
            </w:pPr>
          </w:p>
        </w:tc>
        <w:tc>
          <w:tcPr>
            <w:tcW w:w="102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Table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3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Shareholder</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15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Selected Measure</w:t>
            </w:r>
          </w:p>
        </w:tc>
        <w:tc>
          <w:tcPr>
            <w:tcW w:w="0" w:type="dxa"/>
            <w:vAlign w:val="bottom"/>
          </w:tcPr>
          <w:p>
            <w:pPr>
              <w:spacing w:after="0"/>
              <w:rPr>
                <w:sz w:val="1"/>
                <w:szCs w:val="1"/>
                <w:color w:val="auto"/>
              </w:rPr>
            </w:pPr>
          </w:p>
        </w:tc>
      </w:tr>
      <w:tr>
        <w:trPr>
          <w:trHeight w:val="149"/>
        </w:trPr>
        <w:tc>
          <w:tcPr>
            <w:tcW w:w="500" w:type="dxa"/>
            <w:vAlign w:val="bottom"/>
            <w:vMerge w:val="continue"/>
          </w:tcPr>
          <w:p>
            <w:pPr>
              <w:spacing w:after="0"/>
              <w:rPr>
                <w:sz w:val="12"/>
                <w:szCs w:val="12"/>
                <w:color w:val="auto"/>
              </w:rPr>
            </w:pPr>
          </w:p>
        </w:tc>
        <w:tc>
          <w:tcPr>
            <w:tcW w:w="11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Table Total for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120" w:type="dxa"/>
            <w:vAlign w:val="bottom"/>
          </w:tcPr>
          <w:p>
            <w:pPr>
              <w:spacing w:after="0"/>
              <w:rPr>
                <w:sz w:val="12"/>
                <w:szCs w:val="12"/>
                <w:color w:val="auto"/>
              </w:rPr>
            </w:pPr>
          </w:p>
        </w:tc>
        <w:tc>
          <w:tcPr>
            <w:tcW w:w="14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Total for Other NEOs</w:t>
            </w:r>
          </w:p>
        </w:tc>
        <w:tc>
          <w:tcPr>
            <w:tcW w:w="100" w:type="dxa"/>
            <w:vAlign w:val="bottom"/>
          </w:tcPr>
          <w:p>
            <w:pPr>
              <w:spacing w:after="0"/>
              <w:rPr>
                <w:sz w:val="12"/>
                <w:szCs w:val="12"/>
                <w:color w:val="auto"/>
              </w:rPr>
            </w:pPr>
          </w:p>
        </w:tc>
        <w:tc>
          <w:tcPr>
            <w:tcW w:w="130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13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Total Shareholder</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5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Product Revenue, Net</w:t>
            </w:r>
          </w:p>
        </w:tc>
        <w:tc>
          <w:tcPr>
            <w:tcW w:w="0" w:type="dxa"/>
            <w:vAlign w:val="bottom"/>
          </w:tcPr>
          <w:p>
            <w:pPr>
              <w:spacing w:after="0"/>
              <w:rPr>
                <w:sz w:val="1"/>
                <w:szCs w:val="1"/>
                <w:color w:val="auto"/>
              </w:rPr>
            </w:pPr>
          </w:p>
        </w:tc>
      </w:tr>
      <w:tr>
        <w:trPr>
          <w:trHeight w:val="148"/>
        </w:trPr>
        <w:tc>
          <w:tcPr>
            <w:tcW w:w="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w:t>
            </w:r>
          </w:p>
        </w:tc>
        <w:tc>
          <w:tcPr>
            <w:tcW w:w="1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PEO (1)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to PEO (2)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w w:val="97"/>
              </w:rPr>
              <w:t>(1)</w:t>
            </w:r>
          </w:p>
        </w:tc>
        <w:tc>
          <w:tcPr>
            <w:tcW w:w="100" w:type="dxa"/>
            <w:vAlign w:val="bottom"/>
          </w:tcPr>
          <w:p>
            <w:pPr>
              <w:spacing w:after="0"/>
              <w:rPr>
                <w:sz w:val="12"/>
                <w:szCs w:val="12"/>
                <w:color w:val="auto"/>
              </w:rPr>
            </w:pPr>
          </w:p>
        </w:tc>
        <w:tc>
          <w:tcPr>
            <w:tcW w:w="13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Other NEOs (2)</w:t>
            </w:r>
          </w:p>
        </w:tc>
        <w:tc>
          <w:tcPr>
            <w:tcW w:w="260" w:type="dxa"/>
            <w:vAlign w:val="bottom"/>
          </w:tcPr>
          <w:p>
            <w:pPr>
              <w:spacing w:after="0"/>
              <w:rPr>
                <w:sz w:val="12"/>
                <w:szCs w:val="12"/>
                <w:color w:val="auto"/>
              </w:rPr>
            </w:pPr>
          </w:p>
        </w:tc>
        <w:tc>
          <w:tcPr>
            <w:tcW w:w="1060" w:type="dxa"/>
            <w:vAlign w:val="bottom"/>
          </w:tcPr>
          <w:p>
            <w:pPr>
              <w:jc w:val="center"/>
              <w:ind w:right="178"/>
              <w:spacing w:after="0" w:line="149" w:lineRule="exact"/>
              <w:rPr>
                <w:sz w:val="20"/>
                <w:szCs w:val="20"/>
                <w:color w:val="auto"/>
              </w:rPr>
            </w:pPr>
            <w:r>
              <w:rPr>
                <w:rFonts w:ascii="Times New Roman" w:cs="Times New Roman" w:eastAsia="Times New Roman" w:hAnsi="Times New Roman"/>
                <w:sz w:val="14"/>
                <w:szCs w:val="14"/>
                <w:b w:val="1"/>
                <w:bCs w:val="1"/>
                <w:color w:val="auto"/>
              </w:rPr>
              <w:t>Return</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jc w:val="center"/>
              <w:ind w:right="177"/>
              <w:spacing w:after="0" w:line="149" w:lineRule="exact"/>
              <w:rPr>
                <w:sz w:val="20"/>
                <w:szCs w:val="20"/>
                <w:color w:val="auto"/>
              </w:rPr>
            </w:pPr>
            <w:r>
              <w:rPr>
                <w:rFonts w:ascii="Times New Roman" w:cs="Times New Roman" w:eastAsia="Times New Roman" w:hAnsi="Times New Roman"/>
                <w:sz w:val="14"/>
                <w:szCs w:val="14"/>
                <w:b w:val="1"/>
                <w:bCs w:val="1"/>
                <w:color w:val="auto"/>
              </w:rPr>
              <w:t>Return (3)</w:t>
            </w:r>
          </w:p>
        </w:tc>
        <w:tc>
          <w:tcPr>
            <w:tcW w:w="120" w:type="dxa"/>
            <w:vAlign w:val="bottom"/>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(000's)</w:t>
            </w:r>
          </w:p>
        </w:tc>
        <w:tc>
          <w:tcPr>
            <w:tcW w:w="15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(000's)</w:t>
            </w:r>
          </w:p>
        </w:tc>
        <w:tc>
          <w:tcPr>
            <w:tcW w:w="0" w:type="dxa"/>
            <w:vAlign w:val="bottom"/>
          </w:tcPr>
          <w:p>
            <w:pPr>
              <w:spacing w:after="0"/>
              <w:rPr>
                <w:sz w:val="1"/>
                <w:szCs w:val="1"/>
                <w:color w:val="auto"/>
              </w:rPr>
            </w:pPr>
          </w:p>
        </w:tc>
      </w:tr>
      <w:tr>
        <w:trPr>
          <w:trHeight w:val="173"/>
        </w:trPr>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w:t>
            </w: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(b)</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(c)</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3"/>
              </w:rPr>
              <w:t>(d)</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(e)</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(f)</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(g)</w:t>
            </w:r>
          </w:p>
        </w:tc>
        <w:tc>
          <w:tcPr>
            <w:tcW w:w="12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w:t>
            </w:r>
          </w:p>
        </w:tc>
        <w:tc>
          <w:tcPr>
            <w:tcW w:w="100" w:type="dxa"/>
            <w:vAlign w:val="bottom"/>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w w:val="99"/>
              </w:rPr>
              <w:t>2024</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10,957,451</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(1,089,135 ) $</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4,050,994</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194,303</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104.21</w:t>
            </w:r>
          </w:p>
        </w:tc>
        <w:tc>
          <w:tcPr>
            <w:tcW w:w="40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118.19</w:t>
            </w:r>
          </w:p>
        </w:tc>
        <w:tc>
          <w:tcPr>
            <w:tcW w:w="12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(197,878 )</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709,954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w w:val="99"/>
              </w:rPr>
              <w:t>2023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10,373,049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14,347,166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4,191,957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5,339,504</w:t>
            </w:r>
          </w:p>
        </w:tc>
        <w:tc>
          <w:tcPr>
            <w:tcW w:w="12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195.49</w:t>
            </w:r>
          </w:p>
        </w:tc>
        <w:tc>
          <w:tcPr>
            <w:tcW w:w="4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118.87</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(528,628 )</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366,281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w w:val="99"/>
              </w:rPr>
              <w:t>2022</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9,203,556</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14,633,603</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2,832,119</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4,897,510</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168.88</w:t>
            </w:r>
          </w:p>
        </w:tc>
        <w:tc>
          <w:tcPr>
            <w:tcW w:w="40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113.65</w:t>
            </w:r>
          </w:p>
        </w:tc>
        <w:tc>
          <w:tcPr>
            <w:tcW w:w="12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(652,172 )</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65,092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w w:val="99"/>
              </w:rPr>
              <w:t>2021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9,122,039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723,966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2,745,212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right"/>
              <w:ind w:right="74"/>
              <w:spacing w:after="0"/>
              <w:rPr>
                <w:sz w:val="20"/>
                <w:szCs w:val="20"/>
                <w:color w:val="auto"/>
              </w:rPr>
            </w:pPr>
            <w:r>
              <w:rPr>
                <w:rFonts w:ascii="Times New Roman" w:cs="Times New Roman" w:eastAsia="Times New Roman" w:hAnsi="Times New Roman"/>
                <w:sz w:val="18"/>
                <w:szCs w:val="18"/>
                <w:color w:val="auto"/>
              </w:rPr>
              <w:t>(28,840 ) $</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154.41</w:t>
            </w:r>
          </w:p>
        </w:tc>
        <w:tc>
          <w:tcPr>
            <w:tcW w:w="4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126.45</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(746,354 )</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w w:val="99"/>
              </w:rPr>
              <w:t>2020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9,275,425</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18,874,181</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3,081,598</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6,876,239</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186.81</w:t>
            </w:r>
          </w:p>
        </w:tc>
        <w:tc>
          <w:tcPr>
            <w:tcW w:w="40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126.42</w:t>
            </w:r>
          </w:p>
        </w:tc>
        <w:tc>
          <w:tcPr>
            <w:tcW w:w="12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(344,874 )</w:t>
            </w:r>
          </w:p>
        </w:tc>
        <w:tc>
          <w:tcPr>
            <w:tcW w:w="1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20" w:hanging="512"/>
        <w:spacing w:after="0"/>
        <w:tabs>
          <w:tab w:leader="none" w:pos="52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PEO and Other NEOs for each of these fiscal years are shown below.</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61"/>
        </w:trPr>
        <w:tc>
          <w:tcPr>
            <w:tcW w:w="62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26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PEO</w:t>
            </w:r>
          </w:p>
        </w:tc>
        <w:tc>
          <w:tcPr>
            <w:tcW w:w="802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Other NEOs</w:t>
            </w:r>
          </w:p>
        </w:tc>
        <w:tc>
          <w:tcPr>
            <w:tcW w:w="0" w:type="dxa"/>
            <w:vAlign w:val="bottom"/>
          </w:tcPr>
          <w:p>
            <w:pPr>
              <w:spacing w:after="0"/>
              <w:rPr>
                <w:sz w:val="1"/>
                <w:szCs w:val="1"/>
                <w:color w:val="auto"/>
              </w:rPr>
            </w:pPr>
          </w:p>
        </w:tc>
      </w:tr>
      <w:tr>
        <w:trPr>
          <w:trHeight w:val="173"/>
        </w:trPr>
        <w:tc>
          <w:tcPr>
            <w:tcW w:w="6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Year</w:t>
            </w:r>
          </w:p>
        </w:tc>
        <w:tc>
          <w:tcPr>
            <w:tcW w:w="2600" w:type="dxa"/>
            <w:vAlign w:val="bottom"/>
            <w:tcBorders>
              <w:bottom w:val="single" w:sz="8" w:color="auto"/>
            </w:tcBorders>
            <w:vMerge w:val="continue"/>
          </w:tcPr>
          <w:p>
            <w:pPr>
              <w:spacing w:after="0"/>
              <w:rPr>
                <w:sz w:val="15"/>
                <w:szCs w:val="15"/>
                <w:color w:val="auto"/>
              </w:rPr>
            </w:pPr>
          </w:p>
        </w:tc>
        <w:tc>
          <w:tcPr>
            <w:tcW w:w="80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20" w:type="dxa"/>
            <w:vAlign w:val="bottom"/>
            <w:shd w:val="clear" w:color="auto" w:fill="CFF0FC"/>
          </w:tcPr>
          <w:p>
            <w:pPr>
              <w:jc w:val="right"/>
              <w:ind w:right="155"/>
              <w:spacing w:after="0"/>
              <w:rPr>
                <w:sz w:val="20"/>
                <w:szCs w:val="20"/>
                <w:color w:val="auto"/>
              </w:rPr>
            </w:pPr>
            <w:r>
              <w:rPr>
                <w:rFonts w:ascii="Times New Roman" w:cs="Times New Roman" w:eastAsia="Times New Roman" w:hAnsi="Times New Roman"/>
                <w:sz w:val="18"/>
                <w:szCs w:val="18"/>
                <w:color w:val="auto"/>
                <w:w w:val="99"/>
              </w:rPr>
              <w:t>2024</w:t>
            </w:r>
          </w:p>
        </w:tc>
        <w:tc>
          <w:tcPr>
            <w:tcW w:w="2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Cedric Francois, M.D., Ph.D.</w:t>
            </w:r>
          </w:p>
        </w:tc>
        <w:tc>
          <w:tcPr>
            <w:tcW w:w="80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Timothy Sullivan, Caroline Baumal M.D., David Watson, Adam Townsend</w:t>
            </w:r>
          </w:p>
        </w:tc>
        <w:tc>
          <w:tcPr>
            <w:tcW w:w="0" w:type="dxa"/>
            <w:vAlign w:val="bottom"/>
          </w:tcPr>
          <w:p>
            <w:pPr>
              <w:spacing w:after="0"/>
              <w:rPr>
                <w:sz w:val="1"/>
                <w:szCs w:val="1"/>
                <w:color w:val="auto"/>
              </w:rPr>
            </w:pPr>
          </w:p>
        </w:tc>
      </w:tr>
      <w:tr>
        <w:trPr>
          <w:trHeight w:val="216"/>
        </w:trPr>
        <w:tc>
          <w:tcPr>
            <w:tcW w:w="62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w w:val="99"/>
              </w:rPr>
              <w:t>2023</w:t>
            </w:r>
          </w:p>
        </w:tc>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Cedric Francois, M.D., Ph.D.</w:t>
            </w:r>
          </w:p>
        </w:tc>
        <w:tc>
          <w:tcPr>
            <w:tcW w:w="8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Timothy Sullivan, Caroline Baumal M.D., David Watson, Adam Townsend</w:t>
            </w:r>
          </w:p>
        </w:tc>
        <w:tc>
          <w:tcPr>
            <w:tcW w:w="0" w:type="dxa"/>
            <w:vAlign w:val="bottom"/>
          </w:tcPr>
          <w:p>
            <w:pPr>
              <w:spacing w:after="0"/>
              <w:rPr>
                <w:sz w:val="1"/>
                <w:szCs w:val="1"/>
                <w:color w:val="auto"/>
              </w:rPr>
            </w:pPr>
          </w:p>
        </w:tc>
      </w:tr>
      <w:tr>
        <w:trPr>
          <w:trHeight w:val="216"/>
        </w:trPr>
        <w:tc>
          <w:tcPr>
            <w:tcW w:w="620" w:type="dxa"/>
            <w:vAlign w:val="bottom"/>
            <w:shd w:val="clear" w:color="auto" w:fill="CFF0FC"/>
          </w:tcPr>
          <w:p>
            <w:pPr>
              <w:jc w:val="right"/>
              <w:ind w:right="155"/>
              <w:spacing w:after="0"/>
              <w:rPr>
                <w:sz w:val="20"/>
                <w:szCs w:val="20"/>
                <w:color w:val="auto"/>
              </w:rPr>
            </w:pPr>
            <w:r>
              <w:rPr>
                <w:rFonts w:ascii="Times New Roman" w:cs="Times New Roman" w:eastAsia="Times New Roman" w:hAnsi="Times New Roman"/>
                <w:sz w:val="18"/>
                <w:szCs w:val="18"/>
                <w:color w:val="auto"/>
                <w:w w:val="99"/>
              </w:rPr>
              <w:t>2022</w:t>
            </w:r>
          </w:p>
        </w:tc>
        <w:tc>
          <w:tcPr>
            <w:tcW w:w="2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Cedric Francois, M.D., Ph.D.</w:t>
            </w:r>
          </w:p>
        </w:tc>
        <w:tc>
          <w:tcPr>
            <w:tcW w:w="80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Timothy Sullivan, Pascal Deschatelets, Ph.D., David Watson, Adam Townsend</w:t>
            </w:r>
          </w:p>
        </w:tc>
        <w:tc>
          <w:tcPr>
            <w:tcW w:w="0" w:type="dxa"/>
            <w:vAlign w:val="bottom"/>
          </w:tcPr>
          <w:p>
            <w:pPr>
              <w:spacing w:after="0"/>
              <w:rPr>
                <w:sz w:val="1"/>
                <w:szCs w:val="1"/>
                <w:color w:val="auto"/>
              </w:rPr>
            </w:pPr>
          </w:p>
        </w:tc>
      </w:tr>
      <w:tr>
        <w:trPr>
          <w:trHeight w:val="216"/>
        </w:trPr>
        <w:tc>
          <w:tcPr>
            <w:tcW w:w="62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w w:val="99"/>
              </w:rPr>
              <w:t>2021</w:t>
            </w:r>
          </w:p>
        </w:tc>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Cedric Francois, M.D., Ph.D.</w:t>
            </w:r>
          </w:p>
        </w:tc>
        <w:tc>
          <w:tcPr>
            <w:tcW w:w="8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Timothy Sullivan, Pascal Deschatelets, Ph.D., Federico Grossi, M.D., Ph.D., Adam Townsend</w:t>
            </w:r>
          </w:p>
        </w:tc>
        <w:tc>
          <w:tcPr>
            <w:tcW w:w="0" w:type="dxa"/>
            <w:vAlign w:val="bottom"/>
          </w:tcPr>
          <w:p>
            <w:pPr>
              <w:spacing w:after="0"/>
              <w:rPr>
                <w:sz w:val="1"/>
                <w:szCs w:val="1"/>
                <w:color w:val="auto"/>
              </w:rPr>
            </w:pPr>
          </w:p>
        </w:tc>
      </w:tr>
      <w:tr>
        <w:trPr>
          <w:trHeight w:val="216"/>
        </w:trPr>
        <w:tc>
          <w:tcPr>
            <w:tcW w:w="620" w:type="dxa"/>
            <w:vAlign w:val="bottom"/>
            <w:shd w:val="clear" w:color="auto" w:fill="CFF0FC"/>
          </w:tcPr>
          <w:p>
            <w:pPr>
              <w:jc w:val="right"/>
              <w:ind w:right="155"/>
              <w:spacing w:after="0"/>
              <w:rPr>
                <w:sz w:val="20"/>
                <w:szCs w:val="20"/>
                <w:color w:val="auto"/>
              </w:rPr>
            </w:pPr>
            <w:r>
              <w:rPr>
                <w:rFonts w:ascii="Times New Roman" w:cs="Times New Roman" w:eastAsia="Times New Roman" w:hAnsi="Times New Roman"/>
                <w:sz w:val="18"/>
                <w:szCs w:val="18"/>
                <w:color w:val="auto"/>
                <w:w w:val="99"/>
              </w:rPr>
              <w:t>2020</w:t>
            </w:r>
          </w:p>
        </w:tc>
        <w:tc>
          <w:tcPr>
            <w:tcW w:w="2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Cedric Francois, M.D., Ph.D.</w:t>
            </w:r>
          </w:p>
        </w:tc>
        <w:tc>
          <w:tcPr>
            <w:tcW w:w="80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Timothy Sullivan, Pascal Deschatelets, Ph.D., Nur Nicholson, Adam Townsend</w:t>
            </w:r>
          </w:p>
        </w:tc>
        <w:tc>
          <w:tcPr>
            <w:tcW w:w="0" w:type="dxa"/>
            <w:vAlign w:val="bottom"/>
          </w:tcPr>
          <w:p>
            <w:pPr>
              <w:spacing w:after="0"/>
              <w:rPr>
                <w:sz w:val="1"/>
                <w:szCs w:val="1"/>
                <w:color w:val="auto"/>
              </w:rPr>
            </w:pPr>
          </w:p>
        </w:tc>
      </w:tr>
    </w:tbl>
    <w:p>
      <w:pPr>
        <w:spacing w:after="0" w:line="297" w:lineRule="exact"/>
        <w:rPr>
          <w:sz w:val="20"/>
          <w:szCs w:val="20"/>
          <w:color w:val="auto"/>
        </w:rPr>
      </w:pPr>
    </w:p>
    <w:p>
      <w:pPr>
        <w:ind w:left="520" w:right="380" w:hanging="512"/>
        <w:spacing w:after="0" w:line="275" w:lineRule="auto"/>
        <w:tabs>
          <w:tab w:leader="none" w:pos="52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table summarizes the adjustments made in accordance with Item 402(v) of Regulation S-K in order to calculate the CAP Amounts from the SCT Amounts. The SCT Amounts and the CAP Amounts do not reflect the actual amount of compensation earned by or paid to our executives during the applicable years, but rather are amounts determined in accordance with Item 402 of Regulation S-K under the Exchange Act. No awards vested in the year that they were granted.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4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3"/>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2024</w:t>
            </w:r>
          </w:p>
        </w:tc>
        <w:tc>
          <w:tcPr>
            <w:tcW w:w="7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3"/>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2023</w:t>
            </w:r>
          </w:p>
        </w:tc>
        <w:tc>
          <w:tcPr>
            <w:tcW w:w="7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3"/>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2022</w:t>
            </w: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3"/>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2021</w:t>
            </w:r>
          </w:p>
        </w:tc>
        <w:tc>
          <w:tcPr>
            <w:tcW w:w="6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2020</w:t>
            </w:r>
          </w:p>
        </w:tc>
        <w:tc>
          <w:tcPr>
            <w:tcW w:w="7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jc w:val="right"/>
              <w:ind w:right="157"/>
              <w:spacing w:after="0" w:line="109" w:lineRule="exact"/>
              <w:rPr>
                <w:sz w:val="20"/>
                <w:szCs w:val="20"/>
                <w:color w:val="auto"/>
              </w:rPr>
            </w:pPr>
            <w:r>
              <w:rPr>
                <w:rFonts w:ascii="Times New Roman" w:cs="Times New Roman" w:eastAsia="Times New Roman" w:hAnsi="Times New Roman"/>
                <w:sz w:val="12"/>
                <w:szCs w:val="12"/>
                <w:b w:val="1"/>
                <w:bCs w:val="1"/>
                <w:color w:val="auto"/>
              </w:rPr>
              <w:t>Average</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jc w:val="right"/>
              <w:ind w:right="157"/>
              <w:spacing w:after="0" w:line="109" w:lineRule="exact"/>
              <w:rPr>
                <w:sz w:val="20"/>
                <w:szCs w:val="20"/>
                <w:color w:val="auto"/>
              </w:rPr>
            </w:pPr>
            <w:r>
              <w:rPr>
                <w:rFonts w:ascii="Times New Roman" w:cs="Times New Roman" w:eastAsia="Times New Roman" w:hAnsi="Times New Roman"/>
                <w:sz w:val="12"/>
                <w:szCs w:val="12"/>
                <w:b w:val="1"/>
                <w:bCs w:val="1"/>
                <w:color w:val="auto"/>
              </w:rPr>
              <w:t>Average</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jc w:val="right"/>
              <w:ind w:right="137"/>
              <w:spacing w:after="0" w:line="109" w:lineRule="exact"/>
              <w:rPr>
                <w:sz w:val="20"/>
                <w:szCs w:val="20"/>
                <w:color w:val="auto"/>
              </w:rPr>
            </w:pPr>
            <w:r>
              <w:rPr>
                <w:rFonts w:ascii="Times New Roman" w:cs="Times New Roman" w:eastAsia="Times New Roman" w:hAnsi="Times New Roman"/>
                <w:sz w:val="12"/>
                <w:szCs w:val="12"/>
                <w:b w:val="1"/>
                <w:bCs w:val="1"/>
                <w:color w:val="auto"/>
              </w:rPr>
              <w:t>Average</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jc w:val="right"/>
              <w:ind w:right="157"/>
              <w:spacing w:after="0" w:line="109" w:lineRule="exact"/>
              <w:rPr>
                <w:sz w:val="20"/>
                <w:szCs w:val="20"/>
                <w:color w:val="auto"/>
              </w:rPr>
            </w:pPr>
            <w:r>
              <w:rPr>
                <w:rFonts w:ascii="Times New Roman" w:cs="Times New Roman" w:eastAsia="Times New Roman" w:hAnsi="Times New Roman"/>
                <w:sz w:val="12"/>
                <w:szCs w:val="12"/>
                <w:b w:val="1"/>
                <w:bCs w:val="1"/>
                <w:color w:val="auto"/>
              </w:rPr>
              <w:t>Average</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right"/>
              <w:ind w:right="36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right"/>
              <w:ind w:right="36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0" w:type="dxa"/>
            <w:vAlign w:val="bottom"/>
          </w:tcPr>
          <w:p>
            <w:pPr>
              <w:spacing w:after="0"/>
              <w:rPr>
                <w:sz w:val="1"/>
                <w:szCs w:val="1"/>
                <w:color w:val="auto"/>
              </w:rPr>
            </w:pPr>
          </w:p>
        </w:tc>
      </w:tr>
      <w:tr>
        <w:trPr>
          <w:trHeight w:val="155"/>
        </w:trPr>
        <w:tc>
          <w:tcPr>
            <w:tcW w:w="1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PEO</w:t>
            </w:r>
          </w:p>
        </w:tc>
        <w:tc>
          <w:tcPr>
            <w:tcW w:w="140" w:type="dxa"/>
            <w:vAlign w:val="bottom"/>
          </w:tcPr>
          <w:p>
            <w:pPr>
              <w:spacing w:after="0"/>
              <w:rPr>
                <w:sz w:val="13"/>
                <w:szCs w:val="13"/>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NEOs</w:t>
            </w:r>
          </w:p>
        </w:tc>
        <w:tc>
          <w:tcPr>
            <w:tcW w:w="180" w:type="dxa"/>
            <w:vAlign w:val="bottom"/>
          </w:tcPr>
          <w:p>
            <w:pPr>
              <w:spacing w:after="0"/>
              <w:rPr>
                <w:sz w:val="13"/>
                <w:szCs w:val="13"/>
                <w:color w:val="auto"/>
              </w:rPr>
            </w:pP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PEO</w:t>
            </w:r>
          </w:p>
        </w:tc>
        <w:tc>
          <w:tcPr>
            <w:tcW w:w="140" w:type="dxa"/>
            <w:vAlign w:val="bottom"/>
          </w:tcPr>
          <w:p>
            <w:pPr>
              <w:spacing w:after="0"/>
              <w:rPr>
                <w:sz w:val="13"/>
                <w:szCs w:val="13"/>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NEOs</w:t>
            </w:r>
          </w:p>
        </w:tc>
        <w:tc>
          <w:tcPr>
            <w:tcW w:w="180" w:type="dxa"/>
            <w:vAlign w:val="bottom"/>
          </w:tcPr>
          <w:p>
            <w:pPr>
              <w:spacing w:after="0"/>
              <w:rPr>
                <w:sz w:val="13"/>
                <w:szCs w:val="13"/>
                <w:color w:val="auto"/>
              </w:rPr>
            </w:pPr>
          </w:p>
        </w:tc>
        <w:tc>
          <w:tcPr>
            <w:tcW w:w="80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PEO</w:t>
            </w:r>
          </w:p>
        </w:tc>
        <w:tc>
          <w:tcPr>
            <w:tcW w:w="140" w:type="dxa"/>
            <w:vAlign w:val="bottom"/>
          </w:tcPr>
          <w:p>
            <w:pPr>
              <w:spacing w:after="0"/>
              <w:rPr>
                <w:sz w:val="13"/>
                <w:szCs w:val="13"/>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NEOs</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PEO</w:t>
            </w:r>
          </w:p>
        </w:tc>
        <w:tc>
          <w:tcPr>
            <w:tcW w:w="140" w:type="dxa"/>
            <w:vAlign w:val="bottom"/>
          </w:tcPr>
          <w:p>
            <w:pPr>
              <w:spacing w:after="0"/>
              <w:rPr>
                <w:sz w:val="13"/>
                <w:szCs w:val="13"/>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NEOs</w:t>
            </w:r>
          </w:p>
        </w:tc>
        <w:tc>
          <w:tcPr>
            <w:tcW w:w="0" w:type="dxa"/>
            <w:vAlign w:val="bottom"/>
          </w:tcPr>
          <w:p>
            <w:pPr>
              <w:spacing w:after="0"/>
              <w:rPr>
                <w:sz w:val="1"/>
                <w:szCs w:val="1"/>
                <w:color w:val="auto"/>
              </w:rPr>
            </w:pPr>
          </w:p>
        </w:tc>
      </w:tr>
      <w:tr>
        <w:trPr>
          <w:trHeight w:val="108"/>
        </w:trPr>
        <w:tc>
          <w:tcPr>
            <w:tcW w:w="1440" w:type="dxa"/>
            <w:vAlign w:val="bottom"/>
            <w:tcBorders>
              <w:top w:val="single" w:sz="8" w:color="auto"/>
            </w:tcBorders>
            <w:shd w:val="clear" w:color="auto" w:fill="CFF0FC"/>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Total Compensation from</w:t>
            </w:r>
          </w:p>
        </w:tc>
        <w:tc>
          <w:tcPr>
            <w:tcW w:w="160" w:type="dxa"/>
            <w:vAlign w:val="bottom"/>
            <w:tcBorders>
              <w:top w:val="single" w:sz="8" w:color="auto"/>
            </w:tcBorders>
            <w:shd w:val="clear" w:color="auto" w:fill="CFF0FC"/>
          </w:tcPr>
          <w:p>
            <w:pPr>
              <w:spacing w:after="0"/>
              <w:rPr>
                <w:sz w:val="9"/>
                <w:szCs w:val="9"/>
                <w:color w:val="auto"/>
              </w:rPr>
            </w:pPr>
          </w:p>
        </w:tc>
        <w:tc>
          <w:tcPr>
            <w:tcW w:w="720" w:type="dxa"/>
            <w:vAlign w:val="bottom"/>
            <w:tcBorders>
              <w:top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740" w:type="dxa"/>
            <w:vAlign w:val="bottom"/>
            <w:tcBorders>
              <w:top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tcBorders>
              <w:top w:val="single" w:sz="8" w:color="auto"/>
            </w:tcBorders>
            <w:shd w:val="clear" w:color="auto" w:fill="CFF0FC"/>
          </w:tcPr>
          <w:p>
            <w:pPr>
              <w:spacing w:after="0"/>
              <w:rPr>
                <w:sz w:val="9"/>
                <w:szCs w:val="9"/>
                <w:color w:val="auto"/>
              </w:rPr>
            </w:pPr>
          </w:p>
        </w:tc>
        <w:tc>
          <w:tcPr>
            <w:tcW w:w="700" w:type="dxa"/>
            <w:vAlign w:val="bottom"/>
            <w:tcBorders>
              <w:top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740" w:type="dxa"/>
            <w:vAlign w:val="bottom"/>
            <w:tcBorders>
              <w:top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tcBorders>
              <w:top w:val="single" w:sz="8" w:color="auto"/>
            </w:tcBorders>
            <w:shd w:val="clear" w:color="auto" w:fill="CFF0FC"/>
          </w:tcPr>
          <w:p>
            <w:pPr>
              <w:spacing w:after="0"/>
              <w:rPr>
                <w:sz w:val="9"/>
                <w:szCs w:val="9"/>
                <w:color w:val="auto"/>
              </w:rPr>
            </w:pPr>
          </w:p>
        </w:tc>
        <w:tc>
          <w:tcPr>
            <w:tcW w:w="70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72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80" w:type="dxa"/>
            <w:vAlign w:val="bottom"/>
            <w:tcBorders>
              <w:top w:val="single" w:sz="8" w:color="auto"/>
            </w:tcBorders>
            <w:shd w:val="clear" w:color="auto" w:fill="CFF0FC"/>
          </w:tcPr>
          <w:p>
            <w:pPr>
              <w:spacing w:after="0"/>
              <w:rPr>
                <w:sz w:val="9"/>
                <w:szCs w:val="9"/>
                <w:color w:val="auto"/>
              </w:rPr>
            </w:pPr>
          </w:p>
        </w:tc>
        <w:tc>
          <w:tcPr>
            <w:tcW w:w="660" w:type="dxa"/>
            <w:vAlign w:val="bottom"/>
            <w:tcBorders>
              <w:top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tcBorders>
              <w:top w:val="single" w:sz="8" w:color="auto"/>
            </w:tcBorders>
            <w:shd w:val="clear" w:color="auto" w:fill="CFF0FC"/>
          </w:tcPr>
          <w:p>
            <w:pPr>
              <w:spacing w:after="0"/>
              <w:rPr>
                <w:sz w:val="9"/>
                <w:szCs w:val="9"/>
                <w:color w:val="auto"/>
              </w:rPr>
            </w:pPr>
          </w:p>
        </w:tc>
        <w:tc>
          <w:tcPr>
            <w:tcW w:w="660" w:type="dxa"/>
            <w:vAlign w:val="bottom"/>
            <w:tcBorders>
              <w:top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680" w:type="dxa"/>
            <w:vAlign w:val="bottom"/>
            <w:tcBorders>
              <w:top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74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44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Summary Compensation</w:t>
            </w: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Table</w:t>
            </w: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10,957,451</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4,050,994</w:t>
            </w: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10,373,049</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4,191,957</w:t>
            </w: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9,203,556</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2,832,119</w:t>
            </w: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9,122,039</w:t>
            </w: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2,745,212</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9,275,425</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3,081,598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1440" w:type="dxa"/>
            <w:vAlign w:val="bottom"/>
          </w:tcPr>
          <w:p>
            <w:pPr>
              <w:ind w:left="20"/>
              <w:spacing w:after="0" w:line="115" w:lineRule="exact"/>
              <w:rPr>
                <w:sz w:val="20"/>
                <w:szCs w:val="20"/>
                <w:color w:val="auto"/>
              </w:rPr>
            </w:pPr>
            <w:r>
              <w:rPr>
                <w:rFonts w:ascii="Times New Roman" w:cs="Times New Roman" w:eastAsia="Times New Roman" w:hAnsi="Times New Roman"/>
                <w:sz w:val="13"/>
                <w:szCs w:val="13"/>
                <w:b w:val="1"/>
                <w:bCs w:val="1"/>
                <w:color w:val="auto"/>
              </w:rPr>
              <w:t>Adjustments for Equity</w:t>
            </w: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4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440" w:type="dxa"/>
            <w:vAlign w:val="bottom"/>
            <w:shd w:val="clear" w:color="auto" w:fill="CFF0FC"/>
          </w:tcPr>
          <w:p>
            <w:pPr>
              <w:ind w:left="20"/>
              <w:spacing w:after="0" w:line="117" w:lineRule="exact"/>
              <w:rPr>
                <w:sz w:val="20"/>
                <w:szCs w:val="20"/>
                <w:color w:val="auto"/>
              </w:rPr>
            </w:pPr>
            <w:r>
              <w:rPr>
                <w:rFonts w:ascii="Times New Roman" w:cs="Times New Roman" w:eastAsia="Times New Roman" w:hAnsi="Times New Roman"/>
                <w:sz w:val="13"/>
                <w:szCs w:val="13"/>
                <w:color w:val="auto"/>
              </w:rPr>
              <w:t>Adjustment for grant date</w:t>
            </w:r>
          </w:p>
        </w:tc>
        <w:tc>
          <w:tcPr>
            <w:tcW w:w="1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44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values in the Summary</w:t>
            </w: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Compensation Table</w:t>
            </w: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(9,567,600 )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(3,207,909 )</w:t>
            </w: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(8,936,692 )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(3,357,184 )</w:t>
            </w: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(8,004,942 )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(2,136,764 )</w:t>
            </w: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(8,152,500 )</w:t>
            </w: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(2,140,032 )</w:t>
            </w: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(8,226,969 )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(2,483,345 )</w:t>
            </w:r>
          </w:p>
        </w:tc>
        <w:tc>
          <w:tcPr>
            <w:tcW w:w="0" w:type="dxa"/>
            <w:vAlign w:val="bottom"/>
          </w:tcPr>
          <w:p>
            <w:pPr>
              <w:spacing w:after="0"/>
              <w:rPr>
                <w:sz w:val="1"/>
                <w:szCs w:val="1"/>
                <w:color w:val="auto"/>
              </w:rPr>
            </w:pPr>
          </w:p>
        </w:tc>
      </w:tr>
      <w:tr>
        <w:trPr>
          <w:trHeight w:val="117"/>
        </w:trPr>
        <w:tc>
          <w:tcPr>
            <w:tcW w:w="144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auto"/>
              </w:rPr>
              <w:t>Year-end fair value of</w:t>
            </w: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4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w w:val="98"/>
              </w:rPr>
              <w:t>unvested awards granted in</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the current year</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4,362,835</w:t>
            </w:r>
          </w:p>
        </w:tc>
        <w:tc>
          <w:tcPr>
            <w:tcW w:w="1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1,462,809</w:t>
            </w:r>
          </w:p>
        </w:tc>
        <w:tc>
          <w:tcPr>
            <w:tcW w:w="120" w:type="dxa"/>
            <w:vAlign w:val="bottom"/>
          </w:tcPr>
          <w:p>
            <w:pPr>
              <w:spacing w:after="0"/>
              <w:rPr>
                <w:sz w:val="13"/>
                <w:szCs w:val="13"/>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10,274,384</w:t>
            </w:r>
          </w:p>
        </w:tc>
        <w:tc>
          <w:tcPr>
            <w:tcW w:w="1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3,903,250</w:t>
            </w:r>
          </w:p>
        </w:tc>
        <w:tc>
          <w:tcPr>
            <w:tcW w:w="120" w:type="dxa"/>
            <w:vAlign w:val="bottom"/>
          </w:tcPr>
          <w:p>
            <w:pPr>
              <w:spacing w:after="0"/>
              <w:rPr>
                <w:sz w:val="13"/>
                <w:szCs w:val="13"/>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12,561,312</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3,928,114</w:t>
            </w:r>
          </w:p>
        </w:tc>
        <w:tc>
          <w:tcPr>
            <w:tcW w:w="100" w:type="dxa"/>
            <w:vAlign w:val="bottom"/>
          </w:tcPr>
          <w:p>
            <w:pPr>
              <w:spacing w:after="0"/>
              <w:rPr>
                <w:sz w:val="13"/>
                <w:szCs w:val="13"/>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5,705,790</w:t>
            </w:r>
          </w:p>
        </w:tc>
        <w:tc>
          <w:tcPr>
            <w:tcW w:w="120" w:type="dxa"/>
            <w:vAlign w:val="bottom"/>
          </w:tcPr>
          <w:p>
            <w:pPr>
              <w:spacing w:after="0"/>
              <w:rPr>
                <w:sz w:val="13"/>
                <w:szCs w:val="13"/>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1,711,737</w:t>
            </w:r>
          </w:p>
        </w:tc>
        <w:tc>
          <w:tcPr>
            <w:tcW w:w="120" w:type="dxa"/>
            <w:vAlign w:val="bottom"/>
          </w:tcPr>
          <w:p>
            <w:pPr>
              <w:spacing w:after="0"/>
              <w:rPr>
                <w:sz w:val="13"/>
                <w:szCs w:val="13"/>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9,954,808</w:t>
            </w:r>
          </w:p>
        </w:tc>
        <w:tc>
          <w:tcPr>
            <w:tcW w:w="1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3,547,574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440" w:type="dxa"/>
            <w:vAlign w:val="bottom"/>
            <w:shd w:val="clear" w:color="auto" w:fill="CFF0FC"/>
          </w:tcPr>
          <w:p>
            <w:pPr>
              <w:ind w:left="20"/>
              <w:spacing w:after="0" w:line="117" w:lineRule="exact"/>
              <w:rPr>
                <w:sz w:val="20"/>
                <w:szCs w:val="20"/>
                <w:color w:val="auto"/>
              </w:rPr>
            </w:pPr>
            <w:r>
              <w:rPr>
                <w:rFonts w:ascii="Times New Roman" w:cs="Times New Roman" w:eastAsia="Times New Roman" w:hAnsi="Times New Roman"/>
                <w:sz w:val="13"/>
                <w:szCs w:val="13"/>
                <w:color w:val="auto"/>
              </w:rPr>
              <w:t>Year-over-year difference</w:t>
            </w:r>
          </w:p>
        </w:tc>
        <w:tc>
          <w:tcPr>
            <w:tcW w:w="1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44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of year-end fair values for</w:t>
            </w: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4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w w:val="98"/>
              </w:rPr>
              <w:t>unvested awards granted in</w:t>
            </w: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prior years</w:t>
            </w: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(6,229,226 )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(1,953,092 )</w:t>
            </w: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1,685,651</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392,585</w:t>
            </w: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671,612</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188,083</w:t>
            </w: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(2,283,268 )</w:t>
            </w: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(843,118 )</w:t>
            </w: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7,521,274</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2,691,348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44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auto"/>
              </w:rPr>
              <w:t>Fair values at vest date for</w:t>
            </w: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4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awards granted and vested</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 current year</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1440" w:type="dxa"/>
            <w:vAlign w:val="bottom"/>
            <w:shd w:val="clear" w:color="auto" w:fill="CFF0FC"/>
          </w:tcPr>
          <w:p>
            <w:pPr>
              <w:ind w:left="20"/>
              <w:spacing w:after="0" w:line="117" w:lineRule="exact"/>
              <w:rPr>
                <w:sz w:val="20"/>
                <w:szCs w:val="20"/>
                <w:color w:val="auto"/>
              </w:rPr>
            </w:pPr>
            <w:r>
              <w:rPr>
                <w:rFonts w:ascii="Times New Roman" w:cs="Times New Roman" w:eastAsia="Times New Roman" w:hAnsi="Times New Roman"/>
                <w:sz w:val="13"/>
                <w:szCs w:val="13"/>
                <w:color w:val="auto"/>
              </w:rPr>
              <w:t>Difference in fair values</w:t>
            </w:r>
          </w:p>
        </w:tc>
        <w:tc>
          <w:tcPr>
            <w:tcW w:w="1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44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w w:val="98"/>
              </w:rPr>
              <w:t>between prior year-end fair</w:t>
            </w: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4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values and vest date fair</w:t>
            </w: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4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values for awards granted</w:t>
            </w: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 prior years</w:t>
            </w: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(612,595 )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(158,500 )</w:t>
            </w: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950,774</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208,895</w:t>
            </w: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202,065</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85,958</w:t>
            </w: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(3,668,095 )</w:t>
            </w: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(1,502,640 )</w:t>
            </w: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349,644</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39,064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44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auto"/>
              </w:rPr>
              <w:t>Forfeitures during current</w:t>
            </w: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4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w w:val="96"/>
              </w:rPr>
              <w:t>year equal to prior year-end</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fair value</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1440" w:type="dxa"/>
            <w:vAlign w:val="bottom"/>
            <w:shd w:val="clear" w:color="auto" w:fill="CFF0FC"/>
          </w:tcPr>
          <w:p>
            <w:pPr>
              <w:ind w:left="20"/>
              <w:spacing w:after="0" w:line="117" w:lineRule="exact"/>
              <w:rPr>
                <w:sz w:val="20"/>
                <w:szCs w:val="20"/>
                <w:color w:val="auto"/>
              </w:rPr>
            </w:pPr>
            <w:r>
              <w:rPr>
                <w:rFonts w:ascii="Times New Roman" w:cs="Times New Roman" w:eastAsia="Times New Roman" w:hAnsi="Times New Roman"/>
                <w:sz w:val="13"/>
                <w:szCs w:val="13"/>
                <w:color w:val="auto"/>
              </w:rPr>
              <w:t>Total Adjustments for</w:t>
            </w:r>
          </w:p>
        </w:tc>
        <w:tc>
          <w:tcPr>
            <w:tcW w:w="160" w:type="dxa"/>
            <w:vAlign w:val="bottom"/>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(12,046,586 )</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(3,856,692 )</w:t>
            </w:r>
          </w:p>
        </w:tc>
        <w:tc>
          <w:tcPr>
            <w:tcW w:w="180" w:type="dxa"/>
            <w:vAlign w:val="bottom"/>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3,974,117</w:t>
            </w:r>
          </w:p>
        </w:tc>
        <w:tc>
          <w:tcPr>
            <w:tcW w:w="120" w:type="dxa"/>
            <w:vAlign w:val="bottom"/>
            <w:shd w:val="clear" w:color="auto" w:fill="CFF0FC"/>
          </w:tcPr>
          <w:p>
            <w:pPr>
              <w:spacing w:after="0"/>
              <w:rPr>
                <w:sz w:val="10"/>
                <w:szCs w:val="10"/>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1,147,547</w:t>
            </w:r>
          </w:p>
        </w:tc>
        <w:tc>
          <w:tcPr>
            <w:tcW w:w="120" w:type="dxa"/>
            <w:vAlign w:val="bottom"/>
            <w:shd w:val="clear" w:color="auto" w:fill="CFF0FC"/>
          </w:tcPr>
          <w:p>
            <w:pPr>
              <w:spacing w:after="0"/>
              <w:rPr>
                <w:sz w:val="10"/>
                <w:szCs w:val="10"/>
                <w:color w:val="auto"/>
              </w:rPr>
            </w:pPr>
          </w:p>
        </w:tc>
        <w:tc>
          <w:tcPr>
            <w:tcW w:w="180" w:type="dxa"/>
            <w:vAlign w:val="bottom"/>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5,430,047</w:t>
            </w:r>
          </w:p>
        </w:tc>
        <w:tc>
          <w:tcPr>
            <w:tcW w:w="100" w:type="dxa"/>
            <w:vAlign w:val="bottom"/>
            <w:shd w:val="clear" w:color="auto" w:fill="CFF0FC"/>
          </w:tcPr>
          <w:p>
            <w:pPr>
              <w:spacing w:after="0"/>
              <w:rPr>
                <w:sz w:val="10"/>
                <w:szCs w:val="10"/>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2,065,391</w:t>
            </w:r>
          </w:p>
        </w:tc>
        <w:tc>
          <w:tcPr>
            <w:tcW w:w="100" w:type="dxa"/>
            <w:vAlign w:val="bottom"/>
            <w:shd w:val="clear" w:color="auto" w:fill="CFF0FC"/>
          </w:tcPr>
          <w:p>
            <w:pPr>
              <w:spacing w:after="0"/>
              <w:rPr>
                <w:sz w:val="10"/>
                <w:szCs w:val="10"/>
                <w:color w:val="auto"/>
              </w:rPr>
            </w:pPr>
          </w:p>
        </w:tc>
        <w:tc>
          <w:tcPr>
            <w:tcW w:w="180" w:type="dxa"/>
            <w:vAlign w:val="bottom"/>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(8,398,073 )</w:t>
            </w:r>
          </w:p>
        </w:tc>
        <w:tc>
          <w:tcPr>
            <w:tcW w:w="180" w:type="dxa"/>
            <w:vAlign w:val="bottom"/>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(2,774,052 )</w:t>
            </w:r>
          </w:p>
        </w:tc>
        <w:tc>
          <w:tcPr>
            <w:tcW w:w="160" w:type="dxa"/>
            <w:vAlign w:val="bottom"/>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9,598,756</w:t>
            </w:r>
          </w:p>
        </w:tc>
        <w:tc>
          <w:tcPr>
            <w:tcW w:w="120" w:type="dxa"/>
            <w:vAlign w:val="bottom"/>
            <w:shd w:val="clear" w:color="auto" w:fill="CFF0FC"/>
          </w:tcPr>
          <w:p>
            <w:pPr>
              <w:spacing w:after="0"/>
              <w:rPr>
                <w:sz w:val="10"/>
                <w:szCs w:val="10"/>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3,794,641</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Equity Awards</w:t>
            </w:r>
          </w:p>
        </w:tc>
        <w:tc>
          <w:tcPr>
            <w:tcW w:w="160" w:type="dxa"/>
            <w:vAlign w:val="bottom"/>
            <w:vMerge w:val="continue"/>
            <w:shd w:val="clear" w:color="auto" w:fill="CFF0FC"/>
          </w:tcPr>
          <w:p>
            <w:pPr>
              <w:spacing w:after="0"/>
              <w:rPr>
                <w:sz w:val="13"/>
                <w:szCs w:val="13"/>
                <w:color w:val="auto"/>
              </w:rPr>
            </w:pPr>
          </w:p>
        </w:tc>
        <w:tc>
          <w:tcPr>
            <w:tcW w:w="840" w:type="dxa"/>
            <w:vAlign w:val="bottom"/>
            <w:gridSpan w:val="2"/>
            <w:vMerge w:val="continue"/>
            <w:shd w:val="clear" w:color="auto" w:fill="CFF0FC"/>
          </w:tcPr>
          <w:p>
            <w:pPr>
              <w:spacing w:after="0"/>
              <w:rPr>
                <w:sz w:val="13"/>
                <w:szCs w:val="13"/>
                <w:color w:val="auto"/>
              </w:rPr>
            </w:pPr>
          </w:p>
        </w:tc>
        <w:tc>
          <w:tcPr>
            <w:tcW w:w="140" w:type="dxa"/>
            <w:vAlign w:val="bottom"/>
            <w:vMerge w:val="continue"/>
            <w:shd w:val="clear" w:color="auto" w:fill="CFF0FC"/>
          </w:tcPr>
          <w:p>
            <w:pPr>
              <w:spacing w:after="0"/>
              <w:rPr>
                <w:sz w:val="13"/>
                <w:szCs w:val="13"/>
                <w:color w:val="auto"/>
              </w:rPr>
            </w:pPr>
          </w:p>
        </w:tc>
        <w:tc>
          <w:tcPr>
            <w:tcW w:w="860" w:type="dxa"/>
            <w:vAlign w:val="bottom"/>
            <w:gridSpan w:val="2"/>
            <w:vMerge w:val="continue"/>
            <w:shd w:val="clear" w:color="auto" w:fill="CFF0FC"/>
          </w:tcPr>
          <w:p>
            <w:pPr>
              <w:spacing w:after="0"/>
              <w:rPr>
                <w:sz w:val="13"/>
                <w:szCs w:val="13"/>
                <w:color w:val="auto"/>
              </w:rPr>
            </w:pPr>
          </w:p>
        </w:tc>
        <w:tc>
          <w:tcPr>
            <w:tcW w:w="180" w:type="dxa"/>
            <w:vAlign w:val="bottom"/>
            <w:vMerge w:val="continue"/>
            <w:shd w:val="clear" w:color="auto" w:fill="CFF0FC"/>
          </w:tcPr>
          <w:p>
            <w:pPr>
              <w:spacing w:after="0"/>
              <w:rPr>
                <w:sz w:val="13"/>
                <w:szCs w:val="13"/>
                <w:color w:val="auto"/>
              </w:rPr>
            </w:pPr>
          </w:p>
        </w:tc>
        <w:tc>
          <w:tcPr>
            <w:tcW w:w="700" w:type="dxa"/>
            <w:vAlign w:val="bottom"/>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vMerge w:val="continue"/>
            <w:shd w:val="clear" w:color="auto" w:fill="CFF0FC"/>
          </w:tcPr>
          <w:p>
            <w:pPr>
              <w:spacing w:after="0"/>
              <w:rPr>
                <w:sz w:val="13"/>
                <w:szCs w:val="13"/>
                <w:color w:val="auto"/>
              </w:rPr>
            </w:pPr>
          </w:p>
        </w:tc>
        <w:tc>
          <w:tcPr>
            <w:tcW w:w="740" w:type="dxa"/>
            <w:vAlign w:val="bottom"/>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vMerge w:val="continue"/>
            <w:shd w:val="clear" w:color="auto" w:fill="CFF0FC"/>
          </w:tcPr>
          <w:p>
            <w:pPr>
              <w:spacing w:after="0"/>
              <w:rPr>
                <w:sz w:val="13"/>
                <w:szCs w:val="13"/>
                <w:color w:val="auto"/>
              </w:rPr>
            </w:pPr>
          </w:p>
        </w:tc>
        <w:tc>
          <w:tcPr>
            <w:tcW w:w="70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vMerge w:val="continue"/>
            <w:shd w:val="clear" w:color="auto" w:fill="CFF0FC"/>
          </w:tcPr>
          <w:p>
            <w:pPr>
              <w:spacing w:after="0"/>
              <w:rPr>
                <w:sz w:val="13"/>
                <w:szCs w:val="13"/>
                <w:color w:val="auto"/>
              </w:rPr>
            </w:pPr>
          </w:p>
        </w:tc>
        <w:tc>
          <w:tcPr>
            <w:tcW w:w="72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vMerge w:val="continue"/>
            <w:shd w:val="clear" w:color="auto" w:fill="CFF0FC"/>
          </w:tcPr>
          <w:p>
            <w:pPr>
              <w:spacing w:after="0"/>
              <w:rPr>
                <w:sz w:val="13"/>
                <w:szCs w:val="13"/>
                <w:color w:val="auto"/>
              </w:rPr>
            </w:pPr>
          </w:p>
        </w:tc>
        <w:tc>
          <w:tcPr>
            <w:tcW w:w="780" w:type="dxa"/>
            <w:vAlign w:val="bottom"/>
            <w:gridSpan w:val="2"/>
            <w:vMerge w:val="continue"/>
            <w:shd w:val="clear" w:color="auto" w:fill="CFF0FC"/>
          </w:tcPr>
          <w:p>
            <w:pPr>
              <w:spacing w:after="0"/>
              <w:rPr>
                <w:sz w:val="13"/>
                <w:szCs w:val="13"/>
                <w:color w:val="auto"/>
              </w:rPr>
            </w:pPr>
          </w:p>
        </w:tc>
        <w:tc>
          <w:tcPr>
            <w:tcW w:w="180" w:type="dxa"/>
            <w:vAlign w:val="bottom"/>
            <w:vMerge w:val="continue"/>
            <w:shd w:val="clear" w:color="auto" w:fill="CFF0FC"/>
          </w:tcPr>
          <w:p>
            <w:pPr>
              <w:spacing w:after="0"/>
              <w:rPr>
                <w:sz w:val="13"/>
                <w:szCs w:val="13"/>
                <w:color w:val="auto"/>
              </w:rPr>
            </w:pPr>
          </w:p>
        </w:tc>
        <w:tc>
          <w:tcPr>
            <w:tcW w:w="780" w:type="dxa"/>
            <w:vAlign w:val="bottom"/>
            <w:gridSpan w:val="2"/>
            <w:vMerge w:val="continue"/>
            <w:shd w:val="clear" w:color="auto" w:fill="CFF0FC"/>
          </w:tcPr>
          <w:p>
            <w:pPr>
              <w:spacing w:after="0"/>
              <w:rPr>
                <w:sz w:val="13"/>
                <w:szCs w:val="13"/>
                <w:color w:val="auto"/>
              </w:rPr>
            </w:pPr>
          </w:p>
        </w:tc>
        <w:tc>
          <w:tcPr>
            <w:tcW w:w="160" w:type="dxa"/>
            <w:vAlign w:val="bottom"/>
            <w:vMerge w:val="continue"/>
            <w:shd w:val="clear" w:color="auto" w:fill="CFF0FC"/>
          </w:tcPr>
          <w:p>
            <w:pPr>
              <w:spacing w:after="0"/>
              <w:rPr>
                <w:sz w:val="13"/>
                <w:szCs w:val="13"/>
                <w:color w:val="auto"/>
              </w:rPr>
            </w:pPr>
          </w:p>
        </w:tc>
        <w:tc>
          <w:tcPr>
            <w:tcW w:w="680" w:type="dxa"/>
            <w:vAlign w:val="bottom"/>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vMerge w:val="continue"/>
            <w:shd w:val="clear" w:color="auto" w:fill="CFF0FC"/>
          </w:tcPr>
          <w:p>
            <w:pPr>
              <w:spacing w:after="0"/>
              <w:rPr>
                <w:sz w:val="13"/>
                <w:szCs w:val="13"/>
                <w:color w:val="auto"/>
              </w:rPr>
            </w:pPr>
          </w:p>
        </w:tc>
        <w:tc>
          <w:tcPr>
            <w:tcW w:w="74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1440" w:type="dxa"/>
            <w:vAlign w:val="bottom"/>
          </w:tcPr>
          <w:p>
            <w:pPr>
              <w:ind w:left="20"/>
              <w:spacing w:after="0" w:line="115" w:lineRule="exact"/>
              <w:rPr>
                <w:sz w:val="20"/>
                <w:szCs w:val="20"/>
                <w:color w:val="auto"/>
              </w:rPr>
            </w:pPr>
            <w:r>
              <w:rPr>
                <w:rFonts w:ascii="Times New Roman" w:cs="Times New Roman" w:eastAsia="Times New Roman" w:hAnsi="Times New Roman"/>
                <w:sz w:val="13"/>
                <w:szCs w:val="13"/>
                <w:b w:val="1"/>
                <w:bCs w:val="1"/>
                <w:color w:val="auto"/>
              </w:rPr>
              <w:t>Compensation Actually</w:t>
            </w: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14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Paid (as calculated)</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(1,089,135 )</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194,303</w:t>
            </w:r>
          </w:p>
        </w:tc>
        <w:tc>
          <w:tcPr>
            <w:tcW w:w="120" w:type="dxa"/>
            <w:vAlign w:val="bottom"/>
          </w:tcPr>
          <w:p>
            <w:pPr>
              <w:spacing w:after="0"/>
              <w:rPr>
                <w:sz w:val="14"/>
                <w:szCs w:val="14"/>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14,347,166</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5,339,504</w:t>
            </w:r>
          </w:p>
        </w:tc>
        <w:tc>
          <w:tcPr>
            <w:tcW w:w="120" w:type="dxa"/>
            <w:vAlign w:val="bottom"/>
          </w:tcPr>
          <w:p>
            <w:pPr>
              <w:spacing w:after="0"/>
              <w:rPr>
                <w:sz w:val="14"/>
                <w:szCs w:val="14"/>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14,633,603</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4,897,510</w:t>
            </w:r>
          </w:p>
        </w:tc>
        <w:tc>
          <w:tcPr>
            <w:tcW w:w="100" w:type="dxa"/>
            <w:vAlign w:val="bottom"/>
          </w:tcPr>
          <w:p>
            <w:pPr>
              <w:spacing w:after="0"/>
              <w:rPr>
                <w:sz w:val="14"/>
                <w:szCs w:val="14"/>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723,966</w:t>
            </w:r>
          </w:p>
        </w:tc>
        <w:tc>
          <w:tcPr>
            <w:tcW w:w="120" w:type="dxa"/>
            <w:vAlign w:val="bottom"/>
          </w:tcPr>
          <w:p>
            <w:pPr>
              <w:spacing w:after="0"/>
              <w:rPr>
                <w:sz w:val="14"/>
                <w:szCs w:val="14"/>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(28,840 )</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18,874,181</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6,876,239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3" w:right="339" w:bottom="1440" w:gutter="0" w:footer="0" w:header="0"/>
        </w:sectPr>
      </w:pPr>
    </w:p>
    <w:bookmarkStart w:id="47" w:name="page48"/>
    <w:bookmarkEnd w:id="47"/>
    <w:p>
      <w:pPr>
        <w:ind w:left="560" w:hanging="552"/>
        <w:spacing w:after="0"/>
        <w:tabs>
          <w:tab w:leader="none" w:pos="5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Reflects cumulative TSR of the NASDAQ Biotechnology Index.</w:t>
      </w:r>
    </w:p>
    <w:p>
      <w:pPr>
        <w:spacing w:after="0" w:line="198"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The NASDAQ Biotechnology Index is the peer group used by us for purposes of Item 201(e) of Regulation S-K under the Exchange Act in our Annual Report on Form 10-K for the year ended December 31, 2024. The comparison assumes $100 was invested for the period starting December 31, 2019, through the end of the listed year in the company and in the NASDAQ Biotechnology Index, respectively. Historical stock performance is not necessarily indicative of future stock performance.</w:t>
      </w:r>
    </w:p>
    <w:p>
      <w:pPr>
        <w:spacing w:after="0" w:line="164" w:lineRule="exact"/>
        <w:rPr>
          <w:sz w:val="20"/>
          <w:szCs w:val="20"/>
          <w:color w:val="auto"/>
        </w:rPr>
      </w:pPr>
    </w:p>
    <w:p>
      <w:pPr>
        <w:ind w:right="60"/>
        <w:spacing w:after="0" w:line="298" w:lineRule="auto"/>
        <w:rPr>
          <w:sz w:val="20"/>
          <w:szCs w:val="20"/>
          <w:color w:val="auto"/>
        </w:rPr>
      </w:pPr>
      <w:r>
        <w:rPr>
          <w:rFonts w:ascii="Times New Roman" w:cs="Times New Roman" w:eastAsia="Times New Roman" w:hAnsi="Times New Roman"/>
          <w:sz w:val="16"/>
          <w:szCs w:val="16"/>
          <w:color w:val="auto"/>
        </w:rPr>
        <w:t>The graph below illustrates the relationship between the CAP Amounts for our PEO and Other NEOs as compared to the TSR of our common stock for the indicated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69850</wp:posOffset>
            </wp:positionV>
            <wp:extent cx="4037330" cy="24942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037330" cy="2494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graph below presents the relationship between the CAP Amounts for our PEO and Other NEOs and our net loss for the indicated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157480</wp:posOffset>
            </wp:positionV>
            <wp:extent cx="4054475" cy="25374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054475"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graph below presents the relationship between the CAP Amounts for our PEO and Other NEOs and our Product Revenue for the indicated fiscal years:</w:t>
      </w:r>
    </w:p>
    <w:p>
      <w:pPr>
        <w:spacing w:after="0" w:line="33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54" w:right="419" w:bottom="1440" w:gutter="0" w:footer="0" w:header="0"/>
        </w:sectPr>
      </w:pPr>
    </w:p>
    <w:bookmarkStart w:id="48" w:name="page49"/>
    <w:bookmarkEnd w:id="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1776730</wp:posOffset>
            </wp:positionH>
            <wp:positionV relativeFrom="page">
              <wp:posOffset>654685</wp:posOffset>
            </wp:positionV>
            <wp:extent cx="4003040" cy="26828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clrChange>
                        <a:clrFrom>
                          <a:srgbClr val="FFFFFF"/>
                        </a:clrFrom>
                        <a:clrTo>
                          <a:srgbClr val="FFFFFF">
                            <a:alpha val="0"/>
                          </a:srgbClr>
                        </a:clrTo>
                      </a:clrChange>
                      <a:extLst>
                        <a:ext uri="{28A0092B-C50C-407E-A947-70E740481C1C}"/>
                      </a:extLst>
                    </a:blip>
                    <a:srcRect/>
                    <a:stretch>
                      <a:fillRect/>
                    </a:stretch>
                  </pic:blipFill>
                  <pic:spPr bwMode="auto">
                    <a:xfrm>
                      <a:off x="0" y="0"/>
                      <a:ext cx="4003040" cy="268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graph below presents the relationship between our cumulative TSR and that of our peer group (NASDAQ Biotechnology Index) for the indicated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157480</wp:posOffset>
            </wp:positionV>
            <wp:extent cx="4029075" cy="24942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029075" cy="2494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The following table identifies four financial and non-financial performance measures that, in our assessment, represent the most important performance measures we used to link the CAP Amounts for our NEOs for 2023 (our most recently completed fiscal year), to company performance. Of these measures, we have identified Product Revenue, Net as the most important of our financial performance measures used to link CAP Amounts for our executives for 2025 to Company performance.</w:t>
      </w:r>
    </w:p>
    <w:p>
      <w:pPr>
        <w:spacing w:after="0" w:line="164" w:lineRule="exact"/>
        <w:rPr>
          <w:sz w:val="20"/>
          <w:szCs w:val="20"/>
          <w:color w:val="auto"/>
        </w:rPr>
      </w:pPr>
    </w:p>
    <w:p>
      <w:pPr>
        <w:ind w:left="1020" w:hanging="503"/>
        <w:spacing w:after="0"/>
        <w:tabs>
          <w:tab w:leader="none" w:pos="102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Product Revenue, Net</w:t>
      </w:r>
    </w:p>
    <w:p>
      <w:pPr>
        <w:spacing w:after="0" w:line="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Advancement of Pipeline Candidates</w:t>
      </w:r>
    </w:p>
    <w:p>
      <w:pPr>
        <w:spacing w:after="0" w:line="1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Approvals</w:t>
      </w:r>
    </w:p>
    <w:p>
      <w:pPr>
        <w:spacing w:after="0" w:line="1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Operational Effectiveness Objectives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Securities Authorized for Issuance Under Equity Compensation Plans</w:t>
      </w:r>
    </w:p>
    <w:p>
      <w:pPr>
        <w:spacing w:after="0" w:line="237"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6"/>
          <w:szCs w:val="16"/>
          <w:color w:val="auto"/>
        </w:rPr>
        <w:t>The following table contains information about our equity compensation plans as of December 31, 2024. As of December 31, 2024, we had three equity compensation plans which were approved by our stockholders: our 2010 Plan, our 2017 Plan, and our 2017 Employee Stock Purchase Plan, or the 2017 ESPP. In addition, we have our 2020 Inducement Plan pursuant to which we make grants inducement material to employees entering into employment with us in accordance with Nasdaq Listing Rule 5635(c)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 which was not approved by our stockholders.</w:t>
      </w:r>
    </w:p>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55"/>
        </w:trPr>
        <w:tc>
          <w:tcPr>
            <w:tcW w:w="136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3"/>
                <w:szCs w:val="13"/>
                <w:b w:val="1"/>
                <w:bCs w:val="1"/>
                <w:color w:val="auto"/>
              </w:rPr>
              <w:t>As of December 31, 2024</w:t>
            </w:r>
          </w:p>
        </w:tc>
        <w:tc>
          <w:tcPr>
            <w:tcW w:w="2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08"/>
        </w:trPr>
        <w:tc>
          <w:tcPr>
            <w:tcW w:w="1360" w:type="dxa"/>
            <w:vAlign w:val="bottom"/>
          </w:tcPr>
          <w:p>
            <w:pPr>
              <w:spacing w:after="0"/>
              <w:rPr>
                <w:sz w:val="9"/>
                <w:szCs w:val="9"/>
                <w:color w:val="auto"/>
              </w:rPr>
            </w:pPr>
          </w:p>
        </w:tc>
        <w:tc>
          <w:tcPr>
            <w:tcW w:w="4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Number of securities</w:t>
            </w:r>
          </w:p>
        </w:tc>
        <w:tc>
          <w:tcPr>
            <w:tcW w:w="100" w:type="dxa"/>
            <w:vAlign w:val="bottom"/>
          </w:tcPr>
          <w:p>
            <w:pPr>
              <w:spacing w:after="0"/>
              <w:rPr>
                <w:sz w:val="9"/>
                <w:szCs w:val="9"/>
                <w:color w:val="auto"/>
              </w:rPr>
            </w:pPr>
          </w:p>
        </w:tc>
      </w:tr>
      <w:tr>
        <w:trPr>
          <w:trHeight w:val="135"/>
        </w:trPr>
        <w:tc>
          <w:tcPr>
            <w:tcW w:w="136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remaining available</w:t>
            </w:r>
          </w:p>
        </w:tc>
      </w:tr>
      <w:tr>
        <w:trPr>
          <w:trHeight w:val="135"/>
        </w:trPr>
        <w:tc>
          <w:tcPr>
            <w:tcW w:w="136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for future issuance</w:t>
            </w:r>
          </w:p>
        </w:tc>
      </w:tr>
      <w:tr>
        <w:trPr>
          <w:trHeight w:val="135"/>
        </w:trPr>
        <w:tc>
          <w:tcPr>
            <w:tcW w:w="136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under equity</w:t>
            </w:r>
          </w:p>
        </w:tc>
      </w:tr>
      <w:tr>
        <w:trPr>
          <w:trHeight w:val="135"/>
        </w:trPr>
        <w:tc>
          <w:tcPr>
            <w:tcW w:w="136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Number of securities to be</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tcPr>
          <w:p>
            <w:pPr>
              <w:jc w:val="center"/>
              <w:ind w:right="110"/>
              <w:spacing w:after="0" w:line="135" w:lineRule="exact"/>
              <w:rPr>
                <w:sz w:val="20"/>
                <w:szCs w:val="20"/>
                <w:color w:val="auto"/>
              </w:rPr>
            </w:pPr>
            <w:r>
              <w:rPr>
                <w:rFonts w:ascii="Times New Roman" w:cs="Times New Roman" w:eastAsia="Times New Roman" w:hAnsi="Times New Roman"/>
                <w:sz w:val="13"/>
                <w:szCs w:val="13"/>
                <w:b w:val="1"/>
                <w:bCs w:val="1"/>
                <w:color w:val="auto"/>
                <w:w w:val="97"/>
              </w:rPr>
              <w:t>Weighted average</w:t>
            </w:r>
          </w:p>
        </w:tc>
        <w:tc>
          <w:tcPr>
            <w:tcW w:w="220" w:type="dxa"/>
            <w:vAlign w:val="bottom"/>
          </w:tcPr>
          <w:p>
            <w:pPr>
              <w:spacing w:after="0"/>
              <w:rPr>
                <w:sz w:val="11"/>
                <w:szCs w:val="11"/>
                <w:color w:val="auto"/>
              </w:rPr>
            </w:pPr>
          </w:p>
        </w:tc>
        <w:tc>
          <w:tcPr>
            <w:tcW w:w="15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compensation</w:t>
            </w:r>
          </w:p>
        </w:tc>
      </w:tr>
      <w:tr>
        <w:trPr>
          <w:trHeight w:val="135"/>
        </w:trPr>
        <w:tc>
          <w:tcPr>
            <w:tcW w:w="136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issued upon exercise of</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tcPr>
          <w:p>
            <w:pPr>
              <w:jc w:val="center"/>
              <w:ind w:right="11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exercise price of</w:t>
            </w:r>
          </w:p>
        </w:tc>
        <w:tc>
          <w:tcPr>
            <w:tcW w:w="220" w:type="dxa"/>
            <w:vAlign w:val="bottom"/>
          </w:tcPr>
          <w:p>
            <w:pPr>
              <w:spacing w:after="0"/>
              <w:rPr>
                <w:sz w:val="11"/>
                <w:szCs w:val="11"/>
                <w:color w:val="auto"/>
              </w:rPr>
            </w:pPr>
          </w:p>
        </w:tc>
        <w:tc>
          <w:tcPr>
            <w:tcW w:w="15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plans (excluding</w:t>
            </w:r>
          </w:p>
        </w:tc>
      </w:tr>
      <w:tr>
        <w:trPr>
          <w:trHeight w:val="135"/>
        </w:trPr>
        <w:tc>
          <w:tcPr>
            <w:tcW w:w="136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outstanding options,</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tcPr>
          <w:p>
            <w:pPr>
              <w:jc w:val="center"/>
              <w:ind w:right="11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outstanding options,</w:t>
            </w:r>
          </w:p>
        </w:tc>
        <w:tc>
          <w:tcPr>
            <w:tcW w:w="220" w:type="dxa"/>
            <w:vAlign w:val="bottom"/>
          </w:tcPr>
          <w:p>
            <w:pPr>
              <w:spacing w:after="0"/>
              <w:rPr>
                <w:sz w:val="11"/>
                <w:szCs w:val="11"/>
                <w:color w:val="auto"/>
              </w:rPr>
            </w:pPr>
          </w:p>
        </w:tc>
        <w:tc>
          <w:tcPr>
            <w:tcW w:w="15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securities reflected</w:t>
            </w:r>
          </w:p>
        </w:tc>
      </w:tr>
      <w:tr>
        <w:trPr>
          <w:trHeight w:val="155"/>
        </w:trPr>
        <w:tc>
          <w:tcPr>
            <w:tcW w:w="57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Plan Category</w:t>
            </w:r>
          </w:p>
        </w:tc>
        <w:tc>
          <w:tcPr>
            <w:tcW w:w="1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warrants and rights</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jc w:val="center"/>
              <w:ind w:right="110"/>
              <w:spacing w:after="0"/>
              <w:rPr>
                <w:sz w:val="20"/>
                <w:szCs w:val="20"/>
                <w:color w:val="auto"/>
              </w:rPr>
            </w:pPr>
            <w:r>
              <w:rPr>
                <w:rFonts w:ascii="Times New Roman" w:cs="Times New Roman" w:eastAsia="Times New Roman" w:hAnsi="Times New Roman"/>
                <w:sz w:val="13"/>
                <w:szCs w:val="13"/>
                <w:b w:val="1"/>
                <w:bCs w:val="1"/>
                <w:color w:val="auto"/>
                <w:w w:val="95"/>
              </w:rPr>
              <w:t>warrants and rights</w:t>
            </w:r>
          </w:p>
        </w:tc>
        <w:tc>
          <w:tcPr>
            <w:tcW w:w="220" w:type="dxa"/>
            <w:vAlign w:val="bottom"/>
          </w:tcPr>
          <w:p>
            <w:pPr>
              <w:spacing w:after="0"/>
              <w:rPr>
                <w:sz w:val="13"/>
                <w:szCs w:val="13"/>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in column (a))</w:t>
            </w:r>
          </w:p>
        </w:tc>
      </w:tr>
      <w:tr>
        <w:trPr>
          <w:trHeight w:val="128"/>
        </w:trPr>
        <w:tc>
          <w:tcPr>
            <w:tcW w:w="1360" w:type="dxa"/>
            <w:vAlign w:val="bottom"/>
            <w:tcBorders>
              <w:top w:val="single" w:sz="8" w:color="auto"/>
            </w:tcBorders>
          </w:tcPr>
          <w:p>
            <w:pPr>
              <w:spacing w:after="0"/>
              <w:rPr>
                <w:sz w:val="11"/>
                <w:szCs w:val="11"/>
                <w:color w:val="auto"/>
              </w:rPr>
            </w:pPr>
          </w:p>
        </w:tc>
        <w:tc>
          <w:tcPr>
            <w:tcW w:w="43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rPr>
              <w:t>(a)</w:t>
            </w:r>
          </w:p>
        </w:tc>
        <w:tc>
          <w:tcPr>
            <w:tcW w:w="2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ind w:right="110"/>
              <w:spacing w:after="0" w:line="129" w:lineRule="exact"/>
              <w:rPr>
                <w:sz w:val="20"/>
                <w:szCs w:val="20"/>
                <w:color w:val="auto"/>
              </w:rPr>
            </w:pPr>
            <w:r>
              <w:rPr>
                <w:rFonts w:ascii="Times New Roman" w:cs="Times New Roman" w:eastAsia="Times New Roman" w:hAnsi="Times New Roman"/>
                <w:sz w:val="13"/>
                <w:szCs w:val="13"/>
                <w:b w:val="1"/>
                <w:bCs w:val="1"/>
                <w:color w:val="auto"/>
                <w:w w:val="87"/>
              </w:rPr>
              <w:t>(b)</w:t>
            </w:r>
          </w:p>
        </w:tc>
        <w:tc>
          <w:tcPr>
            <w:tcW w:w="220" w:type="dxa"/>
            <w:vAlign w:val="bottom"/>
          </w:tcPr>
          <w:p>
            <w:pPr>
              <w:spacing w:after="0"/>
              <w:rPr>
                <w:sz w:val="11"/>
                <w:szCs w:val="11"/>
                <w:color w:val="auto"/>
              </w:rPr>
            </w:pPr>
          </w:p>
        </w:tc>
        <w:tc>
          <w:tcPr>
            <w:tcW w:w="146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6"/>
              </w:rPr>
              <w:t>(c)</w:t>
            </w:r>
          </w:p>
        </w:tc>
        <w:tc>
          <w:tcPr>
            <w:tcW w:w="100" w:type="dxa"/>
            <w:vAlign w:val="bottom"/>
          </w:tcPr>
          <w:p>
            <w:pPr>
              <w:spacing w:after="0"/>
              <w:rPr>
                <w:sz w:val="11"/>
                <w:szCs w:val="11"/>
                <w:color w:val="auto"/>
              </w:rPr>
            </w:pPr>
          </w:p>
        </w:tc>
      </w:tr>
      <w:tr>
        <w:trPr>
          <w:trHeight w:val="203"/>
        </w:trPr>
        <w:tc>
          <w:tcPr>
            <w:tcW w:w="57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Equity compensation plans approved by security holders(1)(2)(3)</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10,911,493</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23.57</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10,137,665</w:t>
            </w:r>
          </w:p>
        </w:tc>
        <w:tc>
          <w:tcPr>
            <w:tcW w:w="100" w:type="dxa"/>
            <w:vAlign w:val="bottom"/>
            <w:shd w:val="clear" w:color="auto" w:fill="CFF0FC"/>
          </w:tcPr>
          <w:p>
            <w:pPr>
              <w:spacing w:after="0"/>
              <w:rPr>
                <w:sz w:val="17"/>
                <w:szCs w:val="17"/>
                <w:color w:val="auto"/>
              </w:rPr>
            </w:pPr>
          </w:p>
        </w:tc>
      </w:tr>
      <w:tr>
        <w:trPr>
          <w:trHeight w:val="203"/>
        </w:trPr>
        <w:tc>
          <w:tcPr>
            <w:tcW w:w="57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Equity compensation plans not approved by security holders(4)</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1,098,624</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528,595</w:t>
            </w:r>
          </w:p>
        </w:tc>
        <w:tc>
          <w:tcPr>
            <w:tcW w:w="100" w:type="dxa"/>
            <w:vAlign w:val="bottom"/>
          </w:tcPr>
          <w:p>
            <w:pPr>
              <w:spacing w:after="0"/>
              <w:rPr>
                <w:sz w:val="17"/>
                <w:szCs w:val="17"/>
                <w:color w:val="auto"/>
              </w:rPr>
            </w:pPr>
          </w:p>
        </w:tc>
      </w:tr>
      <w:tr>
        <w:trPr>
          <w:trHeight w:val="203"/>
        </w:trPr>
        <w:tc>
          <w:tcPr>
            <w:tcW w:w="57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12,010,117</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23.70</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10,666,260</w:t>
            </w:r>
          </w:p>
        </w:tc>
        <w:tc>
          <w:tcPr>
            <w:tcW w:w="100" w:type="dxa"/>
            <w:vAlign w:val="bottom"/>
            <w:shd w:val="clear" w:color="auto" w:fill="CFF0FC"/>
          </w:tcPr>
          <w:p>
            <w:pPr>
              <w:spacing w:after="0"/>
              <w:rPr>
                <w:sz w:val="17"/>
                <w:szCs w:val="17"/>
                <w:color w:val="auto"/>
              </w:rPr>
            </w:pPr>
          </w:p>
        </w:tc>
      </w:tr>
      <w:tr>
        <w:trPr>
          <w:trHeight w:val="135"/>
        </w:trPr>
        <w:tc>
          <w:tcPr>
            <w:tcW w:w="1360" w:type="dxa"/>
            <w:vAlign w:val="bottom"/>
            <w:tcBorders>
              <w:bottom w:val="single" w:sz="8" w:color="auto"/>
            </w:tcBorders>
          </w:tcPr>
          <w:p>
            <w:pPr>
              <w:spacing w:after="0"/>
              <w:rPr>
                <w:sz w:val="11"/>
                <w:szCs w:val="11"/>
                <w:color w:val="auto"/>
              </w:rPr>
            </w:pPr>
          </w:p>
        </w:tc>
        <w:tc>
          <w:tcPr>
            <w:tcW w:w="4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94" w:lineRule="exact"/>
        <w:rPr>
          <w:sz w:val="20"/>
          <w:szCs w:val="20"/>
          <w:color w:val="auto"/>
        </w:rPr>
      </w:pPr>
    </w:p>
    <w:p>
      <w:pPr>
        <w:ind w:left="520" w:hanging="512"/>
        <w:spacing w:after="0"/>
        <w:tabs>
          <w:tab w:leader="none" w:pos="52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our 2010 Plan, our 2017 Plan and our 2017 ESPP.</w:t>
      </w:r>
    </w:p>
    <w:p>
      <w:pPr>
        <w:spacing w:after="0" w:line="126" w:lineRule="exact"/>
        <w:rPr>
          <w:rFonts w:ascii="Times New Roman" w:cs="Times New Roman" w:eastAsia="Times New Roman" w:hAnsi="Times New Roman"/>
          <w:sz w:val="16"/>
          <w:szCs w:val="16"/>
          <w:color w:val="auto"/>
        </w:rPr>
      </w:pPr>
    </w:p>
    <w:p>
      <w:pPr>
        <w:ind w:left="520" w:hanging="512"/>
        <w:spacing w:after="0" w:line="269" w:lineRule="auto"/>
        <w:tabs>
          <w:tab w:leader="none" w:pos="52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2024, 9,726,725 shares were reserved for issuance under our 2017 Plan, which became effective on November 8, 2017. The number of shares of our common stock reserved for issuance under the 2017 Plan increases (i) from time to time by the number of shares of our common stock subject to outstanding awards under our 2010 Plan that expire, terminate or are otherwise surrendered, cancelled, forfeited or repurchased by us at their original issuance price pursuant to a contractual repurchase right, and (ii) annually on the first day of each fiscal year by an amount equal to the lowest of (a) 4,219,409 shares of our common stock, (b) 4.0% of the number of shares of our common stock outstanding on the first day of the fiscal year and (c) an amount determined by our board of directors. On January 1, 2025, an additional 4,219,409 shares of our common stock were reserved for issuance under the 2017 Plan, which shares are not reflected in the number of shares available for issuance under the 2017 Plan in the table above.</w:t>
      </w:r>
    </w:p>
    <w:p>
      <w:pPr>
        <w:spacing w:after="0" w:line="81" w:lineRule="exact"/>
        <w:rPr>
          <w:rFonts w:ascii="Times New Roman" w:cs="Times New Roman" w:eastAsia="Times New Roman" w:hAnsi="Times New Roman"/>
          <w:sz w:val="16"/>
          <w:szCs w:val="16"/>
          <w:color w:val="auto"/>
        </w:rPr>
      </w:pPr>
    </w:p>
    <w:p>
      <w:pPr>
        <w:ind w:left="520" w:right="20" w:hanging="512"/>
        <w:spacing w:after="0" w:line="272" w:lineRule="auto"/>
        <w:tabs>
          <w:tab w:leader="none" w:pos="52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2024, 410,940 shares were reserved for issuance under our 2017 ESPP, which became effective on November 8, 2017. The number of shares of our common stock reserved for issuance under the 2017 ESPP increases on the first day of each fiscal year by an amount equal to the lowest of (i) 937,646 shares of our common stock, (ii) 1.0% of the number of shares of our common stock outstanding on the first day of the fiscal year and (iii) an amount determined by our board of directors. 561,224 shares have been issued under the 2017 ESPP. Our compensation committee decided not to allocate additional shares to the 2017 ESPP for calendar year 2025.</w:t>
      </w:r>
    </w:p>
    <w:p>
      <w:pPr>
        <w:spacing w:after="0" w:line="77" w:lineRule="exact"/>
        <w:rPr>
          <w:rFonts w:ascii="Times New Roman" w:cs="Times New Roman" w:eastAsia="Times New Roman" w:hAnsi="Times New Roman"/>
          <w:sz w:val="16"/>
          <w:szCs w:val="16"/>
          <w:color w:val="auto"/>
        </w:rPr>
      </w:pPr>
    </w:p>
    <w:p>
      <w:pPr>
        <w:ind w:left="520" w:hanging="512"/>
        <w:spacing w:after="0" w:line="272" w:lineRule="auto"/>
        <w:tabs>
          <w:tab w:leader="none" w:pos="52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shares of common stock issuable upon exercise of outstanding stock options granted pursuant to the Nasdaq inducement grant exception as a component of employment compensation for employees, including under our 2020 Inducement Plan, which became effective on February 25, 2020. The inducement grants were made as an inducement material to employees entering into employment with us in accordance with Nasdaq Listing Rule 5635(c)(4). As of December 31, 2024, 528,595 shares were reserved for issuance under the 2020 Inducement Plan. See Note 15 to the consolidated financial statements in our Annual Report on Form 10-K for the year ended December 31, 2024 for additional information on the 2020 Inducement Plan.</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50" w:name="page51"/>
    <w:bookmarkEnd w:id="5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TRANSACTIONS WITH RELATED PERSONS</w:t>
      </w:r>
    </w:p>
    <w:p>
      <w:pPr>
        <w:spacing w:after="0" w:line="251"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6"/>
          <w:szCs w:val="16"/>
          <w:color w:val="auto"/>
        </w:rPr>
        <w:t>The following is a description of transactions since January 1, 2024 to which we have been a party, and in which any of our directors, executive officers and holders of more than 5% of our voting securities and affiliates of our directors, executive officers and holders of more than 5% of our voting securities, had or will have a direct or indirect material interest. We believe that all of the transactions described below were made on terms no less favorable to us than could have been obtained from unaffiliated third parties.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Investors’ Rights Agreement</w:t>
      </w:r>
    </w:p>
    <w:p>
      <w:pPr>
        <w:spacing w:after="0" w:line="23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We are a party to an investors’ rights agreement, dated as of August 7, 2017, with certain stockholders, who purchased our preferred stock prior to our initial public offering, including some of our directors and 5% stockholders and their affiliates and entities affiliated with our officers and directors. The investors’ rights agreement provides these holders the right to demand that we file a registration statement or request that their shares be covered by a registration statement that we are otherwise filing.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Indemnification of Officers and Directors</w:t>
      </w:r>
    </w:p>
    <w:p>
      <w:pPr>
        <w:spacing w:after="0" w:line="237"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6"/>
          <w:szCs w:val="16"/>
          <w:color w:val="auto"/>
        </w:rPr>
        <w:t>Our restated certificate of incorporation provides that we will indemnify our directors and officers to the fullest extent permitted by Delaware law. In addition, we have entered into indemnification agreements with our current and former directors that may be broader in scope than the specific indemnification provisions contained in the General Corporation Law of the State of Delaware. In the case of those of our directors who are affiliated with certain of our 5% stockholders or their affiliates, the indemnification agreements also provide for indemnification of the applicable 5% stockholder or affiliate.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Policies and Procedures for Related Person Transactions</w:t>
      </w:r>
    </w:p>
    <w:p>
      <w:pPr>
        <w:spacing w:after="0" w:line="237" w:lineRule="exact"/>
        <w:rPr>
          <w:sz w:val="20"/>
          <w:szCs w:val="20"/>
          <w:color w:val="auto"/>
        </w:rPr>
      </w:pPr>
    </w:p>
    <w:p>
      <w:pPr>
        <w:jc w:val="both"/>
        <w:ind w:right="100"/>
        <w:spacing w:after="0" w:line="281" w:lineRule="auto"/>
        <w:rPr>
          <w:sz w:val="20"/>
          <w:szCs w:val="20"/>
          <w:color w:val="auto"/>
        </w:rPr>
      </w:pPr>
      <w:r>
        <w:rPr>
          <w:rFonts w:ascii="Times New Roman" w:cs="Times New Roman" w:eastAsia="Times New Roman" w:hAnsi="Times New Roman"/>
          <w:sz w:val="16"/>
          <w:szCs w:val="16"/>
          <w:color w:val="auto"/>
        </w:rPr>
        <w:t>Our board of directors has adopted written policies and procedures for the review of any transaction, arrangement or relationship in which our company is a participant, the amount involved exceeds $120,000 and one of our executive officers, directors, director nominees or 5% stockholders, or their immediate family members, each of whom we refer to as a “related person,” has a direct or indirect material interest.</w:t>
      </w:r>
    </w:p>
    <w:p>
      <w:pPr>
        <w:spacing w:after="0" w:line="177"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6"/>
          <w:szCs w:val="16"/>
          <w:color w:val="auto"/>
        </w:rPr>
        <w:t>If a related person proposes to enter into such a transaction, arrangement or relationship, which we refer to as a “related person transaction,” the related person must report the proposed related person transaction to our principal financial officer. The policy calls for the proposed related person transaction to be reviewed and approved by our audit committee. Whenever practicable, the reporting, review and approval will occur prior to entry into the transaction. If advance review and approval is not practicable, the audit committee will review, and, in its discretion, may ratify the related person transaction. The policy also permits the chairman of the audit committee to review and, if deemed appropriate, approve proposed related person transactions that arise between committee meetings, subject to ratification by the audit committee at its next meeting. Any related person transactions that are ongoing in nature will be reviewed annually.</w:t>
      </w:r>
    </w:p>
    <w:p>
      <w:pPr>
        <w:spacing w:after="0" w:line="171" w:lineRule="exact"/>
        <w:rPr>
          <w:sz w:val="20"/>
          <w:szCs w:val="20"/>
          <w:color w:val="auto"/>
        </w:rPr>
      </w:pPr>
    </w:p>
    <w:p>
      <w:pPr>
        <w:ind w:right="240"/>
        <w:spacing w:after="0" w:line="298" w:lineRule="auto"/>
        <w:rPr>
          <w:sz w:val="20"/>
          <w:szCs w:val="20"/>
          <w:color w:val="auto"/>
        </w:rPr>
      </w:pPr>
      <w:r>
        <w:rPr>
          <w:rFonts w:ascii="Times New Roman" w:cs="Times New Roman" w:eastAsia="Times New Roman" w:hAnsi="Times New Roman"/>
          <w:sz w:val="16"/>
          <w:szCs w:val="16"/>
          <w:color w:val="auto"/>
        </w:rPr>
        <w:t>A related person transaction reviewed under the policy will be considered approved or ratified if it is authorized by the audit committee after full disclosure of the related person’s interest in the transaction. As appropriate for the circumstances, the audit committee will review and consider:</w:t>
      </w:r>
    </w:p>
    <w:p>
      <w:pPr>
        <w:spacing w:after="0" w:line="56" w:lineRule="exact"/>
        <w:rPr>
          <w:sz w:val="20"/>
          <w:szCs w:val="20"/>
          <w:color w:val="auto"/>
        </w:rPr>
      </w:pPr>
    </w:p>
    <w:p>
      <w:pPr>
        <w:ind w:left="1020" w:hanging="503"/>
        <w:spacing w:after="0"/>
        <w:tabs>
          <w:tab w:leader="none" w:pos="102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related person’s interest in the related person transaction;</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approximate dollar value of the amount involved in the related person transaction;</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approximate dollar value of the amount of the related person’s interest in the transaction without regard to the amount of any profit or loss;</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the transaction was undertaken in the ordinary course of our business;</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the terms of the transaction are no less favorable to us than the terms that could have been reached with an unrelated third party;</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purpose of, and the potential benefits to us of, the transaction; and</w:t>
      </w:r>
    </w:p>
    <w:p>
      <w:pPr>
        <w:spacing w:after="0" w:line="126" w:lineRule="exact"/>
        <w:rPr>
          <w:rFonts w:ascii="Times New Roman" w:cs="Times New Roman" w:eastAsia="Times New Roman" w:hAnsi="Times New Roman"/>
          <w:sz w:val="16"/>
          <w:szCs w:val="16"/>
          <w:color w:val="auto"/>
        </w:rPr>
      </w:pPr>
    </w:p>
    <w:p>
      <w:pPr>
        <w:ind w:left="1020" w:right="420" w:hanging="503"/>
        <w:spacing w:after="0" w:line="298" w:lineRule="auto"/>
        <w:tabs>
          <w:tab w:leader="none" w:pos="102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information regarding the related person transaction or the related person in the context of the proposed transaction that would be material to investors in light of the circumstances of the particular transaction.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audit committee may approve or ratify the transaction only if the audit committee determines that, under all of the circumstances, the transaction is in our best interests.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audit committee may impose any conditions on the related person transaction that it deems appropriate.</w:t>
      </w:r>
    </w:p>
    <w:p>
      <w:pPr>
        <w:spacing w:after="0" w:line="213" w:lineRule="exact"/>
        <w:rPr>
          <w:sz w:val="20"/>
          <w:szCs w:val="20"/>
          <w:color w:val="auto"/>
        </w:rPr>
      </w:pPr>
    </w:p>
    <w:p>
      <w:pPr>
        <w:ind w:right="80"/>
        <w:spacing w:after="0" w:line="298" w:lineRule="auto"/>
        <w:rPr>
          <w:sz w:val="20"/>
          <w:szCs w:val="20"/>
          <w:color w:val="auto"/>
        </w:rPr>
      </w:pPr>
      <w:r>
        <w:rPr>
          <w:rFonts w:ascii="Times New Roman" w:cs="Times New Roman" w:eastAsia="Times New Roman" w:hAnsi="Times New Roman"/>
          <w:sz w:val="16"/>
          <w:szCs w:val="16"/>
          <w:color w:val="auto"/>
        </w:rPr>
        <w:t>The policy provides that transactions involving compensation of executive officers shall be reviewed and approved by the compensation committee in the manner specified in its charter.</w:t>
      </w:r>
    </w:p>
    <w:p>
      <w:pPr>
        <w:spacing w:after="0" w:line="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22"/>
          <w:szCs w:val="22"/>
          <w:b w:val="1"/>
          <w:bCs w:val="1"/>
          <w:color w:val="auto"/>
        </w:rPr>
        <w:t>PRINCIPAL STOCKHOLDERS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Unless otherwise provided below, the following table sets forth information with respect to the beneficial ownership of our common stock as of March 31, 2025 by:</w:t>
      </w:r>
    </w:p>
    <w:p>
      <w:pPr>
        <w:spacing w:after="0" w:line="127" w:lineRule="exact"/>
        <w:rPr>
          <w:sz w:val="20"/>
          <w:szCs w:val="20"/>
          <w:color w:val="auto"/>
        </w:rPr>
      </w:pPr>
    </w:p>
    <w:p>
      <w:pPr>
        <w:ind w:left="1020" w:hanging="503"/>
        <w:spacing w:after="0"/>
        <w:tabs>
          <w:tab w:leader="none" w:pos="102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person, or group of affiliated persons, who is known to us to be the beneficial owner of 5% or more of the outstanding shares of our common stock;</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our directors;</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our named executive officers; and</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our directors and executive officers as a group.</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column entitled “Percentage Beneficially Owned” is based on a total of 125,659,426 shares of our common stock outstanding as of March 31, 2025.</w:t>
      </w:r>
    </w:p>
    <w:p>
      <w:pPr>
        <w:spacing w:after="0" w:line="221"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6"/>
          <w:szCs w:val="16"/>
          <w:color w:val="auto"/>
        </w:rPr>
        <w:t>Beneficial ownership is determined in accordance with the rules and regulations of the SEC and includes voting or investment power with respect to our common stock. Shares of our common stock subject to options or warrants that are currently exercisable or exercisable within 60 days after March 31, 2025 are considered outstanding and beneficially owned by the person holding the options for the purpose of calculating the percentage ownership of that person but not for the purpose of calculating the percentage ownership of any other person. Except as otherwise noted, the persons and entities in this table have sole voting and investing power with respect to all of the shares of our common stock beneficially owned by them, subject to community property laws, where applicable. Except as otherwise set forth below, the address of the beneficial owner is c/o Apellis Pharmaceuticals, Inc., 100 Fifth Avenue, Waltham, Massachusetts 02451.</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20" w:type="dxa"/>
            <w:vAlign w:val="bottom"/>
          </w:tcPr>
          <w:p>
            <w:pPr>
              <w:spacing w:after="0"/>
              <w:rPr>
                <w:sz w:val="13"/>
                <w:szCs w:val="13"/>
                <w:color w:val="auto"/>
              </w:rPr>
            </w:pPr>
          </w:p>
        </w:tc>
        <w:tc>
          <w:tcPr>
            <w:tcW w:w="178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8"/>
        </w:trPr>
        <w:tc>
          <w:tcPr>
            <w:tcW w:w="7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00" w:type="dxa"/>
            <w:vAlign w:val="bottom"/>
          </w:tcPr>
          <w:p>
            <w:pPr>
              <w:spacing w:after="0"/>
              <w:rPr>
                <w:sz w:val="12"/>
                <w:szCs w:val="12"/>
                <w:color w:val="auto"/>
              </w:rPr>
            </w:pPr>
          </w:p>
        </w:tc>
        <w:tc>
          <w:tcPr>
            <w:tcW w:w="1600" w:type="dxa"/>
            <w:vAlign w:val="bottom"/>
          </w:tcPr>
          <w:p>
            <w:pPr>
              <w:jc w:val="right"/>
              <w:ind w:right="361"/>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220" w:type="dxa"/>
            <w:vAlign w:val="bottom"/>
          </w:tcPr>
          <w:p>
            <w:pPr>
              <w:spacing w:after="0"/>
              <w:rPr>
                <w:sz w:val="12"/>
                <w:szCs w:val="12"/>
                <w:color w:val="auto"/>
              </w:rPr>
            </w:pPr>
          </w:p>
        </w:tc>
        <w:tc>
          <w:tcPr>
            <w:tcW w:w="1780" w:type="dxa"/>
            <w:vAlign w:val="bottom"/>
            <w:gridSpan w:val="2"/>
          </w:tcPr>
          <w:p>
            <w:pPr>
              <w:jc w:val="right"/>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173"/>
        </w:trPr>
        <w:tc>
          <w:tcPr>
            <w:tcW w:w="75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Owned</w:t>
            </w:r>
          </w:p>
        </w:tc>
        <w:tc>
          <w:tcPr>
            <w:tcW w:w="220" w:type="dxa"/>
            <w:vAlign w:val="bottom"/>
          </w:tcPr>
          <w:p>
            <w:pPr>
              <w:spacing w:after="0"/>
              <w:rPr>
                <w:sz w:val="15"/>
                <w:szCs w:val="15"/>
                <w:color w:val="auto"/>
              </w:rPr>
            </w:pPr>
          </w:p>
        </w:tc>
        <w:tc>
          <w:tcPr>
            <w:tcW w:w="178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r>
        <w:trPr>
          <w:trHeight w:val="209"/>
        </w:trPr>
        <w:tc>
          <w:tcPr>
            <w:tcW w:w="75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5% Stockholders:</w:t>
            </w:r>
          </w:p>
        </w:tc>
        <w:tc>
          <w:tcPr>
            <w:tcW w:w="100" w:type="dxa"/>
            <w:vAlign w:val="bottom"/>
            <w:shd w:val="clear" w:color="auto" w:fill="CFF0FC"/>
          </w:tcPr>
          <w:p>
            <w:pPr>
              <w:spacing w:after="0"/>
              <w:rPr>
                <w:sz w:val="18"/>
                <w:szCs w:val="18"/>
                <w:color w:val="auto"/>
              </w:rPr>
            </w:pPr>
          </w:p>
        </w:tc>
        <w:tc>
          <w:tcPr>
            <w:tcW w:w="16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Avoro Capital Advisors LLC(1)</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13,411,102</w:t>
            </w:r>
          </w:p>
        </w:tc>
        <w:tc>
          <w:tcPr>
            <w:tcW w:w="2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10.7 %</w:t>
            </w:r>
          </w:p>
        </w:tc>
        <w:tc>
          <w:tcPr>
            <w:tcW w:w="0" w:type="dxa"/>
            <w:vAlign w:val="bottom"/>
          </w:tcPr>
          <w:p>
            <w:pPr>
              <w:spacing w:after="0"/>
              <w:rPr>
                <w:sz w:val="1"/>
                <w:szCs w:val="1"/>
                <w:color w:val="auto"/>
              </w:rPr>
            </w:pPr>
          </w:p>
        </w:tc>
      </w:tr>
      <w:tr>
        <w:trPr>
          <w:trHeight w:val="216"/>
        </w:trPr>
        <w:tc>
          <w:tcPr>
            <w:tcW w:w="7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Morningside Venture Investments, Ltd.(2)</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12,806,342</w:t>
            </w:r>
          </w:p>
        </w:tc>
        <w:tc>
          <w:tcPr>
            <w:tcW w:w="20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10.2 %</w:t>
            </w:r>
          </w:p>
        </w:tc>
        <w:tc>
          <w:tcPr>
            <w:tcW w:w="0" w:type="dxa"/>
            <w:vAlign w:val="bottom"/>
          </w:tcPr>
          <w:p>
            <w:pPr>
              <w:spacing w:after="0"/>
              <w:rPr>
                <w:sz w:val="1"/>
                <w:szCs w:val="1"/>
                <w:color w:val="auto"/>
              </w:rPr>
            </w:pPr>
          </w:p>
        </w:tc>
      </w:tr>
      <w:tr>
        <w:trPr>
          <w:trHeight w:val="216"/>
        </w:trPr>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Wellington Management Company(3)</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11,833,409</w:t>
            </w:r>
          </w:p>
        </w:tc>
        <w:tc>
          <w:tcPr>
            <w:tcW w:w="2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9.5 %</w:t>
            </w:r>
          </w:p>
        </w:tc>
        <w:tc>
          <w:tcPr>
            <w:tcW w:w="0" w:type="dxa"/>
            <w:vAlign w:val="bottom"/>
          </w:tcPr>
          <w:p>
            <w:pPr>
              <w:spacing w:after="0"/>
              <w:rPr>
                <w:sz w:val="1"/>
                <w:szCs w:val="1"/>
                <w:color w:val="auto"/>
              </w:rPr>
            </w:pPr>
          </w:p>
        </w:tc>
      </w:tr>
      <w:tr>
        <w:trPr>
          <w:trHeight w:val="216"/>
        </w:trPr>
        <w:tc>
          <w:tcPr>
            <w:tcW w:w="7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EcoR1 Capital, LLC(4)</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11,173,068</w:t>
            </w:r>
          </w:p>
        </w:tc>
        <w:tc>
          <w:tcPr>
            <w:tcW w:w="20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8.9 %</w:t>
            </w:r>
          </w:p>
        </w:tc>
        <w:tc>
          <w:tcPr>
            <w:tcW w:w="0" w:type="dxa"/>
            <w:vAlign w:val="bottom"/>
          </w:tcPr>
          <w:p>
            <w:pPr>
              <w:spacing w:after="0"/>
              <w:rPr>
                <w:sz w:val="1"/>
                <w:szCs w:val="1"/>
                <w:color w:val="auto"/>
              </w:rPr>
            </w:pPr>
          </w:p>
        </w:tc>
      </w:tr>
      <w:tr>
        <w:trPr>
          <w:trHeight w:val="216"/>
        </w:trPr>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Morgan Stanley(5)</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9,592,751</w:t>
            </w:r>
          </w:p>
        </w:tc>
        <w:tc>
          <w:tcPr>
            <w:tcW w:w="2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7.7 %</w:t>
            </w:r>
          </w:p>
        </w:tc>
        <w:tc>
          <w:tcPr>
            <w:tcW w:w="0" w:type="dxa"/>
            <w:vAlign w:val="bottom"/>
          </w:tcPr>
          <w:p>
            <w:pPr>
              <w:spacing w:after="0"/>
              <w:rPr>
                <w:sz w:val="1"/>
                <w:szCs w:val="1"/>
                <w:color w:val="auto"/>
              </w:rPr>
            </w:pPr>
          </w:p>
        </w:tc>
      </w:tr>
      <w:tr>
        <w:trPr>
          <w:trHeight w:val="216"/>
        </w:trPr>
        <w:tc>
          <w:tcPr>
            <w:tcW w:w="7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The Vanguard Group(6)</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9,555,678</w:t>
            </w:r>
          </w:p>
        </w:tc>
        <w:tc>
          <w:tcPr>
            <w:tcW w:w="20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7.6 %</w:t>
            </w:r>
          </w:p>
        </w:tc>
        <w:tc>
          <w:tcPr>
            <w:tcW w:w="0" w:type="dxa"/>
            <w:vAlign w:val="bottom"/>
          </w:tcPr>
          <w:p>
            <w:pPr>
              <w:spacing w:after="0"/>
              <w:rPr>
                <w:sz w:val="1"/>
                <w:szCs w:val="1"/>
                <w:color w:val="auto"/>
              </w:rPr>
            </w:pPr>
          </w:p>
        </w:tc>
      </w:tr>
      <w:tr>
        <w:trPr>
          <w:trHeight w:val="216"/>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Cedric Francois(7)</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3,039,755</w:t>
            </w:r>
          </w:p>
        </w:tc>
        <w:tc>
          <w:tcPr>
            <w:tcW w:w="20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16"/>
        </w:trPr>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Gerald Chan(8)</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220,171</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 Sinclair Dunlop(9)</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325,262</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Paul Fonteyne(10)</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95,597</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Alec Machiels(11)</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1,229,732</w:t>
            </w:r>
          </w:p>
        </w:tc>
        <w:tc>
          <w:tcPr>
            <w:tcW w:w="20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16"/>
        </w:trPr>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Stephanie Monaghan O’Brien(12)</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220,171</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Keli Walbert</w:t>
            </w:r>
          </w:p>
        </w:tc>
        <w:tc>
          <w:tcPr>
            <w:tcW w:w="10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Craig Wheeler</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Pascal Deschatelets(13)</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1,600,199</w:t>
            </w:r>
          </w:p>
        </w:tc>
        <w:tc>
          <w:tcPr>
            <w:tcW w:w="20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16"/>
        </w:trPr>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Timothy Sullivan(14)</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679,791</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David Watson (15)</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296,700</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Adam Townsend (16)</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393,343</w:t>
            </w:r>
          </w:p>
        </w:tc>
        <w:tc>
          <w:tcPr>
            <w:tcW w:w="220" w:type="dxa"/>
            <w:vAlign w:val="bottom"/>
          </w:tcPr>
          <w:p>
            <w:pPr>
              <w:spacing w:after="0"/>
              <w:rPr>
                <w:sz w:val="18"/>
                <w:szCs w:val="18"/>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All Executive Officers and Directors as a Group (14 persons)(17)</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8,383,034</w:t>
            </w:r>
          </w:p>
        </w:tc>
        <w:tc>
          <w:tcPr>
            <w:tcW w:w="20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*Represents beneficial ownership of less than 1% of our outstanding stock.</w:t>
      </w:r>
    </w:p>
    <w:p>
      <w:pPr>
        <w:spacing w:after="0" w:line="122" w:lineRule="exact"/>
        <w:rPr>
          <w:sz w:val="20"/>
          <w:szCs w:val="20"/>
          <w:color w:val="auto"/>
        </w:rPr>
      </w:pPr>
    </w:p>
    <w:p>
      <w:pPr>
        <w:ind w:left="520" w:right="140" w:hanging="512"/>
        <w:spacing w:after="0" w:line="281" w:lineRule="auto"/>
        <w:tabs>
          <w:tab w:leader="none" w:pos="52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Avoro Capital Advisors LLC and Behzad Aghazadeh, who serves as the portfolio manager and controlling person of Avoro Capital Advisors LLC (together, “Avoro”) hold sole dispositive power and sole voting power over 13,411,102 shares of common stock. The information reported is based solely on a Schedule 13G filed on February 14, 2024 and information known to the Company. Avoro’s principal business office is 110 Greene Street, Suite 800, New York, NY 10012</w:t>
      </w:r>
    </w:p>
    <w:p>
      <w:pPr>
        <w:spacing w:after="0" w:line="69" w:lineRule="exact"/>
        <w:rPr>
          <w:rFonts w:ascii="Times New Roman" w:cs="Times New Roman" w:eastAsia="Times New Roman" w:hAnsi="Times New Roman"/>
          <w:sz w:val="16"/>
          <w:szCs w:val="16"/>
          <w:color w:val="auto"/>
        </w:rPr>
      </w:pPr>
    </w:p>
    <w:p>
      <w:pPr>
        <w:ind w:left="520" w:right="280" w:hanging="512"/>
        <w:spacing w:after="0" w:line="281" w:lineRule="auto"/>
        <w:tabs>
          <w:tab w:leader="none" w:pos="52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Frances Richard, Jill Marie Franklin, Peter Stuart Allenby Edwards and Cheung Ka Ho, the directors of Morningside Venture Investments, Ltd. (“MVIL”), share voting and dispositive control over the shares held by MVIL. The address for MVIL is 2nd Floor, Le Prince de Galles, 3-5 Avenue des Citronniers, MC 98000, Monaco.</w:t>
      </w:r>
    </w:p>
    <w:p>
      <w:pPr>
        <w:spacing w:after="0" w:line="69" w:lineRule="exact"/>
        <w:rPr>
          <w:rFonts w:ascii="Times New Roman" w:cs="Times New Roman" w:eastAsia="Times New Roman" w:hAnsi="Times New Roman"/>
          <w:sz w:val="16"/>
          <w:szCs w:val="16"/>
          <w:color w:val="auto"/>
        </w:rPr>
      </w:pPr>
    </w:p>
    <w:p>
      <w:pPr>
        <w:ind w:left="520" w:right="240" w:hanging="512"/>
        <w:spacing w:after="0" w:line="298" w:lineRule="auto"/>
        <w:tabs>
          <w:tab w:leader="none" w:pos="52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Wellington Management Group LLP and certain of its subsidiaries (“Wellington”) hold shared voting power over 45,637,471 shares of common stock and shared dispositive power over 47,104,196 shares of common stock. The information reported is based solely on a Schedule</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52" w:name="page53"/>
    <w:bookmarkEnd w:id="52"/>
    <w:p>
      <w:pPr>
        <w:ind w:left="512"/>
        <w:spacing w:after="0"/>
        <w:rPr>
          <w:sz w:val="20"/>
          <w:szCs w:val="20"/>
          <w:color w:val="auto"/>
        </w:rPr>
      </w:pPr>
      <w:r>
        <w:rPr>
          <w:rFonts w:ascii="Times New Roman" w:cs="Times New Roman" w:eastAsia="Times New Roman" w:hAnsi="Times New Roman"/>
          <w:sz w:val="16"/>
          <w:szCs w:val="16"/>
          <w:color w:val="auto"/>
        </w:rPr>
        <w:t>13G filed on February10, 2025. The address of Wellington is c/o Wellington Management Company LLP, 280 Congress Street, Boston, MA 02210.</w:t>
      </w:r>
    </w:p>
    <w:p>
      <w:pPr>
        <w:spacing w:after="0" w:line="127" w:lineRule="exact"/>
        <w:rPr>
          <w:sz w:val="20"/>
          <w:szCs w:val="20"/>
          <w:color w:val="auto"/>
        </w:rPr>
      </w:pPr>
    </w:p>
    <w:p>
      <w:pPr>
        <w:ind w:left="512" w:right="40" w:hanging="512"/>
        <w:spacing w:after="0" w:line="281" w:lineRule="auto"/>
        <w:tabs>
          <w:tab w:leader="none" w:pos="512"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EcoR1 Capital, LLC and certain of its subsidiries ("EcoR1") holds shared voting power over 21,709,992 shares of common stock and shared dispositive power over 21,709,992 shares of common stock. The address of EcoR1 Capital Fund Qualified, L.P. is 357 Tehama Street #3, San Francisco, CA 94103. The information is based solely on a Schedule 13G filed on February 13, 2024.</w:t>
      </w:r>
    </w:p>
    <w:p>
      <w:pPr>
        <w:spacing w:after="0" w:line="69" w:lineRule="exact"/>
        <w:rPr>
          <w:rFonts w:ascii="Times New Roman" w:cs="Times New Roman" w:eastAsia="Times New Roman" w:hAnsi="Times New Roman"/>
          <w:sz w:val="16"/>
          <w:szCs w:val="16"/>
          <w:color w:val="auto"/>
        </w:rPr>
      </w:pPr>
    </w:p>
    <w:p>
      <w:pPr>
        <w:ind w:left="512" w:hanging="512"/>
        <w:spacing w:after="0" w:line="281" w:lineRule="auto"/>
        <w:tabs>
          <w:tab w:leader="none" w:pos="512"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Morgan Stanley and certain of its subsidiaries ("Morgan Stanley") holds shared voting power over 17,378,959 shares of common stock and shared dispositive power over 17,395,936 shares of common stock. The information reported is based solely on a Schedule 13G filed on February 3, 2025. The Morgan Stanley's principal business address is 1585 Broadway, New York, NY, 10036.</w:t>
      </w:r>
    </w:p>
    <w:p>
      <w:pPr>
        <w:spacing w:after="0" w:line="69" w:lineRule="exact"/>
        <w:rPr>
          <w:rFonts w:ascii="Times New Roman" w:cs="Times New Roman" w:eastAsia="Times New Roman" w:hAnsi="Times New Roman"/>
          <w:sz w:val="16"/>
          <w:szCs w:val="16"/>
          <w:color w:val="auto"/>
        </w:rPr>
      </w:pPr>
    </w:p>
    <w:p>
      <w:pPr>
        <w:ind w:left="512" w:right="20" w:hanging="512"/>
        <w:spacing w:after="0" w:line="281" w:lineRule="auto"/>
        <w:tabs>
          <w:tab w:leader="none" w:pos="512"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Vanguard Group (“Vanguard”) holds shared voting power over 40,881 shares of common stock, sole dispositive power over 9,416,768 shares of common stock and shared dispositive power over 138,910 shares of common stock. The information reported is based solely on a Schedule 13G filed on February 13, 2024. Vanguard’s principal business address is 100 Vanguard Blvd, Malvern, PA 19355.</w:t>
      </w:r>
    </w:p>
    <w:p>
      <w:pPr>
        <w:spacing w:after="0" w:line="69" w:lineRule="exact"/>
        <w:rPr>
          <w:rFonts w:ascii="Times New Roman" w:cs="Times New Roman" w:eastAsia="Times New Roman" w:hAnsi="Times New Roman"/>
          <w:sz w:val="16"/>
          <w:szCs w:val="16"/>
          <w:color w:val="auto"/>
        </w:rPr>
      </w:pPr>
    </w:p>
    <w:p>
      <w:pPr>
        <w:ind w:left="512" w:right="120" w:hanging="512"/>
        <w:spacing w:after="0" w:line="272" w:lineRule="auto"/>
        <w:tabs>
          <w:tab w:leader="none" w:pos="512"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159,200 shares of common stock held by Dr. Francois; (ii) 234,411 shares of common stock held by The Francois-DuBois Educational Trust, as to which Mr. Machiels holds a voting proxy and for which Fiduciary Trust Company of New England serves as trustee; (iii) 300,000 shares of common stock held by the Francois Grossi Trust; (iv) 472,065 shares of common stock held by The Cedric Francois Irrevocable Trust of 2023 – 1; (v) 532,946 shares of common stock held by The Cedric Francois Irrevocable Trust of 2023 - 2; and (vi) 1,341,133 shares of common stock issuable upon the exercise of options exercisable within 60 days after March 31, 2025.</w:t>
      </w:r>
    </w:p>
    <w:p>
      <w:pPr>
        <w:spacing w:after="0" w:line="77" w:lineRule="exact"/>
        <w:rPr>
          <w:rFonts w:ascii="Times New Roman" w:cs="Times New Roman" w:eastAsia="Times New Roman" w:hAnsi="Times New Roman"/>
          <w:sz w:val="16"/>
          <w:szCs w:val="16"/>
          <w:color w:val="auto"/>
        </w:rPr>
      </w:pPr>
    </w:p>
    <w:p>
      <w:pPr>
        <w:ind w:left="512" w:right="140" w:hanging="512"/>
        <w:spacing w:after="0" w:line="298" w:lineRule="auto"/>
        <w:tabs>
          <w:tab w:leader="none" w:pos="512"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955 shares of common stock; and (ii) 219,216 shares of common stock issuable upon the exercise of options exercisable within 60 days after March 31, 2025.</w:t>
      </w:r>
    </w:p>
    <w:p>
      <w:pPr>
        <w:spacing w:after="0" w:line="56" w:lineRule="exact"/>
        <w:rPr>
          <w:rFonts w:ascii="Times New Roman" w:cs="Times New Roman" w:eastAsia="Times New Roman" w:hAnsi="Times New Roman"/>
          <w:sz w:val="16"/>
          <w:szCs w:val="16"/>
          <w:color w:val="auto"/>
        </w:rPr>
      </w:pPr>
    </w:p>
    <w:p>
      <w:pPr>
        <w:ind w:left="512" w:right="520" w:hanging="512"/>
        <w:spacing w:after="0" w:line="298" w:lineRule="auto"/>
        <w:tabs>
          <w:tab w:leader="none" w:pos="512"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100,00 shares of common stock held by affiliated entities; (ii) 145,520 shares of common stock held by Mr. Dunlop; and (iii) 79,742 shares of common stock issuable upon the exercise of options exercisable within 60 days after March 31, 2025.</w:t>
      </w:r>
    </w:p>
    <w:p>
      <w:pPr>
        <w:spacing w:after="0" w:line="56" w:lineRule="exact"/>
        <w:rPr>
          <w:rFonts w:ascii="Times New Roman" w:cs="Times New Roman" w:eastAsia="Times New Roman" w:hAnsi="Times New Roman"/>
          <w:sz w:val="16"/>
          <w:szCs w:val="16"/>
          <w:color w:val="auto"/>
        </w:rPr>
      </w:pPr>
    </w:p>
    <w:p>
      <w:pPr>
        <w:ind w:left="512" w:right="140" w:hanging="512"/>
        <w:spacing w:after="0" w:line="298" w:lineRule="auto"/>
        <w:tabs>
          <w:tab w:leader="none" w:pos="512"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5,955 shares of common stock and (ii) 89,642 shares of common stock issuable upon the exercise of options exercisable within 60 days after March 31, 2025.</w:t>
      </w:r>
    </w:p>
    <w:p>
      <w:pPr>
        <w:spacing w:after="0" w:line="56" w:lineRule="exact"/>
        <w:rPr>
          <w:rFonts w:ascii="Times New Roman" w:cs="Times New Roman" w:eastAsia="Times New Roman" w:hAnsi="Times New Roman"/>
          <w:sz w:val="16"/>
          <w:szCs w:val="16"/>
          <w:color w:val="auto"/>
        </w:rPr>
      </w:pPr>
    </w:p>
    <w:p>
      <w:pPr>
        <w:ind w:left="512" w:right="40" w:hanging="512"/>
        <w:spacing w:after="0" w:line="275" w:lineRule="auto"/>
        <w:tabs>
          <w:tab w:leader="none" w:pos="512"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598,566 shares of common stock; (ii) 250,000 shares of common stock owned by Bauhaus 1, LLC, which is wholly owned by a trust of which Mr. Machiels serves as investment trustee; (iii) 161,950 shares of common stock held by affiliates; (iv) 234,411 shares of common stock held by The Francois-DuBois Educational Trust, as to which Mr. Machiels holds a voting proxy; and (v) 219,216 shares of common stock issuable upon the exercise of options exercisable within 60 days after March 31, 2025.</w:t>
      </w:r>
    </w:p>
    <w:p>
      <w:pPr>
        <w:spacing w:after="0" w:line="74" w:lineRule="exact"/>
        <w:rPr>
          <w:rFonts w:ascii="Times New Roman" w:cs="Times New Roman" w:eastAsia="Times New Roman" w:hAnsi="Times New Roman"/>
          <w:sz w:val="16"/>
          <w:szCs w:val="16"/>
          <w:color w:val="auto"/>
        </w:rPr>
      </w:pPr>
    </w:p>
    <w:p>
      <w:pPr>
        <w:ind w:left="512" w:right="140" w:hanging="512"/>
        <w:spacing w:after="0" w:line="298" w:lineRule="auto"/>
        <w:tabs>
          <w:tab w:leader="none" w:pos="512"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955 shares of common stock; and (ii) 219,216 shares of common stock issuable upon the exercise of options exercisable within 60 days after March 31, 2025.</w:t>
      </w:r>
    </w:p>
    <w:p>
      <w:pPr>
        <w:spacing w:after="0" w:line="56" w:lineRule="exact"/>
        <w:rPr>
          <w:rFonts w:ascii="Times New Roman" w:cs="Times New Roman" w:eastAsia="Times New Roman" w:hAnsi="Times New Roman"/>
          <w:sz w:val="16"/>
          <w:szCs w:val="16"/>
          <w:color w:val="auto"/>
        </w:rPr>
      </w:pPr>
    </w:p>
    <w:p>
      <w:pPr>
        <w:ind w:left="512" w:right="200" w:hanging="512"/>
        <w:spacing w:after="0" w:line="298" w:lineRule="auto"/>
        <w:tabs>
          <w:tab w:leader="none" w:pos="512"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1,108,811 shares of common stock; and (ii) 491,388 shares of common stock issuable upon the exercise of options exercisable within 60 days after March 31, 2025.</w:t>
      </w:r>
    </w:p>
    <w:p>
      <w:pPr>
        <w:spacing w:after="0" w:line="56" w:lineRule="exact"/>
        <w:rPr>
          <w:rFonts w:ascii="Times New Roman" w:cs="Times New Roman" w:eastAsia="Times New Roman" w:hAnsi="Times New Roman"/>
          <w:sz w:val="16"/>
          <w:szCs w:val="16"/>
          <w:color w:val="auto"/>
        </w:rPr>
      </w:pPr>
    </w:p>
    <w:p>
      <w:pPr>
        <w:ind w:left="512" w:right="240" w:hanging="512"/>
        <w:spacing w:after="0" w:line="298" w:lineRule="auto"/>
        <w:tabs>
          <w:tab w:leader="none" w:pos="512"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40,563 shares of common stock; (ii) 70,396 shares of common stock held by The Timothy E. Sullivan Irrevocable Trust of 2023; and (iii) 568,832 shares of common stock issuable upon the exercise of options exercisable within 60 days after March 31, 2025.</w:t>
      </w:r>
    </w:p>
    <w:p>
      <w:pPr>
        <w:spacing w:after="0" w:line="56" w:lineRule="exact"/>
        <w:rPr>
          <w:rFonts w:ascii="Times New Roman" w:cs="Times New Roman" w:eastAsia="Times New Roman" w:hAnsi="Times New Roman"/>
          <w:sz w:val="16"/>
          <w:szCs w:val="16"/>
          <w:color w:val="auto"/>
        </w:rPr>
      </w:pPr>
    </w:p>
    <w:p>
      <w:pPr>
        <w:jc w:val="both"/>
        <w:ind w:left="512" w:right="120" w:hanging="512"/>
        <w:spacing w:after="0" w:line="281" w:lineRule="auto"/>
        <w:tabs>
          <w:tab w:leader="none" w:pos="512"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42,444 shares of common stock held directly by Mr. Watson; (ii); 10,000 shares of common stock in a custodial account held by Mr. Watson for the sole benefit of his minor children; (iv) 70,136 shares of common stock in the David O. Watson Irrevocable Trust of 2023 and (v) 174,120 shares of common stock issuable upon the exercise of options exercisable within 60 days after March 31, 2025.</w:t>
      </w:r>
    </w:p>
    <w:p>
      <w:pPr>
        <w:spacing w:after="0" w:line="69" w:lineRule="exact"/>
        <w:rPr>
          <w:rFonts w:ascii="Times New Roman" w:cs="Times New Roman" w:eastAsia="Times New Roman" w:hAnsi="Times New Roman"/>
          <w:sz w:val="16"/>
          <w:szCs w:val="16"/>
          <w:color w:val="auto"/>
        </w:rPr>
      </w:pPr>
    </w:p>
    <w:p>
      <w:pPr>
        <w:ind w:left="512" w:right="400" w:hanging="512"/>
        <w:spacing w:after="0" w:line="298" w:lineRule="auto"/>
        <w:tabs>
          <w:tab w:leader="none" w:pos="512"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43,461 shares of common stock; and (ii) 349,882 shares of common stock issuable upon the exercise of options exercisable within 60 days after March 31, 2025.</w:t>
      </w:r>
    </w:p>
    <w:p>
      <w:pPr>
        <w:spacing w:after="0" w:line="56" w:lineRule="exact"/>
        <w:rPr>
          <w:rFonts w:ascii="Times New Roman" w:cs="Times New Roman" w:eastAsia="Times New Roman" w:hAnsi="Times New Roman"/>
          <w:sz w:val="16"/>
          <w:szCs w:val="16"/>
          <w:color w:val="auto"/>
        </w:rPr>
      </w:pPr>
    </w:p>
    <w:p>
      <w:pPr>
        <w:ind w:left="512" w:right="80" w:hanging="512"/>
        <w:spacing w:after="0" w:line="298" w:lineRule="auto"/>
        <w:tabs>
          <w:tab w:leader="none" w:pos="512"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4,188,093 shares of common stock; and (ii) 4,194,941 shares of common stock issuable upon the exercise of options exercisable within 60 days after March 31, 2025.</w:t>
      </w:r>
    </w:p>
    <w:p>
      <w:pPr>
        <w:spacing w:after="0" w:line="52"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1125" w:right="379" w:bottom="1440" w:gutter="0" w:footer="0" w:header="0"/>
        </w:sectPr>
      </w:pPr>
    </w:p>
    <w:bookmarkStart w:id="53" w:name="page54"/>
    <w:bookmarkEnd w:id="53"/>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REPORT OF THE AUDIT COMMITTEE OF THE BOARD OF DIRECTORS</w:t>
      </w:r>
    </w:p>
    <w:p>
      <w:pPr>
        <w:spacing w:after="0" w:line="210" w:lineRule="exact"/>
        <w:rPr>
          <w:sz w:val="20"/>
          <w:szCs w:val="20"/>
          <w:color w:val="auto"/>
        </w:rPr>
      </w:pPr>
    </w:p>
    <w:p>
      <w:pPr>
        <w:ind w:right="360"/>
        <w:spacing w:after="0" w:line="298" w:lineRule="auto"/>
        <w:rPr>
          <w:sz w:val="20"/>
          <w:szCs w:val="20"/>
          <w:color w:val="auto"/>
        </w:rPr>
      </w:pPr>
      <w:r>
        <w:rPr>
          <w:rFonts w:ascii="Times New Roman" w:cs="Times New Roman" w:eastAsia="Times New Roman" w:hAnsi="Times New Roman"/>
          <w:sz w:val="16"/>
          <w:szCs w:val="16"/>
          <w:color w:val="auto"/>
        </w:rPr>
        <w:t>The audit committee has reviewed our audited consolidated financial statements for the fiscal year ended December 31, 2024 and discussed them with the Company’s management and Deloitte &amp; Touche LLP, the Company’s independent registered public accounting firm for the year ended December 31, 2024.</w:t>
      </w:r>
    </w:p>
    <w:p>
      <w:pPr>
        <w:spacing w:after="0" w:line="15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 xml:space="preserve">The audit committee has also received from, and discussed with, Deloitte &amp; Touche LLP various communications that Deloitte &amp; Touche LLP is required to provide to the audit committee, including the matters required to be discussed by generally accepted auditing standards (including Public Company Accounting Oversight Board Auditing Standard No. 1301, </w:t>
      </w:r>
      <w:r>
        <w:rPr>
          <w:rFonts w:ascii="Times New Roman" w:cs="Times New Roman" w:eastAsia="Times New Roman" w:hAnsi="Times New Roman"/>
          <w:sz w:val="16"/>
          <w:szCs w:val="16"/>
          <w:i w:val="1"/>
          <w:iCs w:val="1"/>
          <w:color w:val="auto"/>
        </w:rPr>
        <w:t>Communications with Audit Committees</w:t>
      </w:r>
      <w:r>
        <w:rPr>
          <w:rFonts w:ascii="Times New Roman" w:cs="Times New Roman" w:eastAsia="Times New Roman" w:hAnsi="Times New Roman"/>
          <w:sz w:val="16"/>
          <w:szCs w:val="16"/>
          <w:color w:val="auto"/>
        </w:rPr>
        <w:t>).</w:t>
      </w:r>
    </w:p>
    <w:p>
      <w:pPr>
        <w:spacing w:after="0" w:line="164" w:lineRule="exact"/>
        <w:rPr>
          <w:sz w:val="20"/>
          <w:szCs w:val="20"/>
          <w:color w:val="auto"/>
        </w:rPr>
      </w:pPr>
    </w:p>
    <w:p>
      <w:pPr>
        <w:jc w:val="both"/>
        <w:ind w:right="200"/>
        <w:spacing w:after="0" w:line="281" w:lineRule="auto"/>
        <w:rPr>
          <w:sz w:val="20"/>
          <w:szCs w:val="20"/>
          <w:color w:val="auto"/>
        </w:rPr>
      </w:pPr>
      <w:r>
        <w:rPr>
          <w:rFonts w:ascii="Times New Roman" w:cs="Times New Roman" w:eastAsia="Times New Roman" w:hAnsi="Times New Roman"/>
          <w:sz w:val="16"/>
          <w:szCs w:val="16"/>
          <w:color w:val="auto"/>
        </w:rPr>
        <w:t>In addition, Deloitte &amp; Touche LLP provided the audit committee with the written disclosures and the letter required by applicable requirements of the Public Company Accounting Oversight Board regarding the independent registered public accounting firm’s communications with the audit committee concerning independence, and the audit committee has discussed with the Company’s independent registered public accounting firm their independence.</w:t>
      </w:r>
    </w:p>
    <w:p>
      <w:pPr>
        <w:spacing w:after="0" w:line="164" w:lineRule="exact"/>
        <w:rPr>
          <w:sz w:val="20"/>
          <w:szCs w:val="20"/>
          <w:color w:val="auto"/>
        </w:rPr>
      </w:pPr>
    </w:p>
    <w:p>
      <w:pPr>
        <w:ind w:right="260"/>
        <w:spacing w:after="0" w:line="298" w:lineRule="auto"/>
        <w:rPr>
          <w:sz w:val="20"/>
          <w:szCs w:val="20"/>
          <w:color w:val="auto"/>
        </w:rPr>
      </w:pPr>
      <w:r>
        <w:rPr>
          <w:rFonts w:ascii="Times New Roman" w:cs="Times New Roman" w:eastAsia="Times New Roman" w:hAnsi="Times New Roman"/>
          <w:sz w:val="16"/>
          <w:szCs w:val="16"/>
          <w:color w:val="auto"/>
        </w:rPr>
        <w:t>Based on the review and discussions referred to above, the audit committee recommended to the board of directors that the audited consolidated financial statements be included in the Company’s Annual Report on Form 10-K for the year ended December 31, 2024.</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the audit committee of the board of directors of Apellis Pharmaceuticals,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Alec Machiels, Chair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Sinclair Dunlop</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Paul Fonteyne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April 23, 2025</w:t>
      </w:r>
    </w:p>
    <w:p>
      <w:pPr>
        <w:spacing w:after="0" w:line="1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99" w:right="439" w:bottom="1440" w:gutter="0" w:footer="0" w:header="0"/>
        </w:sectPr>
      </w:pPr>
    </w:p>
    <w:bookmarkStart w:id="54" w:name="page55"/>
    <w:bookmarkEnd w:id="54"/>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HOUSEHOLDING</w:t>
      </w:r>
    </w:p>
    <w:p>
      <w:pPr>
        <w:spacing w:after="0" w:line="25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6"/>
          <w:szCs w:val="16"/>
          <w:color w:val="auto"/>
        </w:rPr>
        <w:t>Some banks, brokers and other nominee record holders may be participating in the practice of “householding” proxy statements and annual reports. This means that only one copy of our documents, including the Notice of Internet Availability of Proxy Materials or, if requested, the 2024 Annual Report and proxy statement, may have been sent to multiple stockholders in your household. We will promptly deliver a separate copy of any of the above documents to you if you write or call us at Apellis Pharmaceuticals, Inc., 100 Fifth Avenue, Waltham, Massachusetts 02451, Attention: General Counsel, telephone: (617) 977-5700. If you want to receive separate copies of the Notice of Internet Availability of Proxy Materials, proxy statement or annual report to stockholders in the future, or if you are receiving multiple copies and would like to receive only one copy per household, you should contact your bank, broker or other nominee record holder, or you may contact us at the above address and phone number.</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55" w:name="page56"/>
    <w:bookmarkEnd w:id="55"/>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STOCKHOLDER PROPOSALS FOR OUR 2026 ANNUAL MEETING</w:t>
      </w:r>
    </w:p>
    <w:p>
      <w:pPr>
        <w:spacing w:after="0" w:line="251"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A stockholder who would like to have a proposal considered for inclusion in our 2026 proxy statement must submit the proposal in accordance with the procedures outlined in Rule 14a-8 of the Exchange Act so that it is received by us no later than December 25, 2025. However, if the date of the 2026 annual meeting of stockholders is changed by more than 30 days from the date of the previous year’s meeting, then the deadline is a reasonable time before we begin to print and send our proxy statement for the 2026 annual meeting of stockholders. SEC rules set standards for eligibility and specify the types of stockholder proposals that may be excluded from a proxy statement. Stockholder proposals should be addressed to Apellis Pharmaceuticals, Inc., 100 Fifth Avenue, Waltham, Massachusetts 02451, Attention: General Counsel.</w:t>
      </w:r>
    </w:p>
    <w:p>
      <w:pPr>
        <w:spacing w:after="0" w:line="186"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If a stockholder wishes to propose a nomination of persons for election to our board of directors or present a proposal at an annual meeting but does not wish to have the proposal considered for inclusion in our proxy statement and proxy card, our amended and restated bylaws establish an advance notice procedure for such nominations and proposals. Stockholders at an annual meeting may only consider proposals or nominations specified in the notice of meeting or brought before the meeting by or at the direction of the board of directors or by a stockholder of record on the record date for the meeting, who is entitled to vote at the meeting and who has delivered timely notice in proper form to our corporate secretary of the stockholder’s intention to bring such business before the meeting.</w:t>
      </w:r>
    </w:p>
    <w:p>
      <w:pPr>
        <w:spacing w:after="0" w:line="18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The required notice must be in writing and received by our corporate secretary at our principal executive offices not less than 90 days nor more than 120 days prior to the first anniversary of the preceding year’s annual meeting. However, in the event that the date of the annual meeting is advanced by more than 30 days, or delayed by more than 60 days, from the first anniversary of the preceding year’s annual meeting, a stockholder’s notice must be so received no earlier than the 120th day prior to such annual meeting and not later than the close of business on the later of (A) the 90th day prior to such annual meeting and (B) the tenth day following the day on which notice of the date of such annual meeting was mailed or public disclosure of the date of such annual meeting was made, whichever first occurs. For stockholder proposals to be brought before the 2026 annual meeting of stockholders, the required notice must be received by our corporate secretary at our principal executive offices no earlier than February 3, 2026 and no later than March 5, 2026.</w:t>
      </w:r>
    </w:p>
    <w:p>
      <w:pPr>
        <w:spacing w:after="0" w:line="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31" w:right="379" w:bottom="1440" w:gutter="0" w:footer="0" w:header="0"/>
        </w:sectPr>
      </w:pPr>
    </w:p>
    <w:bookmarkStart w:id="56" w:name="page57"/>
    <w:bookmarkEnd w:id="56"/>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OTHER MATTERS</w:t>
      </w:r>
    </w:p>
    <w:p>
      <w:pPr>
        <w:spacing w:after="0" w:line="11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Our board of directors does not know of any other matters to be brought before the Annual Meeting. If any other matters not mentioned in this proxy statement are properly brought before the meeting, the individuals named in the proxy intend to use their discretionary voting authority under the proxy to vote the proxy in accordance with their best judgment on those matters.</w:t>
      </w:r>
    </w:p>
    <w:p>
      <w:pPr>
        <w:spacing w:after="0" w:line="20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6"/>
          <w:szCs w:val="16"/>
          <w:color w:val="auto"/>
        </w:rPr>
        <w:t>By Order of the Board of Directors</w:t>
      </w:r>
    </w:p>
    <w:p>
      <w:pPr>
        <w:spacing w:after="0" w:line="23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6"/>
          <w:szCs w:val="16"/>
          <w:color w:val="auto"/>
        </w:rPr>
        <w:t>/s/ Cedric Francois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29210</wp:posOffset>
            </wp:positionV>
            <wp:extent cx="28289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5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6"/>
          <w:szCs w:val="16"/>
          <w:color w:val="auto"/>
        </w:rPr>
        <w:t>Cedric Francois</w:t>
      </w:r>
    </w:p>
    <w:p>
      <w:pPr>
        <w:spacing w:after="0" w:line="2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6"/>
          <w:szCs w:val="16"/>
          <w:i w:val="1"/>
          <w:iCs w:val="1"/>
          <w:color w:val="auto"/>
        </w:rPr>
        <w:t>President and Chief Executive Officer</w:t>
      </w:r>
    </w:p>
    <w:p>
      <w:pPr>
        <w:spacing w:after="0" w:line="3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99" w:right="439" w:bottom="1440"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9137650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833755</wp:posOffset>
            </wp:positionH>
            <wp:positionV relativeFrom="page">
              <wp:posOffset>663575</wp:posOffset>
            </wp:positionV>
            <wp:extent cx="5880735" cy="75952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clrChange>
                        <a:clrFrom>
                          <a:srgbClr val="FFFFFF"/>
                        </a:clrFrom>
                        <a:clrTo>
                          <a:srgbClr val="FFFFFF">
                            <a:alpha val="0"/>
                          </a:srgbClr>
                        </a:clrTo>
                      </a:clrChange>
                      <a:extLst>
                        <a:ext uri="{28A0092B-C50C-407E-A947-70E740481C1C}"/>
                      </a:extLst>
                    </a:blip>
                    <a:srcRect/>
                    <a:stretch>
                      <a:fillRect/>
                    </a:stretch>
                  </pic:blipFill>
                  <pic:spPr bwMode="auto">
                    <a:xfrm>
                      <a:off x="0" y="0"/>
                      <a:ext cx="5880735" cy="7595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654685</wp:posOffset>
            </wp:positionV>
            <wp:extent cx="7157720" cy="83794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8379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
      <w:numFmt w:val="bullet"/>
      <w:start w:val="1"/>
    </w:lvl>
  </w:abstractNum>
  <w:abstractNum w:abstractNumId="3">
    <w:nsid w:val="2A487CB0"/>
    <w:multiLevelType w:val="hybridMultilevel"/>
    <w:lvl w:ilvl="0">
      <w:lvlJc w:val="left"/>
      <w:lvlText w:val="☒"/>
      <w:numFmt w:val="bullet"/>
      <w:start w:val="1"/>
    </w:lvl>
  </w:abstractNum>
  <w:abstractNum w:abstractNumId="4">
    <w:nsid w:val="1D4ED43B"/>
    <w:multiLevelType w:val="hybridMultilevel"/>
    <w:lvl w:ilvl="0">
      <w:lvlJc w:val="left"/>
      <w:lvlText w:val="☐"/>
      <w:numFmt w:val="bullet"/>
      <w:start w:val="1"/>
    </w:lvl>
  </w:abstractNum>
  <w:abstractNum w:abstractNumId="5">
    <w:nsid w:val="725A06FB"/>
    <w:multiLevelType w:val="hybridMultilevel"/>
    <w:lvl w:ilvl="0">
      <w:lvlJc w:val="left"/>
      <w:lvlText w:val="•"/>
      <w:numFmt w:val="bullet"/>
      <w:start w:val="1"/>
    </w:lvl>
  </w:abstractNum>
  <w:abstractNum w:abstractNumId="6">
    <w:nsid w:val="2CD89A32"/>
    <w:multiLevelType w:val="hybridMultilevel"/>
    <w:lvl w:ilvl="0">
      <w:lvlJc w:val="left"/>
      <w:lvlText w:val="•"/>
      <w:numFmt w:val="bullet"/>
      <w:start w:val="1"/>
    </w:lvl>
  </w:abstractNum>
  <w:abstractNum w:abstractNumId="7">
    <w:nsid w:val="57E4CCAF"/>
    <w:multiLevelType w:val="hybridMultilevel"/>
    <w:lvl w:ilvl="0">
      <w:lvlJc w:val="left"/>
      <w:lvlText w:val="•"/>
      <w:numFmt w:val="bullet"/>
      <w:start w:val="1"/>
    </w:lvl>
  </w:abstractNum>
  <w:abstractNum w:abstractNumId="8">
    <w:nsid w:val="7A6D8D3C"/>
    <w:multiLevelType w:val="hybridMultilevel"/>
    <w:lvl w:ilvl="0">
      <w:lvlJc w:val="left"/>
      <w:lvlText w:val="•"/>
      <w:numFmt w:val="bullet"/>
      <w:start w:val="1"/>
    </w:lvl>
  </w:abstractNum>
  <w:abstractNum w:abstractNumId="9">
    <w:nsid w:val="4B588F54"/>
    <w:multiLevelType w:val="hybridMultilevel"/>
    <w:lvl w:ilvl="0">
      <w:lvlJc w:val="left"/>
      <w:lvlText w:val="%1."/>
      <w:numFmt w:val="decimal"/>
      <w:start w:val="1"/>
    </w:lvl>
  </w:abstractNum>
  <w:abstractNum w:abstractNumId="10">
    <w:nsid w:val="542289EC"/>
    <w:multiLevelType w:val="hybridMultilevel"/>
    <w:lvl w:ilvl="0">
      <w:lvlJc w:val="left"/>
      <w:lvlText w:val="•"/>
      <w:numFmt w:val="bullet"/>
      <w:start w:val="1"/>
    </w:lvl>
  </w:abstractNum>
  <w:abstractNum w:abstractNumId="11">
    <w:nsid w:val="6DE91B18"/>
    <w:multiLevelType w:val="hybridMultilevel"/>
    <w:lvl w:ilvl="0">
      <w:lvlJc w:val="left"/>
      <w:lvlText w:val="•"/>
      <w:numFmt w:val="bullet"/>
      <w:start w:val="1"/>
    </w:lvl>
  </w:abstractNum>
  <w:abstractNum w:abstractNumId="12">
    <w:nsid w:val="38437FDB"/>
    <w:multiLevelType w:val="hybridMultilevel"/>
    <w:lvl w:ilvl="0">
      <w:lvlJc w:val="left"/>
      <w:lvlText w:val="•"/>
      <w:numFmt w:val="bullet"/>
      <w:start w:val="1"/>
    </w:lvl>
  </w:abstractNum>
  <w:abstractNum w:abstractNumId="13">
    <w:nsid w:val="7644A45C"/>
    <w:multiLevelType w:val="hybridMultilevel"/>
    <w:lvl w:ilvl="0">
      <w:lvlJc w:val="left"/>
      <w:lvlText w:val="•"/>
      <w:numFmt w:val="bullet"/>
      <w:start w:val="1"/>
    </w:lvl>
  </w:abstractNum>
  <w:abstractNum w:abstractNumId="14">
    <w:nsid w:val="32FFF902"/>
    <w:multiLevelType w:val="hybridMultilevel"/>
    <w:lvl w:ilvl="0">
      <w:lvlJc w:val="left"/>
      <w:lvlText w:val="%1."/>
      <w:numFmt w:val="decimal"/>
      <w:start w:val="1"/>
    </w:lvl>
  </w:abstractNum>
  <w:abstractNum w:abstractNumId="15">
    <w:nsid w:val="684A481A"/>
    <w:multiLevelType w:val="hybridMultilevel"/>
    <w:lvl w:ilvl="0">
      <w:lvlJc w:val="left"/>
      <w:lvlText w:val="•"/>
      <w:numFmt w:val="bullet"/>
      <w:start w:val="1"/>
    </w:lvl>
  </w:abstractNum>
  <w:abstractNum w:abstractNumId="16">
    <w:nsid w:val="579478FE"/>
    <w:multiLevelType w:val="hybridMultilevel"/>
    <w:lvl w:ilvl="0">
      <w:lvlJc w:val="left"/>
      <w:lvlText w:val="•"/>
      <w:numFmt w:val="bullet"/>
      <w:start w:val="1"/>
    </w:lvl>
  </w:abstractNum>
  <w:abstractNum w:abstractNumId="17">
    <w:nsid w:val="749ABB43"/>
    <w:multiLevelType w:val="hybridMultilevel"/>
    <w:lvl w:ilvl="0">
      <w:lvlJc w:val="left"/>
      <w:lvlText w:val="•"/>
      <w:numFmt w:val="bullet"/>
      <w:start w:val="1"/>
    </w:lvl>
  </w:abstractNum>
  <w:abstractNum w:abstractNumId="18">
    <w:nsid w:val="3DC240FB"/>
    <w:multiLevelType w:val="hybridMultilevel"/>
    <w:lvl w:ilvl="0">
      <w:lvlJc w:val="left"/>
      <w:lvlText w:val="•"/>
      <w:numFmt w:val="bullet"/>
      <w:start w:val="1"/>
    </w:lvl>
  </w:abstractNum>
  <w:abstractNum w:abstractNumId="19">
    <w:nsid w:val="1BA026FA"/>
    <w:multiLevelType w:val="hybridMultilevel"/>
    <w:lvl w:ilvl="0">
      <w:lvlJc w:val="left"/>
      <w:lvlText w:val="•"/>
      <w:numFmt w:val="bullet"/>
      <w:start w:val="1"/>
    </w:lvl>
  </w:abstractNum>
  <w:abstractNum w:abstractNumId="20">
    <w:nsid w:val="79A1DEAA"/>
    <w:multiLevelType w:val="hybridMultilevel"/>
    <w:lvl w:ilvl="0">
      <w:lvlJc w:val="left"/>
      <w:lvlText w:val="•"/>
      <w:numFmt w:val="bullet"/>
      <w:start w:val="1"/>
    </w:lvl>
  </w:abstractNum>
  <w:abstractNum w:abstractNumId="21">
    <w:nsid w:val="75C6C33A"/>
    <w:multiLevelType w:val="hybridMultilevel"/>
    <w:lvl w:ilvl="0">
      <w:lvlJc w:val="left"/>
      <w:lvlText w:val="•"/>
      <w:numFmt w:val="bullet"/>
      <w:start w:val="1"/>
    </w:lvl>
  </w:abstractNum>
  <w:abstractNum w:abstractNumId="22">
    <w:nsid w:val="12E685FB"/>
    <w:multiLevelType w:val="hybridMultilevel"/>
    <w:lvl w:ilvl="0">
      <w:lvlJc w:val="left"/>
      <w:lvlText w:val="•"/>
      <w:numFmt w:val="bullet"/>
      <w:start w:val="1"/>
    </w:lvl>
  </w:abstractNum>
  <w:abstractNum w:abstractNumId="23">
    <w:nsid w:val="70C6A529"/>
    <w:multiLevelType w:val="hybridMultilevel"/>
    <w:lvl w:ilvl="0">
      <w:lvlJc w:val="left"/>
      <w:lvlText w:val="•"/>
      <w:numFmt w:val="bullet"/>
      <w:start w:val="1"/>
    </w:lvl>
  </w:abstractNum>
  <w:abstractNum w:abstractNumId="24">
    <w:nsid w:val="520EEDD1"/>
    <w:multiLevelType w:val="hybridMultilevel"/>
    <w:lvl w:ilvl="0">
      <w:lvlJc w:val="left"/>
      <w:lvlText w:val="•"/>
      <w:numFmt w:val="bullet"/>
      <w:start w:val="1"/>
    </w:lvl>
  </w:abstractNum>
  <w:abstractNum w:abstractNumId="25">
    <w:nsid w:val="374A3FE6"/>
    <w:multiLevelType w:val="hybridMultilevel"/>
    <w:lvl w:ilvl="0">
      <w:lvlJc w:val="left"/>
      <w:lvlText w:val="•"/>
      <w:numFmt w:val="bullet"/>
      <w:start w:val="1"/>
    </w:lvl>
  </w:abstractNum>
  <w:abstractNum w:abstractNumId="26">
    <w:nsid w:val="4F4EF005"/>
    <w:multiLevelType w:val="hybridMultilevel"/>
    <w:lvl w:ilvl="0">
      <w:lvlJc w:val="left"/>
      <w:lvlText w:val="•"/>
      <w:numFmt w:val="bullet"/>
      <w:start w:val="1"/>
    </w:lvl>
  </w:abstractNum>
  <w:abstractNum w:abstractNumId="27">
    <w:nsid w:val="23F9C13C"/>
    <w:multiLevelType w:val="hybridMultilevel"/>
    <w:lvl w:ilvl="0">
      <w:lvlJc w:val="left"/>
      <w:lvlText w:val="•"/>
      <w:numFmt w:val="bullet"/>
      <w:start w:val="1"/>
    </w:lvl>
  </w:abstractNum>
  <w:abstractNum w:abstractNumId="28">
    <w:nsid w:val="649BB77C"/>
    <w:multiLevelType w:val="hybridMultilevel"/>
    <w:lvl w:ilvl="0">
      <w:lvlJc w:val="left"/>
      <w:lvlText w:val="•"/>
      <w:numFmt w:val="bullet"/>
      <w:start w:val="1"/>
    </w:lvl>
  </w:abstractNum>
  <w:abstractNum w:abstractNumId="29">
    <w:nsid w:val="275AC794"/>
    <w:multiLevelType w:val="hybridMultilevel"/>
    <w:lvl w:ilvl="0">
      <w:lvlJc w:val="left"/>
      <w:lvlText w:val="•"/>
      <w:numFmt w:val="bullet"/>
      <w:start w:val="1"/>
    </w:lvl>
  </w:abstractNum>
  <w:abstractNum w:abstractNumId="30">
    <w:nsid w:val="39386575"/>
    <w:multiLevelType w:val="hybridMultilevel"/>
    <w:lvl w:ilvl="0">
      <w:lvlJc w:val="left"/>
      <w:lvlText w:val="•"/>
      <w:numFmt w:val="bullet"/>
      <w:start w:val="1"/>
    </w:lvl>
  </w:abstractNum>
  <w:abstractNum w:abstractNumId="31">
    <w:nsid w:val="1CF10FD8"/>
    <w:multiLevelType w:val="hybridMultilevel"/>
    <w:lvl w:ilvl="0">
      <w:lvlJc w:val="left"/>
      <w:lvlText w:val="•"/>
      <w:numFmt w:val="bullet"/>
      <w:start w:val="1"/>
    </w:lvl>
  </w:abstractNum>
  <w:abstractNum w:abstractNumId="32">
    <w:nsid w:val="180115BE"/>
    <w:multiLevelType w:val="hybridMultilevel"/>
    <w:lvl w:ilvl="0">
      <w:lvlJc w:val="left"/>
      <w:lvlText w:val="•"/>
      <w:numFmt w:val="bullet"/>
      <w:start w:val="1"/>
    </w:lvl>
  </w:abstractNum>
  <w:abstractNum w:abstractNumId="33">
    <w:nsid w:val="235BA861"/>
    <w:multiLevelType w:val="hybridMultilevel"/>
    <w:lvl w:ilvl="0">
      <w:lvlJc w:val="left"/>
      <w:lvlText w:val="(%1)"/>
      <w:numFmt w:val="decimal"/>
      <w:start w:val="1"/>
    </w:lvl>
  </w:abstractNum>
  <w:abstractNum w:abstractNumId="34">
    <w:nsid w:val="47398C89"/>
    <w:multiLevelType w:val="hybridMultilevel"/>
    <w:lvl w:ilvl="0">
      <w:lvlJc w:val="left"/>
      <w:lvlText w:val="(%1)"/>
      <w:numFmt w:val="decimal"/>
      <w:start w:val="1"/>
    </w:lvl>
  </w:abstractNum>
  <w:abstractNum w:abstractNumId="35">
    <w:nsid w:val="354FE9F9"/>
    <w:multiLevelType w:val="hybridMultilevel"/>
    <w:lvl w:ilvl="0">
      <w:lvlJc w:val="left"/>
      <w:lvlText w:val="•"/>
      <w:numFmt w:val="bullet"/>
      <w:start w:val="1"/>
    </w:lvl>
  </w:abstractNum>
  <w:abstractNum w:abstractNumId="36">
    <w:nsid w:val="15B5AF5C"/>
    <w:multiLevelType w:val="hybridMultilevel"/>
    <w:lvl w:ilvl="0">
      <w:lvlJc w:val="left"/>
      <w:lvlText w:val="•"/>
      <w:numFmt w:val="bullet"/>
      <w:start w:val="1"/>
    </w:lvl>
  </w:abstractNum>
  <w:abstractNum w:abstractNumId="37">
    <w:nsid w:val="741226BB"/>
    <w:multiLevelType w:val="hybridMultilevel"/>
    <w:lvl w:ilvl="0">
      <w:lvlJc w:val="left"/>
      <w:lvlText w:val="•"/>
      <w:numFmt w:val="bullet"/>
      <w:start w:val="1"/>
    </w:lvl>
  </w:abstractNum>
  <w:abstractNum w:abstractNumId="38">
    <w:nsid w:val="D34B6A8"/>
    <w:multiLevelType w:val="hybridMultilevel"/>
    <w:lvl w:ilvl="0">
      <w:lvlJc w:val="left"/>
      <w:lvlText w:val="•"/>
      <w:numFmt w:val="bullet"/>
      <w:start w:val="1"/>
    </w:lvl>
  </w:abstractNum>
  <w:abstractNum w:abstractNumId="39">
    <w:nsid w:val="10233C99"/>
    <w:multiLevelType w:val="hybridMultilevel"/>
    <w:lvl w:ilvl="0">
      <w:lvlJc w:val="left"/>
      <w:lvlText w:val="•"/>
      <w:numFmt w:val="bullet"/>
      <w:start w:val="1"/>
    </w:lvl>
  </w:abstractNum>
  <w:abstractNum w:abstractNumId="40">
    <w:nsid w:val="3F6AB60F"/>
    <w:multiLevelType w:val="hybridMultilevel"/>
    <w:lvl w:ilvl="0">
      <w:lvlJc w:val="left"/>
      <w:lvlText w:val="•"/>
      <w:numFmt w:val="bullet"/>
      <w:start w:val="1"/>
    </w:lvl>
  </w:abstractNum>
  <w:abstractNum w:abstractNumId="41">
    <w:nsid w:val="61574095"/>
    <w:multiLevelType w:val="hybridMultilevel"/>
    <w:lvl w:ilvl="0">
      <w:lvlJc w:val="left"/>
      <w:lvlText w:val="•"/>
      <w:numFmt w:val="bullet"/>
      <w:start w:val="1"/>
    </w:lvl>
  </w:abstractNum>
  <w:abstractNum w:abstractNumId="42">
    <w:nsid w:val="7E0C57B1"/>
    <w:multiLevelType w:val="hybridMultilevel"/>
    <w:lvl w:ilvl="0">
      <w:lvlJc w:val="left"/>
      <w:lvlText w:val="•"/>
      <w:numFmt w:val="bullet"/>
      <w:start w:val="1"/>
    </w:lvl>
  </w:abstractNum>
  <w:abstractNum w:abstractNumId="43">
    <w:nsid w:val="77AE35EB"/>
    <w:multiLevelType w:val="hybridMultilevel"/>
    <w:lvl w:ilvl="0">
      <w:lvlJc w:val="left"/>
      <w:lvlText w:val="•"/>
      <w:numFmt w:val="bullet"/>
      <w:start w:val="1"/>
    </w:lvl>
  </w:abstractNum>
  <w:abstractNum w:abstractNumId="44">
    <w:nsid w:val="579BE4F1"/>
    <w:multiLevelType w:val="hybridMultilevel"/>
    <w:lvl w:ilvl="0">
      <w:lvlJc w:val="left"/>
      <w:lvlText w:val="•"/>
      <w:numFmt w:val="bullet"/>
      <w:start w:val="1"/>
    </w:lvl>
  </w:abstractNum>
  <w:abstractNum w:abstractNumId="45">
    <w:nsid w:val="310C50B3"/>
    <w:multiLevelType w:val="hybridMultilevel"/>
    <w:lvl w:ilvl="0">
      <w:lvlJc w:val="left"/>
      <w:lvlText w:val="•"/>
      <w:numFmt w:val="bullet"/>
      <w:start w:val="1"/>
    </w:lvl>
  </w:abstractNum>
  <w:abstractNum w:abstractNumId="46">
    <w:nsid w:val="5FF87E05"/>
    <w:multiLevelType w:val="hybridMultilevel"/>
    <w:lvl w:ilvl="0">
      <w:lvlJc w:val="left"/>
      <w:lvlText w:val="•"/>
      <w:numFmt w:val="bullet"/>
      <w:start w:val="1"/>
    </w:lvl>
  </w:abstractNum>
  <w:abstractNum w:abstractNumId="47">
    <w:nsid w:val="2F305DEF"/>
    <w:multiLevelType w:val="hybridMultilevel"/>
    <w:lvl w:ilvl="0">
      <w:lvlJc w:val="left"/>
      <w:lvlText w:val="•"/>
      <w:numFmt w:val="bullet"/>
      <w:start w:val="1"/>
    </w:lvl>
  </w:abstractNum>
  <w:abstractNum w:abstractNumId="48">
    <w:nsid w:val="25A70BF7"/>
    <w:multiLevelType w:val="hybridMultilevel"/>
    <w:lvl w:ilvl="0">
      <w:lvlJc w:val="left"/>
      <w:lvlText w:val="•"/>
      <w:numFmt w:val="bullet"/>
      <w:start w:val="1"/>
    </w:lvl>
  </w:abstractNum>
  <w:abstractNum w:abstractNumId="49">
    <w:nsid w:val="1DBABF00"/>
    <w:multiLevelType w:val="hybridMultilevel"/>
    <w:lvl w:ilvl="0">
      <w:lvlJc w:val="left"/>
      <w:lvlText w:val="•"/>
      <w:numFmt w:val="bullet"/>
      <w:start w:val="1"/>
    </w:lvl>
  </w:abstractNum>
  <w:abstractNum w:abstractNumId="50">
    <w:nsid w:val="4AD084E9"/>
    <w:multiLevelType w:val="hybridMultilevel"/>
    <w:lvl w:ilvl="0">
      <w:lvlJc w:val="left"/>
      <w:lvlText w:val="•"/>
      <w:numFmt w:val="bullet"/>
      <w:start w:val="1"/>
    </w:lvl>
  </w:abstractNum>
  <w:abstractNum w:abstractNumId="51">
    <w:nsid w:val="1F48EAA1"/>
    <w:multiLevelType w:val="hybridMultilevel"/>
    <w:lvl w:ilvl="0">
      <w:lvlJc w:val="left"/>
      <w:lvlText w:val="•"/>
      <w:numFmt w:val="bullet"/>
      <w:start w:val="1"/>
    </w:lvl>
  </w:abstractNum>
  <w:abstractNum w:abstractNumId="52">
    <w:nsid w:val="1381823A"/>
    <w:multiLevelType w:val="hybridMultilevel"/>
    <w:lvl w:ilvl="0">
      <w:lvlJc w:val="left"/>
      <w:lvlText w:val="•"/>
      <w:numFmt w:val="bullet"/>
      <w:start w:val="1"/>
    </w:lvl>
  </w:abstractNum>
  <w:abstractNum w:abstractNumId="53">
    <w:nsid w:val="5DB70AE5"/>
    <w:multiLevelType w:val="hybridMultilevel"/>
    <w:lvl w:ilvl="0">
      <w:lvlJc w:val="left"/>
      <w:lvlText w:val="•"/>
      <w:numFmt w:val="bullet"/>
      <w:start w:val="1"/>
    </w:lvl>
  </w:abstractNum>
  <w:abstractNum w:abstractNumId="54">
    <w:nsid w:val="100F8FCA"/>
    <w:multiLevelType w:val="hybridMultilevel"/>
    <w:lvl w:ilvl="0">
      <w:lvlJc w:val="left"/>
      <w:lvlText w:val="•"/>
      <w:numFmt w:val="bullet"/>
      <w:start w:val="1"/>
    </w:lvl>
  </w:abstractNum>
  <w:abstractNum w:abstractNumId="55">
    <w:nsid w:val="6590700B"/>
    <w:multiLevelType w:val="hybridMultilevel"/>
    <w:lvl w:ilvl="0">
      <w:lvlJc w:val="left"/>
      <w:lvlText w:val="•"/>
      <w:numFmt w:val="bullet"/>
      <w:start w:val="1"/>
    </w:lvl>
  </w:abstractNum>
  <w:abstractNum w:abstractNumId="56">
    <w:nsid w:val="15014ACB"/>
    <w:multiLevelType w:val="hybridMultilevel"/>
    <w:lvl w:ilvl="0">
      <w:lvlJc w:val="left"/>
      <w:lvlText w:val="•"/>
      <w:numFmt w:val="bullet"/>
      <w:start w:val="1"/>
    </w:lvl>
  </w:abstractNum>
  <w:abstractNum w:abstractNumId="57">
    <w:nsid w:val="5F5E7FD0"/>
    <w:multiLevelType w:val="hybridMultilevel"/>
    <w:lvl w:ilvl="0">
      <w:lvlJc w:val="left"/>
      <w:lvlText w:val="•"/>
      <w:numFmt w:val="bullet"/>
      <w:start w:val="1"/>
    </w:lvl>
  </w:abstractNum>
  <w:abstractNum w:abstractNumId="58">
    <w:nsid w:val="98A3148"/>
    <w:multiLevelType w:val="hybridMultilevel"/>
    <w:lvl w:ilvl="0">
      <w:lvlJc w:val="left"/>
      <w:lvlText w:val="(%1)"/>
      <w:numFmt w:val="decimal"/>
      <w:start w:val="1"/>
    </w:lvl>
  </w:abstractNum>
  <w:abstractNum w:abstractNumId="59">
    <w:nsid w:val="799D0247"/>
    <w:multiLevelType w:val="hybridMultilevel"/>
    <w:lvl w:ilvl="0">
      <w:lvlJc w:val="left"/>
      <w:lvlText w:val="•"/>
      <w:numFmt w:val="bullet"/>
      <w:start w:val="1"/>
    </w:lvl>
  </w:abstractNum>
  <w:abstractNum w:abstractNumId="60">
    <w:nsid w:val="6B94764"/>
    <w:multiLevelType w:val="hybridMultilevel"/>
    <w:lvl w:ilvl="0">
      <w:lvlJc w:val="left"/>
      <w:lvlText w:val="(%1)"/>
      <w:numFmt w:val="decimal"/>
      <w:start w:val="1"/>
    </w:lvl>
  </w:abstractNum>
  <w:abstractNum w:abstractNumId="61">
    <w:nsid w:val="42C296BD"/>
    <w:multiLevelType w:val="hybridMultilevel"/>
    <w:lvl w:ilvl="0">
      <w:lvlJc w:val="left"/>
      <w:lvlText w:val="(%1)"/>
      <w:numFmt w:val="decimal"/>
      <w:start w:val="1"/>
    </w:lvl>
  </w:abstractNum>
  <w:abstractNum w:abstractNumId="62">
    <w:nsid w:val="168E121F"/>
    <w:multiLevelType w:val="hybridMultilevel"/>
    <w:lvl w:ilvl="0">
      <w:lvlJc w:val="left"/>
      <w:lvlText w:val="•"/>
      <w:numFmt w:val="bullet"/>
      <w:start w:val="1"/>
    </w:lvl>
  </w:abstractNum>
  <w:abstractNum w:abstractNumId="63">
    <w:nsid w:val="1EBA5D23"/>
    <w:multiLevelType w:val="hybridMultilevel"/>
    <w:lvl w:ilvl="0">
      <w:lvlJc w:val="left"/>
      <w:lvlText w:val="•"/>
      <w:numFmt w:val="bullet"/>
      <w:start w:val="1"/>
    </w:lvl>
  </w:abstractNum>
  <w:abstractNum w:abstractNumId="64">
    <w:nsid w:val="661E3F1E"/>
    <w:multiLevelType w:val="hybridMultilevel"/>
    <w:lvl w:ilvl="0">
      <w:lvlJc w:val="left"/>
      <w:lvlText w:val="(%1)"/>
      <w:numFmt w:val="decimal"/>
      <w:start w:val="1"/>
    </w:lvl>
  </w:abstractNum>
  <w:abstractNum w:abstractNumId="65">
    <w:nsid w:val="5DC79EA8"/>
    <w:multiLevelType w:val="hybridMultilevel"/>
    <w:lvl w:ilvl="0">
      <w:lvlJc w:val="left"/>
      <w:lvlText w:val="(%1)"/>
      <w:numFmt w:val="decimal"/>
      <w:start w:val="1"/>
    </w:lvl>
  </w:abstractNum>
  <w:abstractNum w:abstractNumId="66">
    <w:nsid w:val="540A471C"/>
    <w:multiLevelType w:val="hybridMultilevel"/>
    <w:lvl w:ilvl="0">
      <w:lvlJc w:val="left"/>
      <w:lvlText w:val="(%1)"/>
      <w:numFmt w:val="decimal"/>
      <w:start w:val="1"/>
    </w:lvl>
  </w:abstractNum>
  <w:abstractNum w:abstractNumId="67">
    <w:nsid w:val="7BD3EE7B"/>
    <w:multiLevelType w:val="hybridMultilevel"/>
    <w:lvl w:ilvl="0">
      <w:lvlJc w:val="left"/>
      <w:lvlText w:val="(%1)"/>
      <w:numFmt w:val="decimal"/>
      <w:start w:val="2"/>
    </w:lvl>
  </w:abstractNum>
  <w:abstractNum w:abstractNumId="68">
    <w:nsid w:val="51D9C564"/>
    <w:multiLevelType w:val="hybridMultilevel"/>
    <w:lvl w:ilvl="0">
      <w:lvlJc w:val="left"/>
      <w:lvlText w:val="(%1)"/>
      <w:numFmt w:val="decimal"/>
      <w:start w:val="1"/>
    </w:lvl>
  </w:abstractNum>
  <w:abstractNum w:abstractNumId="69">
    <w:nsid w:val="613EFDC5"/>
    <w:multiLevelType w:val="hybridMultilevel"/>
    <w:lvl w:ilvl="0">
      <w:lvlJc w:val="left"/>
      <w:lvlText w:val="(%1)"/>
      <w:numFmt w:val="decimal"/>
      <w:start w:val="1"/>
    </w:lvl>
  </w:abstractNum>
  <w:abstractNum w:abstractNumId="70">
    <w:nsid w:val="BF72B14"/>
    <w:multiLevelType w:val="hybridMultilevel"/>
    <w:lvl w:ilvl="0">
      <w:lvlJc w:val="left"/>
      <w:lvlText w:val="(%1)"/>
      <w:numFmt w:val="decimal"/>
      <w:start w:val="1"/>
    </w:lvl>
  </w:abstractNum>
  <w:abstractNum w:abstractNumId="71">
    <w:nsid w:val="11447B73"/>
    <w:multiLevelType w:val="hybridMultilevel"/>
    <w:lvl w:ilvl="0">
      <w:lvlJc w:val="left"/>
      <w:lvlText w:val="(%1)"/>
      <w:numFmt w:val="decimal"/>
      <w:start w:val="1"/>
    </w:lvl>
  </w:abstractNum>
  <w:abstractNum w:abstractNumId="72">
    <w:nsid w:val="42963E5A"/>
    <w:multiLevelType w:val="hybridMultilevel"/>
    <w:lvl w:ilvl="0">
      <w:lvlJc w:val="left"/>
      <w:lvlText w:val="(%1)"/>
      <w:numFmt w:val="decimal"/>
      <w:start w:val="1"/>
    </w:lvl>
  </w:abstractNum>
  <w:abstractNum w:abstractNumId="73">
    <w:nsid w:val="A0382C5"/>
    <w:multiLevelType w:val="hybridMultilevel"/>
    <w:lvl w:ilvl="0">
      <w:lvlJc w:val="left"/>
      <w:lvlText w:val="(%1)"/>
      <w:numFmt w:val="decimal"/>
      <w:start w:val="1"/>
    </w:lvl>
  </w:abstractNum>
  <w:abstractNum w:abstractNumId="74">
    <w:nsid w:val="8F2B15E"/>
    <w:multiLevelType w:val="hybridMultilevel"/>
    <w:lvl w:ilvl="0">
      <w:lvlJc w:val="left"/>
      <w:lvlText w:val="(%1)"/>
      <w:numFmt w:val="decimal"/>
      <w:start w:val="2"/>
    </w:lvl>
  </w:abstractNum>
  <w:abstractNum w:abstractNumId="75">
    <w:nsid w:val="1A32234B"/>
    <w:multiLevelType w:val="hybridMultilevel"/>
    <w:lvl w:ilvl="0">
      <w:lvlJc w:val="left"/>
      <w:lvlText w:val="(%1)"/>
      <w:numFmt w:val="decimal"/>
      <w:start w:val="3"/>
    </w:lvl>
  </w:abstractNum>
  <w:abstractNum w:abstractNumId="76">
    <w:nsid w:val="3B0FD379"/>
    <w:multiLevelType w:val="hybridMultilevel"/>
    <w:lvl w:ilvl="0">
      <w:lvlJc w:val="left"/>
      <w:lvlText w:val="•"/>
      <w:numFmt w:val="bullet"/>
      <w:start w:val="1"/>
    </w:lvl>
  </w:abstractNum>
  <w:abstractNum w:abstractNumId="77">
    <w:nsid w:val="68EB2F63"/>
    <w:multiLevelType w:val="hybridMultilevel"/>
    <w:lvl w:ilvl="0">
      <w:lvlJc w:val="left"/>
      <w:lvlText w:val="(%1)"/>
      <w:numFmt w:val="decimal"/>
      <w:start w:val="1"/>
    </w:lvl>
  </w:abstractNum>
  <w:abstractNum w:abstractNumId="78">
    <w:nsid w:val="4962813B"/>
    <w:multiLevelType w:val="hybridMultilevel"/>
    <w:lvl w:ilvl="0">
      <w:lvlJc w:val="left"/>
      <w:lvlText w:val="•"/>
      <w:numFmt w:val="bullet"/>
      <w:start w:val="1"/>
    </w:lvl>
  </w:abstractNum>
  <w:abstractNum w:abstractNumId="79">
    <w:nsid w:val="60B6DF70"/>
    <w:multiLevelType w:val="hybridMultilevel"/>
    <w:lvl w:ilvl="0">
      <w:lvlJc w:val="left"/>
      <w:lvlText w:val="•"/>
      <w:numFmt w:val="bullet"/>
      <w:start w:val="1"/>
    </w:lvl>
  </w:abstractNum>
  <w:abstractNum w:abstractNumId="80">
    <w:nsid w:val="6A5EE64"/>
    <w:multiLevelType w:val="hybridMultilevel"/>
    <w:lvl w:ilvl="0">
      <w:lvlJc w:val="left"/>
      <w:lvlText w:val="(%1)"/>
      <w:numFmt w:val="decimal"/>
      <w:start w:val="1"/>
    </w:lvl>
  </w:abstractNum>
  <w:abstractNum w:abstractNumId="81">
    <w:nsid w:val="14330624"/>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2025-04-23T06:37:38Z</dcterms:created>
  <dcterms:modified xsi:type="dcterms:W3CDTF">2025-04-23T06:37:38Z</dcterms:modified>
</cp:coreProperties>
</file>