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1980" w:hanging="3912"/>
        <w:spacing w:after="0" w:line="310" w:lineRule="auto"/>
        <w:tabs>
          <w:tab w:leader="none" w:pos="4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6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1870710</wp:posOffset>
            </wp:positionH>
            <wp:positionV relativeFrom="paragraph">
              <wp:posOffset>-20320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color w:val="222222"/>
        </w:rPr>
        <w:t>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APELLIS PHARMACEUTICALS,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7"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35"/>
        </w:trPr>
        <w:tc>
          <w:tcPr>
            <w:tcW w:w="4120" w:type="dxa"/>
            <w:vAlign w:val="bottom"/>
          </w:tcPr>
          <w:p>
            <w:pPr>
              <w:jc w:val="center"/>
              <w:ind w:right="198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20" w:type="dxa"/>
            <w:vAlign w:val="bottom"/>
          </w:tcPr>
          <w:p>
            <w:pPr>
              <w:spacing w:after="0"/>
              <w:rPr>
                <w:sz w:val="21"/>
                <w:szCs w:val="21"/>
                <w:color w:val="auto"/>
              </w:rPr>
            </w:pPr>
          </w:p>
        </w:tc>
      </w:tr>
      <w:tr>
        <w:trPr>
          <w:trHeight w:val="21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Waltham, MA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32" w:right="339" w:bottom="1440" w:gutter="0" w:footer="0" w:header="0"/>
        </w:sectPr>
      </w:pPr>
    </w:p>
    <w:p>
      <w:pPr>
        <w:spacing w:after="0" w:line="7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1" w:lineRule="exact"/>
        <w:rPr>
          <w:sz w:val="24"/>
          <w:szCs w:val="24"/>
          <w:color w:val="auto"/>
        </w:rPr>
      </w:pPr>
    </w:p>
    <w:p>
      <w:pPr>
        <w:sectPr>
          <w:pgSz w:w="11900" w:h="16838" w:orient="portrait"/>
          <w:cols w:equalWidth="0" w:num="3">
            <w:col w:w="4320" w:space="720"/>
            <w:col w:w="2040" w:space="720"/>
            <w:col w:w="3440"/>
          </w:cols>
          <w:pgMar w:left="320" w:top="232" w:right="339" w:bottom="1440" w:gutter="0" w:footer="0" w:header="0"/>
          <w:type w:val="continuous"/>
        </w:sectPr>
      </w:pPr>
    </w:p>
    <w:p>
      <w:pPr>
        <w:ind w:left="42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Common Stock, $0.0001 par value per share</w:t>
      </w:r>
      <w:r>
        <w:rPr>
          <w:sz w:val="20"/>
          <w:szCs w:val="20"/>
          <w:color w:val="auto"/>
        </w:rPr>
        <w:tab/>
      </w:r>
      <w:r>
        <w:rPr>
          <w:rFonts w:ascii="Times New Roman" w:cs="Times New Roman" w:eastAsia="Times New Roman" w:hAnsi="Times New Roman"/>
          <w:sz w:val="17"/>
          <w:szCs w:val="17"/>
          <w:b w:val="1"/>
          <w:bCs w:val="1"/>
          <w:color w:val="auto"/>
        </w:rPr>
        <w:t>APLS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Nasdaq Global Select Market</w:t>
      </w:r>
    </w:p>
    <w:p>
      <w:pPr>
        <w:spacing w:after="0" w:line="48" w:lineRule="exact"/>
        <w:rPr>
          <w:sz w:val="24"/>
          <w:szCs w:val="24"/>
          <w:color w:val="auto"/>
        </w:rPr>
      </w:pPr>
    </w:p>
    <w:p>
      <w:pPr>
        <w:sectPr>
          <w:pgSz w:w="11900" w:h="16838" w:orient="portrait"/>
          <w:cols w:equalWidth="0" w:num="2">
            <w:col w:w="7280" w:space="720"/>
            <w:col w:w="3240"/>
          </w:cols>
          <w:pgMar w:left="320" w:top="23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1" w:lineRule="exact"/>
        <w:rPr>
          <w:sz w:val="24"/>
          <w:szCs w:val="24"/>
          <w:color w:val="auto"/>
        </w:rPr>
      </w:pPr>
    </w:p>
    <w:p>
      <w:pPr>
        <w:ind w:right="168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8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46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8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46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Small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546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YES</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As of June 30, 2025, the aggregate market value of the voting and non-voting common equity held by non-affiliates of the registrant, based on the closing price of the shares of common stock on the Nasdaq Global Select Stock Market on such date, was $1.8 billion.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$0.0001 per share outstanding as of April 21, 2026 was 128,021,277.</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Amendment No. 1 on Form 10-K/A (this “Amendment” or “Report”) is filed with respect to our Annual Report on Form 10-K for the year ended December 31, 2025 (the “Original Filing”), filed with the Securities and Exchange Commission (the “SEC”) on February 24, 2026. We are filing this Amendment solely for the purpose of including the information required by Part III of Form 10-K, which information was omitted from the Original Filing in reliance on General Instruction G(3) to Form 10-K, which permits the information required by Part III of Form 10-K to be incorporated by reference from a registrant’s definitive proxy statement if it is filed with the SEC no later than 120 days after the fiscal year end. However, we do not intend to file a definitive proxy statement for our 2026 annual meeting of stockholders within 120 days of the end of our fiscal year ended December 31, 2025.</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Accordingly, this Amendment is being filed solely to (i) provide the information required by Items 10 through 14 of Part III of the Original Filing, and (ii) delete the reference on the cover page of the Original Filing to the incorporation by reference of portions of our definitive proxy statement into Part III of the Original Filing. In addition, as required by Rule 12b-15 under the Securities Exchange Act of 1934, as amended (the “Exchange Act”), new certifications by our principal executive officer and principal financial officer are filed herewith as exhibits to this Amendment pursuant to Rule 13a-14(a) or 15d-14(a) of the Exchange Act.</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Amendment speaks as of the date of the Original Filing and, except as described above, this Amendment makes no changes to the Original Filing. This Amendment does not amend, update or change the financial statements or any other information presented in the Original Filing and does not otherwise reflect events occurring after the date of the Original Filing. Accordingly, this Amendment should be read in conjunction with our filings with the SEC subsequent to the filing of the Original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indicated otherwise, throughout this Amendment, references to “Apellis,” “the Company,” “we,” “us” and “our” refer Apellis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except where the context otherwise requires or indicates.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13"/>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34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80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34</w:t>
            </w:r>
          </w:p>
        </w:tc>
      </w:tr>
      <w:tr>
        <w:trPr>
          <w:trHeight w:val="2080"/>
        </w:trPr>
        <w:tc>
          <w:tcPr>
            <w:tcW w:w="1180" w:type="dxa"/>
            <w:vAlign w:val="bottom"/>
            <w:tcBorders>
              <w:bottom w:val="single" w:sz="8" w:color="9A9A9A"/>
            </w:tcBorders>
          </w:tcPr>
          <w:p>
            <w:pPr>
              <w:spacing w:after="0"/>
              <w:rPr>
                <w:sz w:val="24"/>
                <w:szCs w:val="24"/>
                <w:color w:val="auto"/>
              </w:rPr>
            </w:pPr>
          </w:p>
        </w:tc>
        <w:tc>
          <w:tcPr>
            <w:tcW w:w="1800" w:type="dxa"/>
            <w:vAlign w:val="bottom"/>
            <w:tcBorders>
              <w:top w:val="single" w:sz="8" w:color="0000FF"/>
              <w:bottom w:val="single" w:sz="8" w:color="9A9A9A"/>
            </w:tcBorders>
          </w:tcPr>
          <w:p>
            <w:pPr>
              <w:spacing w:after="0"/>
              <w:rPr>
                <w:sz w:val="24"/>
                <w:szCs w:val="24"/>
                <w:color w:val="auto"/>
              </w:rPr>
            </w:pPr>
          </w:p>
        </w:tc>
        <w:tc>
          <w:tcPr>
            <w:tcW w:w="10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nine directors. In accordance with the terms of our restated certificate of incorporation, our board of directors is divided into three classes (Class I, Class II and Class III), with members of each class serving staggered three-year terms. The members of the classes are divided as follows:</w:t>
      </w:r>
    </w:p>
    <w:p>
      <w:pPr>
        <w:spacing w:after="0" w:line="176" w:lineRule="exact"/>
        <w:rPr>
          <w:sz w:val="20"/>
          <w:szCs w:val="20"/>
          <w:color w:val="auto"/>
        </w:rPr>
      </w:pPr>
    </w:p>
    <w:p>
      <w:pPr>
        <w:ind w:left="1020" w:right="2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Mikael Dolsten, Paul Fonteyne and Stephanie Monaghan O’Brien, and their terms expire at the annual meeting of stockholders to be held in 2027;</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A. Sinclair Dunlop, Alec Machiels and Keli Walbert, and their terms expire at the annual meeting of stockholders to be held in 2028; and</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Gerald Chan, Cedric Francois and Craig Wheeler, and their terms expire at the annual meeting of stockholders to be held in 2026.</w:t>
      </w:r>
    </w:p>
    <w:p>
      <w:pPr>
        <w:ind w:right="20"/>
        <w:spacing w:after="0" w:line="260"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Age</w:t>
            </w:r>
          </w:p>
        </w:tc>
        <w:tc>
          <w:tcPr>
            <w:tcW w:w="200" w:type="dxa"/>
            <w:vAlign w:val="bottom"/>
          </w:tcPr>
          <w:p>
            <w:pPr>
              <w:spacing w:after="0"/>
              <w:rPr>
                <w:sz w:val="20"/>
                <w:szCs w:val="20"/>
                <w:color w:val="auto"/>
              </w:rPr>
            </w:pPr>
          </w:p>
        </w:tc>
        <w:tc>
          <w:tcPr>
            <w:tcW w:w="510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Class I Directors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1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Mikael Dolsten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Fonteyne</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FF0FC"/>
          </w:tcPr>
          <w:p>
            <w:pPr>
              <w:spacing w:after="0"/>
              <w:rPr>
                <w:sz w:val="18"/>
                <w:szCs w:val="18"/>
                <w:color w:val="auto"/>
              </w:rPr>
            </w:pPr>
          </w:p>
        </w:tc>
        <w:tc>
          <w:tcPr>
            <w:tcW w:w="5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Stephanie Monaghan O’Brien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Class II Directors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1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 Sinclair Dunlop</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Alec Machiels</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FF0FC"/>
          </w:tcPr>
          <w:p>
            <w:pPr>
              <w:spacing w:after="0"/>
              <w:rPr>
                <w:sz w:val="18"/>
                <w:szCs w:val="18"/>
                <w:color w:val="auto"/>
              </w:rPr>
            </w:pPr>
          </w:p>
        </w:tc>
        <w:tc>
          <w:tcPr>
            <w:tcW w:w="5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Keli Walbert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Class III Directors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1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Gerald Chan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FF0FC"/>
          </w:tcPr>
          <w:p>
            <w:pPr>
              <w:spacing w:after="0"/>
              <w:rPr>
                <w:sz w:val="18"/>
                <w:szCs w:val="18"/>
                <w:color w:val="auto"/>
              </w:rPr>
            </w:pPr>
          </w:p>
        </w:tc>
        <w:tc>
          <w:tcPr>
            <w:tcW w:w="5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Craig Wheeler</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0"/>
                <w:szCs w:val="20"/>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2027 Annual Meeting)</w:t>
      </w:r>
    </w:p>
    <w:p>
      <w:pPr>
        <w:spacing w:after="0" w:line="11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Mikael Dolsten, M.D., Ph.D. </w:t>
      </w:r>
      <w:r>
        <w:rPr>
          <w:rFonts w:ascii="Times New Roman" w:cs="Times New Roman" w:eastAsia="Times New Roman" w:hAnsi="Times New Roman"/>
          <w:sz w:val="18"/>
          <w:szCs w:val="18"/>
          <w:color w:val="auto"/>
        </w:rPr>
        <w:t>became a director in 2026. From 2009 until 2025, Dr. Dolsten spent 16 years at Pfizer Inc. as Chief Scientific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Worldwide Research, Development and Medical. Prior to joining Pfizer, he held senior research and leadership roles at Wyeth Pharmaceuticals LLC, Boehringer-Ingelheim Pharmaceuticals, Inc., AstraZeneca plc, Pharmacia and Upjohn Company LLC., each a pharmaceutical company. Dr. Dolsten serves on the boards of directors of Agilent Technologies, Inc. and Rocket Pharmaceuticals, Inc. and holds an M.D. and Ph.D. from Lund University. Dr. Dolsten’s qualifications for service on our board of directors include his extensive leadership experience in pharmaceutical research and development and his deep scientific expertise.</w:t>
      </w:r>
    </w:p>
    <w:p>
      <w:pPr>
        <w:spacing w:after="0" w:line="37" w:lineRule="exact"/>
        <w:rPr>
          <w:sz w:val="20"/>
          <w:szCs w:val="20"/>
          <w:color w:val="auto"/>
        </w:rPr>
      </w:pPr>
    </w:p>
    <w:p>
      <w:pPr>
        <w:ind w:right="60"/>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 xml:space="preserve">Paul Fonteyne </w:t>
      </w:r>
      <w:r>
        <w:rPr>
          <w:rFonts w:ascii="Times New Roman" w:cs="Times New Roman" w:eastAsia="Times New Roman" w:hAnsi="Times New Roman"/>
          <w:sz w:val="18"/>
          <w:szCs w:val="18"/>
          <w:color w:val="auto"/>
        </w:rPr>
        <w:t>became a director in 2020. Mr. Fonteyne has served as an Executive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Residence at Canaan Partners, a venture capital firm dedicated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investing in health care and technology, since 2019. Mr. Fonteyne previously held a number of senior executive roles at Boehringer Ingelheim, including President and Chief Executive Officer of Boehringer Ingelheim USA, subsequent Chairman, and President of Boehringer Ingelheim Animal Health USA. Prior to that, Mr. Fonteyne held commercial leadership roles at Merck &amp; Co., Inc. and Abbott Laboratories. Mr. Fonteyne currently serves on the boards of directors of Apnimed Pharmaceuticals, Inc. since 2023, Corium Therapeutics, Inc. since 2023, Amylyx Pharmaceuticals, Inc. since 2021, Ypsomed AG since 2018, and DalCor Pharmaceuticals since 2019. Mr. Fonteyne previously served on the board of Covetrus Inc. from 2021 to 2022 and on the board of Gelesis, Inc. from 2018 to 2023. Mr. Fonteyne also formerly served on the board of PhRMA and chaired the National Pharmaceutical Council. Mr. Fonteyne holds an M.B.A. from Carnegie Mellon University and an M.S. in chemical engineering from the University of</w:t>
      </w: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Brussels. Mr. Fonteyne’s qualifications for service on our board of directors include his extensive experience leading large commercial organizations in the pharmaceutical industry and his significant sales and marketing management expertise.</w:t>
      </w:r>
    </w:p>
    <w:p>
      <w:pPr>
        <w:spacing w:after="0" w:line="50" w:lineRule="exact"/>
        <w:rPr>
          <w:sz w:val="20"/>
          <w:szCs w:val="20"/>
          <w:color w:val="auto"/>
        </w:rPr>
      </w:pPr>
    </w:p>
    <w:p>
      <w:pPr>
        <w:ind w:right="24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Stephanie Monaghan O’Brien </w:t>
      </w:r>
      <w:r>
        <w:rPr>
          <w:rFonts w:ascii="Times New Roman" w:cs="Times New Roman" w:eastAsia="Times New Roman" w:hAnsi="Times New Roman"/>
          <w:sz w:val="18"/>
          <w:szCs w:val="18"/>
          <w:color w:val="auto"/>
        </w:rPr>
        <w:t>became a director in 2013. Ms. O’Brien has served as an attorney with Morningside Technology Advisory, LLC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1997. Ms. O’Brien has served on the board of directors of numerous private companies, including numerous private pre-clinical and clinical-stage companies developing drugs across a broad spectrum of therapeutic focus and numerous early-stage technology companies developing disruptive technologies and business methods. Ms. O’Brien holds an A.B. degree, cum laude, from Harvard College and a J.D. degree from New York University School of Law. Ms. O’Brien’s qualifications for service on our board of directors include her extensive experience advising and building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life science companies and her service on the boards of public and private biotechnology and technology companies.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at 2028 Annual Meeting)</w:t>
      </w:r>
    </w:p>
    <w:p>
      <w:pPr>
        <w:spacing w:after="0" w:line="80" w:lineRule="exact"/>
        <w:rPr>
          <w:sz w:val="20"/>
          <w:szCs w:val="20"/>
          <w:color w:val="auto"/>
        </w:rPr>
      </w:pPr>
    </w:p>
    <w:p>
      <w:pPr>
        <w:ind w:right="60"/>
        <w:spacing w:after="0" w:line="22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 Sinclair Dunlop </w:t>
      </w:r>
      <w:r>
        <w:rPr>
          <w:rFonts w:ascii="Times New Roman" w:cs="Times New Roman" w:eastAsia="Times New Roman" w:hAnsi="Times New Roman"/>
          <w:sz w:val="18"/>
          <w:szCs w:val="18"/>
          <w:color w:val="auto"/>
        </w:rPr>
        <w:t>became a director in 2010. Mr. Dunlop is the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founder and has served as the managing partner of Epidarex Capital GP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(“Epidarex Capital”), an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venture fund platform, since 2010. Prior to founding Epidarex Capital, Mr. Dunlop founded and served as managing partner of Masa Life Science Ventures, LP, an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venture fund that built an international portfolio of life science and health technology companies from 2005 to 2010. Mr. Dunlop currently serves on the boards of Clyde Biosciences since 2015, Inspiring Scotland since 2015, and Lario Therapeutics since 2023, and previously served on the boards of Theolytics Ltd. from 2021 to 2023 and Edinburgh Molecular Imaging, Ltd. from 2014 to 2022. Mr. Dunlop holds an M.B.A. from Columbia Business School, where he was the R.C. Kopf British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American Fellow in international business, an M.A. with Honors in political economy from the University of Glasgow, and an M.A. in international relations from the Maxwell School of Citizenship and Public Affairs at Syracuse University. Mr. Dunlop’s qualifications for service on our board of directors include his strong background in financial management and investment in businesses and his experience serving on the boards of both public and private companies.</w:t>
      </w:r>
    </w:p>
    <w:p>
      <w:pPr>
        <w:spacing w:after="0" w:line="86"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Alec Machiels </w:t>
      </w:r>
      <w:r>
        <w:rPr>
          <w:rFonts w:ascii="Times New Roman" w:cs="Times New Roman" w:eastAsia="Times New Roman" w:hAnsi="Times New Roman"/>
          <w:sz w:val="18"/>
          <w:szCs w:val="18"/>
          <w:color w:val="auto"/>
        </w:rPr>
        <w:t>became a director in 2009. Mr. Machiels is the co-founder and has served as the managing partner of CoLift, LLC (“CoLift”), a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platform since 2019. Prior to founding CoLift, Mr. Machiels was a partner at Pegasus Capital Advisors, L.P., a private equity firm, from 2006 to 2019. Mr. Machiels previously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founded and served as Chief Executive Officer of Potentia Pharmaceuticals, Inc., a private biotechnology company and the predecessor entity to Apellis, and also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founded Revon and served in that role from 2013 to 2019. Mr. Machiels began his career as a financial analyst with Goldman Sachs, serving in the Financial Services Group in London and the Private Equity Group in New York. Mr. Machiels has served on the boards of directors of several public and private companies. Mr. Machiels holds an M.B.A. from Harvard Business School, a license in law from KU Leuven Law School, and an M.A. in international economics from Konstanz University. Mr. Machiels’ qualifications for service on our board of directors include his strong background in private equity investing and financial analysis, his experience founding and leading biotechnology companies, and his service on the boards of public and private companies.</w:t>
      </w:r>
    </w:p>
    <w:p>
      <w:pPr>
        <w:spacing w:after="0" w:line="19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Keli Walbert </w:t>
      </w:r>
      <w:r>
        <w:rPr>
          <w:rFonts w:ascii="Times New Roman" w:cs="Times New Roman" w:eastAsia="Times New Roman" w:hAnsi="Times New Roman"/>
          <w:sz w:val="18"/>
          <w:szCs w:val="18"/>
          <w:color w:val="auto"/>
        </w:rPr>
        <w:t>became a director in 2025. Ms. Walbert has more than 20 years of commercial leadership experience. She most recently served as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U.S. Commercial at Horizon Therapeutics plc (“Horizon”) from 2019 to 2023. Prior to Horizon, Ms. Walbert held senior leadership roles at AbbVie Pharmaceuticals, Abbott Laboratories, the American Medical Association and UnitedHealthcare. Ms. Walbert serves on the board of Women in Healthcare and holds a B.A. from the University of Louisville and an M.S. from Northwestern University. Ms. Walbert’s qualifications for service on our board of directors include her extensive commercial leadership experience in biopharmaceutical sales, product launches, and commercial strategy and execution across nephrology, ophthalmology, neurology, and rare disease markets.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2026 Annual Meeting)</w:t>
      </w:r>
    </w:p>
    <w:p>
      <w:pPr>
        <w:spacing w:after="0" w:line="188" w:lineRule="exact"/>
        <w:rPr>
          <w:sz w:val="20"/>
          <w:szCs w:val="20"/>
          <w:color w:val="auto"/>
        </w:rPr>
      </w:pPr>
    </w:p>
    <w:p>
      <w:pPr>
        <w:ind w:right="160"/>
        <w:spacing w:after="0" w:line="22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Gerald Chan, Sc.D </w:t>
      </w:r>
      <w:r>
        <w:rPr>
          <w:rFonts w:ascii="Times New Roman" w:cs="Times New Roman" w:eastAsia="Times New Roman" w:hAnsi="Times New Roman"/>
          <w:sz w:val="18"/>
          <w:szCs w:val="18"/>
          <w:color w:val="auto"/>
        </w:rPr>
        <w:t>became a director in 2013 and currently serves as Chairman of the Board. Dr. Chan is a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founder of the Morningside Group,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investment group with venture, private equity and property investments, and has served in that role since 1986. Dr. Chan has extensive experience in life science investments and has focused on biotechnology companies founded on novel science. Dr. Chan has served on the boards of directors of several technology and biotechnology companies, including Stealth BioTherapeutics Corp., which was publicly traded from 2019 to 2022, and has also served on the boards of Hang Lung Group Limited since 1986, LumiraDx Limited from 2020 to 2023, and Aduro Biotech Inc. from 2014 to 2018. Dr. Chan holds an S.M. in medical radiological physics and a Sc.D. in radiation biology from Harvard University, a B.S. and M.S. in engineering from the University of California, Los Angeles, and completed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doctoral training at the Dana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Farber Cancer Institute. Dr. Chan’s qualifications for service on our board of directors include his extensive experience in life science investments and his service on the boards of directors of technology and biotechnology companies.</w:t>
      </w:r>
    </w:p>
    <w:p>
      <w:pPr>
        <w:spacing w:after="0" w:line="49"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Cedric Francois, M.D., Ph.D. </w:t>
      </w:r>
      <w:r>
        <w:rPr>
          <w:rFonts w:ascii="Times New Roman" w:cs="Times New Roman" w:eastAsia="Times New Roman" w:hAnsi="Times New Roman"/>
          <w:sz w:val="18"/>
          <w:szCs w:val="18"/>
          <w:color w:val="auto"/>
        </w:rPr>
        <w:t>became a director in 2009 and is a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founder of Apellis, where he has served as President and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2009. Prior to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founding Apellis, Dr. Francois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founded and served as President and Chief Executive Officer of Potentia Pharmaceuticals, Inc., a private biotechnology company, and also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founded Revon Systems, LLC, a private healthcare software company. Dr. Francois has a clinical and scientific background in immunology and transplant medicine and previously participated in pioneering transplant programs, including the first successful hand transplantation and the Louisville Face Transplant Team. Dr. Francois has served on the boards of directors of Liberate Medical, Inc. since 2016 and Acuamark Diagnostics since 2021, and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previously served on the boards of Potentia Pharmaceuticals and Revon Systems. Dr. Francois holds an M.D. from the University of Leuven and a Ph.D. in physiology from the University of Louisville. Dr. Francois’ qualifications for service on our board of directors include his expertise and extensive leadership experience in immunology and immune system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mediated diseases and his extensive knowledge of our company based on his role as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founder and Chief Executive Officer.</w:t>
      </w:r>
    </w:p>
    <w:p>
      <w:pPr>
        <w:spacing w:after="0" w:line="19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Craig A. Wheeler </w:t>
      </w:r>
      <w:r>
        <w:rPr>
          <w:rFonts w:ascii="Times New Roman" w:cs="Times New Roman" w:eastAsia="Times New Roman" w:hAnsi="Times New Roman"/>
          <w:sz w:val="18"/>
          <w:szCs w:val="18"/>
          <w:color w:val="auto"/>
        </w:rPr>
        <w:t>became a director in 2025. Since 2020, Mr. Wheeler has served as Chief Executive Officer of Headwaters Biotech Advisors, where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advises biotechnology executives. Prior to joining Headwaters, from 2006 to 2020, Mr. Wheeler served as President and Chief Executive Officer of Momenta Pharmaceuticals. Prior to Momenta, from 2001 to 2006, h</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previously served as President of Chiron Biopharmaceuticals. Mr. Wheeler earlier was a senior member of The Boston Consulting Group’s health care practice. Mr. Wheeler currently serves on the board of directors of Amicus Therapeutics, Inc. and previously served on the boards of directors of Avanir Pharmaceuticals, Inc. and Momenta Pharmaceuticals. Mr. Wheeler holds an M.B.A. from the Wharton School of the University of Pennsylvania and B.S. and M.S. degrees from Cornell University. Mr. Wheeler’s qualifications for service on our board of directors include his expertise and extensive leadership experience in the pharmaceutical industry and his expertise in drug development, manufacturing, and the technical issues facing growing biopharmaceutical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current executive officers, their ages, and the positions held by each such person with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Age</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40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Tim Sullivan</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Kelley Boucher</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Jim Chopas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Corporate Controller and Chief Accounting Officer</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 DeLong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Business &amp; Strategy Officer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Pascal Deschatelets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Co-Founder &amp; Chief Scientific Officer</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Leslie Meltzer</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Research &amp; Development Officer</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Nur Nicholson</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Technical Operations Officer</w:t>
            </w:r>
          </w:p>
        </w:tc>
      </w:tr>
    </w:tbl>
    <w:p>
      <w:pPr>
        <w:spacing w:after="0" w:line="17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Sullivan </w:t>
      </w:r>
      <w:r>
        <w:rPr>
          <w:rFonts w:ascii="Times New Roman" w:cs="Times New Roman" w:eastAsia="Times New Roman" w:hAnsi="Times New Roman"/>
          <w:sz w:val="18"/>
          <w:szCs w:val="18"/>
          <w:color w:val="auto"/>
        </w:rPr>
        <w:t>has served as Chief Financial Officer and Treasurer since October 2017. Prior to joining the Company, Mr. Sullivan served as a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AJU IB Investment, now known as Solasta Ventures Inc., where he led investments in life sciences companies, from 2014 to 2017 Earlier in his career, he served as Managing Director and Head of Life Sciences investment banking at RBS Citizens, N.A., now known as Citizens Bank, N.A. Mr. Sullivan received an A.B. in biology from Harvard College and an M.B.A. from Columbia Business School.</w:t>
      </w:r>
    </w:p>
    <w:p>
      <w:pPr>
        <w:spacing w:after="0" w:line="6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Watson </w:t>
      </w:r>
      <w:r>
        <w:rPr>
          <w:rFonts w:ascii="Times New Roman" w:cs="Times New Roman" w:eastAsia="Times New Roman" w:hAnsi="Times New Roman"/>
          <w:sz w:val="18"/>
          <w:szCs w:val="18"/>
          <w:color w:val="auto"/>
        </w:rPr>
        <w:t>has served as General Counsel and Secretary since January 2014. Prior to joining the Company, Mr. Watson was a member of Frost Brown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Todd LLC, from 2011 to 2013. Mr. Watson received his A.B, from Harvard College, his J.D. from Vanderbilt Law School, and an M.A. in mathematics from the University of Kentucky.</w:t>
      </w:r>
    </w:p>
    <w:p>
      <w:pPr>
        <w:spacing w:after="0" w:line="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Caroline Baumal, M.D. </w:t>
      </w:r>
      <w:r>
        <w:rPr>
          <w:rFonts w:ascii="Times New Roman" w:cs="Times New Roman" w:eastAsia="Times New Roman" w:hAnsi="Times New Roman"/>
          <w:sz w:val="18"/>
          <w:szCs w:val="18"/>
          <w:color w:val="auto"/>
        </w:rPr>
        <w:t>has served as Chief Medical Officer since January 2023. Dr. Baumal has served as a Professor of Ophthalmology and vitreoretinal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surgeon at the New England Eye Center at Tufts Medical Center since 1998. She has authored more than 170 scientific publications and has served as a principal investigator for numerous clinical studies evaluating novel retinal therapies. Dr. Baumal received her M.D. from the University of Toronto, completed fellowship training at Wills Eye Hospital and the New England Eye Center, and holds a B.Sc. in biochemistry from McGill University.</w:t>
      </w:r>
    </w:p>
    <w:p>
      <w:pPr>
        <w:spacing w:after="0" w:line="6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Kelley Boucher </w:t>
      </w:r>
      <w:r>
        <w:rPr>
          <w:rFonts w:ascii="Times New Roman" w:cs="Times New Roman" w:eastAsia="Times New Roman" w:hAnsi="Times New Roman"/>
          <w:sz w:val="18"/>
          <w:szCs w:val="18"/>
          <w:color w:val="auto"/>
        </w:rPr>
        <w:t>has served as Chief People Officer since 2025. Prior to joining the Company, Ms. Boucher served as Chief Human Resources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Alnylam Pharmaceuticals, Inc. from 2019 until 2025, and prior to that served as Head of Global Human Resources at Abiomed, Inc. and in senior HR and M&amp;A roles at Shire. Ms. Boucher holds a bachelor’s degree in government from Cornell University and completed the Strategic Leadership Development executive program at the Darden School of Business at the University of Virginia.</w:t>
      </w:r>
    </w:p>
    <w:p>
      <w:pPr>
        <w:spacing w:after="0" w:line="6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Jim Chopas </w:t>
      </w:r>
      <w:r>
        <w:rPr>
          <w:rFonts w:ascii="Times New Roman" w:cs="Times New Roman" w:eastAsia="Times New Roman" w:hAnsi="Times New Roman"/>
          <w:sz w:val="18"/>
          <w:szCs w:val="18"/>
          <w:color w:val="auto"/>
        </w:rPr>
        <w:t>has served as Vice President, Corporate Controller and Chief Accounting Officer since August 2021 and has also served as Treasurer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2021. Prior to joining the Company, Mr. Chopas served as Vice President, Principal Financial Officer and Principal Accounting Officer from 2020 to 2021 and Treasurer from 2018 to 2020 at Radius Health, Inc., and prior to that, served as a consultant at Danforth Advisors, a strategic consulting firm for life science and healthcare technology companies. Earlier in his career, Mr. Chopas served as Chief Financial Officer and Vice President of Finance at KBI Biopharma, Inc., and held senior management roles at Thermo Fisher Scientific Inc. and Parexel International Corp., all of which are biopharmaceutical companies. Mr. Chopas received a B.S. from the University of Massachusetts and an M.S. from Bentley University.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DeLong </w:t>
      </w:r>
      <w:r>
        <w:rPr>
          <w:rFonts w:ascii="Times New Roman" w:cs="Times New Roman" w:eastAsia="Times New Roman" w:hAnsi="Times New Roman"/>
          <w:sz w:val="18"/>
          <w:szCs w:val="18"/>
          <w:color w:val="auto"/>
        </w:rPr>
        <w:t>has served as Chief Business &amp; Strategy Officer since January 2023. Mr. DeLong joined the Company in February 2018 and since that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in progressively senior roles at the Company, including Senior Vice President and Vice President of Business Development &amp; Strategy from 2020 to 2023 and Vice President of Strategy &amp; Operations from 2018 to 2020. Prior to joining the Company, Mr. DeLong held various leadership roles at EMD Serono, Inc., a biopharmaceutical business of Merck KGaA, Darmstadt, Germany, including most recently Head of Global Portfolio Management, Neurology and Immunology Franchise. Mr. DeLong also held research and development roles at Alkermes plc, a biopharmaceutical company. Mr. DeLong received a B.S. in chemical engineering from Pennsylvania State University and an M.B.A. from the University of Michigan.</w:t>
      </w:r>
    </w:p>
    <w:p>
      <w:pPr>
        <w:spacing w:after="0" w:line="182"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Pascal Deschatelets, Ph.D</w:t>
      </w:r>
      <w:r>
        <w:rPr>
          <w:rFonts w:ascii="Times New Roman" w:cs="Times New Roman" w:eastAsia="Times New Roman" w:hAnsi="Times New Roman"/>
          <w:sz w:val="18"/>
          <w:szCs w:val="18"/>
          <w:color w:val="auto"/>
        </w:rPr>
        <w:t>. was a co-founder and has served in various leadership roles since 2009, including Chief Scientific Officer since 2020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from 2009 to 2020. Prior to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founding the Company, Dr. Deschatelets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founded Potentia Pharmaceuticals, Inc. and served as its Chief Operating Officer, and later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founded Revon Systems, LLC. Dr. Deschatelets brings more than 25 years of research experience in surface chemistry, organic synthesis, nanobiotechnology, and bioconjugates. Dr. Deschatelets received his Ph.D. in organic chemistry from the University of Montreal and completed postdoctoral training in the laboratory of Dr. George Whitesides at Harvard University.</w:t>
      </w:r>
    </w:p>
    <w:p>
      <w:pPr>
        <w:spacing w:after="0" w:line="8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Leslie Meltzer, Ph.D. </w:t>
      </w:r>
      <w:r>
        <w:rPr>
          <w:rFonts w:ascii="Times New Roman" w:cs="Times New Roman" w:eastAsia="Times New Roman" w:hAnsi="Times New Roman"/>
          <w:sz w:val="18"/>
          <w:szCs w:val="18"/>
          <w:color w:val="auto"/>
        </w:rPr>
        <w:t>has served as Chief Research &amp; Development Officer since August 2025. Prior to joining the Company, Dr. Meltzer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Officer at Orchard Therapeutics plc, a biopharmaceutical company, from 2018 until 2025. Prior to that, Dr. Meltzer held senior roles at Keryx Biopharmaceuticals, Inc., Biogen, Inc., and Actelion Pharmaceuticals Ltd. Dr. Meltzer holds a Ph.D. in neuroscience from Stanford University and a bachelor’s degree in biology and neuroscience from Brandeis University.</w:t>
      </w:r>
    </w:p>
    <w:p>
      <w:pPr>
        <w:spacing w:after="0" w:line="6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Nur Nicholson </w:t>
      </w:r>
      <w:r>
        <w:rPr>
          <w:rFonts w:ascii="Times New Roman" w:cs="Times New Roman" w:eastAsia="Times New Roman" w:hAnsi="Times New Roman"/>
          <w:sz w:val="18"/>
          <w:szCs w:val="18"/>
          <w:color w:val="auto"/>
        </w:rPr>
        <w:t>has served as Chief Technical Operations Officer since August 2020. Prior to joining the Company, from 2016 to 2020, Ms. Nicholson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Vice President, North America Business Operations and Intelligence and Head of Global Supply Chain at Galderma S.A. and previously served as Head of Global Supply Chain for the pharmaceutical franchise at Alcon, Inc. Ms. Nicholson received a B.S. in chemistry from Middle East Technical University in Ankara, Turkey, and an Executive M.B.A. from the M.J. Neely School of Business at Texas Christian University.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 Meetings and Attendance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recognizes the importance of director attendance at board and committee meetings. Our board of directors met 13 times during 2025. During 2025,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 During 2025, the independent directors met in executive session five times to discuss various matters, including oversight of our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Attendance at Annual Meeting of Stockholders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directors are responsible for attending the annual meeting of stockholders. Each of our directors attended the 2025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 compliance committee and a nominating and corporate governance committee. Each of the audit committee, compensation committee, compliance committee and nominating and corporate governance committee operates under a charter, and each such committee reviews its respective charter at least annually. A current copy of the charter for each of the audit committee, the compensation committee, the compliance committee and the nominating and corporate governance committee is posted on the “Corporate Governance” page of the “Investors &amp; Media” section of our website, which is located at </w:t>
      </w:r>
      <w:r>
        <w:rPr>
          <w:rFonts w:ascii="Times New Roman" w:cs="Times New Roman" w:eastAsia="Times New Roman" w:hAnsi="Times New Roman"/>
          <w:sz w:val="18"/>
          <w:szCs w:val="18"/>
          <w:b w:val="1"/>
          <w:bCs w:val="1"/>
          <w:i w:val="1"/>
          <w:iCs w:val="1"/>
          <w:u w:val="single" w:color="auto"/>
          <w:color w:val="auto"/>
        </w:rPr>
        <w:t>www.apellis.com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audit committee met seven times during the fiscal year ended December 31, 2025. The members of our audit committee are Alec Machiels, A. Sinclair Dunlop, Paul Fonteyne and Craig Wheeler, and Mr. Machiels is the chair of the audit committee. Our audit committee’s responsibilities include:</w:t>
      </w:r>
    </w:p>
    <w:p>
      <w:pPr>
        <w:spacing w:after="0" w:line="5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2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audit function,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statutes, regulations and policies regarding interactions with physicians, payors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assessment and risk management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and retention of accounting related complaints and concerns;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our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information technology and cybersecurity infrastructure, personnel and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audit and non-audit services, other than de minimis non-audit services, to be provided to us by our independent registered public accounting firm must be approved in advance by our audit committee.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Mr. Machiels and Mr. Wheeler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maintain a toll-free telephone number for the reporting of concerns regarding questionable accounting, internal accounting controls, auditing, ethics and healthcare compliance matters, which is 1-844-782-0340 and a secure web form available at </w:t>
      </w:r>
      <w:r>
        <w:rPr>
          <w:rFonts w:ascii="Times New Roman" w:cs="Times New Roman" w:eastAsia="Times New Roman" w:hAnsi="Times New Roman"/>
          <w:sz w:val="18"/>
          <w:szCs w:val="18"/>
          <w:b w:val="1"/>
          <w:bCs w:val="1"/>
          <w:i w:val="1"/>
          <w:iCs w:val="1"/>
          <w:color w:val="auto"/>
        </w:rPr>
        <w:t>https://apellis.ethicspoint.com.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Our compensation committee met seven times during the fiscal year ended December 31, 2025. The members of our compensation committee are Stephanie Monaghan O’Brien, Paul Fonteyne, Alec Machiels and Keli Walbert, and Ms. O’Brien is the chair of the compensation committee. Our compensation committee’s responsibilities include:</w:t>
      </w:r>
    </w:p>
    <w:p>
      <w:pPr>
        <w:spacing w:after="0" w:line="68" w:lineRule="exact"/>
        <w:rPr>
          <w:sz w:val="20"/>
          <w:szCs w:val="20"/>
          <w:color w:val="auto"/>
        </w:rPr>
      </w:pPr>
    </w:p>
    <w:p>
      <w:pPr>
        <w:ind w:left="1020" w:right="3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with respect to, the compensation of our Chief Executive Officer and our other executive officers;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senior executives;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 and management succession planning;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w:t>
      </w:r>
    </w:p>
    <w:p>
      <w:pPr>
        <w:spacing w:after="0" w:line="225"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We believe that the composition of our compensation committee meets the requirements for independence under current Nasdaq and SEC rules and regulations.</w:t>
      </w:r>
    </w:p>
    <w:p>
      <w:pPr>
        <w:ind w:right="200"/>
        <w:spacing w:after="0" w:line="250" w:lineRule="auto"/>
        <w:rPr>
          <w:sz w:val="20"/>
          <w:szCs w:val="20"/>
          <w:color w:val="auto"/>
        </w:rPr>
      </w:pPr>
      <w:r>
        <w:rPr>
          <w:rFonts w:ascii="Times New Roman" w:cs="Times New Roman" w:eastAsia="Times New Roman" w:hAnsi="Times New Roman"/>
          <w:sz w:val="18"/>
          <w:szCs w:val="18"/>
          <w:color w:val="auto"/>
        </w:rPr>
        <w:t>Under its charter, the compensation committee may from time-to-time delegate authority to subcommittees as it deems appropriate. Pursuant to our 2017 Stock Incentive Plan, or our 2017 Plan, and 2020 Inducement Stock Incentive Plan, or our 2020 Inducement Plan, the compensation committee has delegated to our chief executive officer, chief financial officer and chief people officer the authority to</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approve grants of stock options to employees who are not executive officers, subject to an annual aggregate maximum amount of awards that can be granted pursuant to such delegated authority.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Committee</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compliance committee met four times during 2025. The members of the compliance committee are Paul Fonteyne, Alec Machiels, Stephanie O’Brien and Keli Walbert, and Mr. Fonteyne is the chair of the compliance committee. Our compliance committee’s responsibilities include:</w:t>
      </w:r>
    </w:p>
    <w:p>
      <w:pPr>
        <w:spacing w:after="0" w:line="5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implementation of our compliance program, and key company policies, including the code of conduct;</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monitoring the adequacy and effectiveness of our compliance program, considering recommendations for its improvement and providing an annual evaluation of our compliance program to the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legal and compliance risks arising from healthcare compliance matters;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compliance investigations of any executive officer with respect to matters covered by our compliance program.</w:t>
      </w:r>
    </w:p>
    <w:p>
      <w:pPr>
        <w:spacing w:after="0" w:line="3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compliance committee periodically reviews reports received through the compliance hotline, investigations and disciplinary actions with respect to compliance matters, compliance monitoring and auditing efforts, annual risk assessments, our obligations for federal, state and foreign transparency reporting, and incentive compensation of sales representatives and other field personnel.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met three times during 2025. The members of our nominating and corporate governance committee are Gerald Chan, A. Sinclair Dunlop, Stephanie Monaghan O’Brien and Keli Walbert, and Dr. Chan is the chair of the nominating and corporate governance committee. Our nominating and corporate governance committee’s responsibilities include:</w:t>
      </w:r>
    </w:p>
    <w:p>
      <w:pPr>
        <w:spacing w:after="0" w:line="68"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our board’s committees;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 and board committee structure;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with respect to accepting director resignations;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corporate governance guidelines to our board of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our board of directors.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that the composition of our nominating and corporate governance committee meets the requirements for independence under current Nasdaq and SEC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page of the “Investors &amp; Media” section of our website, which is located at </w:t>
      </w:r>
      <w:r>
        <w:rPr>
          <w:rFonts w:ascii="Times New Roman" w:cs="Times New Roman" w:eastAsia="Times New Roman" w:hAnsi="Times New Roman"/>
          <w:sz w:val="18"/>
          <w:szCs w:val="18"/>
          <w:b w:val="1"/>
          <w:bCs w:val="1"/>
          <w:i w:val="1"/>
          <w:iCs w:val="1"/>
          <w:color w:val="auto"/>
        </w:rPr>
        <w:t>www.apellis.com</w:t>
      </w:r>
      <w:r>
        <w:rPr>
          <w:rFonts w:ascii="Times New Roman" w:cs="Times New Roman" w:eastAsia="Times New Roman" w:hAnsi="Times New Roman"/>
          <w:sz w:val="18"/>
          <w:szCs w:val="18"/>
          <w:color w:val="auto"/>
        </w:rPr>
        <w:t>. If the Company makes any substantive amendments to, or grant any waivers from, the code of business conduct and ethics for any officer or director, the Company will disclose the nature of such amendment or waiver on our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the board of directors in the exercise of its duties and responsibilities and to serve the best interests of our company and our stockholders. These guidelines provide that:</w:t>
      </w:r>
    </w:p>
    <w:p>
      <w:pPr>
        <w:ind w:left="5580" w:right="4400" w:hanging="5198"/>
        <w:spacing w:after="0" w:line="511" w:lineRule="auto"/>
        <w:tabs>
          <w:tab w:leader="none" w:pos="7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responsibility of our board of directors is to oversee our management;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of directors must be independent directors, unless otherwise permitted by Nasdaq rules;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in executive session at least twice a year;</w:t>
      </w:r>
    </w:p>
    <w:p>
      <w:pPr>
        <w:spacing w:after="0" w:line="225" w:lineRule="exact"/>
        <w:rPr>
          <w:rFonts w:ascii="Times New Roman" w:cs="Times New Roman" w:eastAsia="Times New Roman" w:hAnsi="Times New Roman"/>
          <w:sz w:val="18"/>
          <w:szCs w:val="18"/>
          <w:color w:val="auto"/>
        </w:rPr>
      </w:pPr>
    </w:p>
    <w:p>
      <w:pPr>
        <w:ind w:left="760" w:right="100" w:hanging="378"/>
        <w:spacing w:after="0" w:line="312" w:lineRule="auto"/>
        <w:tabs>
          <w:tab w:leader="none" w:pos="7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have full and free access to management and, as necessary, independent advisors; and our nominating and corporate governance committee will oversee periodic self-evaluations of the board of directors to determine whether it and its committees are functioning effectively.</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A copy of the corporate governance guidelines is available on the “Corporate Governance” page of the “Investors &amp; Media” section of our website, which is located at </w:t>
      </w:r>
      <w:r>
        <w:rPr>
          <w:rFonts w:ascii="Times New Roman" w:cs="Times New Roman" w:eastAsia="Times New Roman" w:hAnsi="Times New Roman"/>
          <w:sz w:val="18"/>
          <w:szCs w:val="18"/>
          <w:b w:val="1"/>
          <w:bCs w:val="1"/>
          <w:i w:val="1"/>
          <w:iCs w:val="1"/>
          <w:color w:val="auto"/>
        </w:rPr>
        <w:t>www.apellis.com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Oversight of Risk</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that the nominating and corporate governance committee shall periodically assess the board of directors’ leadership structure, including whether the offices of chief executive officer and chair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 of our board of directors is independent within the meaning of the Nasdaq rules.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separate the roles of chief executive officer and chair of the board of directors. Our president and chief executive officer is responsible for setting the strategic direction for our company and the day-to-day leadership and performance of our company, while the chair of our board of directors presides over meetings of the board of directors, including executive sessions of the board of directors, and performs oversight responsibilities. Separating the duties of the chair of the board from the duties of the chief executive officer allows our chief executive officer to focus on our day-to-day business, while allowing the chair of the board to lead the board of directors in its fundamental role of providing advice to and independent oversight of management. Specifically, our chair of the board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believes that we have an appropriate leadership structure for us at this time which demonstrates our commitment to good corporate governance.</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those described under “Risk Factors” in our annual report on Form 10-K for the year ended December 31, 2025. Our board of directors is actively involved in oversight of risks that could affect us.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board of directors oversees our risk management processes directly and through its committees. Our management is responsible for risk management on a day-to-day basis and our board and its committees oversee the risk management activities of management. Our board of directors receives full reports from each committee chair regarding the committee’s considerations and actions and regular reports directly from officers responsible for oversight of particular risks within our company, in order to understand the company’s risk identification, risk management and risk mitigation strategies with respect to areas of potential material risk, including operations, finance, legal, regulatory, strategic, reputational and human capital risk.</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audit committee oversees risk management activities related to financial controls and our legal, financial and financial and corporate compliance risks. Our audit committee reviews information regarding our liquidity and operations and our policies with respect to risk assessment, risk management, loss prevention and regulatory compliance. Oversight by the audit committee includes direct communication with our external auditors, and discussions with management regarding significant financial and other risk exposures and risks relating to data privacy and cybersecurity and the actions management has taken to limit, monitor or control such exposures.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compensation committee oversees risk management activities relating to our compensation policies and practices. The compensation committee considers whether our compensation programs properly align pay with performance and assesses whether any of our compensation policies or programs has the potential to encourage excessive risk-taking and assesses risk with respect to human capital management. Oversight by the compensation committee includes direct communication with our compensation consultants.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compliance committee manages healthcare compliance risks by overseeing, evaluating and monitoring our healthcare compliance policies, standards, procedures, systems, and initiatives as well as our information technology systems dedicated to regulatory and commercial compliance. Oversight by the compliance committee includes direct communication with our management, including regular reports from our general counsel and chief compliance officer, regarding legal, regulatory and reputation risk exposures relating to regulatory and healthcare compliance, with input from outside counsel or other advisors as appropriate.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risk management activities relating to board composition, the independence of the board, corporate governance practices, potential conflicts of interest, ESG issues and management succession planning.</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 including with respect to cybersecurity, manufacturing and supply activities, healthcare compliance, human capital management, board and employee diversity, and environmental, social and governance topics and risks, and reviews these topics with management on a regular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16(a) of the Securities Exchange Act requires our executive officers, directors and greater than 10% stockholders to file initial reports of ownership and changes of ownership of our common stock. As a practical matter, we assist our directors and executive officers by monitoring transactions and completing and filing Section 16 forms on their behalf. Based solely on our review of the copies of such forms furnished to us or written representations that no reports were required to be filed, we believe that each of our executive officers, directors and greater than 10% beneficial owners complied with all Section 16(a) filing requirements applicable to them with respect to transactions during the 2025 fiscal year except with respect to the Form 4 for Sinclair Dunlop filed on October 15, 2025, relating to a stock transfer on June 24, 2025.</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elements of compensation awarded to, earned by or paid to each of our named executive officers in 2025. This section also provides qualitative information regarding the manner and context in which compensation is awarded to and earned by our executive officers and is intended to place in perspective the data presented in the tables and narrative that follow.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is responsible for overseeing the total compensation of our senior management team, which is comprised of our executive officers and certain other officers. In this capacity, our compensation committee reviews and approves all compensation for our Chief Executive Officer and our senior officers. This section discusses the principles underlying our strategy, philosophy, policies and decisions with respect to the compensation of our named executive officers, and material factors relevant to an analysis of our strategy, philosophy, policies and decisions. Our named executive officers for the fiscal year ended on December 31, 2025 were:</w:t>
      </w:r>
    </w:p>
    <w:p>
      <w:pPr>
        <w:spacing w:after="0" w:line="291"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Cedric Francois, President, Chief Executive Officer and Principal Executive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Sullivan, Chief Financial Officer and Principal Financial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Watson, General Counsel;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Caroline Baumal, Chief Medical Officer;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Kelley Boucher, Chief People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Program Highlights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motivate, and retain our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 officers with those of our stockholders.</w:t>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Our executive compensation program is designed to attract, motivate, and retain executive officers, who are critical to our success</w:t>
      </w:r>
      <w:r>
        <w:rPr>
          <w:rFonts w:ascii="Times New Roman" w:cs="Times New Roman" w:eastAsia="Times New Roman" w:hAnsi="Times New Roman"/>
          <w:sz w:val="18"/>
          <w:szCs w:val="18"/>
          <w:color w:val="auto"/>
        </w:rPr>
        <w:t>. Due to the nature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 we compete for executive talent with many public companies that are larger and more established than we are or that possess greater resources than we do, and with smaller private companies that may be able to offer greater equity compensation potential. Our compensation programs are structured to be competitive with the market and to reward our named executive officers for the achievement of near- and longer-term financial and strategic goals and for driving corporate financial performance and stability.</w:t>
      </w:r>
    </w:p>
    <w:p>
      <w:pPr>
        <w:spacing w:after="0" w:line="18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Our executive compensation is aligned with long-term stockholder value creation</w:t>
      </w:r>
      <w:r>
        <w:rPr>
          <w:rFonts w:ascii="Times New Roman" w:cs="Times New Roman" w:eastAsia="Times New Roman" w:hAnsi="Times New Roman"/>
          <w:sz w:val="18"/>
          <w:szCs w:val="18"/>
          <w:color w:val="auto"/>
        </w:rPr>
        <w:t>. A significant portion of our executive compensation is variable and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tied to our stock price performance or achievement of pre-set performance objectives.</w:t>
      </w:r>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Our 2025 short-term incentive program paid out above target</w:t>
      </w:r>
      <w:r>
        <w:rPr>
          <w:rFonts w:ascii="Times New Roman" w:cs="Times New Roman" w:eastAsia="Times New Roman" w:hAnsi="Times New Roman"/>
          <w:sz w:val="18"/>
          <w:szCs w:val="18"/>
          <w:color w:val="auto"/>
        </w:rPr>
        <w:t>. With the exception of our Chief Executive Officer, executive officers and employees earned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105% of their target short-term incentive opportunities, consistent with performance results that included attainment at threshold for net product revenues for EMPAVELI and SYFOVRE; positive top line results for the Phase III study of systemic pegcetacoplan for the treatment of post-transplant recurrence of C3G/ and IC-MPGN; progress of product candidates (including APL-3007) into preclinical and early clinical trials; and attainment of various corporate and operational objectives to allow for efficiency, scalability and growth.</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 2025, we granted performance stock units (PSUs) as part of our annual equity program, which made up 50% of the annual target long-term incentive opportunities and 50% of the special incentive awards we granted in 2025. </w:t>
      </w:r>
      <w:r>
        <w:rPr>
          <w:rFonts w:ascii="Times New Roman" w:cs="Times New Roman" w:eastAsia="Times New Roman" w:hAnsi="Times New Roman"/>
          <w:sz w:val="18"/>
          <w:szCs w:val="18"/>
          <w:color w:val="auto"/>
        </w:rPr>
        <w:t>To further align our compensation program with our stockholder preferences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incentivize value creation, 50% of target long-term incentive opportunities in 2025 were allocated to performance stock units (PSUs), with vesting tied to total shareholder return (TSR) performance relative to companies in the NASDAQ Biotechnology Index. The target number of PSUs could be earned if our relative TSR performance equals the 55th percentile of the Index. Payouts are capped at target if our absolute TSR is negative, regardless of relative ranking.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2025 </w:t>
      </w:r>
      <w:r>
        <w:rPr>
          <w:rFonts w:ascii="Times New Roman" w:cs="Times New Roman" w:eastAsia="Times New Roman" w:hAnsi="Times New Roman"/>
          <w:sz w:val="17"/>
          <w:szCs w:val="17"/>
          <w:b w:val="1"/>
          <w:bCs w:val="1"/>
          <w:i w:val="1"/>
          <w:iCs w:val="1"/>
          <w:color w:val="auto"/>
        </w:rPr>
        <w:t>Say-on-Pay Vote Results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our 2025 annual meeting of stockholders, we conducted a non-binding advisory vote on the compensation of our named executive officers, commonly referred to as a “say-on-pay” vote in accordance with the Dodd-Frank Wall Street Reform and Consumer Protection</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Act of 2010. Over 94.8% of the votes cast by stockholders on this proposal, excluding broker non-votes and abstaining votes, were cast in support of the compensation paid to our named executive officers.</w:t>
      </w:r>
    </w:p>
    <w:p>
      <w:pPr>
        <w:spacing w:after="0" w:line="16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While this vote is a non-binding advisory vote, our compensation committee and board of directors take the voting results into account in determining the compensation of our named executive officers. The compensation committee considers the stockholder vote as one factor in determining the appropriate level of compensation for the named executive officers. Given the strong level of support evidenced by last year’s say-on-pay vote, among other factors, our compensation committee decided to maintain our general approach to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Objectives and Philosophy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compensation program is designed to attract, motivate and retain qualified and talented executives, motivating them to achieve our business goals and rewarding them for superior short- and long-term performance. In particular, our compensation program is intended to reward the achievement of specified pre-determined quantitative and qualitative individual and corporate performance goals and objectives and to align the interests of our executive officers with those of our stockholders, with a focus on sustained long-term stockholder value creation.</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goal of our compensation committee is to ensure that our compensation program is aligned with the interests of our stockholders and our business goals and that the total compensation paid to each of our named executive officers is fair, reasonable and competitive.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Consistent with the Company’s pay-for-performance philosophy, a substantial portion of executive compensation is delivered through equity-based incentives, with realizable value directly tied to stock price performance or achievement of rigorous performance goals. As a result, actual pay outcomes may vary meaningfully from target depending on the achieved performance results, fostering an alignment with stockholder experience. The compensation committee believes this structure appropriately balances short-term and long-term performance, reinforces executive accountability and aligns management interests with those of our stockholders.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deliver the most of executive compensation through equity and performance-based pay, and set challenging incentive goals for performance-based pay. Our executives receive benefits that are consistent with those offered to the rest of our employees and we do not provide excessive perquisites or supplemental executive retirement plans. We also have policies that allow us to recover excess incentive-based compensation resulting from an accounting restatement or related to activity that causes serious financial or reputational damage. We also require our executive officers and directors to comply with robust stock ownership guidelines and restrict hedging and pledging of our equity. The Audit Committee may grant an exception where an executive officer or director wishes to pledge our securities as collateral for a loan and clearly demonstrates the financial capacity to repay the loan without resort to the pledged securities.</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designed our executive compensation program to embody a pay-for-performance philosophy that supports our business strategy and aligns the interests of our executive officers with our stockholders. We believe this link between compensation and the achievement of our near- and long-term business goals has helped drive our performance over time. At the same time, we believe our program does not encourage excessive risk-taking by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compensation program are further described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PAY </w:t>
            </w:r>
            <w:r>
              <w:rPr>
                <w:rFonts w:ascii="Times New Roman" w:cs="Times New Roman" w:eastAsia="Times New Roman" w:hAnsi="Times New Roman"/>
                <w:sz w:val="18"/>
                <w:szCs w:val="18"/>
                <w:b w:val="1"/>
                <w:bCs w:val="1"/>
                <w:color w:val="0D0D0D"/>
              </w:rPr>
              <w:t>COMPONENT</w:t>
            </w:r>
          </w:p>
        </w:tc>
        <w:tc>
          <w:tcPr>
            <w:tcW w:w="7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0D0D0D"/>
              </w:rPr>
              <w:t>KEY CHARACTERISTICS</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Fixed</w:t>
            </w: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Based Salary</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Fixed cash compensation designed to provide competitive pay in line with each executive's</w:t>
            </w:r>
          </w:p>
        </w:tc>
        <w:tc>
          <w:tcPr>
            <w:tcW w:w="0" w:type="dxa"/>
            <w:vAlign w:val="bottom"/>
          </w:tcPr>
          <w:p>
            <w:pPr>
              <w:spacing w:after="0"/>
              <w:rPr>
                <w:sz w:val="1"/>
                <w:szCs w:val="1"/>
                <w:color w:val="auto"/>
              </w:rPr>
            </w:pPr>
          </w:p>
        </w:tc>
      </w:tr>
      <w:tr>
        <w:trPr>
          <w:trHeight w:val="216"/>
        </w:trPr>
        <w:tc>
          <w:tcPr>
            <w:tcW w:w="10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7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individual experience, skills, contributions</w:t>
            </w:r>
          </w:p>
        </w:tc>
        <w:tc>
          <w:tcPr>
            <w:tcW w:w="0" w:type="dxa"/>
            <w:vAlign w:val="bottom"/>
          </w:tcPr>
          <w:p>
            <w:pPr>
              <w:spacing w:after="0"/>
              <w:rPr>
                <w:sz w:val="1"/>
                <w:szCs w:val="1"/>
                <w:color w:val="auto"/>
              </w:rPr>
            </w:pPr>
          </w:p>
        </w:tc>
      </w:tr>
      <w:tr>
        <w:trPr>
          <w:trHeight w:val="299"/>
        </w:trPr>
        <w:tc>
          <w:tcPr>
            <w:tcW w:w="1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Incentivizes executives to achieve near-term performance objectives used by our stockholders to</w:t>
            </w:r>
          </w:p>
        </w:tc>
        <w:tc>
          <w:tcPr>
            <w:tcW w:w="0" w:type="dxa"/>
            <w:vAlign w:val="bottom"/>
          </w:tcPr>
          <w:p>
            <w:pPr>
              <w:spacing w:after="0"/>
              <w:rPr>
                <w:sz w:val="1"/>
                <w:szCs w:val="1"/>
                <w:color w:val="auto"/>
              </w:rPr>
            </w:pPr>
          </w:p>
        </w:tc>
      </w:tr>
      <w:tr>
        <w:trPr>
          <w:trHeight w:val="23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Variable Pay</w:t>
            </w:r>
          </w:p>
        </w:tc>
        <w:tc>
          <w:tcPr>
            <w:tcW w:w="2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Annual Cash Incentive Plan</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assess the strength of our business.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7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Payouts are tied to pre-set quantitative performance goals related to U.S. product revenues and</w:t>
            </w:r>
          </w:p>
        </w:tc>
        <w:tc>
          <w:tcPr>
            <w:tcW w:w="0" w:type="dxa"/>
            <w:vAlign w:val="bottom"/>
          </w:tcPr>
          <w:p>
            <w:pPr>
              <w:spacing w:after="0"/>
              <w:rPr>
                <w:sz w:val="1"/>
                <w:szCs w:val="1"/>
                <w:color w:val="auto"/>
              </w:rPr>
            </w:pPr>
          </w:p>
        </w:tc>
      </w:tr>
      <w:tr>
        <w:trPr>
          <w:trHeight w:val="90"/>
        </w:trPr>
        <w:tc>
          <w:tcPr>
            <w:tcW w:w="10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7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advancements of our pipeline to support our goals of sustaining long-term growth, enhancing the</w:t>
            </w:r>
          </w:p>
        </w:tc>
        <w:tc>
          <w:tcPr>
            <w:tcW w:w="0" w:type="dxa"/>
            <w:vAlign w:val="bottom"/>
          </w:tcPr>
          <w:p>
            <w:pPr>
              <w:spacing w:after="0"/>
              <w:rPr>
                <w:sz w:val="1"/>
                <w:szCs w:val="1"/>
                <w:color w:val="auto"/>
              </w:rPr>
            </w:pPr>
          </w:p>
        </w:tc>
      </w:tr>
      <w:tr>
        <w:trPr>
          <w:trHeight w:val="234"/>
        </w:trPr>
        <w:tc>
          <w:tcPr>
            <w:tcW w:w="10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Company's competitive positioning and driving durable stockholder value</w:t>
            </w:r>
          </w:p>
        </w:tc>
        <w:tc>
          <w:tcPr>
            <w:tcW w:w="0" w:type="dxa"/>
            <w:vAlign w:val="bottom"/>
          </w:tcPr>
          <w:p>
            <w:pPr>
              <w:spacing w:after="0"/>
              <w:rPr>
                <w:sz w:val="1"/>
                <w:szCs w:val="1"/>
                <w:color w:val="auto"/>
              </w:rPr>
            </w:pPr>
          </w:p>
        </w:tc>
      </w:tr>
      <w:tr>
        <w:trPr>
          <w:trHeight w:val="3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Variable Pay</w:t>
            </w:r>
          </w:p>
        </w:tc>
        <w:tc>
          <w:tcPr>
            <w:tcW w:w="2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Performance Stock Units (PSU)</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Motivates achievement of rigorous, long-term performance objectives.</w:t>
            </w: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7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2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50% of Total LTIP</w:t>
            </w:r>
          </w:p>
        </w:tc>
        <w:tc>
          <w:tcPr>
            <w:tcW w:w="7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Relative performance measurement reinforces our pay-for-performance philosophy by aligning</w:t>
            </w:r>
          </w:p>
        </w:tc>
        <w:tc>
          <w:tcPr>
            <w:tcW w:w="0" w:type="dxa"/>
            <w:vAlign w:val="bottom"/>
          </w:tcPr>
          <w:p>
            <w:pPr>
              <w:spacing w:after="0"/>
              <w:rPr>
                <w:sz w:val="1"/>
                <w:szCs w:val="1"/>
                <w:color w:val="auto"/>
              </w:rPr>
            </w:pPr>
          </w:p>
        </w:tc>
      </w:tr>
      <w:tr>
        <w:trPr>
          <w:trHeight w:val="90"/>
        </w:trPr>
        <w:tc>
          <w:tcPr>
            <w:tcW w:w="10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7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0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compensation outcomes with delivering outperformance versus the industry</w:t>
            </w:r>
          </w:p>
        </w:tc>
        <w:tc>
          <w:tcPr>
            <w:tcW w:w="0" w:type="dxa"/>
            <w:vAlign w:val="bottom"/>
          </w:tcPr>
          <w:p>
            <w:pPr>
              <w:spacing w:after="0"/>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Variable Pay</w:t>
            </w: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Motivates creation of sustained long-term value, while supporting retention and competitiveness of</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50% of Total LTIP</w:t>
            </w: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our compensation program.</w:t>
            </w: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Compensation Consultant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0D0D0D"/>
        </w:rPr>
        <w:t xml:space="preserve">In order to align the compensation of our executive officers with stockholder interests and with market best practices, we work with an independent compensation advisor to maintain an industry-specific peer group for benchmarking pay and to base our target pay on market norms. Our compensation committee developed our compensation program and made decisions regarding our compensation program with the assistance of a compensation consultant engaged by our compensation committee. </w:t>
      </w:r>
      <w:r>
        <w:rPr>
          <w:rFonts w:ascii="Times New Roman" w:cs="Times New Roman" w:eastAsia="Times New Roman" w:hAnsi="Times New Roman"/>
          <w:sz w:val="18"/>
          <w:szCs w:val="18"/>
          <w:color w:val="000000"/>
        </w:rPr>
        <w:t>The compensation committee engages an independent compensation consultant to advise on executive</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officer and director compensation matters including, overall compensation program design, peer group development and updates, and benchmarking of executive officer and director compensation programs. As part of its services, the independent compensation consultant provides the compensation committee with publicly available compensation data from a peer group of similarly situated publicly traded companies in the biopharmaceuticals and biotechnology industries and assistance reviewing subscription survey data and reported directly to our compensation committee.</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August 2021, our compensation committee engaged Pay Governance LLC, or Pay Governance, as its independent compensation consultant, and thereafter Pay Governance has served as the independent compensation consultant to our compensation committee</w:t>
      </w:r>
      <w:r>
        <w:rPr>
          <w:rFonts w:ascii="Times New Roman" w:cs="Times New Roman" w:eastAsia="Times New Roman" w:hAnsi="Times New Roman"/>
          <w:sz w:val="18"/>
          <w:szCs w:val="18"/>
          <w:color w:val="0D0D0D"/>
        </w:rPr>
        <w:t>, including with respect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D0D0D"/>
        </w:rPr>
        <w:t>compensation program for 2025. Our compensation committee has assessed the independence of Pay Governance consistent with Nasdaq listing standards and has concluded that the engagement of this compensation consultant did not, and does not, raise any conflict of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Defining and Comparing Compensation to Market Benchmarks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late 2024 and early 2025, our compensation committee evaluated information from publicly traded companies in the biopharmaceutical and biotechnology industries and peer group data analyzed by Pay Governance, to make decisions on the compensation of our named executive officers with respect to the calendar year 2025. Due to the nature of our business, we compete for executive talent with many public companies that are larger and more established than we are or that possess greater resources than we do, and with smaller private companies that may be able to offer greater equity compensation potential. Accordingly, our compensation committee generally targeted total compensation for our executive officers at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market data. However, in making compensation decisions specific to each executive officer, our compensation committee also considered other criteria, including each executive’s experience and ability to contribute to our long-term growth, as well as corporate and individual performance, among other factors.</w:t>
      </w:r>
    </w:p>
    <w:p>
      <w:pPr>
        <w:spacing w:after="0" w:line="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0D0D0D"/>
        </w:rPr>
        <w:t>To ensure com</w:t>
      </w:r>
      <w:r>
        <w:rPr>
          <w:rFonts w:ascii="Times New Roman" w:cs="Times New Roman" w:eastAsia="Times New Roman" w:hAnsi="Times New Roman"/>
          <w:sz w:val="18"/>
          <w:szCs w:val="18"/>
          <w:color w:val="000000"/>
        </w:rPr>
        <w:t>petitiveness of our compensation program, our compensation committee, with the advice of Pay Governance, selected a peer group of</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similarly situated companies and made compensation decisions based on publicly available compensation data from the peer group and subscription survey data analyzed by Pay Governance. Our compensation committee selected the peer companies based on a balance of the following criteria:</w:t>
      </w:r>
    </w:p>
    <w:p>
      <w:pPr>
        <w:spacing w:after="0" w:line="64" w:lineRule="exact"/>
        <w:rPr>
          <w:sz w:val="20"/>
          <w:szCs w:val="20"/>
          <w:color w:val="auto"/>
        </w:rPr>
      </w:pPr>
    </w:p>
    <w:p>
      <w:pPr>
        <w:ind w:left="1020" w:right="60" w:hanging="503"/>
        <w:spacing w:after="0" w:line="26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Organizational Profile </w:t>
      </w:r>
      <w:r>
        <w:rPr>
          <w:rFonts w:ascii="Times New Roman" w:cs="Times New Roman" w:eastAsia="Times New Roman" w:hAnsi="Times New Roman"/>
          <w:sz w:val="18"/>
          <w:szCs w:val="18"/>
          <w:color w:val="auto"/>
        </w:rPr>
        <w:t>– Companies with comparable scale and operating characteristics, including headcount (generally between 350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2,100 employees), stage of development (commercial stage companies with a robust pipeline), market capitalization (generally between $1.5 billion and $10 billion), and product revenues;</w:t>
      </w:r>
    </w:p>
    <w:p>
      <w:pPr>
        <w:spacing w:after="0" w:line="62" w:lineRule="exact"/>
        <w:rPr>
          <w:rFonts w:ascii="Times New Roman" w:cs="Times New Roman" w:eastAsia="Times New Roman" w:hAnsi="Times New Roman"/>
          <w:sz w:val="18"/>
          <w:szCs w:val="18"/>
          <w:color w:val="auto"/>
        </w:rPr>
      </w:pPr>
    </w:p>
    <w:p>
      <w:pPr>
        <w:ind w:left="1020" w:right="22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Talent Market </w:t>
      </w:r>
      <w:r>
        <w:rPr>
          <w:rFonts w:ascii="Times New Roman" w:cs="Times New Roman" w:eastAsia="Times New Roman" w:hAnsi="Times New Roman"/>
          <w:sz w:val="18"/>
          <w:szCs w:val="18"/>
          <w:color w:val="auto"/>
        </w:rPr>
        <w:t>– Companies with executive roles and leadership structures comparable to ours and with which we compete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talent;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Geographic Scope </w:t>
      </w:r>
      <w:r>
        <w:rPr>
          <w:rFonts w:ascii="Times New Roman" w:cs="Times New Roman" w:eastAsia="Times New Roman" w:hAnsi="Times New Roman"/>
          <w:sz w:val="18"/>
          <w:szCs w:val="18"/>
          <w:color w:val="auto"/>
        </w:rPr>
        <w:t>– U.S.-listed biotechnology and pharmaceutical companies with global operations.</w:t>
      </w:r>
    </w:p>
    <w:p>
      <w:pPr>
        <w:spacing w:after="0" w:line="3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these criteria, our peer group for 2025, as approved by our compensation committee in September 2024, with the advice of Pay Governance, was comprised of the following 14 companies: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ACADIA Pharmaceuticals</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Blueprint Medicines Corporation</w:t>
            </w:r>
          </w:p>
        </w:tc>
        <w:tc>
          <w:tcPr>
            <w:tcW w:w="2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Madrigal Pharmaceuticals, Inc.</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Alkermes plc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Corcept Therapeutics Incorporated</w:t>
            </w:r>
          </w:p>
        </w:tc>
        <w:tc>
          <w:tcPr>
            <w:tcW w:w="2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Neurocrine Biosciences</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Amicus Therapeutics, Inc.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Insmed Incorporated</w:t>
            </w:r>
          </w:p>
        </w:tc>
        <w:tc>
          <w:tcPr>
            <w:tcW w:w="2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PTC Therapeutics</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Axsome Therapeutics, Inc.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Intra-Cellular Therapies, Inc.</w:t>
            </w:r>
          </w:p>
        </w:tc>
        <w:tc>
          <w:tcPr>
            <w:tcW w:w="2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Ultragenyx Pharmaceuticals</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Biocryst Pharmaceuticals, Inc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Ionis Pharmaceuticals</w:t>
            </w:r>
          </w:p>
        </w:tc>
        <w:tc>
          <w:tcPr>
            <w:tcW w:w="2880" w:type="dxa"/>
            <w:vAlign w:val="bottom"/>
          </w:tcPr>
          <w:p>
            <w:pPr>
              <w:spacing w:after="0"/>
              <w:rPr>
                <w:sz w:val="20"/>
                <w:szCs w:val="20"/>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2025 peer group represented a group of biopharmaceutical companies more similar to us in key measures than the list we used in 2024, in light of our collaborations and the advancement of our development pipeline, focusing on companies that were similar to us in terms of market capitalization, business results and product development. Specifically, Exelixis, Inc, Sarepta Therapeutics and United Therapeutics were removed from the 2024 peer group, and Axsome Therapeutics, Inc. Biocryst Pharmaceuticals, Inc. and Madrigal Pharmaceuticals, Inc. were added to the 2025 peer group.</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Compensation Review</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0D0D0D"/>
        </w:rPr>
        <w:t>Based on recommendations from management and the board of directors, and with the advice from the independent compensation consultant, the compensation committee reviews and approves the annual compensation of our executive officers, determines bonus and equity awards and establishes performance objectives during the first quarter of the year. For executive officers other than the Chief Executive Officer, the Chief Executive Officer makes recommendations for the annual compensation of such executive officers based on market data and the performance of the individual, and the compensation committee reviews and approves the compensation of such executive officers. In the case of the Chief Executive Officer, the compensation committee evaluates his performance and makes a recommendation to the board of directors, which reviews and approves the compensation of the Chief Executive Officer. For all executive officers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 officers in various hypothetical scenarios, executive stock ownership information, company stock performance data, analyses of historical executive compensation levels and current Company and industry-wide compensation levels and recommendations of the independent compensation consultant, including analyses of executive compensation paid at other companies identified by the independent compensation consultant. The compensation committee may also consider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w:t>
      </w:r>
    </w:p>
    <w:p>
      <w:pPr>
        <w:spacing w:after="0" w:line="19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0D0D0D"/>
        </w:rPr>
        <w:t>In making its decisions, the compensation committee may review and consider, as appropriate, materials such as financial reports and projections, operational data, tax and accounting information, tally sheets that set forth the total compensation that may become payable to executive officers in various hypothetical scenarios, executive stock ownership, company stock performance data, analyses of historical executive compensation levels and current Company- and industry-wide, as well as peer group compensation levels and recommendations of the independent compensation consultant.</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0D0D0D"/>
        </w:rPr>
        <w:t>Set forth below is a summary of the roles and responsibilities of the key participants that were involved in making compensation decisions for our executive officers in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0D0D0D"/>
              </w:rPr>
              <w:t>Roles and Responsibilities</w:t>
            </w:r>
          </w:p>
        </w:tc>
        <w:tc>
          <w:tcPr>
            <w:tcW w:w="7860" w:type="dxa"/>
            <w:vAlign w:val="bottom"/>
          </w:tcPr>
          <w:p>
            <w:pPr>
              <w:spacing w:after="0"/>
              <w:rPr>
                <w:sz w:val="20"/>
                <w:szCs w:val="20"/>
                <w:color w:val="auto"/>
              </w:rPr>
            </w:pPr>
          </w:p>
        </w:tc>
      </w:tr>
      <w:tr>
        <w:trPr>
          <w:trHeight w:val="41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0D0D0D"/>
              </w:rPr>
              <w:t>Responsible Party</w:t>
            </w:r>
          </w:p>
        </w:tc>
        <w:tc>
          <w:tcPr>
            <w:tcW w:w="7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Primary </w:t>
            </w:r>
            <w:r>
              <w:rPr>
                <w:rFonts w:ascii="Times New Roman" w:cs="Times New Roman" w:eastAsia="Times New Roman" w:hAnsi="Times New Roman"/>
                <w:sz w:val="18"/>
                <w:szCs w:val="18"/>
                <w:b w:val="1"/>
                <w:bCs w:val="1"/>
                <w:color w:val="0D0D0D"/>
              </w:rPr>
              <w:t>Roles and Responsibilities Relating to Compensation Decisions</w:t>
            </w:r>
          </w:p>
        </w:tc>
      </w:tr>
      <w:tr>
        <w:trPr>
          <w:trHeight w:val="191"/>
        </w:trPr>
        <w:tc>
          <w:tcPr>
            <w:tcW w:w="33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0D0D0D"/>
              </w:rPr>
              <w:t>Compensation Committee</w:t>
            </w:r>
          </w:p>
        </w:tc>
        <w:tc>
          <w:tcPr>
            <w:tcW w:w="78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0D0D0D"/>
              </w:rPr>
              <w:t>•  Oversees the design and administration of the executive compensation program;</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0D0D0D"/>
              </w:rPr>
              <w:t>Comprised solely of independent directors,</w:t>
            </w: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Approves compensation of the named executive officers, except for the Chief Executive Officer;</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0D0D0D"/>
              </w:rPr>
              <w:t>reports to the full Board of Directors</w:t>
            </w: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Approves performance metrics, goals and structure of the Company’s short- and long-term incentive</w:t>
            </w:r>
          </w:p>
        </w:tc>
      </w:tr>
      <w:tr>
        <w:trPr>
          <w:trHeight w:val="216"/>
        </w:trPr>
        <w:tc>
          <w:tcPr>
            <w:tcW w:w="3380" w:type="dxa"/>
            <w:vAlign w:val="bottom"/>
          </w:tcPr>
          <w:p>
            <w:pPr>
              <w:spacing w:after="0"/>
              <w:rPr>
                <w:sz w:val="18"/>
                <w:szCs w:val="18"/>
                <w:color w:val="auto"/>
              </w:rPr>
            </w:pPr>
          </w:p>
        </w:tc>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0D0D0D"/>
              </w:rPr>
              <w:t>plans;</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Establishes annual corporate performance goals for the Chief Executive Officer;</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Recommends compensation of NEOs and approves compensation for NEOs (except the Chief</w:t>
            </w:r>
          </w:p>
        </w:tc>
      </w:tr>
      <w:tr>
        <w:trPr>
          <w:trHeight w:val="216"/>
        </w:trPr>
        <w:tc>
          <w:tcPr>
            <w:tcW w:w="3380" w:type="dxa"/>
            <w:vAlign w:val="bottom"/>
          </w:tcPr>
          <w:p>
            <w:pPr>
              <w:spacing w:after="0"/>
              <w:rPr>
                <w:sz w:val="18"/>
                <w:szCs w:val="18"/>
                <w:color w:val="auto"/>
              </w:rPr>
            </w:pPr>
          </w:p>
        </w:tc>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0D0D0D"/>
              </w:rPr>
              <w:t>Executive Officer);</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Evaluates the Chief Executive Officer’s performance against pre-set goals and objectives;</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Conducts annual review of equity-based compensation awards;</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Reviews and approves the Company’s executive compensation peer group;</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Reviews risks associated with the Company’s compensation policies and practices; and</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Oversees compliance with applicable regulatory requirements and governance best practices related to</w:t>
            </w:r>
          </w:p>
        </w:tc>
      </w:tr>
      <w:tr>
        <w:trPr>
          <w:trHeight w:val="234"/>
        </w:trPr>
        <w:tc>
          <w:tcPr>
            <w:tcW w:w="338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0D0D0D"/>
              </w:rPr>
              <w:t>executive compensation.</w:t>
            </w:r>
          </w:p>
        </w:tc>
      </w:tr>
      <w:tr>
        <w:trPr>
          <w:trHeight w:val="191"/>
        </w:trPr>
        <w:tc>
          <w:tcPr>
            <w:tcW w:w="33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0D0D0D"/>
              </w:rPr>
              <w:t>Board of Directors</w:t>
            </w:r>
          </w:p>
        </w:tc>
        <w:tc>
          <w:tcPr>
            <w:tcW w:w="78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0D0D0D"/>
              </w:rPr>
              <w:t>•  Approves the compensation of the Chief Executive Officer; and</w:t>
            </w:r>
          </w:p>
        </w:tc>
      </w:tr>
      <w:tr>
        <w:trPr>
          <w:trHeight w:val="234"/>
        </w:trPr>
        <w:tc>
          <w:tcPr>
            <w:tcW w:w="338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0D0D0D"/>
              </w:rPr>
              <w:t>•  Reviews the compensation committee’s evaluation of the Chief Executive Officer’s performance.</w:t>
            </w:r>
          </w:p>
        </w:tc>
      </w:tr>
      <w:tr>
        <w:trPr>
          <w:trHeight w:val="191"/>
        </w:trPr>
        <w:tc>
          <w:tcPr>
            <w:tcW w:w="33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0D0D0D"/>
              </w:rPr>
              <w:t>Independent Compensation Consultant</w:t>
            </w:r>
          </w:p>
        </w:tc>
        <w:tc>
          <w:tcPr>
            <w:tcW w:w="78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0D0D0D"/>
              </w:rPr>
              <w:t>•  Provides independent advice regarding the design and competitiveness of the Company’s executive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0D0D0D"/>
              </w:rPr>
              <w:t>(Pay Governance)</w:t>
            </w:r>
          </w:p>
        </w:tc>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0D0D0D"/>
              </w:rPr>
              <w:t>compensation program;</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Provides advice on the selection and composition of the Company’s peer group;</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Prepares market data and peer group benchmarking analyses;</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Supports the Company’s annual compensation program risk analysis;</w:t>
            </w:r>
          </w:p>
        </w:tc>
      </w:tr>
      <w:tr>
        <w:trPr>
          <w:trHeight w:val="216"/>
        </w:trPr>
        <w:tc>
          <w:tcPr>
            <w:tcW w:w="3380" w:type="dxa"/>
            <w:vAlign w:val="bottom"/>
          </w:tcPr>
          <w:p>
            <w:pPr>
              <w:spacing w:after="0"/>
              <w:rPr>
                <w:sz w:val="18"/>
                <w:szCs w:val="18"/>
                <w:color w:val="auto"/>
              </w:rPr>
            </w:pPr>
          </w:p>
        </w:tc>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0D0D0D"/>
              </w:rPr>
              <w:t>•  Provides expert knowledge on compensation trends, regulatory developments, and governance best</w:t>
            </w:r>
          </w:p>
        </w:tc>
      </w:tr>
      <w:tr>
        <w:trPr>
          <w:trHeight w:val="216"/>
        </w:trPr>
        <w:tc>
          <w:tcPr>
            <w:tcW w:w="3380" w:type="dxa"/>
            <w:vAlign w:val="bottom"/>
          </w:tcPr>
          <w:p>
            <w:pPr>
              <w:spacing w:after="0"/>
              <w:rPr>
                <w:sz w:val="18"/>
                <w:szCs w:val="18"/>
                <w:color w:val="auto"/>
              </w:rPr>
            </w:pPr>
          </w:p>
        </w:tc>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0D0D0D"/>
              </w:rPr>
              <w:t>practices;</w:t>
            </w:r>
          </w:p>
        </w:tc>
      </w:tr>
      <w:tr>
        <w:trPr>
          <w:trHeight w:val="234"/>
        </w:trPr>
        <w:tc>
          <w:tcPr>
            <w:tcW w:w="338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0D0D0D"/>
              </w:rPr>
              <w:t>•  Provides input on compensation levels and program design for the named executive officers; and</w:t>
            </w:r>
          </w:p>
        </w:tc>
      </w:tr>
      <w:tr>
        <w:trPr>
          <w:trHeight w:val="228"/>
        </w:trPr>
        <w:tc>
          <w:tcPr>
            <w:tcW w:w="338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12</w:t>
            </w:r>
          </w:p>
        </w:tc>
      </w:tr>
      <w:tr>
        <w:trPr>
          <w:trHeight w:val="745"/>
        </w:trPr>
        <w:tc>
          <w:tcPr>
            <w:tcW w:w="338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500" w:type="dxa"/>
            <w:vAlign w:val="bottom"/>
          </w:tcPr>
          <w:p>
            <w:pPr>
              <w:ind w:left="920"/>
              <w:spacing w:after="0"/>
              <w:rPr>
                <w:sz w:val="20"/>
                <w:szCs w:val="20"/>
                <w:color w:val="auto"/>
              </w:rPr>
            </w:pPr>
            <w:r>
              <w:rPr>
                <w:rFonts w:ascii="Times New Roman" w:cs="Times New Roman" w:eastAsia="Times New Roman" w:hAnsi="Times New Roman"/>
                <w:sz w:val="18"/>
                <w:szCs w:val="18"/>
                <w:color w:val="0D0D0D"/>
              </w:rPr>
              <w:t>•  Regularly attends the compensation committee meetings and participates in executive sessions, as</w:t>
            </w:r>
          </w:p>
        </w:tc>
      </w:tr>
      <w:tr>
        <w:trPr>
          <w:trHeight w:val="234"/>
        </w:trPr>
        <w:tc>
          <w:tcPr>
            <w:tcW w:w="274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0D0D0D"/>
              </w:rPr>
              <w:t>requested.</w:t>
            </w:r>
          </w:p>
        </w:tc>
      </w:tr>
      <w:tr>
        <w:trPr>
          <w:trHeight w:val="191"/>
        </w:trPr>
        <w:tc>
          <w:tcPr>
            <w:tcW w:w="27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0D0D0D"/>
              </w:rPr>
              <w:t>Chief Executive Officer</w:t>
            </w:r>
          </w:p>
        </w:tc>
        <w:tc>
          <w:tcPr>
            <w:tcW w:w="8500" w:type="dxa"/>
            <w:vAlign w:val="bottom"/>
          </w:tcPr>
          <w:p>
            <w:pPr>
              <w:ind w:left="920"/>
              <w:spacing w:after="0" w:line="191" w:lineRule="exact"/>
              <w:rPr>
                <w:sz w:val="20"/>
                <w:szCs w:val="20"/>
                <w:color w:val="auto"/>
              </w:rPr>
            </w:pPr>
            <w:r>
              <w:rPr>
                <w:rFonts w:ascii="Times New Roman" w:cs="Times New Roman" w:eastAsia="Times New Roman" w:hAnsi="Times New Roman"/>
                <w:sz w:val="18"/>
                <w:szCs w:val="18"/>
                <w:color w:val="0D0D0D"/>
              </w:rPr>
              <w:t>•  Provides recommendations to the compensation committee regarding compensation for the</w:t>
            </w:r>
          </w:p>
        </w:tc>
      </w:tr>
      <w:tr>
        <w:trPr>
          <w:trHeight w:val="216"/>
        </w:trPr>
        <w:tc>
          <w:tcPr>
            <w:tcW w:w="2740" w:type="dxa"/>
            <w:vAlign w:val="bottom"/>
          </w:tcPr>
          <w:p>
            <w:pPr>
              <w:spacing w:after="0"/>
              <w:rPr>
                <w:sz w:val="18"/>
                <w:szCs w:val="18"/>
                <w:color w:val="auto"/>
              </w:rPr>
            </w:pPr>
          </w:p>
        </w:tc>
        <w:tc>
          <w:tcPr>
            <w:tcW w:w="8500" w:type="dxa"/>
            <w:vAlign w:val="bottom"/>
          </w:tcPr>
          <w:p>
            <w:pPr>
              <w:ind w:left="1100"/>
              <w:spacing w:after="0"/>
              <w:rPr>
                <w:sz w:val="20"/>
                <w:szCs w:val="20"/>
                <w:color w:val="auto"/>
              </w:rPr>
            </w:pPr>
            <w:r>
              <w:rPr>
                <w:rFonts w:ascii="Times New Roman" w:cs="Times New Roman" w:eastAsia="Times New Roman" w:hAnsi="Times New Roman"/>
                <w:sz w:val="18"/>
                <w:szCs w:val="18"/>
                <w:color w:val="0D0D0D"/>
              </w:rPr>
              <w:t>Company’s other named executive officers, including annual performance goals and objectives; and</w:t>
            </w:r>
          </w:p>
        </w:tc>
      </w:tr>
      <w:tr>
        <w:trPr>
          <w:trHeight w:val="216"/>
        </w:trPr>
        <w:tc>
          <w:tcPr>
            <w:tcW w:w="2740" w:type="dxa"/>
            <w:vAlign w:val="bottom"/>
          </w:tcPr>
          <w:p>
            <w:pPr>
              <w:spacing w:after="0"/>
              <w:rPr>
                <w:sz w:val="18"/>
                <w:szCs w:val="18"/>
                <w:color w:val="auto"/>
              </w:rPr>
            </w:pPr>
          </w:p>
        </w:tc>
        <w:tc>
          <w:tcPr>
            <w:tcW w:w="8500" w:type="dxa"/>
            <w:vAlign w:val="bottom"/>
          </w:tcPr>
          <w:p>
            <w:pPr>
              <w:ind w:left="920"/>
              <w:spacing w:after="0"/>
              <w:rPr>
                <w:sz w:val="20"/>
                <w:szCs w:val="20"/>
                <w:color w:val="auto"/>
              </w:rPr>
            </w:pPr>
            <w:r>
              <w:rPr>
                <w:rFonts w:ascii="Times New Roman" w:cs="Times New Roman" w:eastAsia="Times New Roman" w:hAnsi="Times New Roman"/>
                <w:sz w:val="18"/>
                <w:szCs w:val="18"/>
                <w:color w:val="0D0D0D"/>
              </w:rPr>
              <w:t>•  Evaluates the performance of the Company’s other named executive officers and presents such</w:t>
            </w:r>
          </w:p>
        </w:tc>
      </w:tr>
      <w:tr>
        <w:trPr>
          <w:trHeight w:val="234"/>
        </w:trPr>
        <w:tc>
          <w:tcPr>
            <w:tcW w:w="274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0D0D0D"/>
              </w:rPr>
              <w:t>evaluations to the compensation committee.</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D0D0D"/>
        </w:rPr>
        <w:t>Base Salary</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0D0D0D"/>
        </w:rPr>
        <w:t>Base salaries for our executive officers are intended to be competitive with those received by other individuals in similar positions at the companies with which we compete for talent. Base salaries are originally established and negotiated during the hiring process based on individual experience, skills, expected contributions and relevant market benchmarks.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0D0D0D"/>
        </w:rPr>
        <w:t>The base salaries of our executive officers are reviewed annually and may be adjusted to reflect market benchmarks, our executives’ performance during the prior year, our financial position and any changes in the scope of the officer’s responsibilities. None of our named executive officers is currently party to an employment agreement or other agreement or arrangement that provides for automatic or scheduled increases in base salary. Any changes in base salary made as part of the annual review are typically made effective in January or February of each year.</w:t>
      </w:r>
    </w:p>
    <w:p>
      <w:pPr>
        <w:spacing w:after="0" w:line="1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0D0D0D"/>
        </w:rPr>
        <w:t>In January 2025, our compensation committee approved base salary adjustments for each of our executive officers serving at that time, based on market benchmarks, individual performance and professional growth potential, as well as survey data for comparable roles. The table below sets forth the base salaries for each of our named executive officers in 2024 and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3"/>
                <w:szCs w:val="13"/>
                <w:color w:val="auto"/>
              </w:rPr>
            </w:pPr>
          </w:p>
        </w:tc>
        <w:tc>
          <w:tcPr>
            <w:tcW w:w="13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 Salary</w:t>
            </w:r>
          </w:p>
        </w:tc>
        <w:tc>
          <w:tcPr>
            <w:tcW w:w="220" w:type="dxa"/>
            <w:vAlign w:val="bottom"/>
          </w:tcPr>
          <w:p>
            <w:pPr>
              <w:spacing w:after="0"/>
              <w:rPr>
                <w:sz w:val="13"/>
                <w:szCs w:val="13"/>
                <w:color w:val="auto"/>
              </w:rPr>
            </w:pP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 Salary</w:t>
            </w:r>
          </w:p>
        </w:tc>
        <w:tc>
          <w:tcPr>
            <w:tcW w:w="200" w:type="dxa"/>
            <w:vAlign w:val="bottom"/>
          </w:tcPr>
          <w:p>
            <w:pPr>
              <w:spacing w:after="0"/>
              <w:rPr>
                <w:sz w:val="13"/>
                <w:szCs w:val="13"/>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6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Tim Sullivan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632,220</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Kelley Boucher (1)</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2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80" w:right="200" w:hanging="372"/>
        <w:spacing w:after="0" w:line="282" w:lineRule="auto"/>
        <w:tabs>
          <w:tab w:leader="none" w:pos="380" w:val="left"/>
        </w:tabs>
        <w:numPr>
          <w:ilvl w:val="0"/>
          <w:numId w:val="13"/>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Kelley Boucher joined us as Chief People Officer on May 27, 2025. She was part-time until September 2025 when she transitioned to full-time. Her base salary above is provided on an annualized basis.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Program</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0D0D0D"/>
        </w:rPr>
        <w:t>Our executive officers are eligible to earn annual cash incentives under our annual cash incentive program, which is designed to reward near-term performance results that support our ability to deliver long-term stockholder value growth. At the beginning of each year, the compensation committee sets target incentive opportunities expressed as a percentage of base salary, based on each executive’s role and responsibilities, informed primarily by peer group data prepared and reviewed with the assistance of the independent compensation consultant, and recommends the target incentive opportunities for the chief executive officer which are reviewed by the Board of Directors. The table below shows each named executive officer’s 2025 target annual incentive compensation opportunity in comparison to the prior year.</w:t>
      </w:r>
    </w:p>
    <w:tbl>
      <w:tblPr>
        <w:tblLayout w:type="fixed"/>
        <w:tblInd w:w="0" w:type="dxa"/>
        <w:tblCellMar>
          <w:top w:w="0" w:type="dxa"/>
          <w:left w:w="0" w:type="dxa"/>
          <w:bottom w:w="0" w:type="dxa"/>
          <w:right w:w="0" w:type="dxa"/>
        </w:tblCellMar>
      </w:tblPr>
      <w:tr>
        <w:trPr>
          <w:trHeight w:val="134"/>
        </w:trPr>
        <w:tc>
          <w:tcPr>
            <w:tcW w:w="3640" w:type="dxa"/>
            <w:vAlign w:val="bottom"/>
          </w:tcPr>
          <w:p>
            <w:pPr>
              <w:spacing w:after="0"/>
              <w:rPr>
                <w:sz w:val="11"/>
                <w:szCs w:val="11"/>
                <w:color w:val="auto"/>
              </w:rPr>
            </w:pPr>
          </w:p>
        </w:tc>
        <w:tc>
          <w:tcPr>
            <w:tcW w:w="3780" w:type="dxa"/>
            <w:vAlign w:val="bottom"/>
            <w:gridSpan w:val="2"/>
          </w:tcPr>
          <w:p>
            <w:pPr>
              <w:jc w:val="center"/>
              <w:ind w:left="1717"/>
              <w:spacing w:after="0" w:line="134" w:lineRule="exact"/>
              <w:rPr>
                <w:sz w:val="20"/>
                <w:szCs w:val="20"/>
                <w:color w:val="auto"/>
              </w:rPr>
            </w:pPr>
            <w:r>
              <w:rPr>
                <w:rFonts w:ascii="Times New Roman" w:cs="Times New Roman" w:eastAsia="Times New Roman" w:hAnsi="Times New Roman"/>
                <w:sz w:val="14"/>
                <w:szCs w:val="14"/>
                <w:b w:val="1"/>
                <w:bCs w:val="1"/>
                <w:color w:val="auto"/>
              </w:rPr>
              <w:t>2024 Annual Incentive</w:t>
            </w:r>
          </w:p>
        </w:tc>
        <w:tc>
          <w:tcPr>
            <w:tcW w:w="17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2025 Annual Incentive</w:t>
            </w:r>
          </w:p>
        </w:tc>
        <w:tc>
          <w:tcPr>
            <w:tcW w:w="2060" w:type="dxa"/>
            <w:vAlign w:val="bottom"/>
            <w:gridSpan w:val="2"/>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780" w:type="dxa"/>
            <w:vAlign w:val="bottom"/>
            <w:gridSpan w:val="2"/>
          </w:tcPr>
          <w:p>
            <w:pPr>
              <w:jc w:val="center"/>
              <w:ind w:left="1737"/>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2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3600" w:type="dxa"/>
            <w:vAlign w:val="bottom"/>
            <w:tcBorders>
              <w:bottom w:val="single" w:sz="8" w:color="auto"/>
            </w:tcBorders>
          </w:tcPr>
          <w:p>
            <w:pPr>
              <w:jc w:val="center"/>
              <w:ind w:left="1917"/>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8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60" w:type="dxa"/>
            <w:vAlign w:val="bottom"/>
          </w:tcPr>
          <w:p>
            <w:pPr>
              <w:spacing w:after="0"/>
              <w:rPr>
                <w:sz w:val="15"/>
                <w:szCs w:val="15"/>
                <w:color w:val="auto"/>
              </w:rPr>
            </w:pPr>
          </w:p>
        </w:tc>
        <w:tc>
          <w:tcPr>
            <w:tcW w:w="18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3780" w:type="dxa"/>
            <w:vAlign w:val="bottom"/>
            <w:gridSpan w:val="2"/>
            <w:shd w:val="clear" w:color="auto" w:fill="CFF0FC"/>
          </w:tcPr>
          <w:p>
            <w:pPr>
              <w:ind w:left="3420"/>
              <w:spacing w:after="0"/>
              <w:rPr>
                <w:sz w:val="20"/>
                <w:szCs w:val="20"/>
                <w:color w:val="auto"/>
              </w:rPr>
            </w:pPr>
            <w:r>
              <w:rPr>
                <w:rFonts w:ascii="Times New Roman" w:cs="Times New Roman" w:eastAsia="Times New Roman" w:hAnsi="Times New Roman"/>
                <w:sz w:val="18"/>
                <w:szCs w:val="18"/>
                <w:color w:val="auto"/>
              </w:rPr>
              <w:t>80%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378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50%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3780" w:type="dxa"/>
            <w:vAlign w:val="bottom"/>
            <w:gridSpan w:val="2"/>
            <w:shd w:val="clear" w:color="auto" w:fill="CFF0FC"/>
          </w:tcPr>
          <w:p>
            <w:pPr>
              <w:ind w:left="3420"/>
              <w:spacing w:after="0"/>
              <w:rPr>
                <w:sz w:val="20"/>
                <w:szCs w:val="20"/>
                <w:color w:val="auto"/>
              </w:rPr>
            </w:pPr>
            <w:r>
              <w:rPr>
                <w:rFonts w:ascii="Times New Roman" w:cs="Times New Roman" w:eastAsia="Times New Roman" w:hAnsi="Times New Roman"/>
                <w:sz w:val="18"/>
                <w:szCs w:val="18"/>
                <w:color w:val="auto"/>
              </w:rPr>
              <w:t>45%</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378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50%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Kelley Boucher (1)</w:t>
            </w:r>
          </w:p>
        </w:tc>
        <w:tc>
          <w:tcPr>
            <w:tcW w:w="3780" w:type="dxa"/>
            <w:vAlign w:val="bottom"/>
            <w:gridSpan w:val="2"/>
            <w:shd w:val="clear" w:color="auto" w:fill="CFF0FC"/>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0D0D0D"/>
        </w:rPr>
        <w:t>(1)</w:t>
        <w:tab/>
        <w:t>Kelley Boucher joined us as Chief People Officer on May 27, 2025.</w:t>
      </w:r>
    </w:p>
    <w:p>
      <w:pPr>
        <w:spacing w:after="0" w:line="158"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0D0D0D"/>
        </w:rPr>
        <w:t>Under our 2025 annual cash incentive program, cash incentive awards were determined by multiplying the target cash incentive award for each executive officer by a corporate performance factor established by our compensation committee based on our performance as measured against our corporate goals, which cover our clinical and pipeline development, products commercialization and operational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0D0D0D"/>
        </w:rPr>
        <w:t>effectiveness. The compensation committee and the Board of Directors retain discretion to consider individual performance as a factor for bonus compensation for executives.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160" w:type="dxa"/>
            <w:vAlign w:val="bottom"/>
            <w:tcBorders>
              <w:top w:val="single" w:sz="8" w:color="auto"/>
              <w:left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b w:val="1"/>
                <w:bCs w:val="1"/>
                <w:color w:val="auto"/>
              </w:rPr>
              <w:t>Metric and Weighting</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820" w:type="dxa"/>
            <w:vAlign w:val="bottom"/>
            <w:tcBorders>
              <w:top w:val="single" w:sz="8" w:color="auto"/>
              <w:left w:val="single" w:sz="8" w:color="auto"/>
              <w:right w:val="single" w:sz="8" w:color="auto"/>
            </w:tcBorders>
          </w:tcPr>
          <w:p>
            <w:pPr>
              <w:ind w:left="2060"/>
              <w:spacing w:after="0"/>
              <w:rPr>
                <w:sz w:val="20"/>
                <w:szCs w:val="20"/>
                <w:color w:val="auto"/>
              </w:rPr>
            </w:pPr>
            <w:r>
              <w:rPr>
                <w:rFonts w:ascii="Times New Roman" w:cs="Times New Roman" w:eastAsia="Times New Roman" w:hAnsi="Times New Roman"/>
                <w:sz w:val="16"/>
                <w:szCs w:val="16"/>
                <w:b w:val="1"/>
                <w:bCs w:val="1"/>
                <w:color w:val="auto"/>
              </w:rPr>
              <w:t>Objective</w:t>
            </w:r>
          </w:p>
        </w:tc>
        <w:tc>
          <w:tcPr>
            <w:tcW w:w="3240" w:type="dxa"/>
            <w:vAlign w:val="bottom"/>
            <w:tcBorders>
              <w:top w:val="single" w:sz="8" w:color="auto"/>
              <w:bottom w:val="single" w:sz="8" w:color="auto"/>
              <w:right w:val="single" w:sz="8" w:color="auto"/>
            </w:tcBorders>
            <w:gridSpan w:val="4"/>
          </w:tcPr>
          <w:p>
            <w:pPr>
              <w:ind w:left="980"/>
              <w:spacing w:after="0"/>
              <w:rPr>
                <w:sz w:val="20"/>
                <w:szCs w:val="20"/>
                <w:color w:val="auto"/>
              </w:rPr>
            </w:pPr>
            <w:r>
              <w:rPr>
                <w:rFonts w:ascii="Times New Roman" w:cs="Times New Roman" w:eastAsia="Times New Roman" w:hAnsi="Times New Roman"/>
                <w:sz w:val="16"/>
                <w:szCs w:val="16"/>
                <w:b w:val="1"/>
                <w:bCs w:val="1"/>
                <w:color w:val="auto"/>
              </w:rPr>
              <w:t>Attainment Level</w:t>
            </w:r>
          </w:p>
        </w:tc>
        <w:tc>
          <w:tcPr>
            <w:tcW w:w="0" w:type="dxa"/>
            <w:vAlign w:val="bottom"/>
          </w:tcPr>
          <w:p>
            <w:pPr>
              <w:spacing w:after="0"/>
              <w:rPr>
                <w:sz w:val="1"/>
                <w:szCs w:val="1"/>
                <w:color w:val="auto"/>
              </w:rPr>
            </w:pPr>
          </w:p>
        </w:tc>
      </w:tr>
      <w:tr>
        <w:trPr>
          <w:trHeight w:val="213"/>
        </w:trPr>
        <w:tc>
          <w:tcPr>
            <w:tcW w:w="1480" w:type="dxa"/>
            <w:vAlign w:val="bottom"/>
            <w:tcBorders>
              <w:left w:val="single" w:sz="8" w:color="auto"/>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48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Partially Achieved</w:t>
            </w:r>
          </w:p>
        </w:tc>
        <w:tc>
          <w:tcPr>
            <w:tcW w:w="20" w:type="dxa"/>
            <w:vAlign w:val="bottom"/>
            <w:tcBorders>
              <w:bottom w:val="single" w:sz="8" w:color="auto"/>
            </w:tcBorders>
            <w:shd w:val="clear" w:color="auto" w:fill="000000"/>
          </w:tcPr>
          <w:p>
            <w:pPr>
              <w:spacing w:after="0"/>
              <w:rPr>
                <w:sz w:val="18"/>
                <w:szCs w:val="18"/>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Achieved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Exceeded</w:t>
            </w:r>
          </w:p>
        </w:tc>
        <w:tc>
          <w:tcPr>
            <w:tcW w:w="0" w:type="dxa"/>
            <w:vAlign w:val="bottom"/>
          </w:tcPr>
          <w:p>
            <w:pPr>
              <w:spacing w:after="0"/>
              <w:rPr>
                <w:sz w:val="1"/>
                <w:szCs w:val="1"/>
                <w:color w:val="auto"/>
              </w:rPr>
            </w:pPr>
          </w:p>
        </w:tc>
      </w:tr>
      <w:tr>
        <w:trPr>
          <w:trHeight w:val="179"/>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Regulatory and</w:t>
            </w:r>
          </w:p>
        </w:tc>
        <w:tc>
          <w:tcPr>
            <w:tcW w:w="168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5"/>
                <w:szCs w:val="15"/>
                <w:color w:val="auto"/>
              </w:rPr>
            </w:pPr>
          </w:p>
        </w:tc>
        <w:tc>
          <w:tcPr>
            <w:tcW w:w="4820" w:type="dxa"/>
            <w:vAlign w:val="bottom"/>
            <w:tcBorders>
              <w:right w:val="single" w:sz="8" w:color="auto"/>
            </w:tcBorders>
          </w:tcPr>
          <w:p>
            <w:pPr>
              <w:spacing w:after="0" w:line="179" w:lineRule="exact"/>
              <w:rPr>
                <w:sz w:val="20"/>
                <w:szCs w:val="20"/>
                <w:color w:val="auto"/>
              </w:rPr>
            </w:pPr>
            <w:r>
              <w:rPr>
                <w:rFonts w:ascii="Times New Roman" w:cs="Times New Roman" w:eastAsia="Times New Roman" w:hAnsi="Times New Roman"/>
                <w:sz w:val="16"/>
                <w:szCs w:val="16"/>
                <w:color w:val="auto"/>
              </w:rPr>
              <w:t>Transform the treatment of geographic atrophy with SYFOVRE</w:t>
            </w:r>
          </w:p>
        </w:tc>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80" w:type="dxa"/>
            <w:vAlign w:val="bottom"/>
            <w:tcBorders>
              <w:left w:val="single" w:sz="8" w:color="auto"/>
              <w:right w:val="single" w:sz="8" w:color="auto"/>
            </w:tcBorders>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6"/>
                <w:szCs w:val="16"/>
                <w:color w:val="auto"/>
              </w:rPr>
            </w:pP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Progress IC-MPGN/C3G program</w:t>
            </w:r>
          </w:p>
        </w:tc>
        <w:tc>
          <w:tcPr>
            <w:tcW w:w="14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Pipeline (40%)</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Maximize EMPAVELI’s impact in rare diseases</w:t>
            </w:r>
          </w:p>
        </w:tc>
        <w:tc>
          <w:tcPr>
            <w:tcW w:w="14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bottom w:val="single" w:sz="8" w:color="auto"/>
            </w:tcBorders>
            <w:shd w:val="clear" w:color="auto" w:fill="000000"/>
          </w:tcPr>
          <w:p>
            <w:pPr>
              <w:spacing w:after="0"/>
              <w:rPr>
                <w:sz w:val="19"/>
                <w:szCs w:val="19"/>
                <w:color w:val="auto"/>
              </w:rPr>
            </w:pP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Advance early pipeline treatments in immunology</w:t>
            </w: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 40%</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Borders>
              <w:bottom w:val="single" w:sz="8" w:color="auto"/>
            </w:tcBorders>
            <w:shd w:val="clear" w:color="auto" w:fill="000000"/>
          </w:tcPr>
          <w:p>
            <w:pPr>
              <w:spacing w:after="0"/>
              <w:rPr>
                <w:sz w:val="17"/>
                <w:szCs w:val="17"/>
                <w:color w:val="auto"/>
              </w:rPr>
            </w:pPr>
          </w:p>
        </w:tc>
        <w:tc>
          <w:tcPr>
            <w:tcW w:w="4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Maximize SYFOVRE and EMPAVELI U.S. revenues</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480" w:type="dxa"/>
            <w:vAlign w:val="bottom"/>
            <w:tcBorders>
              <w:left w:val="single" w:sz="8" w:color="auto"/>
              <w:right w:val="single" w:sz="8" w:color="auto"/>
            </w:tcBorders>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 Finance</w:t>
            </w:r>
          </w:p>
        </w:tc>
        <w:tc>
          <w:tcPr>
            <w:tcW w:w="20" w:type="dxa"/>
            <w:vAlign w:val="bottom"/>
          </w:tcPr>
          <w:p>
            <w:pPr>
              <w:spacing w:after="0"/>
              <w:rPr>
                <w:sz w:val="17"/>
                <w:szCs w:val="17"/>
                <w:color w:val="auto"/>
              </w:rPr>
            </w:pPr>
          </w:p>
        </w:tc>
        <w:tc>
          <w:tcPr>
            <w:tcW w:w="4820" w:type="dxa"/>
            <w:vAlign w:val="bottom"/>
            <w:tcBorders>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1"/>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Operational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Quality and Supply</w:t>
            </w:r>
          </w:p>
        </w:tc>
        <w:tc>
          <w:tcPr>
            <w:tcW w:w="20" w:type="dxa"/>
            <w:vAlign w:val="bottom"/>
          </w:tcPr>
          <w:p>
            <w:pPr>
              <w:spacing w:after="0"/>
              <w:rPr>
                <w:sz w:val="24"/>
                <w:szCs w:val="24"/>
                <w:color w:val="auto"/>
              </w:rPr>
            </w:pPr>
          </w:p>
        </w:tc>
        <w:tc>
          <w:tcPr>
            <w:tcW w:w="4820" w:type="dxa"/>
            <w:vAlign w:val="bottom"/>
            <w:tcBorders>
              <w:righ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Effectiveness (20%)</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Ensure organization is adequately resourced for scope and scale of</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480" w:type="dxa"/>
            <w:vAlign w:val="bottom"/>
            <w:tcBorders>
              <w:left w:val="single" w:sz="8" w:color="auto"/>
              <w:right w:val="single" w:sz="8" w:color="auto"/>
            </w:tcBorders>
          </w:tcPr>
          <w:p>
            <w:pPr>
              <w:spacing w:after="0"/>
              <w:rPr>
                <w:sz w:val="2"/>
                <w:szCs w:val="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2"/>
                <w:szCs w:val="2"/>
                <w:color w:val="auto"/>
              </w:rPr>
            </w:pPr>
          </w:p>
        </w:tc>
        <w:tc>
          <w:tcPr>
            <w:tcW w:w="4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functional areas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
                <w:szCs w:val="2"/>
                <w:color w:val="auto"/>
              </w:rPr>
            </w:pPr>
          </w:p>
        </w:tc>
        <w:tc>
          <w:tcPr>
            <w:tcW w:w="780" w:type="dxa"/>
            <w:vAlign w:val="bottom"/>
            <w:tcBorders>
              <w:right w:val="single" w:sz="8" w:color="auto"/>
            </w:tcBorders>
            <w:vMerge w:val="restart"/>
          </w:tcPr>
          <w:p>
            <w:pPr>
              <w:spacing w:after="0"/>
              <w:rPr>
                <w:sz w:val="2"/>
                <w:szCs w:val="2"/>
                <w:color w:val="auto"/>
              </w:rPr>
            </w:pPr>
          </w:p>
        </w:tc>
        <w:tc>
          <w:tcPr>
            <w:tcW w:w="1000" w:type="dxa"/>
            <w:vAlign w:val="bottom"/>
            <w:tcBorders>
              <w:right w:val="single" w:sz="8" w:color="auto"/>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tcBorders>
              <w:left w:val="single" w:sz="8" w:color="auto"/>
              <w:right w:val="single" w:sz="8" w:color="auto"/>
            </w:tcBorders>
          </w:tcPr>
          <w:p>
            <w:pPr>
              <w:spacing w:after="0"/>
              <w:rPr>
                <w:sz w:val="16"/>
                <w:szCs w:val="16"/>
                <w:color w:val="auto"/>
              </w:rPr>
            </w:pPr>
          </w:p>
        </w:tc>
        <w:tc>
          <w:tcPr>
            <w:tcW w:w="168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820" w:type="dxa"/>
            <w:vAlign w:val="bottom"/>
            <w:tcBorders>
              <w:right w:val="single" w:sz="8" w:color="auto"/>
            </w:tcBorders>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HR/Audit/Compliance</w:t>
            </w:r>
          </w:p>
        </w:tc>
        <w:tc>
          <w:tcPr>
            <w:tcW w:w="20" w:type="dxa"/>
            <w:vAlign w:val="bottom"/>
            <w:tcBorders>
              <w:bottom w:val="single" w:sz="8" w:color="auto"/>
            </w:tcBorders>
            <w:shd w:val="clear" w:color="auto" w:fill="000000"/>
          </w:tcPr>
          <w:p>
            <w:pPr>
              <w:spacing w:after="0"/>
              <w:rPr>
                <w:sz w:val="18"/>
                <w:szCs w:val="18"/>
                <w:color w:val="auto"/>
              </w:rPr>
            </w:pPr>
          </w:p>
        </w:tc>
        <w:tc>
          <w:tcPr>
            <w:tcW w:w="48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-1486535</wp:posOffset>
            </wp:positionV>
            <wp:extent cx="33655" cy="436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3688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-800735</wp:posOffset>
            </wp:positionV>
            <wp:extent cx="33655" cy="548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54800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-800735</wp:posOffset>
            </wp:positionV>
            <wp:extent cx="33655" cy="548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548005"/>
                    </a:xfrm>
                    <a:prstGeom prst="rect">
                      <a:avLst/>
                    </a:prstGeom>
                    <a:noFill/>
                  </pic:spPr>
                </pic:pic>
              </a:graphicData>
            </a:graphic>
          </wp:anchor>
        </w:drawing>
      </w:r>
    </w:p>
    <w:p>
      <w:pPr>
        <w:spacing w:after="0" w:line="16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0D0D0D"/>
        </w:rPr>
        <w:t>During the first quarter of 2026, our compensation committee met with our Chief Executive Officer as part of its annual compensation review and discussed our 2025 corporate performance results and our Chief Executive Officer’s recommendations for a corporate performance under the annual incentive plan for each of our executive officers, other than himself.</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0D0D0D"/>
        </w:rPr>
        <w:t xml:space="preserve">In evaluating performance against pre-established corporate performance goals, the compensation committee determined an overall annual incentive payout of 105% of target for Company’s named executive officers was appropriate, reflecting the successful attainment of several key regulatory and pipeline performance achievements that exceeded expectations, including the advancement of the Phase 2 study of SYFOVRE in combination with APL-3007, our siRNA, the launch of EMPAVELI for the treatment of C3 glomerulopathy, or C3G, and primary immune complex membranoproliferative glomerulonephritis, or primary IC-MPGN, initiation of pivotal trials evaluating EMPAVELI in focal segmental glomerulosclerosis and delayed graft function, as well as the continued advancement of our pipeline and strong cash </w:t>
      </w:r>
      <w:r>
        <w:rPr>
          <w:rFonts w:ascii="Times New Roman" w:cs="Times New Roman" w:eastAsia="Times New Roman" w:hAnsi="Times New Roman"/>
          <w:sz w:val="18"/>
          <w:szCs w:val="18"/>
          <w:color w:val="000000"/>
        </w:rPr>
        <w:t>balance, and partial attainment regulatory, revenue and operational</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effectiveness goals.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0D0D0D"/>
        </w:rPr>
        <w:t>Our compensation committee (or the Board of Directors, with respect to the Chief Executive Officer) maintains the discretion to adjust the size of individual awards upward or downward based on individual performance. The Chief Executive Officer offered, and the Board of Directors agreed to, an annual incentive plan payout for the Chief Executive Officer of 52.5% to foster closer alignment with stockholder experience during the performance year. The committee believes this outcome reinforces our pay-for-performance philosophy, and demonstrates accountability at the leadership level, while continuing to recognize the strong execution against key business objectives delivered by the broader management team.</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3"/>
                <w:szCs w:val="13"/>
                <w:color w:val="auto"/>
              </w:rPr>
            </w:pPr>
          </w:p>
        </w:tc>
        <w:tc>
          <w:tcPr>
            <w:tcW w:w="23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 Annual Incentive Target</w:t>
            </w:r>
          </w:p>
        </w:tc>
        <w:tc>
          <w:tcPr>
            <w:tcW w:w="220" w:type="dxa"/>
            <w:vAlign w:val="bottom"/>
          </w:tcPr>
          <w:p>
            <w:pPr>
              <w:spacing w:after="0"/>
              <w:rPr>
                <w:sz w:val="13"/>
                <w:szCs w:val="13"/>
                <w:color w:val="auto"/>
              </w:rPr>
            </w:pPr>
          </w:p>
        </w:tc>
        <w:tc>
          <w:tcPr>
            <w:tcW w:w="266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Performance Factor</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Approved 2025 Annual Incentive</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238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23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2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52.50%</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2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105.00%</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2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105.00%</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316,000</w:t>
            </w:r>
          </w:p>
        </w:tc>
        <w:tc>
          <w:tcPr>
            <w:tcW w:w="2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105.00%</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Kelley Boucher (1)</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106,115</w:t>
            </w:r>
          </w:p>
        </w:tc>
        <w:tc>
          <w:tcPr>
            <w:tcW w:w="2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105.00%</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6"/>
          <w:szCs w:val="16"/>
          <w:color w:val="0D0D0D"/>
        </w:rPr>
      </w:pPr>
      <w:r>
        <w:rPr>
          <w:rFonts w:ascii="Times New Roman" w:cs="Times New Roman" w:eastAsia="Times New Roman" w:hAnsi="Times New Roman"/>
          <w:sz w:val="18"/>
          <w:szCs w:val="18"/>
          <w:color w:val="0D0D0D"/>
        </w:rPr>
        <w:t>Kelley Boucher joined us as Chief People Officer on May 27, 2025. Her target reflects a pro-rated annual bonus.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D0D0D"/>
        </w:rPr>
        <w:t>Equity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D0D0D"/>
        </w:rPr>
        <w:t>The Company’s long-term equity incentive program is a central component of our executive compensation design that aims to:</w:t>
      </w:r>
    </w:p>
    <w:p>
      <w:pPr>
        <w:spacing w:after="0" w:line="333"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Align the interests of executive officers with those of stockholders;</w:t>
      </w:r>
    </w:p>
    <w:p>
      <w:pPr>
        <w:spacing w:after="0" w:line="27" w:lineRule="exact"/>
        <w:rPr>
          <w:rFonts w:ascii="Times New Roman" w:cs="Times New Roman" w:eastAsia="Times New Roman" w:hAnsi="Times New Roman"/>
          <w:sz w:val="18"/>
          <w:szCs w:val="18"/>
          <w:color w:val="0D0D0D"/>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Maintain competitive levels of executive compensation;</w:t>
      </w:r>
    </w:p>
    <w:p>
      <w:pPr>
        <w:spacing w:after="0" w:line="9" w:lineRule="exact"/>
        <w:rPr>
          <w:rFonts w:ascii="Times New Roman" w:cs="Times New Roman" w:eastAsia="Times New Roman" w:hAnsi="Times New Roman"/>
          <w:sz w:val="18"/>
          <w:szCs w:val="18"/>
          <w:color w:val="0D0D0D"/>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Motivate sustained long-term performance and value creation;</w:t>
      </w:r>
    </w:p>
    <w:p>
      <w:pPr>
        <w:spacing w:after="0" w:line="9" w:lineRule="exact"/>
        <w:rPr>
          <w:rFonts w:ascii="Times New Roman" w:cs="Times New Roman" w:eastAsia="Times New Roman" w:hAnsi="Times New Roman"/>
          <w:sz w:val="18"/>
          <w:szCs w:val="18"/>
          <w:color w:val="0D0D0D"/>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Reward demonstrated leadership and performance; and</w:t>
      </w:r>
    </w:p>
    <w:p>
      <w:pPr>
        <w:spacing w:after="0" w:line="9" w:lineRule="exact"/>
        <w:rPr>
          <w:rFonts w:ascii="Times New Roman" w:cs="Times New Roman" w:eastAsia="Times New Roman" w:hAnsi="Times New Roman"/>
          <w:sz w:val="18"/>
          <w:szCs w:val="18"/>
          <w:color w:val="0D0D0D"/>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Promote retention through multi-year vesting periods.</w:t>
      </w:r>
    </w:p>
    <w:p>
      <w:pPr>
        <w:spacing w:after="0" w:line="20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0D0D0D"/>
        </w:rPr>
        <w:t>All equity awards to executive officers are approved by the compensation committee, with awards to our chief executive officer approved by the Board of Directors. Other than new-hire and promotion grants, equity awards are typically made in the first quarter of each year, with award value reflecting each executive’s role and individual performance contributions. We typically make equity award grants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0D0D0D"/>
        </w:rPr>
        <w:t>each of our executive officers upon commencement of employment, annually in conjunction with our review of executive compensation, or as a special incentive.</w:t>
      </w:r>
    </w:p>
    <w:p>
      <w:pPr>
        <w:spacing w:after="0" w:line="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0D0D0D"/>
        </w:rPr>
        <w:t>Historically, equity incentives for our executives included stock options and restricted stock units (RSUs). Following a comprehensive review of our executive compensation program, and in consultation with Pay Governance, our compensation committee approved a revised annual equity structure that in</w:t>
      </w:r>
      <w:r>
        <w:rPr>
          <w:rFonts w:ascii="Times New Roman" w:cs="Times New Roman" w:eastAsia="Times New Roman" w:hAnsi="Times New Roman"/>
          <w:sz w:val="18"/>
          <w:szCs w:val="18"/>
          <w:color w:val="000000"/>
        </w:rPr>
        <w:t>troduced an equal allocation of the value of the equity grant between performance-based stock units (PSUs) and time-based RSUs. The number of PSU</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and RSU shares was determined by dividing the approved t</w:t>
      </w:r>
      <w:r>
        <w:rPr>
          <w:rFonts w:ascii="Times New Roman" w:cs="Times New Roman" w:eastAsia="Times New Roman" w:hAnsi="Times New Roman"/>
          <w:sz w:val="18"/>
          <w:szCs w:val="18"/>
          <w:color w:val="0D0D0D"/>
        </w:rPr>
        <w:t>arget grant value by the average closing price of the Company’s common stock over the 20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D0D0D"/>
        </w:rPr>
        <w:t>trading days preceding the grant date.</w:t>
      </w:r>
    </w:p>
    <w:p>
      <w:pPr>
        <w:spacing w:after="0" w:line="22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0D0D0D"/>
        </w:rPr>
        <w:t>The compensation committee may approve a different award mix in the future as part of the overall compensation strategy. Awards made in connection with a new, extended or expanded employment relationship may involve a different mix of equity awards, depending on the compensation committee’s assessment of the total compensation package being offered and applicable competitive market benchmarks.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D0D0D"/>
        </w:rPr>
        <w:t>The annual PSU and RSU grants to our named executive officers are provided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tcPr>
          <w:p>
            <w:pPr>
              <w:spacing w:after="0"/>
              <w:rPr>
                <w:sz w:val="13"/>
                <w:szCs w:val="13"/>
                <w:color w:val="auto"/>
              </w:rPr>
            </w:pPr>
          </w:p>
        </w:tc>
        <w:tc>
          <w:tcPr>
            <w:tcW w:w="160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 PSUs</w:t>
            </w:r>
          </w:p>
        </w:tc>
        <w:tc>
          <w:tcPr>
            <w:tcW w:w="200" w:type="dxa"/>
            <w:vAlign w:val="bottom"/>
          </w:tcPr>
          <w:p>
            <w:pPr>
              <w:spacing w:after="0"/>
              <w:rPr>
                <w:sz w:val="13"/>
                <w:szCs w:val="13"/>
                <w:color w:val="auto"/>
              </w:rPr>
            </w:pPr>
          </w:p>
        </w:tc>
        <w:tc>
          <w:tcPr>
            <w:tcW w:w="19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2025 RSUs</w:t>
            </w:r>
          </w:p>
        </w:tc>
        <w:tc>
          <w:tcPr>
            <w:tcW w:w="0" w:type="dxa"/>
            <w:vAlign w:val="bottom"/>
          </w:tcPr>
          <w:p>
            <w:pPr>
              <w:spacing w:after="0"/>
              <w:rPr>
                <w:sz w:val="1"/>
                <w:szCs w:val="1"/>
                <w:color w:val="auto"/>
              </w:rPr>
            </w:pPr>
          </w:p>
        </w:tc>
      </w:tr>
      <w:tr>
        <w:trPr>
          <w:trHeight w:val="173"/>
        </w:trPr>
        <w:tc>
          <w:tcPr>
            <w:tcW w:w="7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 of shares)(1)(2)</w:t>
            </w:r>
          </w:p>
        </w:tc>
        <w:tc>
          <w:tcPr>
            <w:tcW w:w="200" w:type="dxa"/>
            <w:vAlign w:val="bottom"/>
          </w:tcPr>
          <w:p>
            <w:pPr>
              <w:spacing w:after="0"/>
              <w:rPr>
                <w:sz w:val="15"/>
                <w:szCs w:val="15"/>
                <w:color w:val="auto"/>
              </w:rPr>
            </w:pPr>
          </w:p>
        </w:tc>
        <w:tc>
          <w:tcPr>
            <w:tcW w:w="16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 of shares)(1)(3)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130,662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130,662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45,929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45,929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39,594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39,594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Kelley Boucher (4)</w:t>
            </w: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00" w:right="400" w:hanging="292"/>
        <w:spacing w:after="0" w:line="266" w:lineRule="auto"/>
        <w:tabs>
          <w:tab w:leader="none" w:pos="300" w:val="left"/>
        </w:tabs>
        <w:numPr>
          <w:ilvl w:val="0"/>
          <w:numId w:val="16"/>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The equity awards granted to our named executive officers during the fiscal year ended December 31, 2025, and the grant date fair value of those awards determined in accordance with FASB ASC Topic 718, are shown in the Summary Compensation Table and the 2025 Grants of Plan-Based Awards table below.</w:t>
      </w:r>
    </w:p>
    <w:p>
      <w:pPr>
        <w:spacing w:after="0" w:line="67" w:lineRule="exact"/>
        <w:rPr>
          <w:rFonts w:ascii="Times New Roman" w:cs="Times New Roman" w:eastAsia="Times New Roman" w:hAnsi="Times New Roman"/>
          <w:sz w:val="18"/>
          <w:szCs w:val="18"/>
          <w:color w:val="0D0D0D"/>
        </w:rPr>
      </w:pPr>
    </w:p>
    <w:p>
      <w:pPr>
        <w:ind w:left="300" w:right="420" w:hanging="292"/>
        <w:spacing w:after="0" w:line="266" w:lineRule="auto"/>
        <w:tabs>
          <w:tab w:leader="none" w:pos="300" w:val="left"/>
        </w:tabs>
        <w:numPr>
          <w:ilvl w:val="0"/>
          <w:numId w:val="16"/>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Represents the target number of PSUs covering a 3-year period, which is divided equally among the three distinct performance periods. Subject to satisfaction of TSR performance conditions, as described below, 50%-200% of the PSUs attributable to each performance period vest on the anniversary of the grant date following the conclusion of each performance period.</w:t>
      </w:r>
    </w:p>
    <w:p>
      <w:pPr>
        <w:spacing w:after="0" w:line="67" w:lineRule="exact"/>
        <w:rPr>
          <w:rFonts w:ascii="Times New Roman" w:cs="Times New Roman" w:eastAsia="Times New Roman" w:hAnsi="Times New Roman"/>
          <w:sz w:val="18"/>
          <w:szCs w:val="18"/>
          <w:color w:val="0D0D0D"/>
        </w:rPr>
      </w:pPr>
    </w:p>
    <w:p>
      <w:pPr>
        <w:ind w:left="300" w:hanging="292"/>
        <w:spacing w:after="0" w:line="282" w:lineRule="auto"/>
        <w:tabs>
          <w:tab w:leader="none" w:pos="300" w:val="left"/>
        </w:tabs>
        <w:numPr>
          <w:ilvl w:val="0"/>
          <w:numId w:val="16"/>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The restricted stock units vest as to 25% of the shares on the first anniversary of the grant date and 25% on each anniversary of the grant date thereafter, subject to continued service.</w:t>
      </w:r>
    </w:p>
    <w:p>
      <w:pPr>
        <w:spacing w:after="0" w:line="53" w:lineRule="exact"/>
        <w:rPr>
          <w:rFonts w:ascii="Times New Roman" w:cs="Times New Roman" w:eastAsia="Times New Roman" w:hAnsi="Times New Roman"/>
          <w:sz w:val="18"/>
          <w:szCs w:val="18"/>
          <w:color w:val="0D0D0D"/>
        </w:rPr>
      </w:pPr>
    </w:p>
    <w:p>
      <w:pPr>
        <w:ind w:left="300" w:right="40" w:hanging="292"/>
        <w:spacing w:after="0" w:line="261" w:lineRule="auto"/>
        <w:tabs>
          <w:tab w:leader="none" w:pos="300" w:val="left"/>
        </w:tabs>
        <w:numPr>
          <w:ilvl w:val="0"/>
          <w:numId w:val="16"/>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Kelley Boucher joined us as Chief People Officer on May 27, 2025, at which time she received 22,087 RSUs and options to purchase 32,796 shares of our common stock. In accordance with the terms of her offer letter, she received an additional 45,095 RSUs and 67,396 stock options in June 2025 and 30,476 RSUs and 45,766 options in September 2025. The stock options will vest over four years, with 25% of the stock options vesting on the first anniversary of the relevant Grant Date, and in equal monthly installments over the remaining three years.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2025 PSUs for executive officers are set to pay out depending on the Company’s total shareholder return (TSR) performance compared to NASDAQ biotechnology index companies as follows: (i) at 50% of target if TSR performance is equal to 25th percentile of index TSR performance, (ii) at 100% of target if TSR performance is equal to 55th percentile of index TSR performance and (iii) at 200% of target if TSR performance is equal to or greater than 90th percentile of index TSR performance. Linear interpolation will be applied to determine the payout if TSR performance is between the 25th and 55th percentile or 55th and 90th percentile of index TSR performance. TSR performance below the 25th percentile of index TSR performance will result in no payout. Payout for negative TSR performance will be capped at 100% of target. TSR performance will be evaluated over 3 distinct performance periods during the 3-year period covering 2025-2027 as follows: (i) 2025 1-year TSR, (ii) 2025-2026 2-year cumulative TSR and (iii) 2025-2027 3-year cumulative TSR. Any PSUs not earned for a given performance period are forfeited and are not eligible for future vesting, consistent with our pay-for-performance philosophy.</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Following completion of the first performance period which ended on the first anniversary of the date of grant, the compensation committee confirmed that the threshold was not met and the first tranche of the PSUs, was forfeited in full.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Supplemental Performance Incentive Program</w:t>
      </w:r>
    </w:p>
    <w:p>
      <w:pPr>
        <w:spacing w:after="0" w:line="1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June 2025, the compensation committee approved a broad-based supplemental performance incentive program designed to incentivize progress against our strategic objectives while supporting employee retention across the organization during a critical phase of our key product commercialization and growth.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compensation committee determined that these performance metrics appropriately align employee incentives with key value drivers, including commercial execution, product innovation and revenue growth and are intended to:</w:t>
      </w:r>
    </w:p>
    <w:p>
      <w:pPr>
        <w:spacing w:after="0" w:line="54"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alignment between employee incentives and the Company’s key strategic and financial objectives;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retention of talent across the organization, particularly in roles critical to the Company’s commercial and development priorities;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strong pay-for-performance culture by linking a meaningful portion of compensation to the achievement of measurable milestones.</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 the extent the target US EMPAVELI revenue is achieved, the Company has the opportunity to receive additional PSUs if certain EMPAVELI and SYFOVRE US revenues targets are achieved.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Borders>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6"/>
                <w:szCs w:val="16"/>
                <w:b w:val="1"/>
                <w:bCs w:val="1"/>
                <w:color w:val="auto"/>
              </w:rPr>
              <w:t>Element</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Weighting</w:t>
            </w:r>
          </w:p>
        </w:tc>
        <w:tc>
          <w:tcPr>
            <w:tcW w:w="556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2"/>
        </w:trPr>
        <w:tc>
          <w:tcPr>
            <w:tcW w:w="376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FDA SYFOVRE approval</w:t>
            </w:r>
          </w:p>
        </w:tc>
        <w:tc>
          <w:tcPr>
            <w:tcW w:w="19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50%</w:t>
            </w:r>
          </w:p>
        </w:tc>
        <w:tc>
          <w:tcPr>
            <w:tcW w:w="55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FDA approval of a prefilled syringe with SYFOVRE on or before December 31,</w:t>
            </w:r>
          </w:p>
        </w:tc>
      </w:tr>
      <w:tr>
        <w:trPr>
          <w:trHeight w:val="213"/>
        </w:trPr>
        <w:tc>
          <w:tcPr>
            <w:tcW w:w="37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2026</w:t>
            </w:r>
          </w:p>
        </w:tc>
      </w:tr>
      <w:tr>
        <w:trPr>
          <w:trHeight w:val="185"/>
        </w:trPr>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Cumulative U.S. EMPAVELI product revenue</w:t>
            </w:r>
          </w:p>
        </w:tc>
        <w:tc>
          <w:tcPr>
            <w:tcW w:w="192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6"/>
              </w:rPr>
              <w:t>50%</w:t>
            </w: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Cumulative U.S. EMPAVELI product revenue (as determined in accordance with the</w:t>
            </w:r>
          </w:p>
        </w:tc>
      </w:tr>
      <w:tr>
        <w:trPr>
          <w:trHeight w:val="203"/>
        </w:trPr>
        <w:tc>
          <w:tcPr>
            <w:tcW w:w="376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Company’s financial reporting methods) from July 1,</w:t>
            </w:r>
          </w:p>
        </w:tc>
      </w:tr>
      <w:tr>
        <w:trPr>
          <w:trHeight w:val="213"/>
        </w:trPr>
        <w:tc>
          <w:tcPr>
            <w:tcW w:w="37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2025 through December 31, 2026</w:t>
            </w:r>
          </w:p>
        </w:tc>
      </w:tr>
    </w:tbl>
    <w:p>
      <w:pPr>
        <w:spacing w:after="0" w:line="198" w:lineRule="exact"/>
        <w:rPr>
          <w:sz w:val="20"/>
          <w:szCs w:val="20"/>
          <w:color w:val="auto"/>
        </w:rPr>
      </w:pPr>
    </w:p>
    <w:p>
      <w:pPr>
        <w:ind w:right="580"/>
        <w:spacing w:after="0" w:line="257" w:lineRule="auto"/>
        <w:rPr>
          <w:sz w:val="20"/>
          <w:szCs w:val="20"/>
          <w:color w:val="auto"/>
        </w:rPr>
      </w:pPr>
      <w:r>
        <w:rPr>
          <w:rFonts w:ascii="Times New Roman" w:cs="Times New Roman" w:eastAsia="Times New Roman" w:hAnsi="Times New Roman"/>
          <w:sz w:val="18"/>
          <w:szCs w:val="18"/>
          <w:color w:val="auto"/>
        </w:rPr>
        <w:t>For executive officers, the program provided equity awards under the Company’s 2017 Stock Incentive Plan, consisting of a mix of PSUs and stock options.</w:t>
      </w:r>
    </w:p>
    <w:tbl>
      <w:tblPr>
        <w:tblLayout w:type="fixed"/>
        <w:tblInd w:w="0" w:type="dxa"/>
        <w:tblCellMar>
          <w:top w:w="0" w:type="dxa"/>
          <w:left w:w="0" w:type="dxa"/>
          <w:bottom w:w="0" w:type="dxa"/>
          <w:right w:w="0" w:type="dxa"/>
        </w:tblCellMar>
      </w:tblPr>
      <w:tr>
        <w:trPr>
          <w:trHeight w:val="131"/>
        </w:trPr>
        <w:tc>
          <w:tcPr>
            <w:tcW w:w="7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80" w:type="dxa"/>
            <w:vAlign w:val="bottom"/>
            <w:gridSpan w:val="4"/>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2025 Supplemental Performance</w:t>
            </w:r>
          </w:p>
        </w:tc>
        <w:tc>
          <w:tcPr>
            <w:tcW w:w="0" w:type="dxa"/>
            <w:vAlign w:val="bottom"/>
          </w:tcPr>
          <w:p>
            <w:pPr>
              <w:spacing w:after="0"/>
              <w:rPr>
                <w:sz w:val="1"/>
                <w:szCs w:val="1"/>
                <w:color w:val="auto"/>
              </w:rPr>
            </w:pPr>
          </w:p>
        </w:tc>
      </w:tr>
      <w:tr>
        <w:trPr>
          <w:trHeight w:val="173"/>
        </w:trPr>
        <w:tc>
          <w:tcPr>
            <w:tcW w:w="7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 Program</w:t>
            </w:r>
          </w:p>
        </w:tc>
        <w:tc>
          <w:tcPr>
            <w:tcW w:w="0" w:type="dxa"/>
            <w:vAlign w:val="bottom"/>
          </w:tcPr>
          <w:p>
            <w:pPr>
              <w:spacing w:after="0"/>
              <w:rPr>
                <w:sz w:val="1"/>
                <w:szCs w:val="1"/>
                <w:color w:val="auto"/>
              </w:rPr>
            </w:pPr>
          </w:p>
        </w:tc>
      </w:tr>
      <w:tr>
        <w:trPr>
          <w:trHeight w:val="117"/>
        </w:trPr>
        <w:tc>
          <w:tcPr>
            <w:tcW w:w="756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vMerge w:val="restart"/>
          </w:tcPr>
          <w:p>
            <w:pPr>
              <w:spacing w:after="0"/>
              <w:rPr>
                <w:sz w:val="10"/>
                <w:szCs w:val="10"/>
                <w:color w:val="auto"/>
              </w:rPr>
            </w:pPr>
          </w:p>
        </w:tc>
        <w:tc>
          <w:tcPr>
            <w:tcW w:w="1620" w:type="dxa"/>
            <w:vAlign w:val="bottom"/>
            <w:tcBorders>
              <w:top w:val="single" w:sz="8" w:color="auto"/>
            </w:tcBorders>
          </w:tcPr>
          <w:p>
            <w:pPr>
              <w:jc w:val="right"/>
              <w:ind w:right="559"/>
              <w:spacing w:after="0" w:line="118" w:lineRule="exact"/>
              <w:rPr>
                <w:sz w:val="20"/>
                <w:szCs w:val="20"/>
                <w:color w:val="auto"/>
              </w:rPr>
            </w:pPr>
            <w:r>
              <w:rPr>
                <w:rFonts w:ascii="Times New Roman" w:cs="Times New Roman" w:eastAsia="Times New Roman" w:hAnsi="Times New Roman"/>
                <w:sz w:val="13"/>
                <w:szCs w:val="13"/>
                <w:b w:val="1"/>
                <w:bCs w:val="1"/>
                <w:color w:val="auto"/>
              </w:rPr>
              <w:t>PSUs</w:t>
            </w:r>
          </w:p>
        </w:tc>
        <w:tc>
          <w:tcPr>
            <w:tcW w:w="2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right"/>
              <w:ind w:right="324"/>
              <w:spacing w:after="0" w:line="118" w:lineRule="exact"/>
              <w:rPr>
                <w:sz w:val="20"/>
                <w:szCs w:val="20"/>
                <w:color w:val="auto"/>
              </w:rPr>
            </w:pPr>
            <w:r>
              <w:rPr>
                <w:rFonts w:ascii="Times New Roman" w:cs="Times New Roman" w:eastAsia="Times New Roman" w:hAnsi="Times New Roman"/>
                <w:sz w:val="13"/>
                <w:szCs w:val="13"/>
                <w:b w:val="1"/>
                <w:bCs w:val="1"/>
                <w:color w:val="auto"/>
              </w:rPr>
              <w:t>Stock Options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of shares)(1)</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 of shares)(1)(2)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Kelley Boucher (3)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400" w:hanging="292"/>
        <w:spacing w:after="0" w:line="266"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awards granted to our named executive officers during the fiscal year ended December 31, 2025, and the grant date fair value of those awards determined in accordance with FASB ASC Topic 718, are shown in the Summary Compensation Table and the 2025 Grants of Plan-Based Awards table below.</w:t>
      </w:r>
    </w:p>
    <w:p>
      <w:pPr>
        <w:spacing w:after="0" w:line="6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vest in two equal annual installments on each anniversary of the grant date and have a three-year term.</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Kelley Boucher joined us on May 27, 2025 and was not eligible to participate in the June 2025 Performance Incentive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Benefits Plan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1, 2019, our board of directors adopted an Executive Separation Benefits and Retention Plan, or the Separation Benefits Plan. The Separation Benefits Plan applies to our Chief Executive Officer, Chief Financial Officer, Chief Medical Officer, Chief People Officer, General Counsel and certain other executive officers designated as such by the board of directors, collectively referred to as “C-level officers,” as well as certain other employees of the Company who hold a title of vice-president or higher, who, together with the C-Level Officers, are referred to as “covered employees.” All of our named executive officers are covered by the Separation Benefits Plan.</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Separation Benefits Plan provides for separation benefits for covered employees in the event of (i) a termination of employment by us other than for cause or (ii) a resignation for good reason upon a change in control or within 12 months following a change in control. Prior to the adoption of the Separation Benefits Plan, most of our executive officers did not have a severance arrangement. The Separation Benefits Plan was adopted in consultation with our outside compensation consultant, which provided data on severance practices among our peer group at the time of adoption, to more closely align our executives’ total compensation packages with market standards.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for Cause Termination Not Within Twelve Months of Change of Control</w:t>
      </w:r>
    </w:p>
    <w:p>
      <w:pPr>
        <w:spacing w:after="0" w:line="2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Under the terms of the Separation Benefits Plan, subject to the execution and effectiveness of a separation and release of claims agreement, if a covered employee’s employment is terminated by us other than for cause, which termination does not occur during the twelve-month period after a change of control, we will be obligated to:</w:t>
      </w:r>
    </w:p>
    <w:p>
      <w:pPr>
        <w:spacing w:after="0" w:line="68" w:lineRule="exact"/>
        <w:rPr>
          <w:sz w:val="20"/>
          <w:szCs w:val="20"/>
          <w:color w:val="auto"/>
        </w:rPr>
      </w:pPr>
    </w:p>
    <w:p>
      <w:pPr>
        <w:ind w:left="1020" w:right="28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pay the covered employee’s base salary for a severance period of (i) 12 months, in the case of the Chief Executive Officer, (ii) nine months, in the case of the other C-level officers, or (iii) 26 weeks, in the case of other covered employees; and</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20" w:right="2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covered employee is eligible for and elects to continue receiving medical insurance pursuant to COBRA, pay on such person’s behalf the share of the monthly premiums for such coverage that it pays for active and similarly situated employees receiving the same type of coverage during the severance period; provided, however, that in the event the covered employee becomes eligible during the severance period for group health insurance coverage through another employer, our obligation to make monthly premium payments shall end when the new employment begins.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for Cause Termination or Good Reason Resignation Within Twelve Months of Change of Control</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terms of the Separation Benefits Plan, subject to the execution and effectiveness of a severance and release of claims agreement, if, during the twelve-month period after a change of control, a covered employee’s employment is terminated by us other than for cause, or the covered employee resigns for good reason, we will be obligated to:</w:t>
      </w:r>
    </w:p>
    <w:p>
      <w:pPr>
        <w:spacing w:after="0" w:line="68" w:lineRule="exact"/>
        <w:rPr>
          <w:sz w:val="20"/>
          <w:szCs w:val="20"/>
          <w:color w:val="auto"/>
        </w:rPr>
      </w:pPr>
    </w:p>
    <w:p>
      <w:pPr>
        <w:ind w:left="1020" w:right="5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 lump sum equal to the covered employee’s base salary for a severance period of (i) 18 months, in the case of the Chief Executive Officer, (ii) 12 months, in the case of the other C-level officers, or (iii) 26 weeks, in the case of other covered employees;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C-level officers a lump sum equal (i) to 150%, in the case of the Chief Executive Officer, or (ii) 100%, in the case of other C-level officers, of such C-level officers’ target bonus award for the year in which the termination of employment occurs, without regard to whether the performance goals applicable to such target bonus had been established or satisfied at the date of termination;</w:t>
      </w:r>
    </w:p>
    <w:p>
      <w:pPr>
        <w:spacing w:after="0" w:line="67"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covered employee is eligible for and elects to continue receiving medical insurance pursuant to COBRA, pay on such covered employee’s behalf the share of the monthly premiums for such coverage that it pays for active and similarly situated employees receiving the same type of coverage during the severance period; provided, however, that in the event the covered employee becomes eligible during the severance period for group health insurance coverage through another employer, our obligation to make monthly premium payments shall end when the new employment begins;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and pay for reasonable outplacement services for the covered employee; and</w:t>
      </w:r>
    </w:p>
    <w:p>
      <w:pPr>
        <w:spacing w:after="0" w:line="117"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all equity awards, other than terms more favorable to the covered employee, effective as of the date of termination, held by such covered employee at the date of termination (other than equity awards that vest on the basis of performance and do not provide solely for time-based vesting), such that such equity awards shall become 100% vested.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Other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compensation to our executive officers consists primarily of the broad-based benefits we provide to all full-time employees in the United States, including medical, dental and vision insurance, group life and disability insurance, an employee stock purchase plan and a 401(k) plan. Pursuant to our employee stock purchase plan, employees, including our named executive officers, have an opportunity to purchase our common stock at a discount on a tax-qualified basis through payroll deductions. The employee stock purchase plan is designed to qualify as an “employee stock purchase plan” under Section 423 of the Internal Revenue Code. The purpose of the employee stock purchase plan is to encourage our employees, including our named executive officers, to become our stockholders and better align their interests with those of our other stockholders. Pursuant to our 401(k) plan, employees, including our named executive officers, may elect to defer a portion of their current compensation up to the statutorily prescribed annual limit (which was $23,500 in 2025), with additional salary deferrals not to exceed $31,000 available to those employees 50 years of age or older, and to have the amount of this deferral contributed to our 401(k) plan. We make discretionary matching contributions and other employer contributions on behalf of eligible employees under our 401(k) plan. For the fiscal year ended December 31, 2025, we matched a portion of eligible employee contributions equal to 50% of the first 10% of eligible contributions pursuant to our 401(k) plan’s matching formula.</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named executive officers, except in situations where we believe it is appropriate to assist an individual in the performance of his or her duties, to make him or her more efficient and effective, and for recruitment and retention purposes. In 2025, none of our named executive officers received perquisites or other personal benefits with an aggregate value of $10,000 or more other than Mr. Sullivan, who received executive wealth management services valued at $14,115 in 2025. All future practices with respect to perquisites or other personal benefits will be approved and subject to periodic review by our compensation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offer any defined benefit pension plans or non-qualified deferred compensation arrangements for our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equity ownership guidelines for our directors and executive officers to further align the interests of our board of directors and executive officers with those of our stockholders. The equity ownership guidelines are as follows: our chief executive officer must own shares worth at least six times his or her base salary; our other executive officers must own shares worth at least one to three times his or her base salary depending on their title; and our non-employee directors must own shares worth at least three times the annual cash retainer. Our chief executive officer, other executive officers and non-employee directors have five years from first being subject to these guidelines to satisfy the applicable ownership threshold. We assess stock ownership levels under the policy on an annual basis. At the time of implementation of our stock ownership policy and as of December 31, 2025, all of our directors and executive officers met the criteria set forth in the guidelines.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Recoupment Policy</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December 2023, we adopted a recoupment policy to implement the requirements of the final rule adopted by the SEC to implement the applicable provisions of the Dodd-Frank Wall Street Reform and Consumer Protection Act relating to recoupment of erroneously awarded incentive-based compensation and amended the recoupment policy that we adopted in September 2022. Under these recoupment policies, in the event that we are required to prepare an accounting restatement due to material non-compliance with financial reporting requirements, we will make a reasonable attempt to recover from our current or former executive officers the amount of incentive-based compensation paid to the executive officer during the three-year period preceding the date on which we are required to prepare an accounting restatement. Any such amount will not be greater than the excess of what would have been paid to the covered person based on the restated data. In addition, if our board of directors, in its sole discretion, determined that a covered person’s acts or omissions that contributed to the circumstances requiring an accounting restatement involved either (i) intentional misconduct or an intentional violation of any applicable rules or laws or (ii) fraud, then in each such case, we will use reasonable efforts to recover from such covered person up to 100% (as determined by our board of directors in its sole discretion) of the incentive-based compensation, and not just the excess of what would have been paid to the covered person. Further, if such conduct described in the prior sentence results in serious financial or reputation damage to the Company and regardless of whether we were required to prepare an accounting restatement on account of such activity, then we will use reasonable efforts to recover from such covered person up to 100% (as determined by our board of directors in its sole discretion) of the incentive-based compensation from the Company during the three-year period preceding the relevant activity.</w:t>
      </w:r>
    </w:p>
    <w:p>
      <w:pPr>
        <w:spacing w:after="0" w:line="19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purposes of the recoupment policies, incentive-based compensation includes cash bonuses, stock options and other awards under our long-term incentive plans awarded to a covered person as compensation. To the extent the applicable law or rules require recovery of incentive-based compensation in additional circumstances besides those specified in the policies, our right or obligation to recover incentive-based compensation is not limited or restricted.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insider trading policy expressly prohibits short sales and derivative transactions of our stock by our named executive officers, directors and specified other employees, including short sales “against the box”; purchases or sales of puts, calls or other derivative securities based on the Company’s securities; and purchases of financial instruments that are designed to hedge or offset any decrease in the market value of Company securities. In addition, our insider trading policy prohibits our named executive officers, directors and specified other employees from purchasing our securities on margin, borrowing against company securities held in a margin account, or pledging our securities as collateral for a loan, although the Audit Committee may grant an exception where an executive officer or director wishes to pledge Company securities as part of the collateral for a loan and clearly demonstrates the financial capacity to repay the loan without resort to the pledged securities.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2025, the Audit Committee permitted Mr. Machiels to pledge Company securities as part of a pledge of a larger portfolio of securities in exchange for an extension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generally entitled to a U.S. federal income tax deduction with respect to compensation income paid to our service providers, subject to a limitation under Section 162(m) of the Internal Revenue Code of 1986, as amended, with respect to compensation in excess of $1 million paid in any one year to each of certain of the Company’s current and former executive officers. While the board of directors and compensation committee generally consider the tax implications to its executive officers of its executive compensation decisions, such implications did not have a material consideration in the compensation awarded to our named executive officers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“Parachute” Payments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Sections 280G and 4999 of the Internal Revenue Code provide that officers and directors who hold significant equity interests and certain other service providers may be subject to significant additional taxes if they receive payments or benefits in connection with a change in</w:t>
      </w: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control of the Company that exceeds certain prescribed limits, and that the Company (or a successor) may forfeit a deduction on the amounts subject to this additional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 Awards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follow FASB ASC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executive compensation program does not encourage excessive or unnecessary risk taking. As described more fully above, we structure our pay to consist of both fixed and variable compensation, particularly in connection with our pay-for-performance compensation philosophy. We believe this structure motivates our executive officers to produce superior short- and long-term results that are in the best interests of our company and stockholders in order to attain our ultimate objective of increasing stockholder value. We have established, and our compensation committee endorses, these structures in order to address and mitigate compensation related risk. As a result, we do not believe that our compensation programs are reasonably likely to have a material adverse effect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Based on this review and discussion, the compensation committee recommended to the Company’s board of directors that the Compensation Discussion and Analysis be included in this proxy statement.</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report of the compensation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report has been furnished by the compensation committee.</w:t>
      </w:r>
    </w:p>
    <w:p>
      <w:pPr>
        <w:spacing w:after="0" w:line="3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THE COMPENSATION COMMITTEE OF THE</w:t>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BOARD OF DIRECTORS OF APELLIS</w:t>
      </w:r>
    </w:p>
    <w:p>
      <w:pPr>
        <w:spacing w:after="0" w:line="1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PHARMACEUTICALS, INC.</w:t>
      </w:r>
    </w:p>
    <w:p>
      <w:pPr>
        <w:spacing w:after="0" w:line="2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Stephanie Monaghan O’Brien, Chair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Paul Fonteyne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Alec Machiels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Keli Walbert</w:t>
      </w:r>
    </w:p>
    <w:p>
      <w:pPr>
        <w:spacing w:after="0" w:line="2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April 28, 2026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members of our compensation committee were Ms. O’Brien, Mr. Fonteyne, Mr. Machiels and Ms. Walbert. 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ever has been, an officer or employee of our company.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FURTHER INFORMATION REGARDING EXECUTIVE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our named executive officers for the fiscal years ended December 31, 2025, 2024, and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3"/>
                <w:szCs w:val="13"/>
                <w:color w:val="auto"/>
              </w:rPr>
            </w:pPr>
          </w:p>
        </w:tc>
        <w:tc>
          <w:tcPr>
            <w:tcW w:w="11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13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8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(1)</w:t>
            </w:r>
          </w:p>
        </w:tc>
        <w:tc>
          <w:tcPr>
            <w:tcW w:w="140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 (2)</w:t>
            </w:r>
          </w:p>
        </w:tc>
        <w:tc>
          <w:tcPr>
            <w:tcW w:w="132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 (3)</w:t>
            </w:r>
          </w:p>
        </w:tc>
        <w:tc>
          <w:tcPr>
            <w:tcW w:w="148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 (4)</w:t>
            </w:r>
          </w:p>
        </w:tc>
        <w:tc>
          <w:tcPr>
            <w:tcW w:w="146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8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Cedric Francois, M.D.,</w:t>
            </w:r>
          </w:p>
        </w:tc>
        <w:tc>
          <w:tcPr>
            <w:tcW w:w="10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Ph.D.(5)</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President &amp; Chief</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822,116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346,500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9,691,201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2,466,750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13,342,739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793,193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580,736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4,787,768</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4,779,832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10,957,451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734,539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694,688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4,542,373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4,394,319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10,373,049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Timothy Sullivan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548,271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288,750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3,406,554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707,850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4,981,762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530,963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242,730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1,577,122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1,574,492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3,949,075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496,654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281,250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1,496,291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1,447,518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3,737,235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David Watson</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General Counsel</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546,193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288,750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3,171,658</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707,850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4,730,623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513,078</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211,107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1,577,122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1,574,492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479,193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271,688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1,306,582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2,814,940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4,885,889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Caroline Baumal, M.D.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629,903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331,916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2,936,687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707,850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4,622,528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610,386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279,026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1,689,790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1,687,004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4,407,128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550,673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323,438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1,632,190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1,787,404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136,754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4,430,459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Kelley Boucher (6)</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People Officer</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214,755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111,421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2,103,963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2,099,746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4,530,091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“Bonus” column represent annual cash bonuses awarded to our named executive officers.</w:t>
      </w:r>
    </w:p>
    <w:p>
      <w:pPr>
        <w:spacing w:after="0" w:line="117" w:lineRule="exact"/>
        <w:rPr>
          <w:rFonts w:ascii="Times New Roman" w:cs="Times New Roman" w:eastAsia="Times New Roman" w:hAnsi="Times New Roman"/>
          <w:sz w:val="18"/>
          <w:szCs w:val="18"/>
          <w:color w:val="auto"/>
        </w:rPr>
      </w:pPr>
    </w:p>
    <w:p>
      <w:pPr>
        <w:ind w:left="520" w:right="40" w:hanging="512"/>
        <w:spacing w:after="0" w:line="255"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column represent the aggregate grant date fair value for the fiscal years ended December 31, 2025, 2024, and 2023 of grants of RSUs and PSUs to each of the named executive officers, calculated in accordance with FASB ASC Topic 718. For RSUs, these amounts are calculated as the number of shares of RSUs granted multiplied by the quoted closing market price of our common stock on the date of grant. For PSUs, these amounts are calculated based on the probable outcome of the performance conditions as of the grant date. The amounts reported reflect our total accounting expense, excluding the effect of estimated forfeitures, and may not represent the amounts our named executive officers will actually receive from the awards. For the fiscal year ended December 31, 2025, no expense was recognized related to the PSUs granted under the 2025 Supplemental Performance Incentive Program.</w:t>
      </w:r>
    </w:p>
    <w:p>
      <w:pPr>
        <w:spacing w:after="0" w:line="80" w:lineRule="exact"/>
        <w:rPr>
          <w:rFonts w:ascii="Times New Roman" w:cs="Times New Roman" w:eastAsia="Times New Roman" w:hAnsi="Times New Roman"/>
          <w:sz w:val="18"/>
          <w:szCs w:val="18"/>
          <w:color w:val="auto"/>
        </w:rPr>
      </w:pPr>
    </w:p>
    <w:p>
      <w:pPr>
        <w:ind w:left="520" w:right="180" w:hanging="512"/>
        <w:spacing w:after="0" w:line="26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“Options Awards” column reflect the aggregate grant date fair value of options awarded during the year, computed in accordance with the provisions of FASB ASC Topic 718, using a Black-Scholes valuation model. For the assumptions made in determining these values, see Note 14 to the consolidated financial statements in our Annual Report on Form 10-K for the year ended December 31, 2025. For purposes of these calculations, we have disregarded the possibility of forfeitures related to service-based vesting conditions.</w:t>
      </w:r>
    </w:p>
    <w:p>
      <w:pPr>
        <w:spacing w:after="0" w:line="71" w:lineRule="exact"/>
        <w:rPr>
          <w:rFonts w:ascii="Times New Roman" w:cs="Times New Roman" w:eastAsia="Times New Roman" w:hAnsi="Times New Roman"/>
          <w:sz w:val="18"/>
          <w:szCs w:val="18"/>
          <w:color w:val="auto"/>
        </w:rPr>
      </w:pPr>
    </w:p>
    <w:p>
      <w:pPr>
        <w:ind w:left="520" w:right="80" w:hanging="512"/>
        <w:spacing w:after="0" w:line="249"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reported in the “All Other Compensation” column consist of the value of Company paid life insurance premiums and the amounts we contributed to our 401(k) plan in respect of our named executive officers. In 2025, we paid life insurance premiums of $672 for Dr. Francois, Mr. Sullivan, Mr. Watson, Dr. Baumal and $207 for Ms. Boucher, and we made 401(k) plan contributions of $15,550 for each of Dr. Francois, Mr. Sullivan, Mr. Watson, and Dr. Baumal. For Mr. Sullivan, this column also includes financial planning services in the amount of $14,115 in 2025. </w:t>
      </w:r>
      <w:r>
        <w:rPr>
          <w:rFonts w:ascii="Times New Roman" w:cs="Times New Roman" w:eastAsia="Times New Roman" w:hAnsi="Times New Roman"/>
          <w:sz w:val="17"/>
          <w:szCs w:val="17"/>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2024, we paid life insurance premiums of $672 for each named executive officer, and we made 401(k) plan contributions of $15,250 for each of Dr. Francois, Mr. Sullivan, Dr. Baumal, and Mr. Watson, and $11,500 for Mr. Townsend. For Dr. Baumal, this column also includes 50% of a $250,000 cash sign-on bonus paid on the one-year anniversary of her hire date. For Mr. Sullivan, this column also includes financial planning services in the amount of $7,846. In 2023, we paid life insurance premiums of $672 for each named executive officer, and we made 401(k) plan contributions of $6,458 for Dr. Francois, $14,850 for Mr. Sullivan, $11,082 for Dr. Baumal, and $12,814 for Mr. Watson. For Dr. Baumal, this column also includes 50% of a $250,000 cash sign-on bonus paid at time of hire, with the remaining 50% to be paid on the one-year anniversary of her hire date.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Francois also serves as a member of our board of directors but does not receive any additional compensation for his service as a director.</w:t>
      </w:r>
    </w:p>
    <w:p>
      <w:pPr>
        <w:spacing w:after="0" w:line="117"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Boucher joined us on May 27, 2025 on a part-time basis and received a prorated portion of her new hire grant. Ms. Boucher increased her part-time hours on June 9, 2025 and received another prorated portion of her new hire grant. Ms. Boucher increased to 100% full-time employee on September 1, 2025 and received the final prorated portion of her new hire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 Based Awards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grants of plan-based awards made to our named executive officers during the year ended December 31,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for Fiscal Year Ended December 31, 2025</w:t>
      </w:r>
    </w:p>
    <w:p>
      <w:pPr>
        <w:spacing w:after="0" w:line="23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Estimated Future Payouts</w:t>
      </w:r>
    </w:p>
    <w:p>
      <w:pPr>
        <w:spacing w:after="0" w:line="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Under Equity Incentive Plan</w:t>
      </w:r>
    </w:p>
    <w:p>
      <w:pPr>
        <w:jc w:val="center"/>
        <w:ind w:right="960"/>
        <w:spacing w:after="0" w:line="233" w:lineRule="auto"/>
        <w:rPr>
          <w:sz w:val="20"/>
          <w:szCs w:val="20"/>
          <w:color w:val="auto"/>
        </w:rPr>
      </w:pPr>
      <w:r>
        <w:rPr>
          <w:rFonts w:ascii="Times New Roman" w:cs="Times New Roman" w:eastAsia="Times New Roman" w:hAnsi="Times New Roman"/>
          <w:sz w:val="11"/>
          <w:szCs w:val="11"/>
          <w:b w:val="1"/>
          <w:bCs w:val="1"/>
          <w:color w:val="auto"/>
        </w:rPr>
        <w:t>Awards</w:t>
      </w:r>
    </w:p>
    <w:tbl>
      <w:tblPr>
        <w:tblLayout w:type="fixed"/>
        <w:tblInd w:w="0" w:type="dxa"/>
        <w:tblCellMar>
          <w:top w:w="0" w:type="dxa"/>
          <w:left w:w="0" w:type="dxa"/>
          <w:bottom w:w="0" w:type="dxa"/>
          <w:right w:w="0" w:type="dxa"/>
        </w:tblCellMar>
      </w:tblPr>
      <w:tr>
        <w:trPr>
          <w:trHeight w:val="99"/>
        </w:trPr>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All Other Stock</w:t>
            </w:r>
          </w:p>
        </w:tc>
        <w:tc>
          <w:tcPr>
            <w:tcW w:w="220" w:type="dxa"/>
            <w:vAlign w:val="bottom"/>
          </w:tcPr>
          <w:p>
            <w:pPr>
              <w:spacing w:after="0"/>
              <w:rPr>
                <w:sz w:val="8"/>
                <w:szCs w:val="8"/>
                <w:color w:val="auto"/>
              </w:rPr>
            </w:pPr>
          </w:p>
        </w:tc>
        <w:tc>
          <w:tcPr>
            <w:tcW w:w="10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9"/>
              </w:rPr>
              <w:t>All Other Option</w:t>
            </w: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2"/>
        </w:trPr>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Awards: Number</w:t>
            </w:r>
          </w:p>
        </w:tc>
        <w:tc>
          <w:tcPr>
            <w:tcW w:w="2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Exercise Price</w:t>
            </w:r>
          </w:p>
        </w:tc>
        <w:tc>
          <w:tcPr>
            <w:tcW w:w="220" w:type="dxa"/>
            <w:vAlign w:val="bottom"/>
          </w:tcPr>
          <w:p>
            <w:pPr>
              <w:spacing w:after="0"/>
              <w:rPr>
                <w:sz w:val="10"/>
                <w:szCs w:val="10"/>
                <w:color w:val="auto"/>
              </w:rPr>
            </w:pPr>
          </w:p>
        </w:tc>
        <w:tc>
          <w:tcPr>
            <w:tcW w:w="12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Grant Date Fair</w:t>
            </w:r>
          </w:p>
        </w:tc>
      </w:tr>
      <w:tr>
        <w:trPr>
          <w:trHeight w:val="122"/>
        </w:trPr>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2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of Securities</w:t>
            </w:r>
          </w:p>
        </w:tc>
        <w:tc>
          <w:tcPr>
            <w:tcW w:w="2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Option</w:t>
            </w:r>
          </w:p>
        </w:tc>
        <w:tc>
          <w:tcPr>
            <w:tcW w:w="220" w:type="dxa"/>
            <w:vAlign w:val="bottom"/>
          </w:tcPr>
          <w:p>
            <w:pPr>
              <w:spacing w:after="0"/>
              <w:rPr>
                <w:sz w:val="10"/>
                <w:szCs w:val="10"/>
                <w:color w:val="auto"/>
              </w:rPr>
            </w:pPr>
          </w:p>
        </w:tc>
        <w:tc>
          <w:tcPr>
            <w:tcW w:w="12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Value of Stock</w:t>
            </w:r>
          </w:p>
        </w:tc>
      </w:tr>
      <w:tr>
        <w:trPr>
          <w:trHeight w:val="121"/>
        </w:trPr>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30"/>
              <w:spacing w:after="0" w:line="122" w:lineRule="exact"/>
              <w:rPr>
                <w:sz w:val="20"/>
                <w:szCs w:val="20"/>
                <w:color w:val="auto"/>
              </w:rPr>
            </w:pPr>
            <w:r>
              <w:rPr>
                <w:rFonts w:ascii="Times New Roman" w:cs="Times New Roman" w:eastAsia="Times New Roman" w:hAnsi="Times New Roman"/>
                <w:sz w:val="11"/>
                <w:szCs w:val="11"/>
                <w:b w:val="1"/>
                <w:bCs w:val="1"/>
                <w:color w:val="auto"/>
              </w:rPr>
              <w:t>Grant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90"/>
              <w:spacing w:after="0" w:line="122"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240" w:type="dxa"/>
            <w:vAlign w:val="bottom"/>
          </w:tcPr>
          <w:p>
            <w:pPr>
              <w:spacing w:after="0"/>
              <w:rPr>
                <w:sz w:val="10"/>
                <w:szCs w:val="10"/>
                <w:color w:val="auto"/>
              </w:rPr>
            </w:pPr>
          </w:p>
        </w:tc>
        <w:tc>
          <w:tcPr>
            <w:tcW w:w="640" w:type="dxa"/>
            <w:vAlign w:val="bottom"/>
          </w:tcPr>
          <w:p>
            <w:pPr>
              <w:jc w:val="right"/>
              <w:ind w:right="110"/>
              <w:spacing w:after="0" w:line="122" w:lineRule="exact"/>
              <w:rPr>
                <w:sz w:val="20"/>
                <w:szCs w:val="20"/>
                <w:color w:val="auto"/>
              </w:rPr>
            </w:pPr>
            <w:r>
              <w:rPr>
                <w:rFonts w:ascii="Times New Roman" w:cs="Times New Roman" w:eastAsia="Times New Roman" w:hAnsi="Times New Roman"/>
                <w:sz w:val="11"/>
                <w:szCs w:val="11"/>
                <w:b w:val="1"/>
                <w:bCs w:val="1"/>
                <w:color w:val="auto"/>
              </w:rPr>
              <w:t>Target</w:t>
            </w:r>
          </w:p>
        </w:tc>
        <w:tc>
          <w:tcPr>
            <w:tcW w:w="220" w:type="dxa"/>
            <w:vAlign w:val="bottom"/>
          </w:tcPr>
          <w:p>
            <w:pPr>
              <w:spacing w:after="0"/>
              <w:rPr>
                <w:sz w:val="10"/>
                <w:szCs w:val="10"/>
                <w:color w:val="auto"/>
              </w:rPr>
            </w:pPr>
          </w:p>
        </w:tc>
        <w:tc>
          <w:tcPr>
            <w:tcW w:w="8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Maximum</w:t>
            </w: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of Stock</w:t>
            </w:r>
          </w:p>
        </w:tc>
        <w:tc>
          <w:tcPr>
            <w:tcW w:w="22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2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Awards ($/</w:t>
            </w:r>
          </w:p>
        </w:tc>
        <w:tc>
          <w:tcPr>
            <w:tcW w:w="220" w:type="dxa"/>
            <w:vAlign w:val="bottom"/>
          </w:tcPr>
          <w:p>
            <w:pPr>
              <w:spacing w:after="0"/>
              <w:rPr>
                <w:sz w:val="10"/>
                <w:szCs w:val="10"/>
                <w:color w:val="auto"/>
              </w:rPr>
            </w:pPr>
          </w:p>
        </w:tc>
        <w:tc>
          <w:tcPr>
            <w:tcW w:w="12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and Option</w:t>
            </w:r>
          </w:p>
        </w:tc>
      </w:tr>
      <w:tr>
        <w:trPr>
          <w:trHeight w:val="137"/>
        </w:trPr>
        <w:tc>
          <w:tcPr>
            <w:tcW w:w="20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1"/>
                <w:szCs w:val="11"/>
                <w:color w:val="auto"/>
              </w:rPr>
            </w:pP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240" w:type="dxa"/>
            <w:vAlign w:val="bottom"/>
          </w:tcPr>
          <w:p>
            <w:pPr>
              <w:spacing w:after="0"/>
              <w:rPr>
                <w:sz w:val="11"/>
                <w:szCs w:val="1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1"/>
                <w:szCs w:val="11"/>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1"/>
                <w:szCs w:val="11"/>
                <w:color w:val="auto"/>
              </w:rPr>
            </w:pPr>
          </w:p>
        </w:tc>
        <w:tc>
          <w:tcPr>
            <w:tcW w:w="6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or Units (#)</w:t>
            </w:r>
          </w:p>
        </w:tc>
        <w:tc>
          <w:tcPr>
            <w:tcW w:w="22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220" w:type="dxa"/>
            <w:vAlign w:val="bottom"/>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 (1)</w:t>
            </w:r>
          </w:p>
        </w:tc>
        <w:tc>
          <w:tcPr>
            <w:tcW w:w="220" w:type="dxa"/>
            <w:vAlign w:val="bottom"/>
          </w:tcPr>
          <w:p>
            <w:pPr>
              <w:spacing w:after="0"/>
              <w:rPr>
                <w:sz w:val="11"/>
                <w:szCs w:val="1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Awards ($) (2)</w:t>
            </w:r>
          </w:p>
        </w:tc>
        <w:tc>
          <w:tcPr>
            <w:tcW w:w="100" w:type="dxa"/>
            <w:vAlign w:val="bottom"/>
          </w:tcPr>
          <w:p>
            <w:pPr>
              <w:spacing w:after="0"/>
              <w:rPr>
                <w:sz w:val="11"/>
                <w:szCs w:val="11"/>
                <w:color w:val="auto"/>
              </w:rPr>
            </w:pPr>
          </w:p>
        </w:tc>
      </w:tr>
      <w:tr>
        <w:trPr>
          <w:trHeight w:val="119"/>
        </w:trPr>
        <w:tc>
          <w:tcPr>
            <w:tcW w:w="20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Cedric Francois, M.D., Ph.D</w:t>
            </w:r>
          </w:p>
        </w:tc>
        <w:tc>
          <w:tcPr>
            <w:tcW w:w="7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1/21/25</w:t>
            </w:r>
          </w:p>
        </w:tc>
        <w:tc>
          <w:tcPr>
            <w:tcW w:w="960" w:type="dxa"/>
            <w:vAlign w:val="bottom"/>
            <w:gridSpan w:val="3"/>
            <w:shd w:val="clear" w:color="auto" w:fill="CFF0FC"/>
          </w:tcPr>
          <w:p>
            <w:pPr>
              <w:jc w:val="right"/>
              <w:ind w:right="180"/>
              <w:spacing w:after="0" w:line="119" w:lineRule="exact"/>
              <w:rPr>
                <w:sz w:val="20"/>
                <w:szCs w:val="20"/>
                <w:color w:val="auto"/>
              </w:rPr>
            </w:pPr>
            <w:r>
              <w:rPr>
                <w:rFonts w:ascii="Times New Roman" w:cs="Times New Roman" w:eastAsia="Times New Roman" w:hAnsi="Times New Roman"/>
                <w:sz w:val="13"/>
                <w:szCs w:val="13"/>
                <w:color w:val="auto"/>
              </w:rPr>
              <w:t>(3)</w:t>
            </w:r>
          </w:p>
        </w:tc>
        <w:tc>
          <w:tcPr>
            <w:tcW w:w="7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65,331</w:t>
            </w:r>
          </w:p>
        </w:tc>
        <w:tc>
          <w:tcPr>
            <w:tcW w:w="8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130,662</w:t>
            </w:r>
          </w:p>
        </w:tc>
        <w:tc>
          <w:tcPr>
            <w:tcW w:w="8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261,324</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5,754,354</w:t>
            </w:r>
          </w:p>
        </w:tc>
        <w:tc>
          <w:tcPr>
            <w:tcW w:w="100" w:type="dxa"/>
            <w:vAlign w:val="bottom"/>
            <w:shd w:val="clear" w:color="auto" w:fill="CFF0FC"/>
          </w:tcPr>
          <w:p>
            <w:pPr>
              <w:spacing w:after="0"/>
              <w:rPr>
                <w:sz w:val="10"/>
                <w:szCs w:val="10"/>
                <w:color w:val="auto"/>
              </w:rPr>
            </w:pPr>
          </w:p>
        </w:tc>
      </w:tr>
      <w:tr>
        <w:trPr>
          <w:trHeight w:val="148"/>
        </w:trPr>
        <w:tc>
          <w:tcPr>
            <w:tcW w:w="2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1/21/25</w:t>
            </w:r>
          </w:p>
        </w:tc>
        <w:tc>
          <w:tcPr>
            <w:tcW w:w="9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130,662</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3,936,846</w:t>
            </w:r>
          </w:p>
        </w:tc>
        <w:tc>
          <w:tcPr>
            <w:tcW w:w="100" w:type="dxa"/>
            <w:vAlign w:val="bottom"/>
            <w:shd w:val="clear" w:color="auto" w:fill="CFF0FC"/>
          </w:tcPr>
          <w:p>
            <w:pPr>
              <w:spacing w:after="0"/>
              <w:rPr>
                <w:sz w:val="12"/>
                <w:szCs w:val="12"/>
                <w:color w:val="auto"/>
              </w:rPr>
            </w:pPr>
          </w:p>
        </w:tc>
      </w:tr>
      <w:tr>
        <w:trPr>
          <w:trHeight w:val="148"/>
        </w:trPr>
        <w:tc>
          <w:tcPr>
            <w:tcW w:w="2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6/9/25</w:t>
            </w:r>
          </w:p>
        </w:tc>
        <w:tc>
          <w:tcPr>
            <w:tcW w:w="9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71,875</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143,750</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287,500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2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9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287,500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2,466,750</w:t>
            </w:r>
          </w:p>
        </w:tc>
        <w:tc>
          <w:tcPr>
            <w:tcW w:w="100" w:type="dxa"/>
            <w:vAlign w:val="bottom"/>
            <w:shd w:val="clear" w:color="auto" w:fill="CFF0FC"/>
          </w:tcPr>
          <w:p>
            <w:pPr>
              <w:spacing w:after="0"/>
              <w:rPr>
                <w:sz w:val="14"/>
                <w:szCs w:val="14"/>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Timothy Sullivan</w:t>
            </w:r>
          </w:p>
        </w:tc>
        <w:tc>
          <w:tcPr>
            <w:tcW w:w="12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1/21/25</w:t>
            </w:r>
          </w:p>
        </w:tc>
        <w:tc>
          <w:tcPr>
            <w:tcW w:w="960" w:type="dxa"/>
            <w:vAlign w:val="bottom"/>
            <w:gridSpan w:val="3"/>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(3)</w:t>
            </w: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22,965</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45,929</w:t>
            </w:r>
          </w:p>
        </w:tc>
        <w:tc>
          <w:tcPr>
            <w:tcW w:w="8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91,858</w:t>
            </w:r>
          </w:p>
        </w:tc>
        <w:tc>
          <w:tcPr>
            <w:tcW w:w="22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2,022,713</w:t>
            </w:r>
          </w:p>
        </w:tc>
        <w:tc>
          <w:tcPr>
            <w:tcW w:w="100" w:type="dxa"/>
            <w:vAlign w:val="bottom"/>
          </w:tcPr>
          <w:p>
            <w:pPr>
              <w:spacing w:after="0"/>
              <w:rPr>
                <w:sz w:val="10"/>
                <w:szCs w:val="10"/>
                <w:color w:val="auto"/>
              </w:rPr>
            </w:pPr>
          </w:p>
        </w:tc>
      </w:tr>
      <w:tr>
        <w:trPr>
          <w:trHeight w:val="148"/>
        </w:trPr>
        <w:tc>
          <w:tcPr>
            <w:tcW w:w="20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1/21/25</w:t>
            </w:r>
          </w:p>
        </w:tc>
        <w:tc>
          <w:tcPr>
            <w:tcW w:w="9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45,929</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1,383,841</w:t>
            </w:r>
          </w:p>
        </w:tc>
        <w:tc>
          <w:tcPr>
            <w:tcW w:w="100" w:type="dxa"/>
            <w:vAlign w:val="bottom"/>
          </w:tcPr>
          <w:p>
            <w:pPr>
              <w:spacing w:after="0"/>
              <w:rPr>
                <w:sz w:val="12"/>
                <w:szCs w:val="12"/>
                <w:color w:val="auto"/>
              </w:rPr>
            </w:pPr>
          </w:p>
        </w:tc>
      </w:tr>
      <w:tr>
        <w:trPr>
          <w:trHeight w:val="148"/>
        </w:trPr>
        <w:tc>
          <w:tcPr>
            <w:tcW w:w="20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6/9/25</w:t>
            </w:r>
          </w:p>
        </w:tc>
        <w:tc>
          <w:tcPr>
            <w:tcW w:w="9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20,625</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82,500</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20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707,850</w:t>
            </w:r>
          </w:p>
        </w:tc>
        <w:tc>
          <w:tcPr>
            <w:tcW w:w="100" w:type="dxa"/>
            <w:vAlign w:val="bottom"/>
          </w:tcPr>
          <w:p>
            <w:pPr>
              <w:spacing w:after="0"/>
              <w:rPr>
                <w:sz w:val="14"/>
                <w:szCs w:val="14"/>
                <w:color w:val="auto"/>
              </w:rPr>
            </w:pPr>
          </w:p>
        </w:tc>
      </w:tr>
      <w:tr>
        <w:trPr>
          <w:trHeight w:val="126"/>
        </w:trPr>
        <w:tc>
          <w:tcPr>
            <w:tcW w:w="2040" w:type="dxa"/>
            <w:vAlign w:val="bottom"/>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David Watson</w:t>
            </w:r>
          </w:p>
        </w:tc>
        <w:tc>
          <w:tcPr>
            <w:tcW w:w="7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1/21/25</w:t>
            </w:r>
          </w:p>
        </w:tc>
        <w:tc>
          <w:tcPr>
            <w:tcW w:w="960" w:type="dxa"/>
            <w:vAlign w:val="bottom"/>
            <w:gridSpan w:val="3"/>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(3)</w:t>
            </w: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21,381</w:t>
            </w:r>
          </w:p>
        </w:tc>
        <w:tc>
          <w:tcPr>
            <w:tcW w:w="8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42,762</w:t>
            </w:r>
          </w:p>
        </w:tc>
        <w:tc>
          <w:tcPr>
            <w:tcW w:w="8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85,524</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1,883,238</w:t>
            </w:r>
          </w:p>
        </w:tc>
        <w:tc>
          <w:tcPr>
            <w:tcW w:w="100" w:type="dxa"/>
            <w:vAlign w:val="bottom"/>
            <w:shd w:val="clear" w:color="auto" w:fill="CFF0FC"/>
          </w:tcPr>
          <w:p>
            <w:pPr>
              <w:spacing w:after="0"/>
              <w:rPr>
                <w:sz w:val="10"/>
                <w:szCs w:val="10"/>
                <w:color w:val="auto"/>
              </w:rPr>
            </w:pPr>
          </w:p>
        </w:tc>
      </w:tr>
      <w:tr>
        <w:trPr>
          <w:trHeight w:val="149"/>
        </w:trPr>
        <w:tc>
          <w:tcPr>
            <w:tcW w:w="2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1/21/25</w:t>
            </w:r>
          </w:p>
        </w:tc>
        <w:tc>
          <w:tcPr>
            <w:tcW w:w="9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42,762</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1,288,419</w:t>
            </w:r>
          </w:p>
        </w:tc>
        <w:tc>
          <w:tcPr>
            <w:tcW w:w="100" w:type="dxa"/>
            <w:vAlign w:val="bottom"/>
            <w:shd w:val="clear" w:color="auto" w:fill="CFF0FC"/>
          </w:tcPr>
          <w:p>
            <w:pPr>
              <w:spacing w:after="0"/>
              <w:rPr>
                <w:sz w:val="12"/>
                <w:szCs w:val="12"/>
                <w:color w:val="auto"/>
              </w:rPr>
            </w:pPr>
          </w:p>
        </w:tc>
      </w:tr>
      <w:tr>
        <w:trPr>
          <w:trHeight w:val="148"/>
        </w:trPr>
        <w:tc>
          <w:tcPr>
            <w:tcW w:w="2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6/9/25</w:t>
            </w:r>
          </w:p>
        </w:tc>
        <w:tc>
          <w:tcPr>
            <w:tcW w:w="9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20,625</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41,250</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82,500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2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9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707,850</w:t>
            </w:r>
          </w:p>
        </w:tc>
        <w:tc>
          <w:tcPr>
            <w:tcW w:w="100" w:type="dxa"/>
            <w:vAlign w:val="bottom"/>
            <w:shd w:val="clear" w:color="auto" w:fill="CFF0FC"/>
          </w:tcPr>
          <w:p>
            <w:pPr>
              <w:spacing w:after="0"/>
              <w:rPr>
                <w:sz w:val="14"/>
                <w:szCs w:val="14"/>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Caroline Baumal, M.D.</w:t>
            </w:r>
          </w:p>
        </w:tc>
        <w:tc>
          <w:tcPr>
            <w:tcW w:w="12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1/21/25</w:t>
            </w:r>
          </w:p>
        </w:tc>
        <w:tc>
          <w:tcPr>
            <w:tcW w:w="960" w:type="dxa"/>
            <w:vAlign w:val="bottom"/>
            <w:gridSpan w:val="3"/>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(3)</w:t>
            </w: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19,797</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39,594</w:t>
            </w:r>
          </w:p>
        </w:tc>
        <w:tc>
          <w:tcPr>
            <w:tcW w:w="8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79,188</w:t>
            </w:r>
          </w:p>
        </w:tc>
        <w:tc>
          <w:tcPr>
            <w:tcW w:w="22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1,743,720</w:t>
            </w:r>
          </w:p>
        </w:tc>
        <w:tc>
          <w:tcPr>
            <w:tcW w:w="100" w:type="dxa"/>
            <w:vAlign w:val="bottom"/>
          </w:tcPr>
          <w:p>
            <w:pPr>
              <w:spacing w:after="0"/>
              <w:rPr>
                <w:sz w:val="10"/>
                <w:szCs w:val="10"/>
                <w:color w:val="auto"/>
              </w:rPr>
            </w:pPr>
          </w:p>
        </w:tc>
      </w:tr>
      <w:tr>
        <w:trPr>
          <w:trHeight w:val="149"/>
        </w:trPr>
        <w:tc>
          <w:tcPr>
            <w:tcW w:w="20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1/21/25</w:t>
            </w:r>
          </w:p>
        </w:tc>
        <w:tc>
          <w:tcPr>
            <w:tcW w:w="9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39,594</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1,192,967</w:t>
            </w:r>
          </w:p>
        </w:tc>
        <w:tc>
          <w:tcPr>
            <w:tcW w:w="100" w:type="dxa"/>
            <w:vAlign w:val="bottom"/>
          </w:tcPr>
          <w:p>
            <w:pPr>
              <w:spacing w:after="0"/>
              <w:rPr>
                <w:sz w:val="12"/>
                <w:szCs w:val="12"/>
                <w:color w:val="auto"/>
              </w:rPr>
            </w:pPr>
          </w:p>
        </w:tc>
      </w:tr>
      <w:tr>
        <w:trPr>
          <w:trHeight w:val="148"/>
        </w:trPr>
        <w:tc>
          <w:tcPr>
            <w:tcW w:w="20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6/9/25</w:t>
            </w:r>
          </w:p>
        </w:tc>
        <w:tc>
          <w:tcPr>
            <w:tcW w:w="9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20,625</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82,500</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20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707,850</w:t>
            </w:r>
          </w:p>
        </w:tc>
        <w:tc>
          <w:tcPr>
            <w:tcW w:w="100" w:type="dxa"/>
            <w:vAlign w:val="bottom"/>
          </w:tcPr>
          <w:p>
            <w:pPr>
              <w:spacing w:after="0"/>
              <w:rPr>
                <w:sz w:val="14"/>
                <w:szCs w:val="14"/>
                <w:color w:val="auto"/>
              </w:rPr>
            </w:pPr>
          </w:p>
        </w:tc>
      </w:tr>
      <w:tr>
        <w:trPr>
          <w:trHeight w:val="126"/>
        </w:trPr>
        <w:tc>
          <w:tcPr>
            <w:tcW w:w="20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Kelley Boucher</w:t>
            </w:r>
          </w:p>
        </w:tc>
        <w:tc>
          <w:tcPr>
            <w:tcW w:w="7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5/28/25</w:t>
            </w:r>
          </w:p>
        </w:tc>
        <w:tc>
          <w:tcPr>
            <w:tcW w:w="960" w:type="dxa"/>
            <w:vAlign w:val="bottom"/>
            <w:gridSpan w:val="3"/>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22,087</w:t>
            </w: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371,062</w:t>
            </w:r>
          </w:p>
        </w:tc>
        <w:tc>
          <w:tcPr>
            <w:tcW w:w="100" w:type="dxa"/>
            <w:vAlign w:val="bottom"/>
            <w:shd w:val="clear" w:color="auto" w:fill="CFF0FC"/>
          </w:tcPr>
          <w:p>
            <w:pPr>
              <w:spacing w:after="0"/>
              <w:rPr>
                <w:sz w:val="10"/>
                <w:szCs w:val="10"/>
                <w:color w:val="auto"/>
              </w:rPr>
            </w:pPr>
          </w:p>
        </w:tc>
      </w:tr>
      <w:tr>
        <w:trPr>
          <w:trHeight w:val="148"/>
        </w:trPr>
        <w:tc>
          <w:tcPr>
            <w:tcW w:w="2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5/28/25</w:t>
            </w:r>
          </w:p>
        </w:tc>
        <w:tc>
          <w:tcPr>
            <w:tcW w:w="9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32,976</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371,310</w:t>
            </w:r>
          </w:p>
        </w:tc>
        <w:tc>
          <w:tcPr>
            <w:tcW w:w="100" w:type="dxa"/>
            <w:vAlign w:val="bottom"/>
            <w:shd w:val="clear" w:color="auto" w:fill="CFF0FC"/>
          </w:tcPr>
          <w:p>
            <w:pPr>
              <w:spacing w:after="0"/>
              <w:rPr>
                <w:sz w:val="12"/>
                <w:szCs w:val="12"/>
                <w:color w:val="auto"/>
              </w:rPr>
            </w:pPr>
          </w:p>
        </w:tc>
      </w:tr>
      <w:tr>
        <w:trPr>
          <w:trHeight w:val="149"/>
        </w:trPr>
        <w:tc>
          <w:tcPr>
            <w:tcW w:w="2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6/9/25</w:t>
            </w:r>
          </w:p>
        </w:tc>
        <w:tc>
          <w:tcPr>
            <w:tcW w:w="9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45,095</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874,392</w:t>
            </w:r>
          </w:p>
        </w:tc>
        <w:tc>
          <w:tcPr>
            <w:tcW w:w="100" w:type="dxa"/>
            <w:vAlign w:val="bottom"/>
            <w:shd w:val="clear" w:color="auto" w:fill="CFF0FC"/>
          </w:tcPr>
          <w:p>
            <w:pPr>
              <w:spacing w:after="0"/>
              <w:rPr>
                <w:sz w:val="12"/>
                <w:szCs w:val="12"/>
                <w:color w:val="auto"/>
              </w:rPr>
            </w:pPr>
          </w:p>
        </w:tc>
      </w:tr>
      <w:tr>
        <w:trPr>
          <w:trHeight w:val="148"/>
        </w:trPr>
        <w:tc>
          <w:tcPr>
            <w:tcW w:w="2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6/9/25</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67,396</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19.39</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869,408</w:t>
            </w:r>
          </w:p>
        </w:tc>
        <w:tc>
          <w:tcPr>
            <w:tcW w:w="100" w:type="dxa"/>
            <w:vAlign w:val="bottom"/>
            <w:shd w:val="clear" w:color="auto" w:fill="CFF0FC"/>
          </w:tcPr>
          <w:p>
            <w:pPr>
              <w:spacing w:after="0"/>
              <w:rPr>
                <w:sz w:val="12"/>
                <w:szCs w:val="12"/>
                <w:color w:val="auto"/>
              </w:rPr>
            </w:pPr>
          </w:p>
        </w:tc>
      </w:tr>
      <w:tr>
        <w:trPr>
          <w:trHeight w:val="148"/>
        </w:trPr>
        <w:tc>
          <w:tcPr>
            <w:tcW w:w="2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9/2/25</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30,476</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858,509</w:t>
            </w:r>
          </w:p>
        </w:tc>
        <w:tc>
          <w:tcPr>
            <w:tcW w:w="100" w:type="dxa"/>
            <w:vAlign w:val="bottom"/>
            <w:shd w:val="clear" w:color="auto" w:fill="CFF0FC"/>
          </w:tcPr>
          <w:p>
            <w:pPr>
              <w:spacing w:after="0"/>
              <w:rPr>
                <w:sz w:val="12"/>
                <w:szCs w:val="12"/>
                <w:color w:val="auto"/>
              </w:rPr>
            </w:pPr>
          </w:p>
        </w:tc>
      </w:tr>
      <w:tr>
        <w:trPr>
          <w:trHeight w:val="171"/>
        </w:trPr>
        <w:tc>
          <w:tcPr>
            <w:tcW w:w="2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45,766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859,028</w:t>
            </w:r>
          </w:p>
        </w:tc>
        <w:tc>
          <w:tcPr>
            <w:tcW w:w="100" w:type="dxa"/>
            <w:vAlign w:val="bottom"/>
            <w:shd w:val="clear" w:color="auto" w:fill="CFF0FC"/>
          </w:tcPr>
          <w:p>
            <w:pPr>
              <w:spacing w:after="0"/>
              <w:rPr>
                <w:sz w:val="14"/>
                <w:szCs w:val="14"/>
                <w:color w:val="auto"/>
              </w:rPr>
            </w:pPr>
          </w:p>
        </w:tc>
      </w:tr>
    </w:tbl>
    <w:p>
      <w:pPr>
        <w:spacing w:after="0" w:line="130"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these stock options is equal to the closing price of our common stock on the Nasdaq Global Select Market on the grant date.</w:t>
      </w:r>
    </w:p>
    <w:p>
      <w:pPr>
        <w:spacing w:after="0" w:line="90" w:lineRule="exact"/>
        <w:rPr>
          <w:rFonts w:ascii="Times New Roman" w:cs="Times New Roman" w:eastAsia="Times New Roman" w:hAnsi="Times New Roman"/>
          <w:sz w:val="18"/>
          <w:szCs w:val="18"/>
          <w:color w:val="auto"/>
        </w:rPr>
      </w:pPr>
    </w:p>
    <w:p>
      <w:pPr>
        <w:ind w:left="520" w:right="120" w:hanging="512"/>
        <w:spacing w:after="0" w:line="258"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restricted stock units, performance stock units, and stock options awarded to the named executive officers, calculated in accordance with FASB ASC Topic 718, which is determined by multiplying the grant date fair value per share by the number of awards granted. For the assumptions made in determining these grant date fair values, see Note 14 to the consolidated financial statements in our Annual Report on Form 10-K for the year ended December 31, 2025. For purposes of these calculations, we have disregarded the possibility of forfeitures related to service-based vesting conditions.</w:t>
      </w:r>
    </w:p>
    <w:p>
      <w:pPr>
        <w:spacing w:after="0" w:line="34"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2025 performance stock units that are tied to the Total Shareholder Return (TSR) performance measured relative to the Nasdaq Biotechnology Index and vest at the end of each measurement period.</w:t>
      </w:r>
    </w:p>
    <w:p>
      <w:pPr>
        <w:spacing w:after="0" w:line="1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time-based restricted stock units that vest as to 25% of the shares on the first anniversary of the grant date and 25% on each anniversary of the grant date thereafter.</w:t>
      </w:r>
    </w:p>
    <w:p>
      <w:pPr>
        <w:spacing w:after="0" w:line="26"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2025 performance stock units that are tied to pipeline advancement milestones and vest following achievement by December 31, 2026. These awards are not deemed probable to vest as of the grant date or as of December 31, 2025.</w:t>
      </w:r>
    </w:p>
    <w:p>
      <w:pPr>
        <w:spacing w:after="0" w:line="1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in two equal annual installments with a three-year term.</w:t>
      </w:r>
    </w:p>
    <w:p>
      <w:pPr>
        <w:spacing w:after="0" w:line="76" w:lineRule="exact"/>
        <w:rPr>
          <w:rFonts w:ascii="Times New Roman" w:cs="Times New Roman" w:eastAsia="Times New Roman" w:hAnsi="Times New Roman"/>
          <w:sz w:val="18"/>
          <w:szCs w:val="18"/>
          <w:color w:val="auto"/>
        </w:rPr>
      </w:pPr>
    </w:p>
    <w:p>
      <w:pPr>
        <w:ind w:left="520" w:right="80" w:hanging="512"/>
        <w:spacing w:after="0" w:line="276" w:lineRule="auto"/>
        <w:tabs>
          <w:tab w:leader="none" w:pos="5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reflect separate grant dates for Ms. Boucher, who joined the company on May 27, 2025 on a part-time basis and received a prorated portion of her new hire grant. Ms. Boucher increased her part-time hours on June 9, 2025 and received another prorated portion of her new</w:t>
      </w:r>
    </w:p>
    <w:p>
      <w:pPr>
        <w:spacing w:after="0" w:line="1" w:lineRule="exact"/>
        <w:rPr>
          <w:sz w:val="20"/>
          <w:szCs w:val="20"/>
          <w:color w:val="auto"/>
        </w:rPr>
      </w:pPr>
    </w:p>
    <w:p>
      <w:pPr>
        <w:ind w:left="520" w:right="180"/>
        <w:spacing w:after="0" w:line="250" w:lineRule="auto"/>
        <w:rPr>
          <w:sz w:val="20"/>
          <w:szCs w:val="20"/>
          <w:color w:val="auto"/>
        </w:rPr>
      </w:pPr>
      <w:r>
        <w:rPr>
          <w:rFonts w:ascii="Times New Roman" w:cs="Times New Roman" w:eastAsia="Times New Roman" w:hAnsi="Times New Roman"/>
          <w:sz w:val="18"/>
          <w:szCs w:val="18"/>
          <w:color w:val="auto"/>
        </w:rPr>
        <w:t>hire grant. Ms. Boucher increased to 100% full-time employee on September 1, 2025 and received the final prorated portion of her new hire grant. These options have a ten-year term and vest over four years with 25% vesting on the first anniversary of the grant date and the balance vesting thereafter in 36 equal monthly installments with the first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such installment vesting on the date one month after the first anniversary of the grant date. These restricted stock units vest as to 25% of the shares on the first anniversary of the grant date and 25% on each anniversary of the grant date thereafter.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2025 Fiscal Year 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 incentive</w:t>
            </w: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11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Value</w:t>
            </w:r>
          </w:p>
        </w:tc>
        <w:tc>
          <w:tcPr>
            <w:tcW w:w="2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plan awards:</w:t>
            </w:r>
          </w:p>
        </w:tc>
        <w:tc>
          <w:tcPr>
            <w:tcW w:w="22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40" w:type="dxa"/>
            <w:vAlign w:val="bottom"/>
          </w:tcPr>
          <w:p>
            <w:pPr>
              <w:spacing w:after="0"/>
              <w:rPr>
                <w:sz w:val="11"/>
                <w:szCs w:val="11"/>
                <w:color w:val="auto"/>
              </w:rPr>
            </w:pPr>
          </w:p>
        </w:tc>
        <w:tc>
          <w:tcPr>
            <w:tcW w:w="112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Shares or</w:t>
            </w:r>
          </w:p>
        </w:tc>
        <w:tc>
          <w:tcPr>
            <w:tcW w:w="2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20" w:type="dxa"/>
            <w:vAlign w:val="bottom"/>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plan awards:</w:t>
            </w: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40" w:type="dxa"/>
            <w:vAlign w:val="bottom"/>
          </w:tcPr>
          <w:p>
            <w:pPr>
              <w:spacing w:after="0"/>
              <w:rPr>
                <w:sz w:val="11"/>
                <w:szCs w:val="11"/>
                <w:color w:val="auto"/>
              </w:rPr>
            </w:pPr>
          </w:p>
        </w:tc>
        <w:tc>
          <w:tcPr>
            <w:tcW w:w="11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2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220" w:type="dxa"/>
            <w:vAlign w:val="bottom"/>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 or payout</w:t>
            </w: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40" w:type="dxa"/>
            <w:vAlign w:val="bottom"/>
          </w:tcPr>
          <w:p>
            <w:pPr>
              <w:spacing w:after="0"/>
              <w:rPr>
                <w:sz w:val="11"/>
                <w:szCs w:val="11"/>
                <w:color w:val="auto"/>
              </w:rPr>
            </w:pPr>
          </w:p>
        </w:tc>
        <w:tc>
          <w:tcPr>
            <w:tcW w:w="11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Stock That</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2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c>
          <w:tcPr>
            <w:tcW w:w="22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unearned</w:t>
            </w: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40" w:type="dxa"/>
            <w:vAlign w:val="bottom"/>
          </w:tcPr>
          <w:p>
            <w:pPr>
              <w:spacing w:after="0"/>
              <w:rPr>
                <w:sz w:val="11"/>
                <w:szCs w:val="11"/>
                <w:color w:val="auto"/>
              </w:rPr>
            </w:pPr>
          </w:p>
        </w:tc>
        <w:tc>
          <w:tcPr>
            <w:tcW w:w="11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2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 that</w:t>
            </w:r>
          </w:p>
        </w:tc>
        <w:tc>
          <w:tcPr>
            <w:tcW w:w="220" w:type="dxa"/>
            <w:vAlign w:val="bottom"/>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units or other</w:t>
            </w: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73"/>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2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 (#)</w:t>
            </w:r>
          </w:p>
        </w:tc>
        <w:tc>
          <w:tcPr>
            <w:tcW w:w="240" w:type="dxa"/>
            <w:vAlign w:val="bottom"/>
          </w:tcPr>
          <w:p>
            <w:pPr>
              <w:spacing w:after="0"/>
              <w:rPr>
                <w:sz w:val="11"/>
                <w:szCs w:val="11"/>
                <w:color w:val="auto"/>
              </w:rPr>
            </w:pPr>
          </w:p>
        </w:tc>
        <w:tc>
          <w:tcPr>
            <w:tcW w:w="112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2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22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rights that have not</w:t>
            </w:r>
          </w:p>
        </w:tc>
      </w:tr>
      <w:tr>
        <w:trPr>
          <w:trHeight w:val="155"/>
        </w:trPr>
        <w:tc>
          <w:tcPr>
            <w:tcW w:w="1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80" w:type="dxa"/>
            <w:vAlign w:val="bottom"/>
            <w:gridSpan w:val="2"/>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080" w:type="dxa"/>
            <w:vAlign w:val="bottom"/>
            <w:gridSpan w:val="2"/>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($/share)</w:t>
            </w: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20" w:type="dxa"/>
            <w:vAlign w:val="bottom"/>
            <w:gridSpan w:val="2"/>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1040" w:type="dxa"/>
            <w:vAlign w:val="bottom"/>
            <w:gridSpan w:val="2"/>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w w:val="96"/>
              </w:rPr>
              <w:t>($)(3)(4)</w:t>
            </w:r>
          </w:p>
        </w:tc>
        <w:tc>
          <w:tcPr>
            <w:tcW w:w="1260" w:type="dxa"/>
            <w:vAlign w:val="bottom"/>
            <w:gridSpan w:val="2"/>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vested ($)(3)</w:t>
            </w:r>
          </w:p>
        </w:tc>
      </w:tr>
      <w:tr>
        <w:trPr>
          <w:trHeight w:val="129"/>
        </w:trPr>
        <w:tc>
          <w:tcPr>
            <w:tcW w:w="1480" w:type="dxa"/>
            <w:vAlign w:val="bottom"/>
            <w:tcBorders>
              <w:top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Cedric Francois,</w:t>
            </w:r>
          </w:p>
        </w:tc>
        <w:tc>
          <w:tcPr>
            <w:tcW w:w="12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1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M.D., Ph.D.</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143,750</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287,500</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261,324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9,691,201</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54,071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1,358,264</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50,232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54,602</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1,048,107</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95,588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35,505</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1/11/33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1/21/22</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30,038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754,555</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1/21/22</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166,850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1/27/31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2/10/20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206,250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273,779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2/16/18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273,312</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2/15/28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1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8/21/17</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100,538</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4.31</w:t>
            </w:r>
          </w:p>
        </w:tc>
        <w:tc>
          <w:tcPr>
            <w:tcW w:w="8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8/20/27</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ind w:left="92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ind w:left="114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61"/>
        </w:trPr>
        <w:tc>
          <w:tcPr>
            <w:tcW w:w="1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2/8/16</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8,840</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14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Timothy Sullivan</w:t>
            </w:r>
          </w:p>
        </w:tc>
        <w:tc>
          <w:tcPr>
            <w:tcW w:w="1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6/9/25</w:t>
            </w:r>
          </w:p>
        </w:tc>
        <w:tc>
          <w:tcPr>
            <w:tcW w:w="24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41,250</w:t>
            </w:r>
          </w:p>
        </w:tc>
        <w:tc>
          <w:tcPr>
            <w:tcW w:w="2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60" w:type="dxa"/>
            <w:vAlign w:val="bottom"/>
          </w:tcPr>
          <w:p>
            <w:pPr>
              <w:ind w:left="92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400" w:type="dxa"/>
            <w:vAlign w:val="bottom"/>
            <w:gridSpan w:val="2"/>
          </w:tcPr>
          <w:p>
            <w:pPr>
              <w:ind w:left="114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82,500</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6/8/28</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1/21/25</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91,858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3,406,554</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1/16/24</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17,811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447,412</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16,546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17,987</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1/15/34</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1/12/23</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13,744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345,249</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11,697</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1/11/33</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1/21/22</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266,724</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58,985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1/20/32</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1/27/31</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70,125</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2/9/30</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84,946</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2/16/18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23,958</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2/15/28</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14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10/18/17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232,903</w:t>
            </w:r>
          </w:p>
        </w:tc>
        <w:tc>
          <w:tcPr>
            <w:tcW w:w="240" w:type="dxa"/>
            <w:vAlign w:val="bottom"/>
          </w:tcPr>
          <w:p>
            <w:pPr>
              <w:spacing w:after="0"/>
              <w:rPr>
                <w:sz w:val="14"/>
                <w:szCs w:val="14"/>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10/17/27</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David Watson</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41,250</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82,500</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85,524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3,171,658</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17,811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447,412</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16,546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17,987</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26,728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671,407</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27,495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10,213</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1/11/33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1/21/22</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8,985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225,703</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1/21/22</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49,910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1/27/31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2/10/20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2/16/18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14,888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2/15/28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14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Caroline Baumal, M.D.</w:t>
            </w:r>
          </w:p>
        </w:tc>
        <w:tc>
          <w:tcPr>
            <w:tcW w:w="1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6/9/25</w:t>
            </w:r>
          </w:p>
        </w:tc>
        <w:tc>
          <w:tcPr>
            <w:tcW w:w="24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41,250</w:t>
            </w:r>
          </w:p>
        </w:tc>
        <w:tc>
          <w:tcPr>
            <w:tcW w:w="2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60" w:type="dxa"/>
            <w:vAlign w:val="bottom"/>
          </w:tcPr>
          <w:p>
            <w:pPr>
              <w:ind w:left="92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400" w:type="dxa"/>
            <w:vAlign w:val="bottom"/>
            <w:gridSpan w:val="2"/>
          </w:tcPr>
          <w:p>
            <w:pPr>
              <w:ind w:left="114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82,500</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6/8/28</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1/21/25</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79,188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2,936,687</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1/16/24</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19,084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479,390</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17,729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19,271</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1/15/34</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17,775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446,508</w:t>
            </w:r>
          </w:p>
        </w:tc>
        <w:tc>
          <w:tcPr>
            <w:tcW w:w="200" w:type="dxa"/>
            <w:vAlign w:val="bottom"/>
          </w:tcPr>
          <w:p>
            <w:pPr>
              <w:spacing w:after="0"/>
              <w:rPr>
                <w:sz w:val="12"/>
                <w:szCs w:val="12"/>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14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35,729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13,271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1/2/33</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Kelley Boucher</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30,476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765,557</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4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45,766</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3"/>
                <w:szCs w:val="13"/>
                <w:color w:val="auto"/>
              </w:rPr>
              <w:t>—</w:t>
            </w:r>
          </w:p>
        </w:tc>
      </w:tr>
    </w:tbl>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14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45,095</w:t>
            </w:r>
          </w:p>
        </w:tc>
        <w:tc>
          <w:tcPr>
            <w:tcW w:w="1340" w:type="dxa"/>
            <w:vAlign w:val="bottom"/>
            <w:shd w:val="clear" w:color="auto" w:fill="CFF0FC"/>
          </w:tcPr>
          <w:p>
            <w:pPr>
              <w:jc w:val="right"/>
              <w:ind w:right="493"/>
              <w:spacing w:after="0"/>
              <w:rPr>
                <w:sz w:val="20"/>
                <w:szCs w:val="20"/>
                <w:color w:val="auto"/>
              </w:rPr>
            </w:pPr>
            <w:r>
              <w:rPr>
                <w:rFonts w:ascii="Times New Roman" w:cs="Times New Roman" w:eastAsia="Times New Roman" w:hAnsi="Times New Roman"/>
                <w:sz w:val="13"/>
                <w:szCs w:val="13"/>
                <w:color w:val="auto"/>
              </w:rPr>
              <w:t>1,132,786</w:t>
            </w:r>
          </w:p>
        </w:tc>
        <w:tc>
          <w:tcPr>
            <w:tcW w:w="14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14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3"/>
                <w:szCs w:val="13"/>
                <w:color w:val="auto"/>
              </w:rPr>
              <w:t>67,396</w:t>
            </w:r>
          </w:p>
        </w:tc>
        <w:tc>
          <w:tcPr>
            <w:tcW w:w="78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19.39</w:t>
            </w:r>
          </w:p>
        </w:tc>
        <w:tc>
          <w:tcPr>
            <w:tcW w:w="98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3"/>
                <w:szCs w:val="13"/>
                <w:color w:val="auto"/>
              </w:rPr>
              <w:t>6/8/35</w:t>
            </w:r>
          </w:p>
        </w:tc>
        <w:tc>
          <w:tcPr>
            <w:tcW w:w="100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5/28/25</w:t>
            </w:r>
          </w:p>
        </w:tc>
        <w:tc>
          <w:tcPr>
            <w:tcW w:w="14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22,087</w:t>
            </w:r>
          </w:p>
        </w:tc>
        <w:tc>
          <w:tcPr>
            <w:tcW w:w="1340" w:type="dxa"/>
            <w:vAlign w:val="bottom"/>
            <w:shd w:val="clear" w:color="auto" w:fill="CFF0FC"/>
          </w:tcPr>
          <w:p>
            <w:pPr>
              <w:jc w:val="right"/>
              <w:ind w:right="493"/>
              <w:spacing w:after="0"/>
              <w:rPr>
                <w:sz w:val="20"/>
                <w:szCs w:val="20"/>
                <w:color w:val="auto"/>
              </w:rPr>
            </w:pPr>
            <w:r>
              <w:rPr>
                <w:rFonts w:ascii="Times New Roman" w:cs="Times New Roman" w:eastAsia="Times New Roman" w:hAnsi="Times New Roman"/>
                <w:sz w:val="13"/>
                <w:szCs w:val="13"/>
                <w:color w:val="auto"/>
              </w:rPr>
              <w:t>554,825</w:t>
            </w:r>
          </w:p>
        </w:tc>
        <w:tc>
          <w:tcPr>
            <w:tcW w:w="14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5/28/25</w:t>
            </w:r>
          </w:p>
        </w:tc>
        <w:tc>
          <w:tcPr>
            <w:tcW w:w="14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3"/>
                <w:szCs w:val="13"/>
                <w:color w:val="auto"/>
              </w:rPr>
              <w:t>32,976</w:t>
            </w:r>
          </w:p>
        </w:tc>
        <w:tc>
          <w:tcPr>
            <w:tcW w:w="78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16.80</w:t>
            </w:r>
          </w:p>
        </w:tc>
        <w:tc>
          <w:tcPr>
            <w:tcW w:w="98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3"/>
                <w:szCs w:val="13"/>
                <w:color w:val="auto"/>
              </w:rPr>
              <w:t>5/27/35</w:t>
            </w:r>
          </w:p>
        </w:tc>
        <w:tc>
          <w:tcPr>
            <w:tcW w:w="100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ind w:right="49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r>
    </w:tbl>
    <w:p>
      <w:pPr>
        <w:spacing w:after="0" w:line="171" w:lineRule="exact"/>
        <w:rPr>
          <w:sz w:val="20"/>
          <w:szCs w:val="20"/>
          <w:color w:val="auto"/>
        </w:rPr>
      </w:pPr>
    </w:p>
    <w:p>
      <w:pPr>
        <w:ind w:left="520" w:right="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time-based stock options have a ten-year term and vest over four years with 25% vesting on the first anniversary of the grant date and the balance vesting thereafter in 36 equal monthly installments with the first such installment vesting on the date one month after the first anniversary of the grant date.</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time-based restricted stock units vest over four years with 25% of each restricted stock unit vesting on the first anniversary of the grant date and 25% on each anniversary of the grant date thereafter.</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based on a price of $25.12 per share, which was the closing price of our common stock as reported on the Nasdaq Global Select Market on December 31, 2025, the last trading day of the year.</w:t>
      </w:r>
    </w:p>
    <w:p>
      <w:pPr>
        <w:spacing w:after="0" w:line="53" w:lineRule="exact"/>
        <w:rPr>
          <w:rFonts w:ascii="Times New Roman" w:cs="Times New Roman" w:eastAsia="Times New Roman" w:hAnsi="Times New Roman"/>
          <w:sz w:val="18"/>
          <w:szCs w:val="18"/>
          <w:color w:val="auto"/>
        </w:rPr>
      </w:pPr>
    </w:p>
    <w:p>
      <w:pPr>
        <w:ind w:left="520" w:right="180" w:hanging="512"/>
        <w:spacing w:after="0" w:line="26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PSUs, these amounts are calculated based on the probable outcome of the performance conditions as of the grant date. The amounts reported reflect our total accounting expense, excluding the effect of estimated forfeitures, and may not represent the amounts our named executive officers will actually receive from the awards. For the fiscal year ended December 31, 2025, no expense was recognized related to the PSUs granted under the 2025 Supplemental Performance Incentive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option exercises for each of our named executive officers during the fiscal year ended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5"/>
                <w:szCs w:val="15"/>
                <w:color w:val="auto"/>
              </w:rPr>
            </w:pPr>
          </w:p>
        </w:tc>
        <w:tc>
          <w:tcPr>
            <w:tcW w:w="266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22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(1)</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 M.D., Ph.D.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1,190,735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2,196,322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447,450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868,803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Caroline Baumal, M.D.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Kelley Boucher</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20" w:right="8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when the stock options were exercised represents the excess of the fair market value of the shares at the time of exercise over the exercise price of the stock options.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when the stock awards vested represents the fair market value of the shares at the time of vesting of the stock awards.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Change in Control and Severance Arrangements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entered into an offer letter with Mr. Sullivan, our Chief Financial Officer, on October 9, 2017 and an offer letter with Dr. Baumal, our Chief Medical Officer, on December 25, 2022. On April 14, 2025, we entered into an offer letter with Ms. Boucher, our Chief People Officer. These offer letters established their terms of employment with us, including their respective title, salary, bonus and eligibility for benefits. Otherwise, we are not party to offer letters or employment agreements with our other two named executive officers.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Separation Benefits Plan provides for separation benefits for C-level officers, including our named executive officers, and other covered employees in the event of (i) a termination of employment by us other than for cause or (ii) a resignation for good reason upon a change in control upon or within 12 months following a change in control. These provisions are summarized above. See “Compensation Discussion and Analysis”.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Severance upon Termination without Cause, Not Upon Change of Control</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value of the benefits that our named executive officers would have received under the Separation Benefits Plan if they were terminated by us other than for cause on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18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Not-for-Cause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Separation ($)</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 M.D., Ph.D.</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863,209</w:t>
            </w:r>
          </w:p>
        </w:tc>
        <w:tc>
          <w:tcPr>
            <w:tcW w:w="5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441,157</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441,157</w:t>
            </w:r>
          </w:p>
        </w:tc>
        <w:tc>
          <w:tcPr>
            <w:tcW w:w="5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Caroline Baumal, M.D.</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491,187</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Kelley Boucher</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389,927</w:t>
            </w:r>
          </w:p>
        </w:tc>
        <w:tc>
          <w:tcPr>
            <w:tcW w:w="5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(12) months of monthly Base Salary and COBRA coverage for twelve (12) months.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(9) months of monthly Base Salary and COBRA coverage for nine (9)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Severance Upon a Change of Control</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value of the benefits that our named executive officers would have received under the Separation Benefits Plan if, on December 31, 2025, they were terminated by us other than for cause or resigned with good reason, and such separation occurred within 12 months following a change of control</w:t>
      </w:r>
      <w:r>
        <w:rPr>
          <w:rFonts w:ascii="Times New Roman" w:cs="Times New Roman" w:eastAsia="Times New Roman" w:hAnsi="Times New Roman"/>
          <w:sz w:val="18"/>
          <w:szCs w:val="18"/>
          <w:color w:val="00B050"/>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Qualifying Termination</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within 12 Months</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Change of</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 M.D., Ph.D.</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2,296,814</w:t>
            </w:r>
          </w:p>
        </w:tc>
        <w:tc>
          <w:tcPr>
            <w:tcW w:w="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875,209</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875,209</w:t>
            </w:r>
          </w:p>
        </w:tc>
        <w:tc>
          <w:tcPr>
            <w:tcW w:w="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Caroline Baumal, M.D.</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983,026</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Kelley Boucher</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637,902</w:t>
            </w:r>
          </w:p>
        </w:tc>
        <w:tc>
          <w:tcPr>
            <w:tcW w:w="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20" w:right="18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Eighteen (18) months of monthly Base Salary, 150% of the target bonus award for the year in which the termination occurs, COBRA coverage for eighteen (18) months and outplacement services for six (6) months.</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(12) months of monthly Base Salary, 100% of the target bonus award for the year in which the termination occurs, COBRA coverage for twelve (12) months and outplacement services for six (6)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Upon a Change of Control</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Separation Benefits Plan, the options and restricted stock units held by the named executive officers vest with respect to all of the then unvested shares upon the occurrence of a termination of employment without cause or a resignation for good reason within twelve months following a change of control. In addition, outstanding unvested performance stock awards will vest at target upon a qualifying termination in connection with a change of control.</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value that would have been received by each of our named executive officers from an acceleration of vesting in connection with a change of control or, as applicable, a qualifying termination of employment following a change of control, assuming the acceleration event had occurred on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Qualifying Termination</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within 12 Months</w:t>
            </w:r>
          </w:p>
        </w:tc>
        <w:tc>
          <w:tcPr>
            <w:tcW w:w="0" w:type="dxa"/>
            <w:vAlign w:val="bottom"/>
          </w:tcPr>
          <w:p>
            <w:pPr>
              <w:spacing w:after="0"/>
              <w:rPr>
                <w:sz w:val="1"/>
                <w:szCs w:val="1"/>
                <w:color w:val="auto"/>
              </w:rPr>
            </w:pPr>
          </w:p>
        </w:tc>
      </w:tr>
      <w:tr>
        <w:trPr>
          <w:trHeight w:val="149"/>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Following Change of</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Control ($) (1)</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 ($) (1)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 M.D., Ph.D.</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14,983,759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4,875,784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5,001,811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Caroline Baumal, M.D.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4,424,026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Kelley Boucher</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3,113,708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20" w:right="160" w:hanging="512"/>
        <w:spacing w:after="0" w:line="26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calculated based on a per-share price of $25.12, the closing price of our common stock on December 31, 2025 on the Nasdaq Global Select Market.</w:t>
      </w: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also entered into employee confidentiality, inventions, and non-solicitation agreements with each of our named executive officers. Under the employee confidentiality, inventions, and non-solicitation agreements, each named executive officer has agreed (1) not to solicit our employees during his or her employment and for a period of one year after the termination of his or her employment, (2) to protect our confidential and proprietary information and (3) to assign to us related intellectual property developed during the course of his or her employment. In addition, Dr. Francois, Mr. Sullivan and Mr. Watson have non-compete agreements which prohibit competition for a period of one year after the termination of employment.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of our executive officers have adopted, and directors and other executive officers may in the future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required to disclose the ratio of our median employee’s annual total compensation to the annual total compensation of our principal executive officer.</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identified our median employee based on our global workforce as of December 31, 2025. We determined the median employee from the global workforce of 699 persons (excluding our chief executive officer and 20 international employees – 14 from Australia, four from the Netherlands, one from Ireland, and one from Germany) based on the aggregate of base salary (plus overtime, as applicable and annualized in the case of full- and part-time employees who joined the Company during 2025), cash bonus, and the grant date fair value of long-term incentive compensation awards. The annual total compensation of our median employee (other than the chief executive officer) for 2025 was $338,237. As disclosed in the Summary Compensation Table above, our chief executive officer’s annual total compensation for 2025 was $13,342,739. Based on the foregoing, our estimate of the ratio of the annual total compensation of our chief executive officer to the median of the annual total compensation of all other employees was 39.4 to 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Median</w:t>
            </w:r>
          </w:p>
        </w:tc>
      </w:tr>
      <w:tr>
        <w:trPr>
          <w:trHeight w:val="173"/>
        </w:trPr>
        <w:tc>
          <w:tcPr>
            <w:tcW w:w="9200" w:type="dxa"/>
            <w:vAlign w:val="bottom"/>
          </w:tcPr>
          <w:p>
            <w:pPr>
              <w:spacing w:after="0"/>
              <w:rPr>
                <w:sz w:val="15"/>
                <w:szCs w:val="15"/>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21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 Salary ($)</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Bonus ($)</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57,750</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Incentive Awards ($)</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All Other Compensation ($) (1)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338,237</w:t>
            </w:r>
          </w:p>
        </w:tc>
        <w:tc>
          <w:tcPr>
            <w:tcW w:w="100" w:type="dxa"/>
            <w:vAlign w:val="bottom"/>
            <w:shd w:val="clear" w:color="auto" w:fill="CFF0FC"/>
          </w:tcPr>
          <w:p>
            <w:pPr>
              <w:spacing w:after="0"/>
              <w:rPr>
                <w:sz w:val="18"/>
                <w:szCs w:val="18"/>
                <w:color w:val="auto"/>
              </w:rPr>
            </w:pPr>
          </w:p>
        </w:tc>
      </w:tr>
    </w:tbl>
    <w:p>
      <w:pPr>
        <w:spacing w:after="0" w:line="238" w:lineRule="exact"/>
        <w:rPr>
          <w:sz w:val="20"/>
          <w:szCs w:val="20"/>
          <w:color w:val="auto"/>
        </w:rPr>
      </w:pPr>
    </w:p>
    <w:p>
      <w:pPr>
        <w:ind w:left="520" w:right="1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value of Company paid life insurance and discretionary matching employer contribution under our 401(k) plan in respect of the median employee.</w:t>
      </w:r>
    </w:p>
    <w:p>
      <w:pPr>
        <w:spacing w:after="0" w:line="14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non-employee director compensation program is intended to provide a total compensation package that will attract and retain qualified and experienced individuals to serve as directors and to align our directors’ interests with those of our stockholders.</w:t>
      </w:r>
    </w:p>
    <w:p>
      <w:pPr>
        <w:spacing w:after="0" w:line="162" w:lineRule="exact"/>
        <w:rPr>
          <w:sz w:val="20"/>
          <w:szCs w:val="20"/>
          <w:color w:val="auto"/>
        </w:rPr>
      </w:pPr>
    </w:p>
    <w:p>
      <w:pPr>
        <w:ind w:left="5540" w:right="1440" w:hanging="5525"/>
        <w:spacing w:after="0" w:line="282" w:lineRule="auto"/>
        <w:rPr>
          <w:sz w:val="20"/>
          <w:szCs w:val="20"/>
          <w:color w:val="auto"/>
        </w:rPr>
      </w:pPr>
      <w:r>
        <w:rPr>
          <w:rFonts w:ascii="Times New Roman" w:cs="Times New Roman" w:eastAsia="Times New Roman" w:hAnsi="Times New Roman"/>
          <w:sz w:val="18"/>
          <w:szCs w:val="18"/>
          <w:color w:val="auto"/>
        </w:rPr>
        <w:t>Under our non-employee director compensation program, we pay our non-employee directors a cash retainer for service on the board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directors and for service on each committee on which the director is a member. The chair of each committee and the chair of the board of directors receive higher retainers for such service. These fees are payable in arrears in four equal quarterly installments on the last day of each quarter, provided that the amount of such payment is prorated for any portion of such quarter that the director is not serving on our board of directors, on such committee or in such position. The fees paid to non-employee directors in 2025 for their service on the board of directors and for their service on each committee of the board of directors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220" w:type="dxa"/>
            <w:vAlign w:val="bottom"/>
          </w:tcPr>
          <w:p>
            <w:pPr>
              <w:spacing w:after="0"/>
              <w:rPr>
                <w:sz w:val="13"/>
                <w:szCs w:val="13"/>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 Fee</w:t>
            </w:r>
          </w:p>
        </w:tc>
        <w:tc>
          <w:tcPr>
            <w:tcW w:w="220" w:type="dxa"/>
            <w:vAlign w:val="bottom"/>
          </w:tcPr>
          <w:p>
            <w:pPr>
              <w:spacing w:after="0"/>
              <w:rPr>
                <w:sz w:val="12"/>
                <w:szCs w:val="12"/>
                <w:color w:val="auto"/>
              </w:rPr>
            </w:pPr>
          </w:p>
        </w:tc>
        <w:tc>
          <w:tcPr>
            <w:tcW w:w="1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Annual Fee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Compliance Committee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reasonable travel and out-of-pocket expenses incurred in connection with attending our board of director and committee meetings.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our non-employee director compensation program, each non-employee director who has served on our board of directors for at least six months receives, on January 1 of each year, the grant of (i) an option under the 2017 Plan to purchase a number of shares of our common stock that has a Black-Scholes valuation as of the date of the grant equal to $200,000, as calculated using the same methodology that we use to calculate the value of stock options for the purposes of our financial statements; and (ii) restricted stock units for a number of shares of common stock determined by dividing $200,000 by the closing price of our common stock on the date of grant. These options have a term of seven years, vest in four equal quarterly installments on April 1, July 1 and October 1 of the year in which the grant was made and on January 1 of the following year, subject to the non-employee director’s continued service as a director and are granted at an exercise price per share equal to the fair market value of our common stock on the date of grant. These restricted stock units vest on the first anniversary of the date or grant, subject to the non-employee director’s continued services as a director, although directors may choose to defer vesting of the restricted stock units until after the termination of their service. These awards become vested in full upon a change in control of our company.</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under our non-employee director compensation program, each non-employee director that is newly elected to our board of directors also receives an option to purchase shares of our common stock upon his or her initial election to the board of directors. Specifically, upon his or her initial election to the board of directors, each non-employee director receives (i) an option to purchase the number of shares of common stock that has a Black-Scholes valuation as of the date of the grant equal to $300,000, as calculated using the same methodology that we use to calculate the value of stock options for the purposes of our financial statements; and (ii) restricted stock units for a number of shares of common stock determined by dividing $300,000 by the closing price of common stock on the date of grant. Each such option will have a term of seven years, vest with respect to one-third of the option on each of the first, second and third anniversaries of the grant date, subject to the non-employee director’s continued service as a director, and be granted at an exercise price per share equal to the fair market value of our common stock on the date of grant. The restricted stock units will fully vest on the first anniversary of the grant date, although directors may choose to defer vesting of the restricted stock units until after the termination of their service. These awards become vested in full upon a change in control of our company.</w:t>
      </w:r>
    </w:p>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December 2025, after an evaluation of the non-employee director compensation program by the compensation committee and Pay Governance, our independent compensation consultant, the board of directors chose to not make any changes to our non-employee director compensation program for 2026.</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Pursuant to the terms of the non-employee director compensation program, in January 2025, each non-employee director received an option to purchase 11,199 shares of common stock and 6,267 restricted stock units, and in January 2026, each non-employee director received an option to purchase 14,684 shares of common stock and 7,961 restricted stock units.</w:t>
      </w:r>
    </w:p>
    <w:p>
      <w:pPr>
        <w:spacing w:after="0" w:line="176"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Mikael Dolsten joined our board of directors on March 1, 2026 and, in accordance with the program, was granted an option to purchase 24,135 shares of the Company’s common stock, and restricted stock units for 14,312 shares of the Company’s common stock.</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fees and equity awards earned by our non-employee directors during the fiscal year ended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160" w:type="dxa"/>
            <w:vAlign w:val="bottom"/>
            <w:vMerge w:val="restart"/>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0" w:type="dxa"/>
            <w:vAlign w:val="bottom"/>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260" w:type="dxa"/>
            <w:vAlign w:val="bottom"/>
          </w:tcPr>
          <w:p>
            <w:pPr>
              <w:spacing w:after="0"/>
              <w:rPr>
                <w:sz w:val="13"/>
                <w:szCs w:val="13"/>
                <w:color w:val="auto"/>
              </w:rPr>
            </w:pPr>
          </w:p>
        </w:tc>
        <w:tc>
          <w:tcPr>
            <w:tcW w:w="17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jc w:val="right"/>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Pr>
          <w:p>
            <w:pPr>
              <w:spacing w:after="0"/>
              <w:rPr>
                <w:sz w:val="12"/>
                <w:szCs w:val="12"/>
                <w:color w:val="auto"/>
              </w:rPr>
            </w:pPr>
          </w:p>
        </w:tc>
        <w:tc>
          <w:tcPr>
            <w:tcW w:w="16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Unit</w:t>
            </w:r>
          </w:p>
        </w:tc>
        <w:tc>
          <w:tcPr>
            <w:tcW w:w="2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5"/>
                <w:szCs w:val="15"/>
                <w:color w:val="auto"/>
              </w:rPr>
            </w:pPr>
          </w:p>
        </w:tc>
        <w:tc>
          <w:tcPr>
            <w:tcW w:w="16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Awards ($)(2)</w:t>
            </w:r>
          </w:p>
        </w:tc>
        <w:tc>
          <w:tcPr>
            <w:tcW w:w="260" w:type="dxa"/>
            <w:vAlign w:val="bottom"/>
          </w:tcPr>
          <w:p>
            <w:pPr>
              <w:spacing w:after="0"/>
              <w:rPr>
                <w:sz w:val="15"/>
                <w:szCs w:val="15"/>
                <w:color w:val="auto"/>
              </w:rPr>
            </w:pPr>
          </w:p>
        </w:tc>
        <w:tc>
          <w:tcPr>
            <w:tcW w:w="16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Gerald Chan</w:t>
            </w: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98,750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199,053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183,291</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481,094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 Sinclair Dunlop</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199,053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183,291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Fonteyne</w:t>
            </w: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199,053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183,291</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469,844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Alec Machiels</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199,053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183,291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Stephanie Monaghan O’Brien</w:t>
            </w: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199,053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183,291</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Keli Walbert</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300,392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299,970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Craig Wheeler</w:t>
            </w: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299,995</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299,991</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20" w:right="20" w:hanging="512"/>
        <w:spacing w:after="0" w:line="258"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“Options Awards” column reflect the aggregate grant date fair value of options awarded during the year, computed in accordance with the provisions of Financial Accounting Standards Board, or FASB, Accounting Standards Codification, or ASC, Topic 718, using a Black-Scholes valuation model. For the assumptions made in determining these values, see Note 14 to the consolidated financial statements in our Annual Report on Form 10-K for the year ended December 31, 2025 For purposes of these calculations, we have disregarded the possibility of forfeitures related to service-based vesting conditions.</w:t>
      </w:r>
    </w:p>
    <w:p>
      <w:pPr>
        <w:spacing w:after="0" w:line="75" w:lineRule="exact"/>
        <w:rPr>
          <w:rFonts w:ascii="Times New Roman" w:cs="Times New Roman" w:eastAsia="Times New Roman" w:hAnsi="Times New Roman"/>
          <w:sz w:val="18"/>
          <w:szCs w:val="18"/>
          <w:color w:val="auto"/>
        </w:rPr>
      </w:pPr>
    </w:p>
    <w:p>
      <w:pPr>
        <w:ind w:left="520" w:right="360" w:hanging="512"/>
        <w:spacing w:after="0" w:line="25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“Restricted Stock Unit Awards” column reflect the aggregate grant date fair value of restricted stock units awarded during the year, computed in accordance with the provisions of Financial Accounting Standards Board, or FASB, Accounting Standards Codification, or ASC, Topic 718, which is determined by multiplying the market price of shares as of the date of the grant by the number of restricted stock units granted. For the assumptions made in determining these values, see Note 14 to the consolidated financial statements in our Annual Report on Form 10-K for the year ended December 31, 2025. For purposes of these calculations, we have disregarded the possibility of forfeitures related to service-based vesting conditions.</w:t>
      </w:r>
    </w:p>
    <w:p>
      <w:pPr>
        <w:spacing w:after="0" w:line="28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equity awards held by our non-employee directors as of December 31, 2025, which consisted entirely of stock options and restricted stock units: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16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3"/>
                <w:szCs w:val="13"/>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Gerald Chan</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227,616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 Sinclair Dunlop</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88,142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Fonteyne</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98,042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Alec Machiels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227,616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Stephanie Monaghan O’Brien</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227,616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Keli Walbert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15,388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Craig Wheeler</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28,195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Under our non-employee director compensation program, we do not pay any compensation to Cedric Francois, our President and Chief Executive Officer, in connection with his service on our board of directors. Dr. Francois’ compensation is set forth and discussed under “Executive Compensation—Summary Compensation Table” and “Executive Compensation—Compensation Discussion and Analysis.”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Principal Stockholders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with respect to the beneficial ownership of our common stock as of March 31, 2026 by:</w:t>
      </w:r>
    </w:p>
    <w:p>
      <w:pPr>
        <w:spacing w:after="0" w:line="54" w:lineRule="exact"/>
        <w:rPr>
          <w:sz w:val="20"/>
          <w:szCs w:val="20"/>
          <w:color w:val="auto"/>
        </w:rPr>
      </w:pPr>
    </w:p>
    <w:p>
      <w:pPr>
        <w:ind w:left="1020" w:right="3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to us to be the beneficial owner of 5% or more of the outstanding shares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entitled “Percentage Beneficially Owned” is based on a total of 127,922,588 shares of our common stock outstanding as of March 31, 2026.</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or warrants that are currently exercisable or exercisable within 60 days after March 31,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Apellis Pharmaceuticals, Inc., 100 Fifth Avenue, Waltham, Massachusetts 02451.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3"/>
                <w:szCs w:val="13"/>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tcPr>
          <w:p>
            <w:pPr>
              <w:spacing w:after="0"/>
              <w:rPr>
                <w:sz w:val="12"/>
                <w:szCs w:val="12"/>
                <w:color w:val="auto"/>
              </w:rPr>
            </w:pPr>
          </w:p>
        </w:tc>
        <w:tc>
          <w:tcPr>
            <w:tcW w:w="1600" w:type="dxa"/>
            <w:vAlign w:val="bottom"/>
          </w:tcPr>
          <w:p>
            <w:pPr>
              <w:jc w:val="right"/>
              <w:ind w:right="364"/>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20" w:type="dxa"/>
            <w:vAlign w:val="bottom"/>
          </w:tcPr>
          <w:p>
            <w:pPr>
              <w:spacing w:after="0"/>
              <w:rPr>
                <w:sz w:val="12"/>
                <w:szCs w:val="12"/>
                <w:color w:val="auto"/>
              </w:rPr>
            </w:pPr>
          </w:p>
        </w:tc>
        <w:tc>
          <w:tcPr>
            <w:tcW w:w="176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7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20" w:type="dxa"/>
            <w:vAlign w:val="bottom"/>
          </w:tcPr>
          <w:p>
            <w:pPr>
              <w:spacing w:after="0"/>
              <w:rPr>
                <w:sz w:val="15"/>
                <w:szCs w:val="15"/>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0"/>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Avoro Capital Advisors LLC (1)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13,411,111</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BlackRock, Inc. (2)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13,228,073</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Morningside Venture Investments Ltd (3)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12,806,342</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Morgan Stanley (4)</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9,592,751</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RTW Investments, LP (5)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7,666,764</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Deep Track Capital, LP (6)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Cedric Francois (7)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2,798,805</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Gerald Chan (8)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248,992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Mikael Dolsten</w:t>
            </w: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Sinclair Dunlop (9)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245,419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Paul Fonteyne (10)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124,418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Alec Machiels (11)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1,254,676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Stephanie Monaghan O’Brien (12)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248,992</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Keli Walbert (13)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Craig Wheeler (14)</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Caroline Baumal (15)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97,636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Kelley Boucher (16)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Timothy Sullivan (17)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674,407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David Watson (18)</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291,148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executive officers and directors as a group (13 persons) (19)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6,023,696</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beneficial ownership of less than 1% of our outstanding stock.</w:t>
      </w:r>
    </w:p>
    <w:p>
      <w:pPr>
        <w:spacing w:after="0" w:line="117" w:lineRule="exact"/>
        <w:rPr>
          <w:sz w:val="20"/>
          <w:szCs w:val="20"/>
          <w:color w:val="auto"/>
        </w:rPr>
      </w:pPr>
    </w:p>
    <w:p>
      <w:pPr>
        <w:ind w:left="520" w:right="180" w:hanging="512"/>
        <w:spacing w:after="0" w:line="26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Avoro Capital Advisors LLC and Behzad Aghazadeh, who serves as the portfolio manager and controlling person of Avoro Capital Advisors LLC (together, “Avoro”) hold sole dispositive power and sole voting power over 13,411,111 shares of</w:t>
      </w: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 w:right="320"/>
        <w:spacing w:after="0" w:line="282" w:lineRule="auto"/>
        <w:rPr>
          <w:sz w:val="20"/>
          <w:szCs w:val="20"/>
          <w:color w:val="auto"/>
        </w:rPr>
      </w:pPr>
      <w:r>
        <w:rPr>
          <w:rFonts w:ascii="Times New Roman" w:cs="Times New Roman" w:eastAsia="Times New Roman" w:hAnsi="Times New Roman"/>
          <w:sz w:val="18"/>
          <w:szCs w:val="18"/>
          <w:color w:val="auto"/>
        </w:rPr>
        <w:t>common stock. The information reported is based solely on a Schedule 13G filed on February 14, 2024 and information known to the Company. Avoro’s principal business office is 110 Greene Street, Suite 800, New York, NY 10012</w:t>
      </w:r>
    </w:p>
    <w:p>
      <w:pPr>
        <w:spacing w:after="0" w:line="54" w:lineRule="exact"/>
        <w:rPr>
          <w:sz w:val="20"/>
          <w:szCs w:val="20"/>
          <w:color w:val="auto"/>
        </w:rPr>
      </w:pPr>
    </w:p>
    <w:p>
      <w:pPr>
        <w:ind w:left="520" w:right="1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Inc. holds sole dispositive power over 13,228,073 shares of common stock and holds sole voting power over 13,026,072 shares of common stock. The information reported is based solely on a Schedule 13G filed on February 6, 2026. BlackRock Inc.’s principal business address is 50 Hudson Yards New York, NY.</w:t>
      </w:r>
    </w:p>
    <w:p>
      <w:pPr>
        <w:spacing w:after="0" w:line="67"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Frances Richard, Jill Marie Franklin, Peter Stuart Allenby Edwards and Cheung Ka Ho, the directors of Morningside Venture Investments, Ltd. (“MVIL”), share voting and dispositive control over the shares held by MVIL. The address for MVIL is 2nd Floor, Le Prince de Galles, 3-5 Avenue des Citronniers, MC 98000, Monaco.</w:t>
      </w:r>
    </w:p>
    <w:p>
      <w:pPr>
        <w:spacing w:after="0" w:line="67"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and certain of its subsidiaries ("Morgan Stanley") holds shared voting power over 17,378,959 shares of common stock and shared dispositive power over 17,395,936 shares of common stock. The information reported is based solely on a Schedule 13G filed on February 3, 2025. Morgan Stanley's principal business address is 1585 Broadway, New York, NY, 10036.</w:t>
      </w:r>
    </w:p>
    <w:p>
      <w:pPr>
        <w:spacing w:after="0" w:line="67"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RTW Investments, LP and Roderick Wong, who serves as the Managing Partner and Chief Investment Officer of RTW Investments, LP (together, "RTW") hold shared dispositive power and shared voting power over 7,666,764 shares of common stock. The information reported is based solely on a Schedule 13G filed on February 17, 2026 and information known to the Company. RTW’s principal business office is 40 10th Avenue, Floor 7, New York, New York 10014.</w:t>
      </w:r>
    </w:p>
    <w:p>
      <w:pPr>
        <w:spacing w:after="0" w:line="7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 and certain of its subsidiaries ("Deep Track Capital") hold shared dispositive power and shared voting power over 7,000,000 shares of common stock. The information reported is based solely on a Schedule 13G filed on May 16, 2025 and information known to the Company. Deep Track Capital’s principal business office is 200 Greenwich Ave, 3rd Floor, Greenwich, CT 06830.</w:t>
      </w:r>
    </w:p>
    <w:p>
      <w:pPr>
        <w:spacing w:after="0" w:line="67" w:lineRule="exact"/>
        <w:rPr>
          <w:rFonts w:ascii="Times New Roman" w:cs="Times New Roman" w:eastAsia="Times New Roman" w:hAnsi="Times New Roman"/>
          <w:sz w:val="18"/>
          <w:szCs w:val="18"/>
          <w:color w:val="auto"/>
        </w:rPr>
      </w:pPr>
    </w:p>
    <w:p>
      <w:pPr>
        <w:ind w:left="520" w:right="20" w:hanging="512"/>
        <w:spacing w:after="0" w:line="258"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74,840 shares of common stock held by Dr. Francois; (ii) 234,411 shares of common stock held by The Francois-DuBois Educational Trust, as to which Mr. Machiels holds a voting proxy and for which Fiduciary Trust Company of New England serves as trustee; (iii) 300,000 shares of common stock held by the Francois Grossi Trust; (iv) 472,065 shares of common stock held by The Cedric Francois Irrevocable Trust of 2023 – 1; (v) 372,815 shares of common stock held by The Cedric Francois Irrevocable Trust of 2023 - 2; and (vi) 1,344,674 shares of common stock issuable upon the exercise of options exercisable within 60 days after March 31, 2026.</w:t>
      </w:r>
    </w:p>
    <w:p>
      <w:pPr>
        <w:spacing w:after="0" w:line="75"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17,705 shares of common stock; and (ii) 231,287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153,606 shares of common stock; and (ii) 91,813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22,705 shares of common stock; and (ii) 101,713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520" w:right="10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611,439 shares of common stock; (ii) 250,000 shares of common stock owned by Bauhaus 1, LLC, which is wholly owned by a trust of which Mr. Machiels serves as investment trustee; (iii) 161,950 shares of common stock held by affiliates; (iv) 234,411 shares of common stock held by The Francois-DuBois Educational Trust, as to which Mr. Machiels holds a voting proxy; and (v) 231,287 shares of common stock issuable upon the exercise of options exercisable within 60 days after March 31, 2026.</w:t>
      </w:r>
    </w:p>
    <w:p>
      <w:pPr>
        <w:spacing w:after="0" w:line="71"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17,705 shares of common stock; and (ii) 231,287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9,090 shares of common stock; and (ii) 8,800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13,069 shares of common stock issuable upon the exercise of options exercisable within 60 days after March 31, 2026.</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35,220 shares of common stock; and (ii) 62,416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8,244 shares of common stock issuable upon the exercise of options exercisable within 60 days after March 31, 2026.</w:t>
      </w:r>
    </w:p>
    <w:p>
      <w:pPr>
        <w:spacing w:after="0" w:line="117" w:lineRule="exact"/>
        <w:rPr>
          <w:rFonts w:ascii="Times New Roman" w:cs="Times New Roman" w:eastAsia="Times New Roman" w:hAnsi="Times New Roman"/>
          <w:sz w:val="18"/>
          <w:szCs w:val="18"/>
          <w:color w:val="auto"/>
        </w:rPr>
      </w:pPr>
    </w:p>
    <w:p>
      <w:pPr>
        <w:ind w:left="520" w:right="8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40,708 shares of common stock; (ii) 60,396 shares of common stock held by The Timothy E. Sullivan Irrevocable Trust of 2023; and (iii) 573,303 shares of common stock issuable upon the exercise of options exercisable within 60 days after March 31, 2026.</w:t>
      </w: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 w:right="10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31,221 shares of common stock held directly by Mr. Watson; (ii); 10,000 shares of common stock in a custodial account held by Mr. Watson for the sole benefit of his minor children; (iii) 50,136 shares of common stock in the David O. Watson Irrevocable Trust of 2023 and (iv) 199,791 shares of common stock issuable upon the exercise of options exercisable within 60 days after March 31, 2026.</w:t>
      </w:r>
    </w:p>
    <w:p>
      <w:pPr>
        <w:spacing w:after="0" w:line="6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2,926,012 shares of common stock; and (ii) 3,097,684 shares of common stock issuable upon the exercise of options exercisable within 60 days after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table contains information about our equity compensation plans as of December 31, 2025. As of December 31, 2025, we had three equity compensation plans which were approved by our stockholders: our 2010 Equity Incentive Plan, or the 2010 Plan, our 2017 Stock Incentive Plan, or the 2017 Plan, and our 2017 Employee Stock Purchase Plan, or the 2017 ESPP. In addition, we have our 2020 Inducement Stock Incentive Plan, or the 2020 Inducement Plan, pursuant to which we make grants as an inducement material to employees entering into employment with us in accordance with Nasdaq Listing Rule 5635(c)(4), and which was not approved by our stockholders.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3"/>
        </w:trPr>
        <w:tc>
          <w:tcPr>
            <w:tcW w:w="5780" w:type="dxa"/>
            <w:vAlign w:val="bottom"/>
            <w:gridSpan w:val="2"/>
            <w:vMerge w:val="continue"/>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29"/>
        </w:trPr>
        <w:tc>
          <w:tcPr>
            <w:tcW w:w="5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w:t>
            </w: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82"/>
              <w:spacing w:after="0" w:line="129" w:lineRule="exact"/>
              <w:rPr>
                <w:sz w:val="20"/>
                <w:szCs w:val="20"/>
                <w:color w:val="auto"/>
              </w:rPr>
            </w:pPr>
            <w:r>
              <w:rPr>
                <w:rFonts w:ascii="Times New Roman" w:cs="Times New Roman" w:eastAsia="Times New Roman" w:hAnsi="Times New Roman"/>
                <w:sz w:val="13"/>
                <w:szCs w:val="13"/>
                <w:b w:val="1"/>
                <w:bCs w:val="1"/>
                <w:color w:val="auto"/>
              </w:rPr>
              <w:t>(b)</w:t>
            </w:r>
          </w:p>
        </w:tc>
        <w:tc>
          <w:tcPr>
            <w:tcW w:w="220" w:type="dxa"/>
            <w:vAlign w:val="bottom"/>
          </w:tcPr>
          <w:p>
            <w:pPr>
              <w:spacing w:after="0"/>
              <w:rPr>
                <w:sz w:val="11"/>
                <w:szCs w:val="11"/>
                <w:color w:val="auto"/>
              </w:rPr>
            </w:pPr>
          </w:p>
        </w:tc>
        <w:tc>
          <w:tcPr>
            <w:tcW w:w="14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holders(1)(2)(3)</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14,931,320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3,074,229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599,216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15,530,536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2010 Plan, our 2017 Plan and our 2017 ESPP.</w:t>
      </w:r>
    </w:p>
    <w:p>
      <w:pPr>
        <w:spacing w:after="0" w:line="117" w:lineRule="exact"/>
        <w:rPr>
          <w:rFonts w:ascii="Times New Roman" w:cs="Times New Roman" w:eastAsia="Times New Roman" w:hAnsi="Times New Roman"/>
          <w:sz w:val="18"/>
          <w:szCs w:val="18"/>
          <w:color w:val="auto"/>
        </w:rPr>
      </w:pPr>
    </w:p>
    <w:p>
      <w:pPr>
        <w:ind w:left="520" w:right="140" w:hanging="512"/>
        <w:spacing w:after="0" w:line="254"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2,865,381 shares were reserved for issuance under our 2017 Plan, which became effective on November 8, 2017. The number of shares of our common stock reserved for issuance under the 2017 Plan increases (i) from time to time by the number of shares of our common stock subject to outstanding awards under our 2010 Plan that expire, terminate or are otherwise surrendered, cancelled, forfeited or repurchased by us at their original issuance price pursuant to a contractual repurchase right, and (ii) annually on the first day of each fiscal year by an amount equal to the lowest of (a) 4,219,409 shares of our common stock, (b) 4.0% of the number of shares of our common stock outstanding on the first day of the fiscal year and (c) an amount determined by our board of directors. On January 1, 2026, an additional 4,219,409 shares of our common stock were reserved for issuance under the 2017 Plan, which shares are not reflected in the number of shares available for issuance under the 2017 Plan in the table above.</w:t>
      </w:r>
    </w:p>
    <w:p>
      <w:pPr>
        <w:spacing w:after="0" w:line="83" w:lineRule="exact"/>
        <w:rPr>
          <w:rFonts w:ascii="Times New Roman" w:cs="Times New Roman" w:eastAsia="Times New Roman" w:hAnsi="Times New Roman"/>
          <w:sz w:val="18"/>
          <w:szCs w:val="18"/>
          <w:color w:val="auto"/>
        </w:rPr>
      </w:pPr>
    </w:p>
    <w:p>
      <w:pPr>
        <w:ind w:left="520" w:right="100" w:hanging="512"/>
        <w:spacing w:after="0" w:line="255"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208,848 shares were reserved for issuance under our 2017 ESPP, which became effective on November 8, 2017. The number of shares of our common stock reserved for issuance under the 2017 ESPP increases on the first day of each fiscal year by an amount equal to the lowest of (i) 937,646 shares of our common stock, (ii) 1.0% of the number of shares of our common stock outstanding on the first day of the fiscal year and (iii) an amount determined by our board of directors. 763,316 shares have been issued under the 2017 ESPP. Our compensation committee decided not to allocate additional shares to the 2017 ESPP for calendar year 2026. On January 1, 2026, an additional 500,000 shares of our common stock were reserved for issuance under the 2017 ESPP, which shares are not reflected in the number of shares available for issuance under the 2017 ESPP in the table above.</w:t>
      </w:r>
    </w:p>
    <w:p>
      <w:pPr>
        <w:spacing w:after="0" w:line="80" w:lineRule="exact"/>
        <w:rPr>
          <w:rFonts w:ascii="Times New Roman" w:cs="Times New Roman" w:eastAsia="Times New Roman" w:hAnsi="Times New Roman"/>
          <w:sz w:val="18"/>
          <w:szCs w:val="18"/>
          <w:color w:val="auto"/>
        </w:rPr>
      </w:pPr>
    </w:p>
    <w:p>
      <w:pPr>
        <w:ind w:left="520" w:hanging="512"/>
        <w:spacing w:after="0" w:line="25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issuable upon exercise of outstanding stock options granted pursuant to the Nasdaq inducement grant exception as a component of employment compensation for employees, including under our 2020 Inducement Plan, which became effective on February 25, 2020. The inducement grants were made as an inducement material to employees entering into employment with us in accordance with Nasdaq Listing Rule 5635(c)(4). As of December 31, 2025, 1,032,021 shares were reserved for issuance under the 2020 Inducement Plan. See Note 14 to the consolidated financial statements in our Annual Report on Form 10-K for the year ended December 31, 2025 for additional information on the 2020 Inducement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2025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a party to an investors’ rights agreement, dated as of August 7, 2017, with certain stockholders, who purchased our preferred stock prior to our initial public offering, including some of our directors and 5% stockholders and their affiliates and entities affiliated with our officers and directors. The investors’ rights agreement provides these holders the right to demand that we file a registration statement or request that their shares be covered by a registration statement that we are otherwise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we will indemnify our directors and officers to the fullest extent permitted by Delaware law. In addition, we have entered into indemnification agreements with our current and former directors that may be broader in scope than the specific indemnification provisions contained in the General Corporation Law of the State of Delaware. In the case of those of our directors who are affiliated with certain of our 5% stockholders or their affiliates, the indemnification agreements also provide for indemnification of the applicable 5% stockholder or affiliate.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written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person transaction,” the related person must report the proposed related person transaction to our principal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the terms that could have been reached with an unrelated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audit committee may approve or ratify the transaction only if the audit committee determines that, under all of the circumstances, the transaction is in our best interests. The audit committee may impose any conditions on the related person transaction that it deems appropriate.</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policy provides that transactions involving compensation of executive officers shall be reviewed and approved by the compensation committee in the manner specified in its charter.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Applicable rules of the Nasdaq Stock Market LLC, or Nasdaq,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under the Exchange Act,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February and April 2025,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Cedric Francois,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Francois is not deemed to be an independent director under these rules because he is our President and Chief Executive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Deloitte &amp; Touche LLP, or Deloitte, our independent registered public accounting firm for the audit of our consolidated financial statements and for other services provided during the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2,115,355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1,928,399</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Tax fees (2)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214,240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159,868</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fees (3)</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2,339,491</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2,093,952</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520" w:right="36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consisted of fees for the integrated audit of our consolidated financial statements and the effectiveness of our internal control over financial reporting and the review of our unaudited interim financial statements included in our quarterly reports on Form 10-Q during the years ended December 31, 2025 and 2024 and fees for professional services in connection with statutory and regulatory filings.</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consisted of fees paid to Deloitte Tax and Deloitte AG related to tax compliance, worldwide and domestic tax planning and tax advice.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consisted of fees for our subscription to the Deloitte Accounting Research Tool.</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These policies provide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a part of this Report:</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 financial statements are filed with this Amendment. Our consolidated financial statements are set forth in our Original Filing and are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not applicable, or the information is otherwise included in the Original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Index to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27"/>
          </w:tcPr>
          <w:p>
            <w:pPr>
              <w:ind w:left="40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8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100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192"/>
        </w:trPr>
        <w:tc>
          <w:tcPr>
            <w:tcW w:w="980" w:type="dxa"/>
            <w:vAlign w:val="bottom"/>
          </w:tcPr>
          <w:p>
            <w:pPr>
              <w:ind w:left="100"/>
              <w:spacing w:after="0" w:line="192" w:lineRule="exact"/>
              <w:rPr>
                <w:sz w:val="20"/>
                <w:szCs w:val="20"/>
                <w:color w:val="auto"/>
              </w:rPr>
            </w:pPr>
            <w:r>
              <w:rPr>
                <w:rFonts w:ascii="Arial" w:cs="Arial" w:eastAsia="Arial" w:hAnsi="Arial"/>
                <w:sz w:val="20"/>
                <w:szCs w:val="20"/>
                <w:b w:val="1"/>
                <w:bCs w:val="1"/>
                <w:color w:val="auto"/>
              </w:rPr>
              <w:t>Exhibit</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ind w:left="240"/>
              <w:spacing w:after="0" w:line="192" w:lineRule="exact"/>
              <w:rPr>
                <w:sz w:val="20"/>
                <w:szCs w:val="20"/>
                <w:color w:val="auto"/>
              </w:rPr>
            </w:pPr>
            <w:r>
              <w:rPr>
                <w:rFonts w:ascii="Times New Roman" w:cs="Times New Roman" w:eastAsia="Times New Roman" w:hAnsi="Times New Roman"/>
                <w:sz w:val="20"/>
                <w:szCs w:val="20"/>
                <w:b w:val="1"/>
                <w:bCs w:val="1"/>
                <w:color w:val="auto"/>
              </w:rPr>
              <w:t>Form</w:t>
            </w:r>
          </w:p>
        </w:tc>
        <w:tc>
          <w:tcPr>
            <w:tcW w:w="1280" w:type="dxa"/>
            <w:vAlign w:val="bottom"/>
          </w:tcPr>
          <w:p>
            <w:pPr>
              <w:ind w:left="180"/>
              <w:spacing w:after="0" w:line="192" w:lineRule="exact"/>
              <w:rPr>
                <w:sz w:val="20"/>
                <w:szCs w:val="20"/>
                <w:color w:val="auto"/>
              </w:rPr>
            </w:pPr>
            <w:r>
              <w:rPr>
                <w:rFonts w:ascii="Times New Roman" w:cs="Times New Roman" w:eastAsia="Times New Roman" w:hAnsi="Times New Roman"/>
                <w:sz w:val="20"/>
                <w:szCs w:val="20"/>
                <w:b w:val="1"/>
                <w:bCs w:val="1"/>
                <w:color w:val="auto"/>
                <w:w w:val="99"/>
              </w:rPr>
              <w:t>File Number</w:t>
            </w:r>
          </w:p>
        </w:tc>
        <w:tc>
          <w:tcPr>
            <w:tcW w:w="1220" w:type="dxa"/>
            <w:vAlign w:val="bottom"/>
          </w:tcPr>
          <w:p>
            <w:pPr>
              <w:ind w:left="200"/>
              <w:spacing w:after="0" w:line="192" w:lineRule="exact"/>
              <w:rPr>
                <w:sz w:val="20"/>
                <w:szCs w:val="20"/>
                <w:color w:val="auto"/>
              </w:rPr>
            </w:pPr>
            <w:r>
              <w:rPr>
                <w:rFonts w:ascii="Times New Roman" w:cs="Times New Roman" w:eastAsia="Times New Roman" w:hAnsi="Times New Roman"/>
                <w:sz w:val="20"/>
                <w:szCs w:val="20"/>
                <w:b w:val="1"/>
                <w:bCs w:val="1"/>
                <w:color w:val="auto"/>
              </w:rPr>
              <w:t>Date of</w:t>
            </w:r>
          </w:p>
        </w:tc>
        <w:tc>
          <w:tcPr>
            <w:tcW w:w="1000" w:type="dxa"/>
            <w:vAlign w:val="bottom"/>
          </w:tcPr>
          <w:p>
            <w:pPr>
              <w:jc w:val="right"/>
              <w:ind w:right="229"/>
              <w:spacing w:after="0" w:line="192" w:lineRule="exact"/>
              <w:rPr>
                <w:sz w:val="20"/>
                <w:szCs w:val="20"/>
                <w:color w:val="auto"/>
              </w:rPr>
            </w:pPr>
            <w:r>
              <w:rPr>
                <w:rFonts w:ascii="Times New Roman" w:cs="Times New Roman" w:eastAsia="Times New Roman" w:hAnsi="Times New Roman"/>
                <w:sz w:val="20"/>
                <w:szCs w:val="20"/>
                <w:b w:val="1"/>
                <w:bCs w:val="1"/>
                <w:color w:val="auto"/>
              </w:rPr>
              <w:t>Exhibit</w:t>
            </w:r>
          </w:p>
        </w:tc>
        <w:tc>
          <w:tcPr>
            <w:tcW w:w="1160" w:type="dxa"/>
            <w:vAlign w:val="bottom"/>
          </w:tcPr>
          <w:p>
            <w:pPr>
              <w:ind w:left="340"/>
              <w:spacing w:after="0" w:line="192" w:lineRule="exact"/>
              <w:rPr>
                <w:sz w:val="20"/>
                <w:szCs w:val="20"/>
                <w:color w:val="auto"/>
              </w:rPr>
            </w:pPr>
            <w:r>
              <w:rPr>
                <w:rFonts w:ascii="Times New Roman" w:cs="Times New Roman" w:eastAsia="Times New Roman" w:hAnsi="Times New Roman"/>
                <w:sz w:val="20"/>
                <w:szCs w:val="20"/>
                <w:b w:val="1"/>
                <w:bCs w:val="1"/>
                <w:color w:val="auto"/>
              </w:rPr>
              <w:t>Filed</w:t>
            </w:r>
          </w:p>
        </w:tc>
      </w:tr>
      <w:tr>
        <w:trPr>
          <w:trHeight w:val="287"/>
        </w:trPr>
        <w:tc>
          <w:tcPr>
            <w:tcW w:w="980" w:type="dxa"/>
            <w:vAlign w:val="bottom"/>
            <w:tcBorders>
              <w:bottom w:val="single" w:sz="8" w:color="auto"/>
            </w:tcBorders>
          </w:tcPr>
          <w:p>
            <w:pPr>
              <w:ind w:left="120"/>
              <w:spacing w:after="0"/>
              <w:rPr>
                <w:sz w:val="20"/>
                <w:szCs w:val="20"/>
                <w:color w:val="auto"/>
              </w:rPr>
            </w:pPr>
            <w:r>
              <w:rPr>
                <w:rFonts w:ascii="Arial" w:cs="Arial" w:eastAsia="Arial" w:hAnsi="Arial"/>
                <w:sz w:val="20"/>
                <w:szCs w:val="20"/>
                <w:b w:val="1"/>
                <w:bCs w:val="1"/>
                <w:color w:val="auto"/>
              </w:rPr>
              <w:t>Number</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0"/>
                <w:szCs w:val="20"/>
                <w:b w:val="1"/>
                <w:bCs w:val="1"/>
                <w:color w:val="auto"/>
              </w:rPr>
              <w:t>Filing</w:t>
            </w:r>
          </w:p>
        </w:tc>
        <w:tc>
          <w:tcPr>
            <w:tcW w:w="10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Herewith</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4760" w:type="dxa"/>
            <w:vAlign w:val="bottom"/>
            <w:gridSpan w:val="31"/>
          </w:tcPr>
          <w:p>
            <w:pPr>
              <w:spacing w:after="0" w:line="17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Asset Purchase Agreement</w:t>
              </w:r>
            </w:hyperlink>
          </w:p>
        </w:tc>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760" w:type="dxa"/>
            <w:vAlign w:val="bottom"/>
            <w:gridSpan w:val="31"/>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Restated Certificate of Incorporation of the Registrant</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11/13/2017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62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Amended and Restated By-Laws of the Registrant</w:t>
              </w:r>
            </w:hyperlink>
          </w:p>
        </w:tc>
        <w:tc>
          <w:tcPr>
            <w:tcW w:w="20" w:type="dxa"/>
            <w:vAlign w:val="bottom"/>
            <w:tcBorders>
              <w:top w:val="single" w:sz="8" w:color="0000FF"/>
              <w:bottom w:val="single" w:sz="8" w:color="0000EE"/>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80" w:type="dxa"/>
            <w:vAlign w:val="bottom"/>
            <w:gridSpan w:val="14"/>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11/13/2017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5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Specimen Stock Certificate evidencing the shares of common</w:t>
              </w:r>
            </w:hyperlink>
          </w:p>
        </w:tc>
        <w:tc>
          <w:tcPr>
            <w:tcW w:w="260" w:type="dxa"/>
            <w:vAlign w:val="bottom"/>
            <w:gridSpan w:val="6"/>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65">
              <w:r>
                <w:rPr>
                  <w:rFonts w:ascii="Times New Roman" w:cs="Times New Roman" w:eastAsia="Times New Roman" w:hAnsi="Times New Roman"/>
                  <w:sz w:val="18"/>
                  <w:szCs w:val="18"/>
                  <w:color w:val="0000FF"/>
                  <w:w w:val="94"/>
                </w:rPr>
                <w:t>stock</w:t>
              </w:r>
            </w:hyperlink>
          </w:p>
        </w:tc>
        <w:tc>
          <w:tcPr>
            <w:tcW w:w="20" w:type="dxa"/>
            <w:vAlign w:val="bottom"/>
            <w:tcBorders>
              <w:bottom w:val="single" w:sz="8" w:color="0000EE"/>
            </w:tcBorders>
          </w:tcPr>
          <w:p>
            <w:pPr>
              <w:spacing w:after="0"/>
              <w:rPr>
                <w:sz w:val="17"/>
                <w:szCs w:val="17"/>
                <w:color w:val="auto"/>
              </w:rPr>
            </w:pPr>
          </w:p>
        </w:tc>
        <w:tc>
          <w:tcPr>
            <w:tcW w:w="4360" w:type="dxa"/>
            <w:vAlign w:val="bottom"/>
            <w:gridSpan w:val="29"/>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6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Investors’ Rights Agreement dated as of August 7, 2017, among</w:t>
              </w:r>
            </w:hyperlink>
          </w:p>
        </w:tc>
        <w:tc>
          <w:tcPr>
            <w:tcW w:w="80" w:type="dxa"/>
            <w:vAlign w:val="bottom"/>
            <w:gridSpan w:val="2"/>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0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the Registrant and the other parties thereto</w:t>
              </w:r>
            </w:hyperlink>
          </w:p>
        </w:tc>
        <w:tc>
          <w:tcPr>
            <w:tcW w:w="20" w:type="dxa"/>
            <w:vAlign w:val="bottom"/>
            <w:tcBorders>
              <w:bottom w:val="single" w:sz="8" w:color="0000EE"/>
            </w:tcBorders>
          </w:tcPr>
          <w:p>
            <w:pPr>
              <w:spacing w:after="0"/>
              <w:rPr>
                <w:sz w:val="17"/>
                <w:szCs w:val="17"/>
                <w:color w:val="auto"/>
              </w:rPr>
            </w:pPr>
          </w:p>
        </w:tc>
        <w:tc>
          <w:tcPr>
            <w:tcW w:w="168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5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Indenture (including form of Note), dated as of September 16,</w:t>
              </w:r>
            </w:hyperlink>
          </w:p>
        </w:tc>
        <w:tc>
          <w:tcPr>
            <w:tcW w:w="240" w:type="dxa"/>
            <w:vAlign w:val="bottom"/>
            <w:gridSpan w:val="5"/>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9/16/2019</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4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2019, by and between Apellis Pharmaceuticals, Inc. and U.S.</w:t>
              </w:r>
            </w:hyperlink>
          </w:p>
        </w:tc>
        <w:tc>
          <w:tcPr>
            <w:tcW w:w="32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760" w:type="dxa"/>
            <w:vAlign w:val="bottom"/>
            <w:gridSpan w:val="31"/>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Bank National Association, as trustee</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44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Description of Securities Registered Under Section 12 of the</w:t>
              </w:r>
            </w:hyperlink>
          </w:p>
        </w:tc>
        <w:tc>
          <w:tcPr>
            <w:tcW w:w="340" w:type="dxa"/>
            <w:vAlign w:val="bottom"/>
            <w:gridSpan w:val="10"/>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2/28/2022</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68">
              <w:r>
                <w:rPr>
                  <w:rFonts w:ascii="Times New Roman" w:cs="Times New Roman" w:eastAsia="Times New Roman" w:hAnsi="Times New Roman"/>
                  <w:sz w:val="18"/>
                  <w:szCs w:val="18"/>
                  <w:color w:val="0000FF"/>
                  <w:w w:val="98"/>
                </w:rPr>
                <w:t>Exchange Act</w:t>
              </w:r>
            </w:hyperlink>
          </w:p>
        </w:tc>
        <w:tc>
          <w:tcPr>
            <w:tcW w:w="20" w:type="dxa"/>
            <w:vAlign w:val="bottom"/>
            <w:tcBorders>
              <w:bottom w:val="single" w:sz="8" w:color="0000EE"/>
            </w:tcBorders>
          </w:tcPr>
          <w:p>
            <w:pPr>
              <w:spacing w:after="0"/>
              <w:rPr>
                <w:sz w:val="17"/>
                <w:szCs w:val="17"/>
                <w:color w:val="auto"/>
              </w:rPr>
            </w:pPr>
          </w:p>
        </w:tc>
        <w:tc>
          <w:tcPr>
            <w:tcW w:w="3720" w:type="dxa"/>
            <w:vAlign w:val="bottom"/>
            <w:gridSpan w:val="27"/>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4760" w:type="dxa"/>
            <w:vAlign w:val="bottom"/>
            <w:gridSpan w:val="31"/>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Pre-Funded Warrant</w:t>
              </w:r>
            </w:hyperlink>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2/24/2023</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9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2010 Equity Incentive Plan, as amended</w:t>
              </w:r>
            </w:hyperlink>
          </w:p>
        </w:tc>
        <w:tc>
          <w:tcPr>
            <w:tcW w:w="20" w:type="dxa"/>
            <w:vAlign w:val="bottom"/>
            <w:tcBorders>
              <w:bottom w:val="single" w:sz="8" w:color="0000EE"/>
            </w:tcBorders>
          </w:tcPr>
          <w:p>
            <w:pPr>
              <w:spacing w:after="0"/>
              <w:rPr>
                <w:sz w:val="17"/>
                <w:szCs w:val="17"/>
                <w:color w:val="auto"/>
              </w:rPr>
            </w:pPr>
          </w:p>
        </w:tc>
        <w:tc>
          <w:tcPr>
            <w:tcW w:w="1840" w:type="dxa"/>
            <w:vAlign w:val="bottom"/>
            <w:gridSpan w:val="20"/>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4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Form of Incentive Stock Option Grant Notice and Agreement</w:t>
              </w:r>
            </w:hyperlink>
          </w:p>
        </w:tc>
        <w:tc>
          <w:tcPr>
            <w:tcW w:w="280" w:type="dxa"/>
            <w:vAlign w:val="bottom"/>
            <w:gridSpan w:val="7"/>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4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under 2010 Equity Incentive Plan</w:t>
              </w:r>
            </w:hyperlink>
          </w:p>
        </w:tc>
        <w:tc>
          <w:tcPr>
            <w:tcW w:w="20" w:type="dxa"/>
            <w:vAlign w:val="bottom"/>
            <w:tcBorders>
              <w:bottom w:val="single" w:sz="8" w:color="0000EE"/>
            </w:tcBorders>
          </w:tcPr>
          <w:p>
            <w:pPr>
              <w:spacing w:after="0"/>
              <w:rPr>
                <w:sz w:val="17"/>
                <w:szCs w:val="17"/>
                <w:color w:val="auto"/>
              </w:rPr>
            </w:pPr>
          </w:p>
        </w:tc>
        <w:tc>
          <w:tcPr>
            <w:tcW w:w="2320" w:type="dxa"/>
            <w:vAlign w:val="bottom"/>
            <w:gridSpan w:val="23"/>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5600" w:type="dxa"/>
            <w:vAlign w:val="bottom"/>
            <w:gridSpan w:val="32"/>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 xml:space="preserve">Form of Nonstatutory Stock Option Grant Notice and Agreement </w:t>
              </w:r>
            </w:hyperlink>
            <w:r>
              <w:rPr>
                <w:rFonts w:ascii="Times New Roman" w:cs="Times New Roman" w:eastAsia="Times New Roman" w:hAnsi="Times New Roman"/>
                <w:sz w:val="18"/>
                <w:szCs w:val="18"/>
                <w:color w:val="000000"/>
              </w:rPr>
              <w:t>S-1</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under 2010 Equity Incentive Plan</w:t>
              </w:r>
            </w:hyperlink>
          </w:p>
        </w:tc>
        <w:tc>
          <w:tcPr>
            <w:tcW w:w="2320" w:type="dxa"/>
            <w:vAlign w:val="bottom"/>
            <w:tcBorders>
              <w:top w:val="single" w:sz="8" w:color="0000FF"/>
            </w:tcBorders>
            <w:gridSpan w:val="23"/>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9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2017 Stock Incentive Plan</w:t>
              </w:r>
            </w:hyperlink>
          </w:p>
        </w:tc>
        <w:tc>
          <w:tcPr>
            <w:tcW w:w="2820" w:type="dxa"/>
            <w:vAlign w:val="bottom"/>
            <w:gridSpan w:val="26"/>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10/30/2017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5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Form of Incentive Stock Option Agreement under 2017 Stock</w:t>
              </w:r>
            </w:hyperlink>
          </w:p>
        </w:tc>
        <w:tc>
          <w:tcPr>
            <w:tcW w:w="260" w:type="dxa"/>
            <w:vAlign w:val="bottom"/>
            <w:gridSpan w:val="6"/>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74">
              <w:r>
                <w:rPr>
                  <w:rFonts w:ascii="Times New Roman" w:cs="Times New Roman" w:eastAsia="Times New Roman" w:hAnsi="Times New Roman"/>
                  <w:sz w:val="18"/>
                  <w:szCs w:val="18"/>
                  <w:color w:val="0000FF"/>
                  <w:w w:val="98"/>
                </w:rPr>
                <w:t>Incentive Plan</w:t>
              </w:r>
            </w:hyperlink>
          </w:p>
        </w:tc>
        <w:tc>
          <w:tcPr>
            <w:tcW w:w="3720" w:type="dxa"/>
            <w:vAlign w:val="bottom"/>
            <w:gridSpan w:val="27"/>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5600" w:type="dxa"/>
            <w:vAlign w:val="bottom"/>
            <w:gridSpan w:val="32"/>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 xml:space="preserve">Form of Nonstatutory Stock Option Agreement under 2017 Stock </w:t>
              </w:r>
            </w:hyperlink>
            <w:r>
              <w:rPr>
                <w:rFonts w:ascii="Times New Roman" w:cs="Times New Roman" w:eastAsia="Times New Roman" w:hAnsi="Times New Roman"/>
                <w:sz w:val="18"/>
                <w:szCs w:val="18"/>
                <w:color w:val="000000"/>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75">
              <w:r>
                <w:rPr>
                  <w:rFonts w:ascii="Times New Roman" w:cs="Times New Roman" w:eastAsia="Times New Roman" w:hAnsi="Times New Roman"/>
                  <w:sz w:val="18"/>
                  <w:szCs w:val="18"/>
                  <w:color w:val="0000FF"/>
                  <w:w w:val="98"/>
                </w:rPr>
                <w:t>Incentive Plan</w:t>
              </w:r>
            </w:hyperlink>
          </w:p>
        </w:tc>
        <w:tc>
          <w:tcPr>
            <w:tcW w:w="3700" w:type="dxa"/>
            <w:vAlign w:val="bottom"/>
            <w:tcBorders>
              <w:top w:val="single" w:sz="8" w:color="0000FF"/>
            </w:tcBorders>
            <w:gridSpan w:val="2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41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Form of Director and Officer Indemnification Agreement</w:t>
              </w:r>
            </w:hyperlink>
          </w:p>
        </w:tc>
        <w:tc>
          <w:tcPr>
            <w:tcW w:w="20" w:type="dxa"/>
            <w:vAlign w:val="bottom"/>
            <w:tcBorders>
              <w:bottom w:val="single" w:sz="8" w:color="0000EE"/>
            </w:tcBorders>
          </w:tcPr>
          <w:p>
            <w:pPr>
              <w:spacing w:after="0"/>
              <w:rPr>
                <w:sz w:val="17"/>
                <w:szCs w:val="17"/>
                <w:color w:val="auto"/>
              </w:rPr>
            </w:pPr>
          </w:p>
        </w:tc>
        <w:tc>
          <w:tcPr>
            <w:tcW w:w="600" w:type="dxa"/>
            <w:vAlign w:val="bottom"/>
            <w:gridSpan w:val="12"/>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45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Patent License Agreement, dated as of March 28, 2008, by and</w:t>
              </w:r>
            </w:hyperlink>
          </w:p>
        </w:tc>
        <w:tc>
          <w:tcPr>
            <w:tcW w:w="180" w:type="dxa"/>
            <w:vAlign w:val="bottom"/>
            <w:gridSpan w:val="4"/>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2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between Apellis AG and The Trustees of the University of</w:t>
              </w:r>
            </w:hyperlink>
          </w:p>
        </w:tc>
        <w:tc>
          <w:tcPr>
            <w:tcW w:w="50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1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Pennsylvania, as assigned to the Registrant</w:t>
              </w:r>
            </w:hyperlink>
          </w:p>
        </w:tc>
        <w:tc>
          <w:tcPr>
            <w:tcW w:w="166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45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Amended and Restated Patent License Agreement, dated as of</w:t>
              </w:r>
            </w:hyperlink>
          </w:p>
        </w:tc>
        <w:tc>
          <w:tcPr>
            <w:tcW w:w="240" w:type="dxa"/>
            <w:vAlign w:val="bottom"/>
            <w:gridSpan w:val="5"/>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6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March 28, 2008, by and between Potentia Pharmaceuticals, Inc.</w:t>
              </w:r>
            </w:hyperlink>
          </w:p>
        </w:tc>
        <w:tc>
          <w:tcPr>
            <w:tcW w:w="12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6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and The Trustees of the University of Pennsylvania, as amended</w:t>
              </w:r>
            </w:hyperlink>
          </w:p>
        </w:tc>
        <w:tc>
          <w:tcPr>
            <w:tcW w:w="8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4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by the First Amendment to the Amended and Restated Patent</w:t>
              </w:r>
            </w:hyperlink>
          </w:p>
        </w:tc>
        <w:tc>
          <w:tcPr>
            <w:tcW w:w="30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980" w:type="dxa"/>
            <w:vAlign w:val="bottom"/>
          </w:tcPr>
          <w:p>
            <w:pPr>
              <w:spacing w:after="0"/>
              <w:rPr>
                <w:sz w:val="20"/>
                <w:szCs w:val="20"/>
                <w:color w:val="auto"/>
              </w:rPr>
            </w:pPr>
          </w:p>
        </w:tc>
        <w:tc>
          <w:tcPr>
            <w:tcW w:w="4740" w:type="dxa"/>
            <w:vAlign w:val="bottom"/>
            <w:gridSpan w:val="30"/>
          </w:tcPr>
          <w:p>
            <w:pPr>
              <w:ind w:left="4560"/>
              <w:spacing w:after="0"/>
              <w:rPr>
                <w:sz w:val="20"/>
                <w:szCs w:val="20"/>
                <w:color w:val="auto"/>
              </w:rPr>
            </w:pPr>
            <w:r>
              <w:rPr>
                <w:rFonts w:ascii="Times New Roman" w:cs="Times New Roman" w:eastAsia="Times New Roman" w:hAnsi="Times New Roman"/>
                <w:sz w:val="18"/>
                <w:szCs w:val="18"/>
                <w:color w:val="auto"/>
                <w:w w:val="88"/>
              </w:rPr>
              <w:t>34</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74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License Agreement, dated as of October 14, 2009 and as assigned</w:t>
              </w:r>
            </w:hyperlink>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740" w:type="dxa"/>
            <w:vAlign w:val="bottom"/>
            <w:gridSpan w:val="40"/>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to the Registrant</w:t>
              </w:r>
            </w:hyperlink>
          </w:p>
        </w:tc>
        <w:tc>
          <w:tcPr>
            <w:tcW w:w="4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4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Summary of Non-Employee Director Compensation Program</w:t>
              </w:r>
            </w:hyperlink>
          </w:p>
        </w:tc>
        <w:tc>
          <w:tcPr>
            <w:tcW w:w="20" w:type="dxa"/>
            <w:vAlign w:val="bottom"/>
            <w:tcBorders>
              <w:bottom w:val="single" w:sz="8" w:color="0000EE"/>
            </w:tcBorders>
          </w:tcPr>
          <w:p>
            <w:pPr>
              <w:spacing w:after="0"/>
              <w:rPr>
                <w:sz w:val="17"/>
                <w:szCs w:val="17"/>
                <w:color w:val="auto"/>
              </w:rPr>
            </w:pPr>
          </w:p>
        </w:tc>
        <w:tc>
          <w:tcPr>
            <w:tcW w:w="280" w:type="dxa"/>
            <w:vAlign w:val="bottom"/>
            <w:gridSpan w:val="12"/>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472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Lease, dated as of April 27, 2017, by and between the Registrant</w:t>
              </w:r>
            </w:hyperlink>
          </w:p>
        </w:tc>
        <w:tc>
          <w:tcPr>
            <w:tcW w:w="20" w:type="dxa"/>
            <w:vAlign w:val="bottom"/>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2"/>
              </w:rPr>
              <w:t>S-1/A</w:t>
            </w:r>
          </w:p>
        </w:tc>
      </w:tr>
      <w:tr>
        <w:trPr>
          <w:trHeight w:val="196"/>
        </w:trPr>
        <w:tc>
          <w:tcPr>
            <w:tcW w:w="980" w:type="dxa"/>
            <w:vAlign w:val="bottom"/>
          </w:tcPr>
          <w:p>
            <w:pPr>
              <w:spacing w:after="0"/>
              <w:rPr>
                <w:sz w:val="17"/>
                <w:szCs w:val="17"/>
                <w:color w:val="auto"/>
              </w:rPr>
            </w:pPr>
          </w:p>
        </w:tc>
        <w:tc>
          <w:tcPr>
            <w:tcW w:w="30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and NWALP PHOP Property Owner, LLC</w:t>
              </w:r>
            </w:hyperlink>
          </w:p>
        </w:tc>
        <w:tc>
          <w:tcPr>
            <w:tcW w:w="1660" w:type="dxa"/>
            <w:vAlign w:val="bottom"/>
            <w:gridSpan w:val="27"/>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4740" w:type="dxa"/>
            <w:vAlign w:val="bottom"/>
            <w:gridSpan w:val="40"/>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2017 Employee Stock Purchase Plan</w:t>
              </w:r>
            </w:hyperlink>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2"/>
              </w:rPr>
              <w:t>S-1/A</w:t>
            </w: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4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Offer Letter, dated as of October 9, 2017, by and between the</w:t>
              </w:r>
            </w:hyperlink>
          </w:p>
        </w:tc>
        <w:tc>
          <w:tcPr>
            <w:tcW w:w="260" w:type="dxa"/>
            <w:vAlign w:val="bottom"/>
            <w:gridSpan w:val="11"/>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2"/>
              </w:rPr>
              <w:t>S-1/A</w:t>
            </w:r>
          </w:p>
        </w:tc>
      </w:tr>
      <w:tr>
        <w:trPr>
          <w:trHeight w:val="196"/>
        </w:trPr>
        <w:tc>
          <w:tcPr>
            <w:tcW w:w="980" w:type="dxa"/>
            <w:vAlign w:val="bottom"/>
          </w:tcPr>
          <w:p>
            <w:pPr>
              <w:spacing w:after="0"/>
              <w:rPr>
                <w:sz w:val="17"/>
                <w:szCs w:val="17"/>
                <w:color w:val="auto"/>
              </w:rPr>
            </w:pPr>
          </w:p>
        </w:tc>
        <w:tc>
          <w:tcPr>
            <w:tcW w:w="23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Registrant and Timothy Sullivan</w:t>
              </w:r>
            </w:hyperlink>
          </w:p>
        </w:tc>
        <w:tc>
          <w:tcPr>
            <w:tcW w:w="40" w:type="dxa"/>
            <w:vAlign w:val="bottom"/>
            <w:tcBorders>
              <w:bottom w:val="single" w:sz="8" w:color="0000EE"/>
            </w:tcBorders>
          </w:tcPr>
          <w:p>
            <w:pPr>
              <w:spacing w:after="0"/>
              <w:rPr>
                <w:sz w:val="17"/>
                <w:szCs w:val="17"/>
                <w:color w:val="auto"/>
              </w:rPr>
            </w:pPr>
          </w:p>
        </w:tc>
        <w:tc>
          <w:tcPr>
            <w:tcW w:w="2340" w:type="dxa"/>
            <w:vAlign w:val="bottom"/>
            <w:gridSpan w:val="30"/>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468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First Amendment to Lease, dated July 25, 2018, by and between</w:t>
              </w:r>
            </w:hyperlink>
          </w:p>
        </w:tc>
        <w:tc>
          <w:tcPr>
            <w:tcW w:w="60" w:type="dxa"/>
            <w:vAlign w:val="bottom"/>
            <w:gridSpan w:val="3"/>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740" w:type="dxa"/>
            <w:vAlign w:val="bottom"/>
            <w:gridSpan w:val="40"/>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Registrant and NWALP PHOP Property Owner LLC.</w:t>
              </w:r>
            </w:hyperlink>
          </w:p>
        </w:tc>
        <w:tc>
          <w:tcPr>
            <w:tcW w:w="4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41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Second Amendment to Lease, dated June 5, 2019, by and</w:t>
              </w:r>
            </w:hyperlink>
          </w:p>
        </w:tc>
        <w:tc>
          <w:tcPr>
            <w:tcW w:w="560" w:type="dxa"/>
            <w:vAlign w:val="bottom"/>
            <w:gridSpan w:val="18"/>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740" w:type="dxa"/>
            <w:vAlign w:val="bottom"/>
            <w:gridSpan w:val="40"/>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between Registrant and NWALP PHOP Property Owner LLC.</w:t>
              </w:r>
            </w:hyperlink>
          </w:p>
        </w:tc>
        <w:tc>
          <w:tcPr>
            <w:tcW w:w="4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45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Third Amendment to Lease, dated September 25, 2019, by and</w:t>
              </w:r>
            </w:hyperlink>
          </w:p>
        </w:tc>
        <w:tc>
          <w:tcPr>
            <w:tcW w:w="160" w:type="dxa"/>
            <w:vAlign w:val="bottom"/>
            <w:gridSpan w:val="7"/>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740" w:type="dxa"/>
            <w:vAlign w:val="bottom"/>
            <w:gridSpan w:val="40"/>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between Registrant and NWALP PHOP Property Owner LLC.</w:t>
              </w:r>
            </w:hyperlink>
          </w:p>
        </w:tc>
        <w:tc>
          <w:tcPr>
            <w:tcW w:w="4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46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Fourth Amendment to Lease, dated November 13, 2020, by and</w:t>
              </w:r>
            </w:hyperlink>
          </w:p>
        </w:tc>
        <w:tc>
          <w:tcPr>
            <w:tcW w:w="100" w:type="dxa"/>
            <w:vAlign w:val="bottom"/>
            <w:gridSpan w:val="4"/>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45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between Registrant and NWALP PHOP Property Owner LLC.</w:t>
              </w:r>
            </w:hyperlink>
          </w:p>
        </w:tc>
        <w:tc>
          <w:tcPr>
            <w:tcW w:w="22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43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Standard Office Lease, dated as of March 29, 2019, by and</w:t>
              </w:r>
            </w:hyperlink>
          </w:p>
        </w:tc>
        <w:tc>
          <w:tcPr>
            <w:tcW w:w="440" w:type="dxa"/>
            <w:vAlign w:val="bottom"/>
            <w:gridSpan w:val="14"/>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70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between the Registrant and Geary-Market Investment Company,</w:t>
              </w:r>
            </w:hyperlink>
          </w:p>
        </w:tc>
        <w:tc>
          <w:tcPr>
            <w:tcW w:w="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89">
              <w:r>
                <w:rPr>
                  <w:rFonts w:ascii="Times New Roman" w:cs="Times New Roman" w:eastAsia="Times New Roman" w:hAnsi="Times New Roman"/>
                  <w:sz w:val="18"/>
                  <w:szCs w:val="18"/>
                  <w:color w:val="0000FF"/>
                  <w:w w:val="94"/>
                </w:rPr>
                <w:t>Ltd.</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38"/>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34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Form of Capped Call Transaction Confirmation</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25"/>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4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Amendment No. 1 to 2017 Employee Stock Purchase Plan</w:t>
              </w:r>
            </w:hyperlink>
          </w:p>
        </w:tc>
        <w:tc>
          <w:tcPr>
            <w:tcW w:w="480" w:type="dxa"/>
            <w:vAlign w:val="bottom"/>
            <w:gridSpan w:val="16"/>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462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Collaboration and License Agreement, dated October 27, 2020,</w:t>
              </w:r>
            </w:hyperlink>
          </w:p>
        </w:tc>
        <w:tc>
          <w:tcPr>
            <w:tcW w:w="120" w:type="dxa"/>
            <w:vAlign w:val="bottom"/>
            <w:gridSpan w:val="5"/>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46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by and among, the Registrant, Apellis Switzerland GmbH, APL</w:t>
              </w:r>
            </w:hyperlink>
          </w:p>
        </w:tc>
        <w:tc>
          <w:tcPr>
            <w:tcW w:w="10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5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DEL holdings, LLC and Swedish Orphan Biovitrum AB (publ)</w:t>
              </w:r>
            </w:hyperlink>
          </w:p>
        </w:tc>
        <w:tc>
          <w:tcPr>
            <w:tcW w:w="18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45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Commercial Supply Agreement, dated December 30, 2020, by</w:t>
              </w:r>
            </w:hyperlink>
          </w:p>
        </w:tc>
        <w:tc>
          <w:tcPr>
            <w:tcW w:w="200" w:type="dxa"/>
            <w:vAlign w:val="bottom"/>
            <w:gridSpan w:val="9"/>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40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and between the Registrant and Bachem Americas, Inc.</w:t>
              </w:r>
            </w:hyperlink>
          </w:p>
        </w:tc>
        <w:tc>
          <w:tcPr>
            <w:tcW w:w="20" w:type="dxa"/>
            <w:vAlign w:val="bottom"/>
            <w:tcBorders>
              <w:bottom w:val="single" w:sz="8" w:color="0000EE"/>
            </w:tcBorders>
          </w:tcPr>
          <w:p>
            <w:pPr>
              <w:spacing w:after="0"/>
              <w:rPr>
                <w:sz w:val="17"/>
                <w:szCs w:val="17"/>
                <w:color w:val="auto"/>
              </w:rPr>
            </w:pPr>
          </w:p>
        </w:tc>
        <w:tc>
          <w:tcPr>
            <w:tcW w:w="720" w:type="dxa"/>
            <w:vAlign w:val="bottom"/>
            <w:gridSpan w:val="2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472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Sales Agreement, dated as of November 1, 2023 by and between</w:t>
              </w:r>
            </w:hyperlink>
          </w:p>
        </w:tc>
        <w:tc>
          <w:tcPr>
            <w:tcW w:w="20" w:type="dxa"/>
            <w:vAlign w:val="bottom"/>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980" w:type="dxa"/>
            <w:vAlign w:val="bottom"/>
          </w:tcPr>
          <w:p>
            <w:pPr>
              <w:spacing w:after="0"/>
              <w:rPr>
                <w:sz w:val="17"/>
                <w:szCs w:val="17"/>
                <w:color w:val="auto"/>
              </w:rPr>
            </w:pPr>
          </w:p>
        </w:tc>
        <w:tc>
          <w:tcPr>
            <w:tcW w:w="45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Apellis Pharmaceuticals, Inc. and Cowen and Company, LLC.</w:t>
              </w:r>
            </w:hyperlink>
          </w:p>
        </w:tc>
        <w:tc>
          <w:tcPr>
            <w:tcW w:w="22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45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Amended and Restated Commercial Supply Agreement, dated</w:t>
              </w:r>
            </w:hyperlink>
          </w:p>
        </w:tc>
        <w:tc>
          <w:tcPr>
            <w:tcW w:w="220" w:type="dxa"/>
            <w:vAlign w:val="bottom"/>
            <w:gridSpan w:val="10"/>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0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March 10, 2021, by and between the Registrant, Apellis</w:t>
              </w:r>
            </w:hyperlink>
          </w:p>
        </w:tc>
        <w:tc>
          <w:tcPr>
            <w:tcW w:w="680" w:type="dxa"/>
            <w:vAlign w:val="bottom"/>
            <w:gridSpan w:val="21"/>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0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Switzerland GmbH and NOF Corporation</w:t>
              </w:r>
            </w:hyperlink>
          </w:p>
        </w:tc>
        <w:tc>
          <w:tcPr>
            <w:tcW w:w="1720" w:type="dxa"/>
            <w:vAlign w:val="bottom"/>
            <w:gridSpan w:val="28"/>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4740" w:type="dxa"/>
            <w:vAlign w:val="bottom"/>
            <w:gridSpan w:val="40"/>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Inducement Stock Incentive Plan</w:t>
              </w:r>
            </w:hyperlink>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9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472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Offer Letter, dated as of December 25, 2022, by and between the</w:t>
              </w:r>
            </w:hyperlink>
          </w:p>
        </w:tc>
        <w:tc>
          <w:tcPr>
            <w:tcW w:w="20" w:type="dxa"/>
            <w:vAlign w:val="bottom"/>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23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Registrant and Baumal Caroline</w:t>
              </w:r>
            </w:hyperlink>
          </w:p>
        </w:tc>
        <w:tc>
          <w:tcPr>
            <w:tcW w:w="20" w:type="dxa"/>
            <w:vAlign w:val="bottom"/>
            <w:tcBorders>
              <w:bottom w:val="single" w:sz="8" w:color="0000EE"/>
            </w:tcBorders>
          </w:tcPr>
          <w:p>
            <w:pPr>
              <w:spacing w:after="0"/>
              <w:rPr>
                <w:sz w:val="17"/>
                <w:szCs w:val="17"/>
                <w:color w:val="auto"/>
              </w:rPr>
            </w:pPr>
          </w:p>
        </w:tc>
        <w:tc>
          <w:tcPr>
            <w:tcW w:w="2400" w:type="dxa"/>
            <w:vAlign w:val="bottom"/>
            <w:gridSpan w:val="3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472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Separation Agreement, dated February 21, 2025, by and between</w:t>
              </w:r>
            </w:hyperlink>
          </w:p>
        </w:tc>
        <w:tc>
          <w:tcPr>
            <w:tcW w:w="20" w:type="dxa"/>
            <w:vAlign w:val="bottom"/>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740" w:type="dxa"/>
            <w:vAlign w:val="bottom"/>
            <w:gridSpan w:val="40"/>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the Registrant and Adam Townsend</w:t>
              </w:r>
            </w:hyperlink>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266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Exchange Agreement</w:t>
              </w:r>
            </w:hyperlink>
          </w:p>
        </w:tc>
        <w:tc>
          <w:tcPr>
            <w:tcW w:w="2080" w:type="dxa"/>
            <w:vAlign w:val="bottom"/>
            <w:gridSpan w:val="29"/>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20"/>
        </w:trPr>
        <w:tc>
          <w:tcPr>
            <w:tcW w:w="9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9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46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Restricted Stock Unit Agreement under the 2017 Stock</w:t>
              </w:r>
            </w:hyperlink>
          </w:p>
        </w:tc>
        <w:tc>
          <w:tcPr>
            <w:tcW w:w="100" w:type="dxa"/>
            <w:vAlign w:val="bottom"/>
            <w:gridSpan w:val="4"/>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10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Incentive Plan</w:t>
              </w:r>
            </w:hyperlink>
          </w:p>
        </w:tc>
        <w:tc>
          <w:tcPr>
            <w:tcW w:w="3700" w:type="dxa"/>
            <w:vAlign w:val="bottom"/>
            <w:gridSpan w:val="36"/>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42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Royalty Buy-Down Agreement dated July 1, 2025, by and</w:t>
              </w:r>
            </w:hyperlink>
          </w:p>
        </w:tc>
        <w:tc>
          <w:tcPr>
            <w:tcW w:w="500" w:type="dxa"/>
            <w:vAlign w:val="bottom"/>
            <w:gridSpan w:val="17"/>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r>
      <w:tr>
        <w:trPr>
          <w:trHeight w:val="196"/>
        </w:trPr>
        <w:tc>
          <w:tcPr>
            <w:tcW w:w="980" w:type="dxa"/>
            <w:vAlign w:val="bottom"/>
          </w:tcPr>
          <w:p>
            <w:pPr>
              <w:spacing w:after="0"/>
              <w:rPr>
                <w:sz w:val="17"/>
                <w:szCs w:val="17"/>
                <w:color w:val="auto"/>
              </w:rPr>
            </w:pPr>
          </w:p>
        </w:tc>
        <w:tc>
          <w:tcPr>
            <w:tcW w:w="42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between Swedish Orphan Biovitrum AB and the Registrant</w:t>
              </w:r>
            </w:hyperlink>
          </w:p>
        </w:tc>
        <w:tc>
          <w:tcPr>
            <w:tcW w:w="460" w:type="dxa"/>
            <w:vAlign w:val="bottom"/>
            <w:gridSpan w:val="15"/>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46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Amended and Restated Fee Letter, dated June 30, 2025, by and</w:t>
              </w:r>
            </w:hyperlink>
          </w:p>
        </w:tc>
        <w:tc>
          <w:tcPr>
            <w:tcW w:w="140" w:type="dxa"/>
            <w:vAlign w:val="bottom"/>
            <w:gridSpan w:val="6"/>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4740" w:type="dxa"/>
            <w:vAlign w:val="bottom"/>
            <w:gridSpan w:val="40"/>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between the Company and Sixth Street Lending Partners</w:t>
              </w:r>
            </w:hyperlink>
          </w:p>
        </w:tc>
        <w:tc>
          <w:tcPr>
            <w:tcW w:w="4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220" w:type="dxa"/>
            <w:vAlign w:val="bottom"/>
            <w:gridSpan w:val="1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44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Fifth Amendment to Lease, dated September 5, 2025, by and</w:t>
              </w:r>
            </w:hyperlink>
          </w:p>
        </w:tc>
        <w:tc>
          <w:tcPr>
            <w:tcW w:w="300" w:type="dxa"/>
            <w:vAlign w:val="bottom"/>
            <w:gridSpan w:val="13"/>
          </w:tcPr>
          <w:p>
            <w:pPr>
              <w:spacing w:after="0"/>
              <w:rPr>
                <w:sz w:val="17"/>
                <w:szCs w:val="17"/>
                <w:color w:val="auto"/>
              </w:rPr>
            </w:pPr>
          </w:p>
        </w:tc>
        <w:tc>
          <w:tcPr>
            <w:tcW w:w="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980" w:type="dxa"/>
            <w:vAlign w:val="bottom"/>
          </w:tcPr>
          <w:p>
            <w:pPr>
              <w:spacing w:after="0"/>
              <w:rPr>
                <w:sz w:val="17"/>
                <w:szCs w:val="17"/>
                <w:color w:val="auto"/>
              </w:rPr>
            </w:pPr>
          </w:p>
        </w:tc>
        <w:tc>
          <w:tcPr>
            <w:tcW w:w="41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between the Apellis Pharmaceuticals, Inc. and Delaware</w:t>
              </w:r>
            </w:hyperlink>
          </w:p>
        </w:tc>
        <w:tc>
          <w:tcPr>
            <w:tcW w:w="640" w:type="dxa"/>
            <w:vAlign w:val="bottom"/>
            <w:gridSpan w:val="19"/>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740" w:type="dxa"/>
            <w:vAlign w:val="bottom"/>
            <w:gridSpan w:val="40"/>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Corporation</w:t>
              </w:r>
            </w:hyperlink>
          </w:p>
        </w:tc>
        <w:tc>
          <w:tcPr>
            <w:tcW w:w="440" w:type="dxa"/>
            <w:vAlign w:val="bottom"/>
          </w:tcPr>
          <w:p>
            <w:pPr>
              <w:spacing w:after="0"/>
              <w:rPr>
                <w:sz w:val="17"/>
                <w:szCs w:val="17"/>
                <w:color w:val="auto"/>
              </w:rPr>
            </w:pPr>
          </w:p>
        </w:tc>
      </w:tr>
      <w:tr>
        <w:trPr>
          <w:trHeight w:val="237"/>
        </w:trPr>
        <w:tc>
          <w:tcPr>
            <w:tcW w:w="980" w:type="dxa"/>
            <w:vAlign w:val="bottom"/>
          </w:tcPr>
          <w:p>
            <w:pPr>
              <w:spacing w:after="0"/>
              <w:rPr>
                <w:sz w:val="20"/>
                <w:szCs w:val="20"/>
                <w:color w:val="auto"/>
              </w:rPr>
            </w:pPr>
          </w:p>
        </w:tc>
        <w:tc>
          <w:tcPr>
            <w:tcW w:w="860" w:type="dxa"/>
            <w:vAlign w:val="bottom"/>
            <w:tcBorders>
              <w:top w:val="single" w:sz="8" w:color="0000FF"/>
            </w:tcBorders>
            <w:gridSpan w:val="3"/>
          </w:tcPr>
          <w:p>
            <w:pPr>
              <w:spacing w:after="0"/>
              <w:rPr>
                <w:sz w:val="20"/>
                <w:szCs w:val="20"/>
                <w:color w:val="auto"/>
              </w:rPr>
            </w:pPr>
          </w:p>
        </w:tc>
        <w:tc>
          <w:tcPr>
            <w:tcW w:w="3880" w:type="dxa"/>
            <w:vAlign w:val="bottom"/>
            <w:gridSpan w:val="37"/>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2/28/2022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10/13/2017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10/30/2017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10/20/2017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7/31/2018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7/31/2019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11/5/2019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63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11/2/2020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64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11/01/2023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4/28/2022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3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333-236710</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2/27/2020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2/24/2026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7/8/2021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2/21/2023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10/30/2025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2/24/2026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2/24/2026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bl>
    <w:p>
      <w:pPr>
        <w:sectPr>
          <w:pgSz w:w="11900" w:h="16838" w:orient="portrait"/>
          <w:cols w:equalWidth="0" w:num="2">
            <w:col w:w="6160" w:space="540"/>
            <w:col w:w="3439"/>
          </w:cols>
          <w:pgMar w:left="320" w:top="12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10.33 +</w:t>
            </w:r>
          </w:p>
        </w:tc>
        <w:tc>
          <w:tcPr>
            <w:tcW w:w="44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Restricted Stock Unit Award Agreement under 2017</w:t>
              </w:r>
            </w:hyperlink>
          </w:p>
        </w:tc>
        <w:tc>
          <w:tcPr>
            <w:tcW w:w="280" w:type="dxa"/>
            <w:vAlign w:val="bottom"/>
            <w:gridSpan w:val="5"/>
          </w:tcPr>
          <w:p>
            <w:pPr>
              <w:spacing w:after="0"/>
              <w:rPr>
                <w:sz w:val="17"/>
                <w:szCs w:val="17"/>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2/24/2026</w:t>
            </w:r>
          </w:p>
        </w:tc>
        <w:tc>
          <w:tcPr>
            <w:tcW w:w="1580" w:type="dxa"/>
            <w:vAlign w:val="bottom"/>
          </w:tcPr>
          <w:p>
            <w:pPr>
              <w:jc w:val="right"/>
              <w:ind w:right="568"/>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16"/>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Stock Incentive Plan</w:t>
              </w:r>
            </w:hyperlink>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4740" w:type="dxa"/>
            <w:vAlign w:val="bottom"/>
            <w:gridSpan w:val="16"/>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Subsidiaries of the Registrant</w:t>
              </w:r>
            </w:hyperlink>
          </w:p>
        </w:tc>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2/24/2026</w:t>
            </w:r>
          </w:p>
        </w:tc>
        <w:tc>
          <w:tcPr>
            <w:tcW w:w="1580" w:type="dxa"/>
            <w:vAlign w:val="bottom"/>
          </w:tcPr>
          <w:p>
            <w:pPr>
              <w:jc w:val="right"/>
              <w:ind w:right="568"/>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740" w:type="dxa"/>
            <w:vAlign w:val="bottom"/>
            <w:gridSpan w:val="16"/>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Consent of Deloitte &amp; Touche, LLP</w:t>
              </w:r>
            </w:hyperlink>
          </w:p>
        </w:tc>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2/24/2026</w:t>
            </w:r>
          </w:p>
        </w:tc>
        <w:tc>
          <w:tcPr>
            <w:tcW w:w="1580" w:type="dxa"/>
            <w:vAlign w:val="bottom"/>
          </w:tcPr>
          <w:p>
            <w:pPr>
              <w:jc w:val="right"/>
              <w:ind w:right="568"/>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740" w:type="dxa"/>
            <w:vAlign w:val="bottom"/>
            <w:gridSpan w:val="16"/>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Certification of Principal Executive Officer Pursuant to</w:t>
              </w:r>
            </w:hyperlink>
          </w:p>
        </w:tc>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2/24/2026</w:t>
            </w:r>
          </w:p>
        </w:tc>
        <w:tc>
          <w:tcPr>
            <w:tcW w:w="1580" w:type="dxa"/>
            <w:vAlign w:val="bottom"/>
          </w:tcPr>
          <w:p>
            <w:pPr>
              <w:jc w:val="right"/>
              <w:ind w:right="568"/>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4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Rules 13a-14(a) and 15d-14(a) under the Securities Exchange</w:t>
              </w:r>
            </w:hyperlink>
          </w:p>
        </w:tc>
        <w:tc>
          <w:tcPr>
            <w:tcW w:w="2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Act of 1934, as Adopted Pursuant to Section 302 of the Sarbanes-</w:t>
              </w:r>
            </w:hyperlink>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16"/>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Oxley Act of 2002.</w:t>
              </w:r>
            </w:hyperlink>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4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Certification of Principal Financial Officer Pursuant to Rules</w:t>
              </w:r>
            </w:hyperlink>
          </w:p>
        </w:tc>
        <w:tc>
          <w:tcPr>
            <w:tcW w:w="300" w:type="dxa"/>
            <w:vAlign w:val="bottom"/>
            <w:gridSpan w:val="6"/>
          </w:tcPr>
          <w:p>
            <w:pPr>
              <w:spacing w:after="0"/>
              <w:rPr>
                <w:sz w:val="17"/>
                <w:szCs w:val="17"/>
                <w:color w:val="auto"/>
              </w:rPr>
            </w:pPr>
          </w:p>
        </w:tc>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2/24/2026</w:t>
            </w:r>
          </w:p>
        </w:tc>
        <w:tc>
          <w:tcPr>
            <w:tcW w:w="1580" w:type="dxa"/>
            <w:vAlign w:val="bottom"/>
          </w:tcPr>
          <w:p>
            <w:pPr>
              <w:jc w:val="right"/>
              <w:ind w:right="568"/>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5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13a-14(a) and 15d-14(a) under the Securities Exchange Act of</w:t>
              </w:r>
            </w:hyperlink>
          </w:p>
        </w:tc>
        <w:tc>
          <w:tcPr>
            <w:tcW w:w="2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1934, as Adopted Pursuant to Section 302 of the Sarbanes-Oxley</w:t>
              </w:r>
            </w:hyperlink>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16"/>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Act of 2002.</w:t>
              </w:r>
            </w:hyperlink>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31.3</w:t>
            </w:r>
          </w:p>
        </w:tc>
        <w:tc>
          <w:tcPr>
            <w:tcW w:w="474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20" w:type="dxa"/>
            <w:vAlign w:val="bottom"/>
            <w:tcBorders>
              <w:right w:val="single" w:sz="8" w:color="0000FF"/>
            </w:tcBorders>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4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 Exchange</w:t>
            </w:r>
          </w:p>
        </w:tc>
        <w:tc>
          <w:tcPr>
            <w:tcW w:w="2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1934, as Adopted Pursuant to Section 302 of the Sarbanes-</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31.4</w:t>
            </w:r>
          </w:p>
        </w:tc>
        <w:tc>
          <w:tcPr>
            <w:tcW w:w="4440" w:type="dxa"/>
            <w:vAlign w:val="bottom"/>
            <w:tcBorders>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30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54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2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2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Certification of Principal Executive Officer Pursuant to 18</w:t>
              </w:r>
            </w:hyperlink>
          </w:p>
        </w:tc>
        <w:tc>
          <w:tcPr>
            <w:tcW w:w="480" w:type="dxa"/>
            <w:vAlign w:val="bottom"/>
            <w:gridSpan w:val="7"/>
          </w:tcPr>
          <w:p>
            <w:pPr>
              <w:spacing w:after="0"/>
              <w:rPr>
                <w:sz w:val="17"/>
                <w:szCs w:val="17"/>
                <w:color w:val="auto"/>
              </w:rPr>
            </w:pPr>
          </w:p>
        </w:tc>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2/24/2026</w:t>
            </w:r>
          </w:p>
        </w:tc>
        <w:tc>
          <w:tcPr>
            <w:tcW w:w="1580" w:type="dxa"/>
            <w:vAlign w:val="bottom"/>
          </w:tcPr>
          <w:p>
            <w:pPr>
              <w:jc w:val="right"/>
              <w:ind w:right="568"/>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6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U.S.C. Section 1350, as Adopted Pursuant to Section 906 of the</w:t>
              </w:r>
            </w:hyperlink>
          </w:p>
        </w:tc>
        <w:tc>
          <w:tcPr>
            <w:tcW w:w="10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1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Sarbanes-Oxley Act of 2002.</w:t>
              </w:r>
            </w:hyperlink>
          </w:p>
        </w:tc>
        <w:tc>
          <w:tcPr>
            <w:tcW w:w="26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5420" w:type="dxa"/>
            <w:vAlign w:val="bottom"/>
            <w:gridSpan w:val="17"/>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 xml:space="preserve">Certification of Principal Financial Officer Pursuant to 18 U.S.C. </w:t>
              </w:r>
            </w:hyperlink>
            <w:r>
              <w:rPr>
                <w:rFonts w:ascii="Times New Roman" w:cs="Times New Roman" w:eastAsia="Times New Roman" w:hAnsi="Times New Roman"/>
                <w:sz w:val="18"/>
                <w:szCs w:val="18"/>
                <w:color w:val="000000"/>
              </w:rPr>
              <w:t>10-K</w:t>
            </w:r>
          </w:p>
        </w:tc>
        <w:tc>
          <w:tcPr>
            <w:tcW w:w="12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2/24/2026</w:t>
            </w:r>
          </w:p>
        </w:tc>
        <w:tc>
          <w:tcPr>
            <w:tcW w:w="1580" w:type="dxa"/>
            <w:vAlign w:val="bottom"/>
          </w:tcPr>
          <w:p>
            <w:pPr>
              <w:jc w:val="right"/>
              <w:ind w:right="568"/>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12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Section 1350, as Adopted Pursuant to Section 906 of the</w:t>
              </w:r>
            </w:hyperlink>
          </w:p>
        </w:tc>
        <w:tc>
          <w:tcPr>
            <w:tcW w:w="620" w:type="dxa"/>
            <w:vAlign w:val="bottom"/>
            <w:tcBorders>
              <w:top w:val="single" w:sz="8" w:color="0000FF"/>
            </w:tcBorders>
            <w:gridSpan w:val="8"/>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1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Sarbanes-Oxley Act of 2002.</w:t>
              </w:r>
            </w:hyperlink>
          </w:p>
        </w:tc>
        <w:tc>
          <w:tcPr>
            <w:tcW w:w="26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740" w:type="dxa"/>
            <w:vAlign w:val="bottom"/>
            <w:gridSpan w:val="16"/>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Dodd-Frank Compensation Recovery Policy</w:t>
              </w:r>
            </w:hyperlink>
          </w:p>
        </w:tc>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001-38276</w:t>
            </w:r>
          </w:p>
        </w:tc>
        <w:tc>
          <w:tcPr>
            <w:tcW w:w="146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2/27/2024</w:t>
            </w:r>
          </w:p>
        </w:tc>
        <w:tc>
          <w:tcPr>
            <w:tcW w:w="1580" w:type="dxa"/>
            <w:vAlign w:val="bottom"/>
          </w:tcPr>
          <w:p>
            <w:pPr>
              <w:jc w:val="right"/>
              <w:ind w:right="568"/>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20" w:type="dxa"/>
            <w:vAlign w:val="bottom"/>
            <w:tcBorders>
              <w:right w:val="single" w:sz="8" w:color="0000EE"/>
            </w:tcBorders>
            <w:gridSpan w:val="6"/>
            <w:shd w:val="clear" w:color="auto" w:fill="0000FF"/>
          </w:tcPr>
          <w:p>
            <w:pPr>
              <w:spacing w:after="0" w:line="20" w:lineRule="exact"/>
              <w:rPr>
                <w:sz w:val="1"/>
                <w:szCs w:val="1"/>
                <w:color w:val="auto"/>
              </w:rPr>
            </w:pPr>
          </w:p>
        </w:tc>
        <w:tc>
          <w:tcPr>
            <w:tcW w:w="152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80" w:right="5360" w:hanging="972"/>
        <w:spacing w:after="0" w:line="260"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5" w:lineRule="exact"/>
        <w:rPr>
          <w:sz w:val="20"/>
          <w:szCs w:val="20"/>
          <w:color w:val="auto"/>
        </w:rPr>
      </w:pPr>
    </w:p>
    <w:p>
      <w:pPr>
        <w:ind w:right="160" w:firstLine="8"/>
        <w:spacing w:after="0" w:line="261" w:lineRule="auto"/>
        <w:tabs>
          <w:tab w:leader="none" w:pos="1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 of Regulation S-K, the Registrant agrees to furnish supplementally a copy of any omitted schedule or exhibit to the Asset Purchase Agreement to the Securities and Exchange Commission upon request.</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as to certain portions, which portions have been omitted and separately filed with the Securities and Exchange Commission.</w:t>
      </w:r>
    </w:p>
    <w:p>
      <w:pPr>
        <w:ind w:right="40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pursuant to Item 601(b)(10)(iv) of Regulation S-K.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11912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4" w:right="5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25" w:lineRule="exact"/>
        <w:rPr>
          <w:sz w:val="20"/>
          <w:szCs w:val="20"/>
          <w:color w:val="auto"/>
        </w:rPr>
      </w:pPr>
    </w:p>
    <w:p>
      <w:pPr>
        <w:spacing w:after="0"/>
        <w:tabs>
          <w:tab w:leader="none" w:pos="6300" w:val="left"/>
          <w:tab w:leader="none" w:pos="834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9"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198" w:lineRule="exact"/>
        <w:rPr>
          <w:sz w:val="20"/>
          <w:szCs w:val="20"/>
          <w:color w:val="auto"/>
        </w:rPr>
      </w:pPr>
    </w:p>
    <w:p>
      <w:pPr>
        <w:ind w:left="520" w:right="126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for the fiscal year ended December 31, 2025 of Apellis Pharmaceuticals, Inc.; and</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67" w:lineRule="exact"/>
        <w:rPr>
          <w:sz w:val="20"/>
          <w:szCs w:val="20"/>
          <w:color w:val="auto"/>
        </w:rPr>
      </w:pPr>
    </w:p>
    <w:p>
      <w:pPr>
        <w:spacing w:after="0"/>
        <w:tabs>
          <w:tab w:leader="none" w:pos="5660" w:val="left"/>
          <w:tab w:leader="none" w:pos="798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E. Sullivan, certify that:</w:t>
      </w:r>
    </w:p>
    <w:p>
      <w:pPr>
        <w:spacing w:after="0" w:line="198" w:lineRule="exact"/>
        <w:rPr>
          <w:sz w:val="20"/>
          <w:szCs w:val="20"/>
          <w:color w:val="auto"/>
        </w:rPr>
      </w:pPr>
    </w:p>
    <w:p>
      <w:pPr>
        <w:ind w:left="520" w:right="126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for the fiscal year ended December 31, 2025 of Apellis Pharmaceuticals, Inc.; and</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67" w:lineRule="exact"/>
        <w:rPr>
          <w:sz w:val="20"/>
          <w:szCs w:val="20"/>
          <w:color w:val="auto"/>
        </w:rPr>
      </w:pPr>
    </w:p>
    <w:p>
      <w:pPr>
        <w:spacing w:after="0"/>
        <w:tabs>
          <w:tab w:leader="none" w:pos="5660" w:val="left"/>
          <w:tab w:leader="none" w:pos="782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5"/>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2"/>
    </w:lvl>
  </w:abstractNum>
  <w:abstractNum w:abstractNumId="35">
    <w:nsid w:val="2D517796"/>
    <w:multiLevelType w:val="hybridMultilevel"/>
    <w:lvl w:ilvl="0">
      <w:lvlJc w:val="left"/>
      <w:lvlText w:val="(%1)"/>
      <w:numFmt w:val="decimal"/>
      <w:start w:val="18"/>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104"/>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104" Type="http://schemas.openxmlformats.org/officeDocument/2006/relationships/image" Target="media/image57.png"/><Relationship Id="rId113" Type="http://schemas.openxmlformats.org/officeDocument/2006/relationships/image" Target="media/image58.png"/><Relationship Id="rId114" Type="http://schemas.openxmlformats.org/officeDocument/2006/relationships/image" Target="media/image59.png"/><Relationship Id="rId115" Type="http://schemas.openxmlformats.org/officeDocument/2006/relationships/image" Target="media/image60.png"/><Relationship Id="rId116" Type="http://schemas.openxmlformats.org/officeDocument/2006/relationships/image" Target="media/image61.png"/><Relationship Id="rId117" Type="http://schemas.openxmlformats.org/officeDocument/2006/relationships/image" Target="media/image62.png"/><Relationship Id="rId118" Type="http://schemas.openxmlformats.org/officeDocument/2006/relationships/image" Target="media/image63.png"/><Relationship Id="rId119" Type="http://schemas.openxmlformats.org/officeDocument/2006/relationships/image" Target="media/image64.png"/><Relationship Id="rId120" Type="http://schemas.openxmlformats.org/officeDocument/2006/relationships/image" Target="media/image65.png"/><Relationship Id="rId62" Type="http://schemas.openxmlformats.org/officeDocument/2006/relationships/hyperlink" Target="https://www.sec.gov/Archives/edgar/data/1492422/000119312517309813/d445089dex21.htm" TargetMode="External"/><Relationship Id="rId63" Type="http://schemas.openxmlformats.org/officeDocument/2006/relationships/hyperlink" Target="https://www.sec.gov/Archives/edgar/data/1492422/000119312517340923/d493537dex31.htm" TargetMode="External"/><Relationship Id="rId64" Type="http://schemas.openxmlformats.org/officeDocument/2006/relationships/hyperlink" Target="https://www.sec.gov/Archives/edgar/data/1492422/000119312517340923/d493537dex32.htm" TargetMode="External"/><Relationship Id="rId65" Type="http://schemas.openxmlformats.org/officeDocument/2006/relationships/hyperlink" Target="https://www.sec.gov/Archives/edgar/data/1492422/000119312517323102/d445089dex41.htm" TargetMode="External"/><Relationship Id="rId66" Type="http://schemas.openxmlformats.org/officeDocument/2006/relationships/hyperlink" Target="https://www.sec.gov/Archives/edgar/data/1492422/000119312517309813/d445089dex42.htm" TargetMode="External"/><Relationship Id="rId67" Type="http://schemas.openxmlformats.org/officeDocument/2006/relationships/hyperlink" Target="https://www.sec.gov/Archives/edgar/data/1492422/000119312519245912/d802733dex41.htm" TargetMode="External"/><Relationship Id="rId68" Type="http://schemas.openxmlformats.org/officeDocument/2006/relationships/hyperlink" Target="https://www.sec.gov/Archives/edgar/data/1492422/000156459022007606/apls-ex44_16.htm" TargetMode="External"/><Relationship Id="rId69" Type="http://schemas.openxmlformats.org/officeDocument/2006/relationships/hyperlink" Target="https://www.sec.gov/Archives/edgar/data/1492422/000119312523047759/d454389dex41.htm" TargetMode="External"/><Relationship Id="rId70" Type="http://schemas.openxmlformats.org/officeDocument/2006/relationships/hyperlink" Target="https://www.sec.gov/Archives/edgar/data/1492422/000119312517309813/d445089dex101.htm" TargetMode="External"/><Relationship Id="rId71" Type="http://schemas.openxmlformats.org/officeDocument/2006/relationships/hyperlink" Target="https://www.sec.gov/Archives/edgar/data/1492422/000119312517309813/d445089dex102.htm" TargetMode="External"/><Relationship Id="rId72" Type="http://schemas.openxmlformats.org/officeDocument/2006/relationships/hyperlink" Target="https://www.sec.gov/Archives/edgar/data/1492422/000119312517309813/d445089dex103.htm" TargetMode="External"/><Relationship Id="rId73" Type="http://schemas.openxmlformats.org/officeDocument/2006/relationships/hyperlink" Target="https://www.sec.gov/Archives/edgar/data/1492422/000119312517324222/d445089dex104.htm" TargetMode="External"/><Relationship Id="rId74" Type="http://schemas.openxmlformats.org/officeDocument/2006/relationships/hyperlink" Target="https://www.sec.gov/Archives/edgar/data/1492422/000119312517323102/d445089dex105.htm" TargetMode="External"/><Relationship Id="rId75" Type="http://schemas.openxmlformats.org/officeDocument/2006/relationships/hyperlink" Target="https://www.sec.gov/Archives/edgar/data/1492422/000119312517323102/d445089dex106.htm" TargetMode="External"/><Relationship Id="rId76" Type="http://schemas.openxmlformats.org/officeDocument/2006/relationships/hyperlink" Target="https://www.sec.gov/Archives/edgar/data/1492422/000119312517323102/d445089dex107.htm" TargetMode="External"/><Relationship Id="rId77" Type="http://schemas.openxmlformats.org/officeDocument/2006/relationships/hyperlink" Target="https://www.sec.gov/Archives/edgar/data/1492422/000095012317008317/filename10.htm" TargetMode="External"/><Relationship Id="rId78" Type="http://schemas.openxmlformats.org/officeDocument/2006/relationships/hyperlink" Target="https://www.sec.gov/Archives/edgar/data/1492422/000119312517309813/d445089dex109.htm" TargetMode="External"/><Relationship Id="rId81" Type="http://schemas.openxmlformats.org/officeDocument/2006/relationships/hyperlink" Target="https://www.sec.gov/Archives/edgar/data/1492422/000119312517324222/d445089dex1011.htm" TargetMode="External"/><Relationship Id="rId82" Type="http://schemas.openxmlformats.org/officeDocument/2006/relationships/hyperlink" Target="https://www.sec.gov/Archives/edgar/data/1492422/000119312517309813/d445089dex1013.htm" TargetMode="External"/><Relationship Id="rId83" Type="http://schemas.openxmlformats.org/officeDocument/2006/relationships/hyperlink" Target="https://www.sec.gov/Archives/edgar/data/1492422/000119312517324222/d445089dex1015.htm" TargetMode="External"/><Relationship Id="rId84" Type="http://schemas.openxmlformats.org/officeDocument/2006/relationships/hyperlink" Target="https://www.sec.gov/Archives/edgar/data/1492422/000119312517315537/d445089dex1016.htm" TargetMode="External"/><Relationship Id="rId85" Type="http://schemas.openxmlformats.org/officeDocument/2006/relationships/hyperlink" Target="https://www.sec.gov/Archives/edgar/data/1492422/000156459018018096/apls-ex102_41.htm" TargetMode="External"/><Relationship Id="rId86" Type="http://schemas.openxmlformats.org/officeDocument/2006/relationships/hyperlink" Target="https://www.sec.gov/Archives/edgar/data/1492422/000156459019027462/apls-ex102_184.htm" TargetMode="External"/><Relationship Id="rId87" Type="http://schemas.openxmlformats.org/officeDocument/2006/relationships/hyperlink" Target="https://www.sec.gov/Archives/edgar/data/1492422/000156459019040063/apls-ex101_36.htm" TargetMode="External"/><Relationship Id="rId88" Type="http://schemas.openxmlformats.org/officeDocument/2006/relationships/hyperlink" Target="https://www.sec.gov/Archives/edgar/data/1492422/000156459021008800/apls-ex1017_217.htm" TargetMode="External"/><Relationship Id="rId89" Type="http://schemas.openxmlformats.org/officeDocument/2006/relationships/hyperlink" Target="https://www.sec.gov/Archives/edgar/data/1492422/000156459019016638/apls-ex102_113.htm" TargetMode="External"/><Relationship Id="rId90" Type="http://schemas.openxmlformats.org/officeDocument/2006/relationships/hyperlink" Target="https://www.sec.gov/Archives/edgar/data/1492422/000119312520135621/d922186dex101.htm" TargetMode="External"/><Relationship Id="rId91" Type="http://schemas.openxmlformats.org/officeDocument/2006/relationships/hyperlink" Target="https://www.sec.gov/Archives/edgar/data/1492422/000156459020049423/apls-ex102_46.htm" TargetMode="External"/><Relationship Id="rId92" Type="http://schemas.openxmlformats.org/officeDocument/2006/relationships/hyperlink" Target="https://www.sec.gov/Archives/edgar/data/1492422/000156459021008800/apls-ex1025_88.htm" TargetMode="External"/><Relationship Id="rId93" Type="http://schemas.openxmlformats.org/officeDocument/2006/relationships/hyperlink" Target="https://www.sec.gov/Archives/edgar/data/1492422/000156459021008800/apls-ex1026_87.htm" TargetMode="External"/><Relationship Id="rId94" Type="http://schemas.openxmlformats.org/officeDocument/2006/relationships/hyperlink" Target="https://www.sec.gov/Archives/edgar/data/1492422/000119312523267745/d282676dex11.htm" TargetMode="External"/><Relationship Id="rId95" Type="http://schemas.openxmlformats.org/officeDocument/2006/relationships/hyperlink" Target="https://www.sec.gov/Archives/edgar/data/1492422/000156459021021318/apls-ex101_47.htm" TargetMode="External"/><Relationship Id="rId96" Type="http://schemas.openxmlformats.org/officeDocument/2006/relationships/hyperlink" Target="https://www.sec.gov/Archives/edgar/data/1492422/000119312520052867/d896625dex991.htm" TargetMode="External"/><Relationship Id="rId97" Type="http://schemas.openxmlformats.org/officeDocument/2006/relationships/hyperlink" Target="https://www.sec.gov/Archives/edgar/data/1492422/000119312526065179/apls-ex10_26.htm" TargetMode="External"/><Relationship Id="rId98" Type="http://schemas.openxmlformats.org/officeDocument/2006/relationships/hyperlink" Target="https://www.sec.gov/Archives/edgar/data/1492422/000095017025064976/apls-ex10_1.htm" TargetMode="External"/><Relationship Id="rId99" Type="http://schemas.openxmlformats.org/officeDocument/2006/relationships/hyperlink" Target="https://www.sec.gov/Archives/edgar/data/1492422/000119312521210295/d198376dex101.htm" TargetMode="External"/><Relationship Id="rId100" Type="http://schemas.openxmlformats.org/officeDocument/2006/relationships/hyperlink" Target="https://www.sec.gov/Archives/edgar/data/1492422/000095017023003438/apls-ex10_33.htm" TargetMode="External"/><Relationship Id="rId101" Type="http://schemas.openxmlformats.org/officeDocument/2006/relationships/hyperlink" Target="https://www.sec.gov/Archives/edgar/data/1492422/000119312525257374/apls-ex10_1.htm" TargetMode="External"/><Relationship Id="rId102" Type="http://schemas.openxmlformats.org/officeDocument/2006/relationships/hyperlink" Target="https://www.sec.gov/Archives/edgar/data/1492422/000119312526065179/apls-ex10_31.htm" TargetMode="External"/><Relationship Id="rId103" Type="http://schemas.openxmlformats.org/officeDocument/2006/relationships/hyperlink" Target="https://www.sec.gov/Archives/edgar/data/1492422/000119312526065179/apls-ex10_32.htm" TargetMode="External"/><Relationship Id="rId105" Type="http://schemas.openxmlformats.org/officeDocument/2006/relationships/hyperlink" Target="https://www.sec.gov/Archives/edgar/data/1492422/000119312526065179/apls-ex10_33.htm" TargetMode="External"/><Relationship Id="rId106" Type="http://schemas.openxmlformats.org/officeDocument/2006/relationships/hyperlink" Target="https://www.sec.gov/Archives/edgar/data/1492422/000119312526065179/apls-ex21_1.htm" TargetMode="External"/><Relationship Id="rId107" Type="http://schemas.openxmlformats.org/officeDocument/2006/relationships/hyperlink" Target="https://www.sec.gov/Archives/edgar/data/1492422/000119312526065179/apls-ex23_1.htm" TargetMode="External"/><Relationship Id="rId108" Type="http://schemas.openxmlformats.org/officeDocument/2006/relationships/hyperlink" Target="https://www.sec.gov/Archives/edgar/data/1492422/000119312526065179/apls-ex31_1.htm" TargetMode="External"/><Relationship Id="rId109" Type="http://schemas.openxmlformats.org/officeDocument/2006/relationships/hyperlink" Target="https://www.sec.gov/Archives/edgar/data/1492422/000119312526065179/apls-ex31_2.htm" TargetMode="External"/><Relationship Id="rId110" Type="http://schemas.openxmlformats.org/officeDocument/2006/relationships/hyperlink" Target="https://www.sec.gov/Archives/edgar/data/1492422/000119312526065179/apls-ex32_1.htm" TargetMode="External"/><Relationship Id="rId111" Type="http://schemas.openxmlformats.org/officeDocument/2006/relationships/hyperlink" Target="https://www.sec.gov/Archives/edgar/data/1492422/000119312526065179/apls-ex32_2.htm" TargetMode="External"/><Relationship Id="rId112" Type="http://schemas.openxmlformats.org/officeDocument/2006/relationships/hyperlink" Target="https://www.sec.gov/Archives/edgar/data/1492422/000095017024020614/apls-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2026-04-28T06:30:15Z</dcterms:created>
  <dcterms:modified xsi:type="dcterms:W3CDTF">2026-04-28T06:30:15Z</dcterms:modified>
</cp:coreProperties>
</file>