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168910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3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20" w:right="840" w:hanging="51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6692900</wp:posOffset>
            </wp:positionH>
            <wp:positionV relativeFrom="paragraph">
              <wp:posOffset>-5080</wp:posOffset>
            </wp:positionV>
            <wp:extent cx="479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942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88265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APELLIS PHARMACEUTICALS, INC.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9"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280" w:type="dxa"/>
            <w:vAlign w:val="bottom"/>
          </w:tcPr>
          <w:p>
            <w:pPr>
              <w:jc w:val="center"/>
              <w:ind w:right="1813"/>
              <w:spacing w:after="0"/>
              <w:rPr>
                <w:sz w:val="20"/>
                <w:szCs w:val="20"/>
                <w:color w:val="auto"/>
              </w:rPr>
            </w:pPr>
            <w:r>
              <w:rPr>
                <w:rFonts w:ascii="Arial" w:cs="Arial" w:eastAsia="Arial" w:hAnsi="Arial"/>
                <w:sz w:val="18"/>
                <w:szCs w:val="18"/>
                <w:b w:val="1"/>
                <w:bCs w:val="1"/>
                <w:color w:val="auto"/>
                <w:w w:val="98"/>
              </w:rPr>
              <w:t>DELAWARE</w:t>
            </w:r>
          </w:p>
        </w:tc>
        <w:tc>
          <w:tcPr>
            <w:tcW w:w="3320" w:type="dxa"/>
            <w:vAlign w:val="bottom"/>
          </w:tcPr>
          <w:p>
            <w:pPr>
              <w:jc w:val="right"/>
              <w:ind w:right="194"/>
              <w:spacing w:after="0"/>
              <w:rPr>
                <w:sz w:val="20"/>
                <w:szCs w:val="20"/>
                <w:color w:val="auto"/>
              </w:rPr>
            </w:pPr>
            <w:r>
              <w:rPr>
                <w:rFonts w:ascii="Arial" w:cs="Arial" w:eastAsia="Arial" w:hAnsi="Arial"/>
                <w:sz w:val="18"/>
                <w:szCs w:val="18"/>
                <w:b w:val="1"/>
                <w:bCs w:val="1"/>
                <w:color w:val="auto"/>
              </w:rPr>
              <w:t>27-1537290</w:t>
            </w:r>
          </w:p>
        </w:tc>
      </w:tr>
      <w:tr>
        <w:trPr>
          <w:trHeight w:val="216"/>
        </w:trPr>
        <w:tc>
          <w:tcPr>
            <w:tcW w:w="4280" w:type="dxa"/>
            <w:vAlign w:val="bottom"/>
          </w:tcPr>
          <w:p>
            <w:pPr>
              <w:jc w:val="center"/>
              <w:ind w:right="1833"/>
              <w:spacing w:after="0"/>
              <w:rPr>
                <w:sz w:val="20"/>
                <w:szCs w:val="20"/>
                <w:color w:val="auto"/>
              </w:rPr>
            </w:pPr>
            <w:r>
              <w:rPr>
                <w:rFonts w:ascii="Arial" w:cs="Arial" w:eastAsia="Arial" w:hAnsi="Arial"/>
                <w:sz w:val="18"/>
                <w:szCs w:val="18"/>
                <w:b w:val="1"/>
                <w:bCs w:val="1"/>
                <w:color w:val="auto"/>
                <w:w w:val="90"/>
              </w:rPr>
              <w:t>(State or other jurisdiction of</w:t>
            </w:r>
          </w:p>
        </w:tc>
        <w:tc>
          <w:tcPr>
            <w:tcW w:w="3320" w:type="dxa"/>
            <w:vAlign w:val="bottom"/>
          </w:tcPr>
          <w:p>
            <w:pPr>
              <w:jc w:val="center"/>
              <w:ind w:left="1814"/>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80" w:type="dxa"/>
            <w:vAlign w:val="bottom"/>
          </w:tcPr>
          <w:p>
            <w:pPr>
              <w:jc w:val="center"/>
              <w:ind w:right="1833"/>
              <w:spacing w:after="0"/>
              <w:rPr>
                <w:sz w:val="20"/>
                <w:szCs w:val="20"/>
                <w:color w:val="auto"/>
              </w:rPr>
            </w:pPr>
            <w:r>
              <w:rPr>
                <w:rFonts w:ascii="Arial" w:cs="Arial" w:eastAsia="Arial" w:hAnsi="Arial"/>
                <w:sz w:val="18"/>
                <w:szCs w:val="18"/>
                <w:b w:val="1"/>
                <w:bCs w:val="1"/>
                <w:color w:val="auto"/>
                <w:w w:val="91"/>
              </w:rPr>
              <w:t>incorporation or organization)</w:t>
            </w:r>
          </w:p>
        </w:tc>
        <w:tc>
          <w:tcPr>
            <w:tcW w:w="3320" w:type="dxa"/>
            <w:vAlign w:val="bottom"/>
          </w:tcPr>
          <w:p>
            <w:pPr>
              <w:jc w:val="center"/>
              <w:ind w:left="1814"/>
              <w:spacing w:after="0"/>
              <w:rPr>
                <w:sz w:val="20"/>
                <w:szCs w:val="20"/>
                <w:color w:val="auto"/>
              </w:rPr>
            </w:pPr>
            <w:r>
              <w:rPr>
                <w:rFonts w:ascii="Arial" w:cs="Arial" w:eastAsia="Arial" w:hAnsi="Arial"/>
                <w:sz w:val="18"/>
                <w:szCs w:val="18"/>
                <w:b w:val="1"/>
                <w:bCs w:val="1"/>
                <w:color w:val="auto"/>
                <w:w w:val="93"/>
              </w:rPr>
              <w:t>Identification No.)</w:t>
            </w:r>
          </w:p>
        </w:tc>
      </w:tr>
      <w:tr>
        <w:trPr>
          <w:trHeight w:val="238"/>
        </w:trPr>
        <w:tc>
          <w:tcPr>
            <w:tcW w:w="4280" w:type="dxa"/>
            <w:vAlign w:val="bottom"/>
          </w:tcPr>
          <w:p>
            <w:pPr>
              <w:jc w:val="center"/>
              <w:ind w:right="1813"/>
              <w:spacing w:after="0"/>
              <w:rPr>
                <w:sz w:val="20"/>
                <w:szCs w:val="20"/>
                <w:color w:val="auto"/>
              </w:rPr>
            </w:pPr>
            <w:r>
              <w:rPr>
                <w:rFonts w:ascii="Arial" w:cs="Arial" w:eastAsia="Arial" w:hAnsi="Arial"/>
                <w:sz w:val="18"/>
                <w:szCs w:val="18"/>
                <w:b w:val="1"/>
                <w:bCs w:val="1"/>
                <w:color w:val="auto"/>
                <w:w w:val="90"/>
              </w:rPr>
              <w:t>100 Fifth Avenue</w:t>
            </w:r>
          </w:p>
        </w:tc>
        <w:tc>
          <w:tcPr>
            <w:tcW w:w="3320" w:type="dxa"/>
            <w:vAlign w:val="bottom"/>
          </w:tcPr>
          <w:p>
            <w:pPr>
              <w:spacing w:after="0"/>
              <w:rPr>
                <w:sz w:val="20"/>
                <w:szCs w:val="20"/>
                <w:color w:val="auto"/>
              </w:rPr>
            </w:pPr>
          </w:p>
        </w:tc>
      </w:tr>
      <w:tr>
        <w:trPr>
          <w:trHeight w:val="212"/>
        </w:trPr>
        <w:tc>
          <w:tcPr>
            <w:tcW w:w="4280" w:type="dxa"/>
            <w:vAlign w:val="bottom"/>
          </w:tcPr>
          <w:p>
            <w:pPr>
              <w:jc w:val="center"/>
              <w:ind w:right="1813"/>
              <w:spacing w:after="0"/>
              <w:rPr>
                <w:sz w:val="20"/>
                <w:szCs w:val="20"/>
                <w:color w:val="auto"/>
              </w:rPr>
            </w:pPr>
            <w:r>
              <w:rPr>
                <w:rFonts w:ascii="Arial" w:cs="Arial" w:eastAsia="Arial" w:hAnsi="Arial"/>
                <w:sz w:val="18"/>
                <w:szCs w:val="18"/>
                <w:b w:val="1"/>
                <w:bCs w:val="1"/>
                <w:color w:val="auto"/>
                <w:w w:val="97"/>
              </w:rPr>
              <w:t>Waltham, MA</w:t>
            </w:r>
          </w:p>
        </w:tc>
        <w:tc>
          <w:tcPr>
            <w:tcW w:w="3320" w:type="dxa"/>
            <w:vAlign w:val="bottom"/>
          </w:tcPr>
          <w:p>
            <w:pPr>
              <w:jc w:val="right"/>
              <w:ind w:right="394"/>
              <w:spacing w:after="0"/>
              <w:rPr>
                <w:sz w:val="20"/>
                <w:szCs w:val="20"/>
                <w:color w:val="auto"/>
              </w:rPr>
            </w:pPr>
            <w:r>
              <w:rPr>
                <w:rFonts w:ascii="Arial" w:cs="Arial" w:eastAsia="Arial" w:hAnsi="Arial"/>
                <w:sz w:val="18"/>
                <w:szCs w:val="18"/>
                <w:b w:val="1"/>
                <w:bCs w:val="1"/>
                <w:color w:val="auto"/>
              </w:rPr>
              <w:t>02451</w:t>
            </w:r>
          </w:p>
        </w:tc>
      </w:tr>
      <w:tr>
        <w:trPr>
          <w:trHeight w:val="186"/>
        </w:trPr>
        <w:tc>
          <w:tcPr>
            <w:tcW w:w="4280" w:type="dxa"/>
            <w:vAlign w:val="bottom"/>
          </w:tcPr>
          <w:p>
            <w:pPr>
              <w:jc w:val="center"/>
              <w:ind w:right="181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left="1814"/>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(617) 977-5700</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p>
      <w:pPr>
        <w:spacing w:after="0" w:line="72" w:lineRule="exact"/>
        <w:rPr>
          <w:sz w:val="24"/>
          <w:szCs w:val="24"/>
          <w:color w:val="auto"/>
        </w:rPr>
      </w:pPr>
    </w:p>
    <w:tbl>
      <w:tblPr>
        <w:tblLayout w:type="fixed"/>
        <w:tblInd w:w="460" w:type="dxa"/>
        <w:tblCellMar>
          <w:top w:w="0" w:type="dxa"/>
          <w:left w:w="0" w:type="dxa"/>
          <w:bottom w:w="0" w:type="dxa"/>
          <w:right w:w="0" w:type="dxa"/>
        </w:tblCellMar>
      </w:tblPr>
      <w:tr>
        <w:trPr>
          <w:trHeight w:val="186"/>
        </w:trPr>
        <w:tc>
          <w:tcPr>
            <w:tcW w:w="4040" w:type="dxa"/>
            <w:vAlign w:val="bottom"/>
            <w:vMerge w:val="restart"/>
          </w:tcPr>
          <w:p>
            <w:pPr>
              <w:jc w:val="center"/>
              <w:ind w:right="599"/>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tcPr>
          <w:p>
            <w:pPr>
              <w:jc w:val="center"/>
              <w:ind w:left="559"/>
              <w:spacing w:after="0"/>
              <w:rPr>
                <w:sz w:val="20"/>
                <w:szCs w:val="20"/>
                <w:color w:val="auto"/>
              </w:rPr>
            </w:pPr>
            <w:r>
              <w:rPr>
                <w:rFonts w:ascii="Arial" w:cs="Arial" w:eastAsia="Arial" w:hAnsi="Arial"/>
                <w:sz w:val="14"/>
                <w:szCs w:val="14"/>
                <w:b w:val="1"/>
                <w:bCs w:val="1"/>
                <w:color w:val="auto"/>
                <w:w w:val="94"/>
              </w:rPr>
              <w:t>Trading Symbol(s)</w:t>
            </w:r>
          </w:p>
        </w:tc>
        <w:tc>
          <w:tcPr>
            <w:tcW w:w="0" w:type="dxa"/>
            <w:vAlign w:val="bottom"/>
          </w:tcPr>
          <w:p>
            <w:pPr>
              <w:spacing w:after="0"/>
              <w:rPr>
                <w:sz w:val="1"/>
                <w:szCs w:val="1"/>
                <w:color w:val="auto"/>
              </w:rPr>
            </w:pPr>
          </w:p>
        </w:tc>
      </w:tr>
      <w:tr>
        <w:trPr>
          <w:trHeight w:val="34"/>
        </w:trPr>
        <w:tc>
          <w:tcPr>
            <w:tcW w:w="404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40" w:type="dxa"/>
            <w:vAlign w:val="bottom"/>
          </w:tcPr>
          <w:p>
            <w:pPr>
              <w:jc w:val="center"/>
              <w:ind w:right="579"/>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1800" w:type="dxa"/>
            <w:vAlign w:val="bottom"/>
          </w:tcPr>
          <w:p>
            <w:pPr>
              <w:jc w:val="center"/>
              <w:ind w:left="579"/>
              <w:spacing w:after="0"/>
              <w:rPr>
                <w:sz w:val="20"/>
                <w:szCs w:val="20"/>
                <w:color w:val="auto"/>
              </w:rPr>
            </w:pPr>
            <w:r>
              <w:rPr>
                <w:rFonts w:ascii="Arial" w:cs="Arial" w:eastAsia="Arial" w:hAnsi="Arial"/>
                <w:sz w:val="18"/>
                <w:szCs w:val="18"/>
                <w:b w:val="1"/>
                <w:bCs w:val="1"/>
                <w:color w:val="auto"/>
                <w:w w:val="95"/>
              </w:rPr>
              <w:t>APLS</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center"/>
        <w:ind w:left="3520"/>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44"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7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35" w:lineRule="exact"/>
        <w:rPr>
          <w:sz w:val="24"/>
          <w:szCs w:val="24"/>
          <w:color w:val="auto"/>
        </w:rPr>
      </w:pPr>
    </w:p>
    <w:p>
      <w:pPr>
        <w:ind w:left="220"/>
        <w:spacing w:after="0"/>
        <w:rPr>
          <w:sz w:val="20"/>
          <w:szCs w:val="20"/>
          <w:color w:val="auto"/>
        </w:rPr>
      </w:pPr>
      <w:r>
        <w:rPr>
          <w:rFonts w:ascii="Arial" w:cs="Arial" w:eastAsia="Arial" w:hAnsi="Arial"/>
          <w:sz w:val="17"/>
          <w:szCs w:val="17"/>
          <w:b w:val="1"/>
          <w:bCs w:val="1"/>
          <w:color w:val="auto"/>
        </w:rPr>
        <w:t>Nasdaq Global Select Market</w:t>
      </w:r>
    </w:p>
    <w:p>
      <w:pPr>
        <w:spacing w:after="0" w:line="552" w:lineRule="exact"/>
        <w:rPr>
          <w:sz w:val="24"/>
          <w:szCs w:val="24"/>
          <w:color w:val="auto"/>
        </w:rPr>
      </w:pPr>
    </w:p>
    <w:p>
      <w:pPr>
        <w:sectPr>
          <w:pgSz w:w="11900" w:h="16838" w:orient="portrait"/>
          <w:cols w:equalWidth="0" w:num="2">
            <w:col w:w="7920" w:space="20"/>
            <w:col w:w="3440"/>
          </w:cols>
          <w:pgMar w:left="240" w:top="364" w:right="279" w:bottom="1440" w:gutter="0" w:footer="0" w:header="0"/>
          <w:type w:val="continuous"/>
        </w:sectPr>
      </w:pPr>
    </w:p>
    <w:p>
      <w:pPr>
        <w:ind w:right="1820"/>
        <w:spacing w:after="0" w:line="26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1960"/>
              <w:spacing w:after="0"/>
              <w:rPr>
                <w:sz w:val="20"/>
                <w:szCs w:val="20"/>
                <w:color w:val="auto"/>
              </w:rPr>
            </w:pPr>
            <w:r>
              <w:rPr>
                <w:rFonts w:ascii="Arial" w:cs="Arial" w:eastAsia="Arial" w:hAnsi="Arial"/>
                <w:sz w:val="16"/>
                <w:szCs w:val="16"/>
                <w:color w:val="auto"/>
              </w:rPr>
              <w:t>Small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62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As of June 30, 2019, the aggregate market value of the voting and non-voting common equity held by non-affiliates of the registrant, based on the closing price of the shares of common stock on the Nasdaq Global Select Stock Market on such date, was $1,151,210,910. The number of shares of the registrant’s common stock, par value $0.0001 per share outstanding as of February 21, 2020 was 75,321,471.</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9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registrant intends to file a definitive proxy statement pursuant to Regulation 14A in connection with its 2020 Annual Meeting of Stockholders. Portions of such proxy statement are incorporated by reference into Part III of this Annual Report on Form 10-K</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413385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854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Unresolved Staff Comments</w:t>
              </w:r>
            </w:hyperlink>
          </w:p>
        </w:tc>
        <w:tc>
          <w:tcPr>
            <w:tcW w:w="740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Properties</w:t>
              </w:r>
            </w:hyperlink>
          </w:p>
        </w:tc>
        <w:tc>
          <w:tcPr>
            <w:tcW w:w="872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60" w:type="dxa"/>
            <w:vAlign w:val="bottom"/>
            <w:gridSpan w:val="18"/>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2"/>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18"/>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28">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9"/>
          </w:tcPr>
          <w:p>
            <w:pPr>
              <w:spacing w:after="0"/>
              <w:rPr>
                <w:sz w:val="18"/>
                <w:szCs w:val="18"/>
                <w:color w:val="auto"/>
              </w:rPr>
            </w:pPr>
          </w:p>
        </w:tc>
        <w:tc>
          <w:tcPr>
            <w:tcW w:w="2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18"/>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60" w:type="dxa"/>
            <w:vAlign w:val="bottom"/>
            <w:gridSpan w:val="18"/>
          </w:tcPr>
          <w:p>
            <w:pPr>
              <w:spacing w:after="0" w:line="190" w:lineRule="exact"/>
              <w:rPr>
                <w:rFonts w:ascii="Arial" w:cs="Arial" w:eastAsia="Arial" w:hAnsi="Arial"/>
                <w:sz w:val="18"/>
                <w:szCs w:val="18"/>
                <w:color w:val="0000EE"/>
              </w:rPr>
            </w:pPr>
            <w:hyperlink w:anchor="page131">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18"/>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60" w:type="dxa"/>
            <w:vAlign w:val="bottom"/>
            <w:gridSpan w:val="18"/>
          </w:tcPr>
          <w:p>
            <w:pPr>
              <w:spacing w:after="0" w:line="190" w:lineRule="exact"/>
              <w:rPr>
                <w:rFonts w:ascii="Arial" w:cs="Arial" w:eastAsia="Arial" w:hAnsi="Arial"/>
                <w:sz w:val="18"/>
                <w:szCs w:val="18"/>
                <w:color w:val="0000EE"/>
              </w:rPr>
            </w:pPr>
            <w:hyperlink w:anchor="page132">
              <w:r>
                <w:rPr>
                  <w:rFonts w:ascii="Arial" w:cs="Arial" w:eastAsia="Arial" w:hAnsi="Arial"/>
                  <w:sz w:val="18"/>
                  <w:szCs w:val="18"/>
                  <w:color w:val="0000EE"/>
                </w:rPr>
                <w:t>Exhibits,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60" w:firstLine="518"/>
        <w:spacing w:after="0" w:line="297" w:lineRule="auto"/>
        <w:rPr>
          <w:sz w:val="20"/>
          <w:szCs w:val="20"/>
          <w:color w:val="auto"/>
        </w:rPr>
      </w:pPr>
      <w:r>
        <w:rPr>
          <w:rFonts w:ascii="Arial" w:cs="Arial" w:eastAsia="Arial" w:hAnsi="Arial"/>
          <w:sz w:val="16"/>
          <w:szCs w:val="16"/>
          <w:color w:val="auto"/>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31" w:lineRule="exact"/>
        <w:rPr>
          <w:sz w:val="20"/>
          <w:szCs w:val="20"/>
          <w:color w:val="auto"/>
        </w:rPr>
      </w:pPr>
    </w:p>
    <w:p>
      <w:pPr>
        <w:jc w:val="both"/>
        <w:ind w:left="580" w:right="1700" w:hanging="194"/>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our ongoing and planned clinical trials for our product candidates, whether conducted by us or by any future collaborators, including the timing of dosing of patients, enrollment and completion of these trials and of the anticipated results from these trials;</w:t>
      </w:r>
    </w:p>
    <w:p>
      <w:pPr>
        <w:spacing w:after="0" w:line="86"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initiate clinical trials of our current and future product candidates;</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clinical benefits and attributes of our current and future product candidates and the inhibition of C3;</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our current and future product candidates for any additional indications;</w:t>
      </w:r>
    </w:p>
    <w:p>
      <w:pPr>
        <w:spacing w:after="0" w:line="144"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130" w:lineRule="exact"/>
        <w:rPr>
          <w:rFonts w:ascii="Arial" w:cs="Arial" w:eastAsia="Arial" w:hAnsi="Arial"/>
          <w:sz w:val="18"/>
          <w:szCs w:val="18"/>
          <w:color w:val="auto"/>
        </w:rPr>
      </w:pPr>
    </w:p>
    <w:p>
      <w:pPr>
        <w:ind w:left="580" w:right="1840" w:hanging="194"/>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potentially seek to enter into collaborations for the development and commercialization of our current and future product candidates;</w:t>
      </w:r>
    </w:p>
    <w:p>
      <w:pPr>
        <w:spacing w:after="0" w:line="75"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30" w:lineRule="exact"/>
        <w:rPr>
          <w:rFonts w:ascii="Arial" w:cs="Arial" w:eastAsia="Arial" w:hAnsi="Arial"/>
          <w:sz w:val="18"/>
          <w:szCs w:val="18"/>
          <w:color w:val="auto"/>
        </w:rPr>
      </w:pPr>
    </w:p>
    <w:p>
      <w:pPr>
        <w:ind w:left="580" w:hanging="19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9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You should read this Annual Report on Form 10-K and the documents that we have filed or incorporated by reference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 The Apellis logo is our trademark. The other trademarks, trade names and service marks appearing in this Annual Report on Form 10-K are the property of their respective owners.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6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have the most advanced clinical programs targeting C3 with Phase 3 clinical trials of our lead product candidate, pegcetacoplan, formerly known as APL-2, in multiple indications. We believe that pegcetacoplan has the potential to be a best-in-class treatment that may address the limitations of existing treatment options or provide a treatment option where there currently is none. Pegcetacoplan has already shown activity that we believe is clinically meaningful in clinical trials for several distinct medical conditions, including geographic atrophy in age-related macular degeneration, or GA; paroxysmal nocturnal hemoglobinuria, or PNH; cold agglutinin disease, or CAD; and C3 glomerulopathy, or C3G. We are developing compounds targeting C3, including APL-9, for intravenous administration and plan to conduct clinical trials of these compounds in additional complement-dependent indications. We hold worldwide commercialization rights to pegcetacoplan, APL-9 and other novel compounds targeting C3.</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Intravitreal administration of pegcetacoplan</w:t>
      </w:r>
      <w:r>
        <w:rPr>
          <w:rFonts w:ascii="Arial" w:cs="Arial" w:eastAsia="Arial" w:hAnsi="Arial"/>
          <w:sz w:val="18"/>
          <w:szCs w:val="18"/>
          <w:i w:val="1"/>
          <w:iCs w:val="1"/>
          <w:color w:val="auto"/>
        </w:rPr>
        <w:t>.</w:t>
      </w:r>
    </w:p>
    <w:p>
      <w:pPr>
        <w:spacing w:after="0" w:line="185"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We are developing pegcetacoplan for intravitreal administration in ophthalmological indications. We initiated a Phase 3 clinical program consisting of two Phase 3 clinical trials evaluating pegcetacoplan in patients with GA in September 2018, which we refer to as the DERBY and OAKS trials. We expect that both trials will be fully enrolled by the end of the first half of 2020 and that we will announce data from these trials in mid-2021. In our Phase 2 clinical trial of pegcetacoplan in patients with GA, treatment with pegcetacoplan resulted in a significant reduction in the rate of GA lesion growth over 12 months.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Subcutaneous administration of pegcetacoplan</w:t>
      </w:r>
      <w:r>
        <w:rPr>
          <w:rFonts w:ascii="Arial" w:cs="Arial" w:eastAsia="Arial" w:hAnsi="Arial"/>
          <w:sz w:val="18"/>
          <w:szCs w:val="18"/>
          <w:color w:val="auto"/>
        </w:rPr>
        <w: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developing pegcetacoplan for subcutaneous administration in several indications, including PNH, CAD and C3G.</w:t>
      </w:r>
    </w:p>
    <w:p>
      <w:pPr>
        <w:spacing w:after="0" w:line="18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PNH</w:t>
      </w:r>
      <w:r>
        <w:rPr>
          <w:rFonts w:ascii="Arial" w:cs="Arial" w:eastAsia="Arial" w:hAnsi="Arial"/>
          <w:sz w:val="18"/>
          <w:szCs w:val="18"/>
          <w:color w:val="auto"/>
        </w:rPr>
        <w:t>. In June 2018, we initiated a Phase 3 clinical trial evaluating pegcetacoplan in patients with PNH who exhibited moderate to severe anemia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with an inclusion criterion of hemoglobin level of less than 10.5 g/dL) while being treated with eculizumab, an approved therapy for PNH that is marketed as Soliris. We refer to this trial as the PEGASUS trial.</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January 2020, we announced top-line data from the PEGASUS trial that showed that pegcetacoplan met the trial’s primary efficacy endpoint, demonstrating superiority to eculizumab with a statistically significant improvement in adjusted means of 3.8 g/dL of hemoglobin at week 16 (p&lt;0.0001) and showing promising results in key secondary endpoints, including transfusion avoidance and absolute reticulocyte count. In the trial, the safety profile of pegcetacoplan was comparable to eculizumab. We plan to present detailed 16-week results from the PEGASUS trial at a future scientific meeting and expect to report 48-week topline data in the second half of 2020.</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2019 we initiated a second Phase 3 clinical trial in patients with PNH who have not been treated with eculizumab, or</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eculizumab treatment-naïve patients. We expect to complete enrollment in this trial in the first half of 2020 and to present top-line data in the first quarter of 2021. We refer to this trial as the PRINCE trial.</w:t>
      </w:r>
    </w:p>
    <w:p>
      <w:pPr>
        <w:spacing w:after="0" w:line="14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intend to meet with regulatory agencies in the first half of 2020 to discuss what information is required to support regulatory submissions of a new drug application, or NDA, and a marketing authorization application, or MAA, for pegcetacoplan in PNH.</w:t>
      </w:r>
    </w:p>
    <w:p>
      <w:pPr>
        <w:spacing w:after="0" w:line="14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CAD</w:t>
      </w:r>
      <w:r>
        <w:rPr>
          <w:rFonts w:ascii="Arial" w:cs="Arial" w:eastAsia="Arial" w:hAnsi="Arial"/>
          <w:sz w:val="18"/>
          <w:szCs w:val="18"/>
          <w:color w:val="auto"/>
        </w:rPr>
        <w:t>. In our ongoing Phase 2 clinical trials of pegcetacoplan in patients with CAD, patients have achieved increased hemoglobin levels,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reticulocytes and bilirubin levels, and reduced LDH levels. We intend to disclose our plans and timing for further clinical development of pegcetacoplan for patients with CAD in the first half of 2020.</w:t>
      </w:r>
    </w:p>
    <w:p>
      <w:pPr>
        <w:spacing w:after="0" w:line="14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i w:val="1"/>
          <w:iCs w:val="1"/>
          <w:color w:val="auto"/>
        </w:rPr>
        <w:t>C3G</w:t>
      </w:r>
      <w:r>
        <w:rPr>
          <w:rFonts w:ascii="Arial" w:cs="Arial" w:eastAsia="Arial" w:hAnsi="Arial"/>
          <w:sz w:val="17"/>
          <w:szCs w:val="17"/>
          <w:color w:val="auto"/>
        </w:rPr>
        <w:t>. We are conducting a Phase 2 clinical trial of pegcetacoplan for C3G and other glomerular diseases with complement involvement. We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preliminary data on patients with C3G from this trial at the Annual Meeting of American Society of Nephropathy in November 2019. We intend to disclose our plans and timing for further clinical development of pegcetacoplan for patients with C3G in the first half of 2020.</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b w:val="1"/>
          <w:bCs w:val="1"/>
          <w:i w:val="1"/>
          <w:iCs w:val="1"/>
          <w:color w:val="auto"/>
        </w:rPr>
        <w:t>Intravenous C3 inhibition.</w:t>
      </w:r>
    </w:p>
    <w:p>
      <w:pPr>
        <w:spacing w:after="0" w:line="198"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8"/>
          <w:szCs w:val="18"/>
          <w:color w:val="auto"/>
        </w:rPr>
        <w:t>We are developing compounds targeting C3 for intravenous administration. In particular, we are developing APL-9 for the prevention of complement immune system activation coincident with adeno-associated virus, or AAV, vector administration for gene therapies and other indications. APL-9 is a second generation C3 modulator and is designed to be intravenously administered for acute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8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Our lead product candidate, pegcetacoplan, is a C3 inhibitor. Pegcetacoplan is a conjugate of a compstatin analogue, formulated both for intravitreal administration by injections directly into the eye, and systemic administration by subcutaneous injection, which is an injection into the tissue under the skin. We are also developing compounds targeting C3 for intravenous administration.</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key information about our ongoing clinical programs: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97"/>
              </w:rPr>
              <w:t>Program</w:t>
            </w:r>
          </w:p>
        </w:tc>
        <w:tc>
          <w:tcPr>
            <w:tcW w:w="1860" w:type="dxa"/>
            <w:vAlign w:val="bottom"/>
          </w:tcPr>
          <w:p>
            <w:pPr>
              <w:spacing w:after="0"/>
              <w:rPr>
                <w:sz w:val="17"/>
                <w:szCs w:val="17"/>
                <w:color w:val="auto"/>
              </w:rPr>
            </w:pPr>
          </w:p>
        </w:tc>
        <w:tc>
          <w:tcPr>
            <w:tcW w:w="2900" w:type="dxa"/>
            <w:vAlign w:val="bottom"/>
            <w:gridSpan w:val="3"/>
          </w:tcPr>
          <w:p>
            <w:pPr>
              <w:ind w:left="400"/>
              <w:spacing w:after="0"/>
              <w:rPr>
                <w:sz w:val="20"/>
                <w:szCs w:val="20"/>
                <w:color w:val="auto"/>
              </w:rPr>
            </w:pPr>
            <w:r>
              <w:rPr>
                <w:rFonts w:ascii="Arial" w:cs="Arial" w:eastAsia="Arial" w:hAnsi="Arial"/>
                <w:sz w:val="18"/>
                <w:szCs w:val="18"/>
                <w:b w:val="1"/>
                <w:bCs w:val="1"/>
                <w:color w:val="auto"/>
              </w:rPr>
              <w:t>Clinical Trials</w:t>
            </w:r>
          </w:p>
        </w:tc>
        <w:tc>
          <w:tcPr>
            <w:tcW w:w="3200" w:type="dxa"/>
            <w:vAlign w:val="bottom"/>
            <w:gridSpan w:val="3"/>
          </w:tcPr>
          <w:p>
            <w:pPr>
              <w:ind w:left="240"/>
              <w:spacing w:after="0"/>
              <w:rPr>
                <w:sz w:val="20"/>
                <w:szCs w:val="20"/>
                <w:color w:val="auto"/>
              </w:rPr>
            </w:pPr>
            <w:r>
              <w:rPr>
                <w:rFonts w:ascii="Arial" w:cs="Arial" w:eastAsia="Arial" w:hAnsi="Arial"/>
                <w:sz w:val="18"/>
                <w:szCs w:val="18"/>
                <w:b w:val="1"/>
                <w:bCs w:val="1"/>
                <w:color w:val="auto"/>
              </w:rPr>
              <w:t>Trial Participants</w:t>
            </w:r>
          </w:p>
        </w:tc>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Estimated Timeline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Intravitreal pegcetacoplan</w:t>
            </w:r>
          </w:p>
        </w:tc>
        <w:tc>
          <w:tcPr>
            <w:tcW w:w="2900" w:type="dxa"/>
            <w:vAlign w:val="bottom"/>
            <w:gridSpan w:val="3"/>
            <w:vMerge w:val="restart"/>
          </w:tcPr>
          <w:p>
            <w:pPr>
              <w:ind w:left="400"/>
              <w:spacing w:after="0"/>
              <w:rPr>
                <w:sz w:val="20"/>
                <w:szCs w:val="20"/>
                <w:color w:val="auto"/>
              </w:rPr>
            </w:pPr>
            <w:r>
              <w:rPr>
                <w:rFonts w:ascii="Arial" w:cs="Arial" w:eastAsia="Arial" w:hAnsi="Arial"/>
                <w:sz w:val="18"/>
                <w:szCs w:val="18"/>
                <w:color w:val="auto"/>
              </w:rPr>
              <w:t>Phase 3 trials (DERBY/OAKS)</w:t>
            </w:r>
          </w:p>
        </w:tc>
        <w:tc>
          <w:tcPr>
            <w:tcW w:w="3200" w:type="dxa"/>
            <w:vAlign w:val="bottom"/>
            <w:gridSpan w:val="3"/>
            <w:vMerge w:val="restart"/>
          </w:tcPr>
          <w:p>
            <w:pPr>
              <w:ind w:left="240"/>
              <w:spacing w:after="0"/>
              <w:rPr>
                <w:sz w:val="20"/>
                <w:szCs w:val="20"/>
                <w:color w:val="auto"/>
              </w:rPr>
            </w:pPr>
            <w:r>
              <w:rPr>
                <w:rFonts w:ascii="Arial" w:cs="Arial" w:eastAsia="Arial" w:hAnsi="Arial"/>
                <w:sz w:val="18"/>
                <w:szCs w:val="18"/>
                <w:color w:val="auto"/>
              </w:rPr>
              <w:t>Patients with GA</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w w:val="93"/>
              </w:rPr>
              <w:t>Complete enrollment 1H 2020; top-</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900" w:type="dxa"/>
            <w:vAlign w:val="bottom"/>
            <w:gridSpan w:val="3"/>
            <w:vMerge w:val="continue"/>
          </w:tcPr>
          <w:p>
            <w:pPr>
              <w:spacing w:after="0"/>
              <w:rPr>
                <w:sz w:val="17"/>
                <w:szCs w:val="17"/>
                <w:color w:val="auto"/>
              </w:rPr>
            </w:pPr>
          </w:p>
        </w:tc>
        <w:tc>
          <w:tcPr>
            <w:tcW w:w="3200" w:type="dxa"/>
            <w:vAlign w:val="bottom"/>
            <w:gridSpan w:val="3"/>
            <w:vMerge w:val="continue"/>
          </w:tcPr>
          <w:p>
            <w:pPr>
              <w:spacing w:after="0"/>
              <w:rPr>
                <w:sz w:val="17"/>
                <w:szCs w:val="17"/>
                <w:color w:val="auto"/>
              </w:rPr>
            </w:pPr>
          </w:p>
        </w:tc>
        <w:tc>
          <w:tcPr>
            <w:tcW w:w="2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line data mid-2021</w:t>
            </w:r>
          </w:p>
        </w:tc>
        <w:tc>
          <w:tcPr>
            <w:tcW w:w="0" w:type="dxa"/>
            <w:vAlign w:val="bottom"/>
          </w:tcPr>
          <w:p>
            <w:pPr>
              <w:spacing w:after="0"/>
              <w:rPr>
                <w:sz w:val="1"/>
                <w:szCs w:val="1"/>
                <w:color w:val="auto"/>
              </w:rPr>
            </w:pPr>
          </w:p>
        </w:tc>
      </w:tr>
      <w:tr>
        <w:trPr>
          <w:trHeight w:val="877"/>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Subcutaneous pegcetacoplan</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100"/>
              <w:spacing w:after="0"/>
              <w:rPr>
                <w:sz w:val="20"/>
                <w:szCs w:val="20"/>
                <w:color w:val="auto"/>
              </w:rPr>
            </w:pPr>
            <w:r>
              <w:rPr>
                <w:rFonts w:ascii="Arial" w:cs="Arial" w:eastAsia="Arial" w:hAnsi="Arial"/>
                <w:sz w:val="18"/>
                <w:szCs w:val="18"/>
                <w:i w:val="1"/>
                <w:iCs w:val="1"/>
                <w:color w:val="auto"/>
              </w:rPr>
              <w:t>PNH</w:t>
            </w:r>
          </w:p>
        </w:tc>
        <w:tc>
          <w:tcPr>
            <w:tcW w:w="2900" w:type="dxa"/>
            <w:vAlign w:val="bottom"/>
            <w:gridSpan w:val="3"/>
          </w:tcPr>
          <w:p>
            <w:pPr>
              <w:ind w:left="400"/>
              <w:spacing w:after="0"/>
              <w:rPr>
                <w:sz w:val="20"/>
                <w:szCs w:val="20"/>
                <w:color w:val="auto"/>
              </w:rPr>
            </w:pPr>
            <w:r>
              <w:rPr>
                <w:rFonts w:ascii="Arial" w:cs="Arial" w:eastAsia="Arial" w:hAnsi="Arial"/>
                <w:sz w:val="18"/>
                <w:szCs w:val="18"/>
                <w:color w:val="auto"/>
              </w:rPr>
              <w:t>Phase 3 trial (PEGASUS)</w:t>
            </w: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w w:val="96"/>
              </w:rPr>
              <w:t>Eculizumab-treated patients with PNH</w:t>
            </w: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Top-line data reported January 2020;</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48 week data by 2H 2020</w:t>
            </w:r>
          </w:p>
        </w:tc>
        <w:tc>
          <w:tcPr>
            <w:tcW w:w="0" w:type="dxa"/>
            <w:vAlign w:val="bottom"/>
          </w:tcPr>
          <w:p>
            <w:pPr>
              <w:spacing w:after="0"/>
              <w:rPr>
                <w:sz w:val="1"/>
                <w:szCs w:val="1"/>
                <w:color w:val="auto"/>
              </w:rPr>
            </w:pPr>
          </w:p>
        </w:tc>
      </w:tr>
      <w:tr>
        <w:trPr>
          <w:trHeight w:val="445"/>
        </w:trPr>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00" w:type="dxa"/>
            <w:vAlign w:val="bottom"/>
            <w:gridSpan w:val="3"/>
          </w:tcPr>
          <w:p>
            <w:pPr>
              <w:ind w:left="400"/>
              <w:spacing w:after="0"/>
              <w:rPr>
                <w:sz w:val="20"/>
                <w:szCs w:val="20"/>
                <w:color w:val="auto"/>
              </w:rPr>
            </w:pPr>
            <w:r>
              <w:rPr>
                <w:rFonts w:ascii="Arial" w:cs="Arial" w:eastAsia="Arial" w:hAnsi="Arial"/>
                <w:sz w:val="18"/>
                <w:szCs w:val="18"/>
                <w:color w:val="auto"/>
              </w:rPr>
              <w:t>Phase 3 trial (PRINCE)</w:t>
            </w: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rPr>
              <w:t>Treatment-naïve patients with PNH</w:t>
            </w:r>
          </w:p>
        </w:tc>
        <w:tc>
          <w:tcPr>
            <w:tcW w:w="2640" w:type="dxa"/>
            <w:vAlign w:val="bottom"/>
            <w:gridSpan w:val="2"/>
          </w:tcPr>
          <w:p>
            <w:pPr>
              <w:spacing w:after="0"/>
              <w:rPr>
                <w:sz w:val="20"/>
                <w:szCs w:val="20"/>
                <w:color w:val="auto"/>
              </w:rPr>
            </w:pPr>
            <w:r>
              <w:rPr>
                <w:rFonts w:ascii="Arial" w:cs="Arial" w:eastAsia="Arial" w:hAnsi="Arial"/>
                <w:sz w:val="18"/>
                <w:szCs w:val="18"/>
                <w:color w:val="auto"/>
                <w:w w:val="93"/>
              </w:rPr>
              <w:t>Complete enrollment 1H 2020; top-</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line data 1Q 2021</w:t>
            </w:r>
          </w:p>
        </w:tc>
        <w:tc>
          <w:tcPr>
            <w:tcW w:w="0" w:type="dxa"/>
            <w:vAlign w:val="bottom"/>
          </w:tcPr>
          <w:p>
            <w:pPr>
              <w:spacing w:after="0"/>
              <w:rPr>
                <w:sz w:val="1"/>
                <w:szCs w:val="1"/>
                <w:color w:val="auto"/>
              </w:rPr>
            </w:pPr>
          </w:p>
        </w:tc>
      </w:tr>
      <w:tr>
        <w:trPr>
          <w:trHeight w:val="230"/>
        </w:trPr>
        <w:tc>
          <w:tcPr>
            <w:tcW w:w="2600" w:type="dxa"/>
            <w:vAlign w:val="bottom"/>
            <w:gridSpan w:val="2"/>
          </w:tcPr>
          <w:p>
            <w:pPr>
              <w:ind w:left="100"/>
              <w:spacing w:after="0"/>
              <w:rPr>
                <w:sz w:val="20"/>
                <w:szCs w:val="20"/>
                <w:color w:val="auto"/>
              </w:rPr>
            </w:pPr>
            <w:r>
              <w:rPr>
                <w:rFonts w:ascii="Arial" w:cs="Arial" w:eastAsia="Arial" w:hAnsi="Arial"/>
                <w:sz w:val="18"/>
                <w:szCs w:val="18"/>
                <w:i w:val="1"/>
                <w:iCs w:val="1"/>
                <w:color w:val="auto"/>
              </w:rPr>
              <w:t>CAD</w:t>
            </w:r>
          </w:p>
        </w:tc>
        <w:tc>
          <w:tcPr>
            <w:tcW w:w="2900" w:type="dxa"/>
            <w:vAlign w:val="bottom"/>
            <w:gridSpan w:val="3"/>
          </w:tcPr>
          <w:p>
            <w:pPr>
              <w:ind w:left="400"/>
              <w:spacing w:after="0"/>
              <w:rPr>
                <w:sz w:val="20"/>
                <w:szCs w:val="20"/>
                <w:color w:val="auto"/>
              </w:rPr>
            </w:pPr>
            <w:r>
              <w:rPr>
                <w:rFonts w:ascii="Arial" w:cs="Arial" w:eastAsia="Arial" w:hAnsi="Arial"/>
                <w:sz w:val="18"/>
                <w:szCs w:val="18"/>
                <w:color w:val="auto"/>
              </w:rPr>
              <w:t>Phase 2 trial</w:t>
            </w: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rPr>
              <w:t>Patients with CAD</w:t>
            </w:r>
          </w:p>
        </w:tc>
        <w:tc>
          <w:tcPr>
            <w:tcW w:w="2640" w:type="dxa"/>
            <w:vAlign w:val="bottom"/>
            <w:gridSpan w:val="2"/>
          </w:tcPr>
          <w:p>
            <w:pPr>
              <w:spacing w:after="0"/>
              <w:rPr>
                <w:sz w:val="20"/>
                <w:szCs w:val="20"/>
                <w:color w:val="auto"/>
              </w:rPr>
            </w:pPr>
            <w:r>
              <w:rPr>
                <w:rFonts w:ascii="Arial" w:cs="Arial" w:eastAsia="Arial" w:hAnsi="Arial"/>
                <w:sz w:val="18"/>
                <w:szCs w:val="18"/>
                <w:color w:val="auto"/>
              </w:rPr>
              <w:t>Plans to be announced 1H 2020</w:t>
            </w:r>
          </w:p>
        </w:tc>
        <w:tc>
          <w:tcPr>
            <w:tcW w:w="0" w:type="dxa"/>
            <w:vAlign w:val="bottom"/>
          </w:tcPr>
          <w:p>
            <w:pPr>
              <w:spacing w:after="0"/>
              <w:rPr>
                <w:sz w:val="1"/>
                <w:szCs w:val="1"/>
                <w:color w:val="auto"/>
              </w:rPr>
            </w:pPr>
          </w:p>
        </w:tc>
      </w:tr>
      <w:tr>
        <w:trPr>
          <w:trHeight w:val="431"/>
        </w:trPr>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Phase 2 trial</w:t>
            </w: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w w:val="96"/>
              </w:rPr>
              <w:t>Patients with glomerular diseases with</w:t>
            </w:r>
          </w:p>
        </w:tc>
        <w:tc>
          <w:tcPr>
            <w:tcW w:w="2640" w:type="dxa"/>
            <w:vAlign w:val="bottom"/>
            <w:gridSpan w:val="2"/>
          </w:tcPr>
          <w:p>
            <w:pPr>
              <w:spacing w:after="0"/>
              <w:rPr>
                <w:sz w:val="20"/>
                <w:szCs w:val="20"/>
                <w:color w:val="auto"/>
              </w:rPr>
            </w:pPr>
            <w:r>
              <w:rPr>
                <w:rFonts w:ascii="Arial" w:cs="Arial" w:eastAsia="Arial" w:hAnsi="Arial"/>
                <w:sz w:val="18"/>
                <w:szCs w:val="18"/>
                <w:color w:val="auto"/>
              </w:rPr>
              <w:t>Plans to be announced 1H 2020</w:t>
            </w:r>
          </w:p>
        </w:tc>
        <w:tc>
          <w:tcPr>
            <w:tcW w:w="0" w:type="dxa"/>
            <w:vAlign w:val="bottom"/>
          </w:tcPr>
          <w:p>
            <w:pPr>
              <w:spacing w:after="0"/>
              <w:rPr>
                <w:sz w:val="1"/>
                <w:szCs w:val="1"/>
                <w:color w:val="auto"/>
              </w:rPr>
            </w:pPr>
          </w:p>
        </w:tc>
      </w:tr>
      <w:tr>
        <w:trPr>
          <w:trHeight w:val="230"/>
        </w:trPr>
        <w:tc>
          <w:tcPr>
            <w:tcW w:w="2600" w:type="dxa"/>
            <w:vAlign w:val="bottom"/>
            <w:gridSpan w:val="2"/>
          </w:tcPr>
          <w:p>
            <w:pPr>
              <w:ind w:left="100"/>
              <w:spacing w:after="0"/>
              <w:rPr>
                <w:sz w:val="20"/>
                <w:szCs w:val="20"/>
                <w:color w:val="auto"/>
              </w:rPr>
            </w:pPr>
            <w:r>
              <w:rPr>
                <w:rFonts w:ascii="Arial" w:cs="Arial" w:eastAsia="Arial" w:hAnsi="Arial"/>
                <w:sz w:val="18"/>
                <w:szCs w:val="18"/>
                <w:i w:val="1"/>
                <w:iCs w:val="1"/>
                <w:color w:val="auto"/>
              </w:rPr>
              <w:t>C3G</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rPr>
              <w:t>complement involvement</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Intravenous C3 inhibition</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Gene therapies</w:t>
            </w:r>
          </w:p>
        </w:tc>
        <w:tc>
          <w:tcPr>
            <w:tcW w:w="2900" w:type="dxa"/>
            <w:vAlign w:val="bottom"/>
            <w:gridSpan w:val="3"/>
          </w:tcPr>
          <w:p>
            <w:pPr>
              <w:ind w:left="400"/>
              <w:spacing w:after="0"/>
              <w:rPr>
                <w:sz w:val="20"/>
                <w:szCs w:val="20"/>
                <w:color w:val="auto"/>
              </w:rPr>
            </w:pPr>
            <w:r>
              <w:rPr>
                <w:rFonts w:ascii="Arial" w:cs="Arial" w:eastAsia="Arial" w:hAnsi="Arial"/>
                <w:sz w:val="18"/>
                <w:szCs w:val="18"/>
                <w:color w:val="auto"/>
              </w:rPr>
              <w:t>Phase 1 trial</w:t>
            </w: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rPr>
              <w:t>Healthy patients</w:t>
            </w:r>
          </w:p>
        </w:tc>
        <w:tc>
          <w:tcPr>
            <w:tcW w:w="2640" w:type="dxa"/>
            <w:vAlign w:val="bottom"/>
            <w:gridSpan w:val="2"/>
          </w:tcPr>
          <w:p>
            <w:pPr>
              <w:spacing w:after="0"/>
              <w:rPr>
                <w:sz w:val="20"/>
                <w:szCs w:val="20"/>
                <w:color w:val="auto"/>
              </w:rPr>
            </w:pPr>
            <w:r>
              <w:rPr>
                <w:rFonts w:ascii="Arial" w:cs="Arial" w:eastAsia="Arial" w:hAnsi="Arial"/>
                <w:sz w:val="18"/>
                <w:szCs w:val="18"/>
                <w:color w:val="auto"/>
              </w:rPr>
              <w:t>Plans to be announced 2020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Intravitreal Pegcetacoplan</w:t>
      </w:r>
    </w:p>
    <w:p>
      <w:pPr>
        <w:spacing w:after="0" w:line="19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developing pegcetacoplan to be injected intravitreally as a monotherapy for patients with ophthalmological indications, including geographic atrophy, or GA. GA is an advanced form of age-related macular degeneration, or AMD, which is a disorder of the central portion of the retina characterized by progressive retinal cell death that ultimately leads to blindness. GA is a disease with significant unmet need that affects approximately one million patients in the United States and for which there are no U.S. Food and Drug Administration, or FDA, approved therapies. In July 2018, we received fast track designation from the FDA for pegcetacoplan in GA.</w:t>
      </w:r>
    </w:p>
    <w:p>
      <w:pPr>
        <w:spacing w:after="0" w:line="14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ongoing Phase 3 clinical program in GA consists of two 600-patient prospective, multicenter, randomized, double-masked, sham-injection controlled trials (DERBY and OAKS) at 200 sites worldwide to assess the efficacy and safety of multiple intravitreal injections of pegcetacoplan in patients with GA. Patients in each Phase 3 trial receive a dose of 15 mg of pegcetacoplan injected intravitreally in a 0.1 cc volume, monthly or every other month for 24 months. In the sham-injection cohorts, patients receive a simulated injection. As with our Phase 2 clinical trial, the primary endpoint of each trial is the change in total area of GA lesions in the study eye from baseline to month 12 compared to sham. The measurements of change will be analyzed at 12 months (primary endpoint) and 24 months. We dosed the first patient in the Phase 3 trials in September 2018. We expect that both trials will be fully enrolled by the end of the first half of 2020 and that we will announce data from these trials in mid-2021.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Subcutaneous Pegcetacoplan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PNH</w:t>
      </w:r>
    </w:p>
    <w:p>
      <w:pPr>
        <w:spacing w:after="0" w:line="19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are developing pegcetacoplan to be injected subcutaneously as a monotherapy for patients with PNH. PNH is a rare, life-threatening, chronic, debilitating blood disorder characterized by the absence of certain proteins that normally regulate complement activity on the surface of blood cells. As a consequence, patients with PNH suffer from significant and chronic red blood cell loss, or hemolysis. The only therapies currently approved for the treatment of PNH, eculizumab (Soliris) and ravulizumab (Ultomiris), both of which are marketed by Alexion Pharmaceuticals, Inc., or Alexion, inhibit the complement system by targeting C5, a protein that is downstream from C3 in the complement cascade. Retrospective studies have reported that, even when treated with eculizumab, up to 70% of people with PNH have low hemoglobin levels and up to 36% require one or more transfusions a year. Based on prevalence data published in an abstract in a peer-reviewed journal, we estimate that there are approximately 15,000 patients with PNH worldwide.</w:t>
      </w:r>
    </w:p>
    <w:p>
      <w:pPr>
        <w:spacing w:after="0" w:line="12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If our clinical development of pegcetacoplan for PNH is successful, we believe that pegcetacoplan could be a best-in-class therapy for PNH, differentiated by mechanism, and that pegcetacoplan has the potential to significantly increase the quality of life of patients with PNH as compared to the current standard of care.</w:t>
      </w:r>
    </w:p>
    <w:p>
      <w:pPr>
        <w:spacing w:after="0" w:line="141"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We initiated the Phase 3 PEGASUS trial in June 2018. The PEGASUS trial, is an 80-patient randomized head-to-head trial comparing pegcetacoplan monotherapy to eculizumab monotherapy in patients with PNH currently on treatment with eculizumab who have a hemoglobin level of less than 10.5 g/dL, regardless of eculizumab dose or transfusion history. The primary efficacy of the trial is the change in hemoglobin level from baseline at week 16.</w:t>
      </w:r>
    </w:p>
    <w:p>
      <w:pPr>
        <w:spacing w:after="0" w:line="120"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treatment period of the PEGASUS trial consists of three parts: a four-week run-in period, a 16-week randomized treatment period and a 32-week open-label pegcetacoplan only period. During the run-in period, all patients receive twice-weekly subcutaneous doses of 1,080 mg of pegcetacoplan in addition to patients’ then current dose of eculizumab. The run-in period was designed to provide patients with sufficient plasma concentration of pegcetacoplan to provide for what we expected to be adequate complement inhibition before withdrawing eculizumab. Following completion of the run-in period, patients received either 1,080 mg of pegcetacoplan twice per week or their current dose of eculizumab through the duration of the 16-week randomized treatment period. Following completion of the randomized treatment period with either pegcetacoplan monotherapy or eculizumab monotherapy, all 80 patients had the option to receive pegcetacoplan monotherapy for 32 weeks in an open-label treatment period.</w:t>
      </w:r>
    </w:p>
    <w:p>
      <w:pPr>
        <w:spacing w:after="0" w:line="12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January 2020, we announced top-line data from the PEGASUS trial that showed that pegcetacoplan met the trial’s primary efficacy endpoint, demonstrating superiority to eculizumab with a statistically significant improvement in adjusted means of 3.8 g/dL of hemoglobin at week 16 (p &lt; 0.0001). At week 16, pegcetacoplan-treated patients (n = 41) had an adjusted mean hemoglobin increase of 2.4 g/dL from a baseline of 8.7 g/dL, compared to eculizumab-treated patients (n = 39) who had a change of -1.5 g/dL from a baseline of 8.7 g/dL.</w:t>
      </w:r>
    </w:p>
    <w:p>
      <w:pPr>
        <w:spacing w:after="0" w:line="14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Additionally, pegcetacoplan showed promising results in key secondary endpoints. Pegcetacoplan met non-inferiority on transfusion avoidance and absolute reticulocyte count. Pegcetacoplan did not meet non-inferiority to eculizumab on mean LDH levels, which we believe is primarily due to the small number of eculizumab-treated patients who completed the 16 week randomized treatment period without transfusions. Pegcetacoplan showed positive trends on LDH and fatigue as measured by the FACIT-fatigue score.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The following table summarizes the reported results from the key secondary endpoints of the PEGASUS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10616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06160"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LDH = Lactate Dehydrogenase. FACIT = Functional Assessment of Chronic Illness Therapy. Mean (SE) = Adjusted means (SE) are based on the mixed model repeated measures (MMRM) analysis. CI = Confidence Interval. SE = Standard Error.</w:t>
      </w:r>
    </w:p>
    <w:p>
      <w:pPr>
        <w:spacing w:after="0" w:line="103"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Key Secondary Endpoints analyses are based on pre-specified Non-Inferiority Margins. Non-inferiority is achieved if the LCL or UCL of the 95% CI of the treatment difference meets the pre-specified margin.</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tested: As LDH did not achieve non-inferiority, no other endpoints were tested.</w:t>
      </w:r>
    </w:p>
    <w:p>
      <w:pPr>
        <w:spacing w:after="0" w:line="266"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statistical analysis plan for the PEGASUS trial provided for use of the mixed model—repeated measures (MMRM) method. To avoid the effect of transfusions in hemoglobin levels during the 16-week randomization period of the trial, if a patient received a transfusion during the 16-week randomization period, any measurements after the first transfusion were censored from the data used in the MMRM analysis. The treatment effects using observed data from the trial, which included all post-transfusion measurements, were consistent with and supportive of the reported results from the MMRM analysis.</w:t>
      </w:r>
    </w:p>
    <w:p>
      <w:pPr>
        <w:spacing w:after="0" w:line="114"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the PEGASUS trial, the safety profile of pegcetacoplan was comparable to eculizumab. Seven of 41 patients (17.1%) in the pegcetacoplan group experienced a serious adverse event, or SAE, and 6 of 39 patients (15.4%) in the eculizumab group experienced SAEs. No cases of meningitis and no deaths were reported in either treatment group. The most common adverse events reported during the 16-week, randomized, controlled treatment period in the pegcetacoplan and eculizumab groups, respectively, were injection site reactions (36.6% vs. 2.6%), diarrhea (22.0% vs. 0%), headache (7.3% vs. 20.5%) and fatigue (4.9% vs. 15.4%). Another common adverse event was hemolysis, which was reported in four patients in the pegcetacoplan group (9.8%) and nine patients in the eculizumab group (23.1%). This led to the three discontinuations in pegcetacoplan group.</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719" w:right="279" w:bottom="1440" w:gutter="0" w:footer="0" w:header="0"/>
        </w:sectPr>
      </w:pPr>
    </w:p>
    <w:bookmarkStart w:id="7" w:name="page8"/>
    <w:bookmarkEnd w:id="7"/>
    <w:p>
      <w:pPr>
        <w:ind w:right="60" w:firstLine="518"/>
        <w:spacing w:after="0" w:line="264" w:lineRule="auto"/>
        <w:rPr>
          <w:sz w:val="20"/>
          <w:szCs w:val="20"/>
          <w:color w:val="auto"/>
        </w:rPr>
      </w:pPr>
      <w:r>
        <w:rPr>
          <w:rFonts w:ascii="Arial" w:cs="Arial" w:eastAsia="Arial" w:hAnsi="Arial"/>
          <w:sz w:val="18"/>
          <w:szCs w:val="18"/>
          <w:color w:val="auto"/>
        </w:rPr>
        <w:t>All patients who completed the randomization period in both groups (77/80) entered the 32-week open-label pegcetacoplan treatment period. We plan to present detailed 16-week results from the PEGASUS trial at a future scientific meeting and expect to report 48-week topline data in the second half of 2020.</w:t>
      </w:r>
    </w:p>
    <w:p>
      <w:pPr>
        <w:spacing w:after="0" w:line="154"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We initiated the Phase 3 PRINCE trial in September 2019. The PRINCE trial is a 54-patient randomized, multicenter, open-label trial to evaluate the efficacy of pegcetacoplan in treatment-naïve patients. The primary endpoints are avoidance of a greater than 1 g/dL decrease in hemoglobin level from baseline in the absence of transfusion through week 26 and reduction in lactate dehydrogenase (LDH) level from baseline to week 26, in patients with PNH who are currently not being treated with complement inhibitors. Secondary endpoints include hemoglobin response (defined as an increase in hemoglobin levels greater than or equal to 1 g/dL), change in absolute reticulocyte count, change in hemoglobin levels, number of packed red blood cells transfused, change in FACIT score, hemoglobin normalization and LDH normalization. We expect to complete enrollment in this trial in the first half of 2020 and to present top-line data in the first quarter of 2021.</w:t>
      </w:r>
    </w:p>
    <w:p>
      <w:pPr>
        <w:spacing w:after="0" w:line="137" w:lineRule="exact"/>
        <w:rPr>
          <w:sz w:val="20"/>
          <w:szCs w:val="20"/>
          <w:color w:val="auto"/>
        </w:rPr>
      </w:pPr>
    </w:p>
    <w:p>
      <w:pPr>
        <w:ind w:right="40" w:firstLine="761"/>
        <w:spacing w:after="0" w:line="255" w:lineRule="auto"/>
        <w:rPr>
          <w:sz w:val="20"/>
          <w:szCs w:val="20"/>
          <w:color w:val="auto"/>
        </w:rPr>
      </w:pPr>
      <w:r>
        <w:rPr>
          <w:rFonts w:ascii="Arial" w:cs="Arial" w:eastAsia="Arial" w:hAnsi="Arial"/>
          <w:sz w:val="18"/>
          <w:szCs w:val="18"/>
          <w:color w:val="auto"/>
        </w:rPr>
        <w:t>We intend to meet with regulatory agencies in the first half of 2020 to discuss what information is required to support regulatory submissions of an NDA and an MAA for pegcetacoplan in PNH. The FDA has advised us that, for the approval of a new treatment for PNH, hemoglobin stabilization in conjunction with change in transfusion dependence constitute accepted clinical benefit, but that a rise in hemoglobin levels may not translate to clinical benefit in patients who entered the trial with high hemoglobin levels, such as permitted by the inclusion criteria of the PEGASUS trial, and who do not require transfusions. We believe that the data from the PEGASUS trial support a finding of clinical benefit. As clinical data is susceptible to varying interpretations and analyses, we will need to discuss our data with the FDA, European Medicines Agency, or EMA, and other regulatory agencies before we can determine our next steps.</w:t>
      </w:r>
    </w:p>
    <w:p>
      <w:pPr>
        <w:spacing w:after="0" w:line="14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April 2014, we received orphan drug designation from the FDA for pegcetacoplan for PNH. In February 2019 we received fast track designation from the FDA for pegcetacoplan for patients with PNH, which superseded the fast track designation we received in December 2016 for pegcetacoplan for the subset of patients with PNH who continue to require transfusions despite receiving therapy with eculizumab.</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CAD</w:t>
      </w:r>
    </w:p>
    <w:p>
      <w:pPr>
        <w:spacing w:after="0" w:line="18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We are developing pegcetacoplan to be injected subcutaneously as a monotherapy for patients with CAD. In March 2018, we initiated a Phase 2 clinical trial of pegcetacoplan </w:t>
      </w:r>
      <w:r>
        <w:rPr>
          <w:rFonts w:ascii="Arial" w:cs="Arial" w:eastAsia="Arial" w:hAnsi="Arial"/>
          <w:sz w:val="17"/>
          <w:szCs w:val="17"/>
          <w:color w:val="111111"/>
        </w:rPr>
        <w:t>administered by subcutaneous injection</w:t>
      </w:r>
      <w:r>
        <w:rPr>
          <w:rFonts w:ascii="Arial" w:cs="Arial" w:eastAsia="Arial" w:hAnsi="Arial"/>
          <w:sz w:val="17"/>
          <w:szCs w:val="17"/>
          <w:color w:val="auto"/>
        </w:rPr>
        <w:t xml:space="preserve"> in patients with CAD. </w:t>
      </w:r>
      <w:r>
        <w:rPr>
          <w:rFonts w:ascii="Arial" w:cs="Arial" w:eastAsia="Arial" w:hAnsi="Arial"/>
          <w:sz w:val="17"/>
          <w:szCs w:val="17"/>
          <w:color w:val="111111"/>
        </w:rPr>
        <w:t>CAD is a severe, chronic rare autoimmune disorder caused by</w:t>
      </w:r>
      <w:r>
        <w:rPr>
          <w:rFonts w:ascii="Arial" w:cs="Arial" w:eastAsia="Arial" w:hAnsi="Arial"/>
          <w:sz w:val="17"/>
          <w:szCs w:val="17"/>
          <w:color w:val="auto"/>
        </w:rPr>
        <w:t xml:space="preserve"> </w:t>
      </w:r>
      <w:r>
        <w:rPr>
          <w:rFonts w:ascii="Arial" w:cs="Arial" w:eastAsia="Arial" w:hAnsi="Arial"/>
          <w:sz w:val="17"/>
          <w:szCs w:val="17"/>
          <w:color w:val="111111"/>
        </w:rPr>
        <w:t>pathogenic immunoglobulin M antibodies that react with red blood cells at body temperatures below 30</w:t>
      </w:r>
      <w:r>
        <w:rPr>
          <w:rFonts w:ascii="Arial" w:cs="Arial" w:eastAsia="Arial" w:hAnsi="Arial"/>
          <w:sz w:val="14"/>
          <w:szCs w:val="14"/>
          <w:color w:val="111111"/>
        </w:rPr>
        <w:t>o</w:t>
      </w:r>
      <w:r>
        <w:rPr>
          <w:rFonts w:ascii="Arial" w:cs="Arial" w:eastAsia="Arial" w:hAnsi="Arial"/>
          <w:sz w:val="17"/>
          <w:szCs w:val="17"/>
          <w:color w:val="111111"/>
        </w:rPr>
        <w:t xml:space="preserve">C and leads to clumping, or agglutination, of red blood cells. Agglutinated red blood cells activate the complement system leading to destruction of the red blood cells. The disease is often characterized by chronic anemia, severe fatigue, and an increased risk of life-threatening events such as stroke. There are an estimated </w:t>
      </w:r>
      <w:r>
        <w:rPr>
          <w:rFonts w:ascii="Arial" w:cs="Arial" w:eastAsia="Arial" w:hAnsi="Arial"/>
          <w:sz w:val="17"/>
          <w:szCs w:val="17"/>
          <w:color w:val="000000"/>
        </w:rPr>
        <w:t>10,000 CAD</w:t>
      </w:r>
      <w:r>
        <w:rPr>
          <w:rFonts w:ascii="Arial" w:cs="Arial" w:eastAsia="Arial" w:hAnsi="Arial"/>
          <w:sz w:val="17"/>
          <w:szCs w:val="17"/>
          <w:color w:val="111111"/>
        </w:rPr>
        <w:t xml:space="preserve"> patients across </w:t>
      </w:r>
      <w:r>
        <w:rPr>
          <w:rFonts w:ascii="Arial" w:cs="Arial" w:eastAsia="Arial" w:hAnsi="Arial"/>
          <w:sz w:val="17"/>
          <w:szCs w:val="17"/>
          <w:color w:val="000000"/>
        </w:rPr>
        <w:t>the United</w:t>
      </w:r>
      <w:r>
        <w:rPr>
          <w:rFonts w:ascii="Arial" w:cs="Arial" w:eastAsia="Arial" w:hAnsi="Arial"/>
          <w:sz w:val="17"/>
          <w:szCs w:val="17"/>
          <w:color w:val="111111"/>
        </w:rPr>
        <w:t xml:space="preserve"> </w:t>
      </w:r>
      <w:r>
        <w:rPr>
          <w:rFonts w:ascii="Arial" w:cs="Arial" w:eastAsia="Arial" w:hAnsi="Arial"/>
          <w:sz w:val="17"/>
          <w:szCs w:val="17"/>
          <w:color w:val="000000"/>
        </w:rPr>
        <w:t xml:space="preserve">States </w:t>
      </w:r>
      <w:r>
        <w:rPr>
          <w:rFonts w:ascii="Arial" w:cs="Arial" w:eastAsia="Arial" w:hAnsi="Arial"/>
          <w:sz w:val="17"/>
          <w:szCs w:val="17"/>
          <w:color w:val="111111"/>
        </w:rPr>
        <w:t>and</w:t>
      </w:r>
      <w:r>
        <w:rPr>
          <w:rFonts w:ascii="Arial" w:cs="Arial" w:eastAsia="Arial" w:hAnsi="Arial"/>
          <w:sz w:val="17"/>
          <w:szCs w:val="17"/>
          <w:color w:val="000000"/>
        </w:rPr>
        <w:t xml:space="preserve"> Europe</w:t>
      </w:r>
      <w:r>
        <w:rPr>
          <w:rFonts w:ascii="Arial" w:cs="Arial" w:eastAsia="Arial" w:hAnsi="Arial"/>
          <w:sz w:val="17"/>
          <w:szCs w:val="17"/>
          <w:color w:val="111111"/>
        </w:rPr>
        <w:t>. There are currently no approved therapies for CAD.</w:t>
      </w:r>
    </w:p>
    <w:p>
      <w:pPr>
        <w:spacing w:after="0" w:line="138"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 xml:space="preserve">In June 2019, we announced interim data from the Phase 2 trial. As of June 15, 2019, we had enrolled 13 patients with CAD </w:t>
      </w:r>
      <w:r>
        <w:rPr>
          <w:rFonts w:ascii="Arial" w:cs="Arial" w:eastAsia="Arial" w:hAnsi="Arial"/>
          <w:sz w:val="16"/>
          <w:szCs w:val="16"/>
          <w:color w:val="111111"/>
        </w:rPr>
        <w:t>in the Phase 2 trial, of</w:t>
      </w:r>
      <w:r>
        <w:rPr>
          <w:rFonts w:ascii="Arial" w:cs="Arial" w:eastAsia="Arial" w:hAnsi="Arial"/>
          <w:sz w:val="16"/>
          <w:szCs w:val="16"/>
          <w:color w:val="auto"/>
        </w:rPr>
        <w:t xml:space="preserve"> </w:t>
      </w:r>
      <w:r>
        <w:rPr>
          <w:rFonts w:ascii="Arial" w:cs="Arial" w:eastAsia="Arial" w:hAnsi="Arial"/>
          <w:sz w:val="16"/>
          <w:szCs w:val="16"/>
          <w:color w:val="111111"/>
        </w:rPr>
        <w:t xml:space="preserve">which 10 patients had been treated for at least 168 days. </w:t>
      </w:r>
      <w:r>
        <w:rPr>
          <w:rFonts w:ascii="Arial" w:cs="Arial" w:eastAsia="Arial" w:hAnsi="Arial"/>
          <w:sz w:val="16"/>
          <w:szCs w:val="16"/>
          <w:color w:val="000000"/>
        </w:rPr>
        <w:t>In this clinical trial, treatment with pegcetacoplan reduced extravascular hemolysis, measured by</w:t>
      </w:r>
      <w:r>
        <w:rPr>
          <w:rFonts w:ascii="Arial" w:cs="Arial" w:eastAsia="Arial" w:hAnsi="Arial"/>
          <w:sz w:val="16"/>
          <w:szCs w:val="16"/>
          <w:color w:val="111111"/>
        </w:rPr>
        <w:t xml:space="preserve"> </w:t>
      </w:r>
      <w:r>
        <w:rPr>
          <w:rFonts w:ascii="Arial" w:cs="Arial" w:eastAsia="Arial" w:hAnsi="Arial"/>
          <w:sz w:val="16"/>
          <w:szCs w:val="16"/>
          <w:color w:val="000000"/>
        </w:rPr>
        <w:t>increased hemoglobin levels and reduced reticulocytes and bilirubin levels, and intravascular hemolysis measured by reduced LDH in patients with CAD. We intend to disclose our plans and timing for further clinical development of pegcetacoplan for patients with CAD in the first half of 2020.</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C3G</w:t>
      </w:r>
    </w:p>
    <w:p>
      <w:pPr>
        <w:spacing w:after="0" w:line="158"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We are currently conducting a Phase 2 clinical trial of pegcetacoplan in C3G and other glomerular diseases in which complement has been implicated including IgA nephropathy, primary membranous nephropathy and lupus nephritis. We initiated this trial in the first quarter of 2018. The primary endpoint is change from baseline in proteinuria at week 48 as quantified by urine protein-to-creatinine ratio, or uPCR. Secondary endpoints include analysis of serum C3 and estimated glomerular filtration rate.</w:t>
      </w:r>
    </w:p>
    <w:p>
      <w:pPr>
        <w:spacing w:after="0" w:line="146"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November 2019, we presented preliminary data from six patients in the C3G cohort of the Phase 2 trial. The data showed that pegcetacoplan may have the potential to target the underlying disease process of C3G. In the six patients, the preliminary data showed a downward trend in mean proteinuria as measured by uPCR. Mean (SE) uPCR decreased from 2.03 (0.46) mg/mg to 1.05 (0.23) mg/mg at study day 84 (normal range &lt; 0.200 mg/mg), and a corresponding normalization of mean serum albumin was observed. Serum C3 levels also increased in all six of these patients. No serious adverse events and no discontinuations due to adverse events were reported in patients with C3G.</w:t>
      </w:r>
    </w:p>
    <w:p>
      <w:pPr>
        <w:spacing w:after="0" w:line="186" w:lineRule="exact"/>
        <w:rPr>
          <w:sz w:val="20"/>
          <w:szCs w:val="20"/>
          <w:color w:val="auto"/>
        </w:rPr>
      </w:pPr>
    </w:p>
    <w:p>
      <w:pPr>
        <w:ind w:right="440" w:firstLine="518"/>
        <w:spacing w:after="0" w:line="293" w:lineRule="auto"/>
        <w:rPr>
          <w:sz w:val="20"/>
          <w:szCs w:val="20"/>
          <w:color w:val="auto"/>
        </w:rPr>
      </w:pPr>
      <w:r>
        <w:rPr>
          <w:rFonts w:ascii="Arial" w:cs="Arial" w:eastAsia="Arial" w:hAnsi="Arial"/>
          <w:sz w:val="18"/>
          <w:szCs w:val="18"/>
          <w:color w:val="auto"/>
        </w:rPr>
        <w:t>In December 2018, we received orphan drug designation from the FDA for the treatment of C3G. We intend to disclose our plans and timing for further clinical development of pegcetacoplan for patients with C3G in the first half of 2020.</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111111"/>
        </w:rPr>
        <w:t>Intravenous C3 Inhibition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8" w:name="page9"/>
    <w:bookmarkEnd w:id="8"/>
    <w:p>
      <w:pPr>
        <w:jc w:val="both"/>
        <w:ind w:right="80" w:firstLine="571"/>
        <w:spacing w:after="0" w:line="264" w:lineRule="auto"/>
        <w:rPr>
          <w:sz w:val="20"/>
          <w:szCs w:val="20"/>
          <w:color w:val="auto"/>
        </w:rPr>
      </w:pPr>
      <w:r>
        <w:rPr>
          <w:rFonts w:ascii="Arial" w:cs="Arial" w:eastAsia="Arial" w:hAnsi="Arial"/>
          <w:sz w:val="18"/>
          <w:szCs w:val="18"/>
          <w:color w:val="auto"/>
        </w:rPr>
        <w:t>We are developing compounds targeting C3 for intravenous administration. In particular, we are developing APL-9 for the prevention of complement immune system activation coincident with adeno-associated virus, or AAV, vector administration for gene therapies and other indications. APL-9 is a second generation C3 modulator and is designed to be intravenously administered for acute use.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0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complement system plays a pivotal role in both innate and adaptive immune systems. Complement proteins are produced primarily by the liver and circulate in the blood and through the body’s tissues. The complement system may be activated through three principal pathways, known as the classical, lectin and alternative pathways, each of which requires the C3 protein to enable three principal immune responses: opsonization, inflammation and formation of the membrane attack complex, or MAC. When C3 is activated, C3 fragments, such as C3b, tag cell surfaces in a process called opsonization, which marks the cells for removal from tissues or the bloodstream. Two other fragments, C3a and C5a, are released, contributing to inflammation in the surrounding tissues. Further complement activation causes membrane attack complex formation on cell surfaces, piercing holes and causing cells to lyse, or rupture.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figure depicts the complement system, its three principal activation pathways and its principal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169545</wp:posOffset>
            </wp:positionV>
            <wp:extent cx="4673600" cy="3138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7360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Under conditions of excessive or uncontrolled activation, the complement system is believed to play a key role in the incidence and progression of several autoimmune and inflammatory diseases. In these diseases, the complement system acts directly through tissue destruction by the membrane attack complex and indirectly by signaling other elements of the immune system to inappropriately target otherwise healthy tissues. Because the contribution of complement activation to the development and progression of these diseases is not fully understood, it has been difficult to develop therapeutics that ameliorate the conditions contributing to these diseases by targeting only one of the complement activation pathways.</w:t>
      </w:r>
    </w:p>
    <w:p>
      <w:pPr>
        <w:spacing w:after="0" w:line="11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Complement activation and its effects can be inhibited in multiple ways. By targeting complement proteins upstream of C3, one of the three principal activation pathways can be inhibited. For example, inhibition of factor B or factor D results in inhibition of the alternative pathway, but not the classical or lectin pathways. The complement system can also be inhibited by targeting complement proteins downstream of C3, which results in limited inhibition of complement effects. For example, inhibition of C5 leads to inhibition of the formation of the membrane attack complex and C5a-mediated inflammation but does not affect opsonization or C3a-mediated inflammation.</w:t>
      </w:r>
    </w:p>
    <w:p>
      <w:pPr>
        <w:spacing w:after="0" w:line="14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have designed pegcetacoplan to target complement proteins centrally at the level of C3. We believe that this approach can result in broad inhibition of the complement pathways and has the potential to effectively control complement-dependent diseases,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9" w:name="page10"/>
    <w:bookmarkEnd w:id="9"/>
    <w:p>
      <w:pPr>
        <w:ind w:right="540"/>
        <w:spacing w:after="0" w:line="277" w:lineRule="auto"/>
        <w:rPr>
          <w:sz w:val="20"/>
          <w:szCs w:val="20"/>
          <w:color w:val="auto"/>
        </w:rPr>
      </w:pPr>
      <w:r>
        <w:rPr>
          <w:rFonts w:ascii="Arial" w:cs="Arial" w:eastAsia="Arial" w:hAnsi="Arial"/>
          <w:sz w:val="18"/>
          <w:szCs w:val="18"/>
          <w:color w:val="auto"/>
        </w:rPr>
        <w:t>including GA, PNH, CAD, and C3G. We believe that pegcetacoplan has the potential to be a best-in-class treatment and may address the limitations of existing treatment options or provide a treatment option where there is none.</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Strategy</w:t>
      </w:r>
    </w:p>
    <w:p>
      <w:pPr>
        <w:spacing w:after="0" w:line="189"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aim to become a leading biopharmaceutical company focused on the discovery, development and commercialization of therapeutics to treat autoimmune and inflammatory diseases through complement inhibition. We hold worldwide commercialization rights to pegcetacoplan and have the flexibility to develop and potentially commercialize pegcetacoplan ourselves or alternatively to seek to enter into collaborations with industry partners. To achieve our goals, we are pursuing the following strategies:</w:t>
      </w:r>
    </w:p>
    <w:p>
      <w:pPr>
        <w:spacing w:after="0" w:line="79" w:lineRule="exact"/>
        <w:rPr>
          <w:sz w:val="20"/>
          <w:szCs w:val="20"/>
          <w:color w:val="auto"/>
        </w:rPr>
      </w:pPr>
    </w:p>
    <w:p>
      <w:pPr>
        <w:ind w:left="1040" w:right="20" w:hanging="519"/>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Complete Phase 3 clinical development of intravitreal pegcetacoplan in GA</w:t>
      </w:r>
      <w:r>
        <w:rPr>
          <w:rFonts w:ascii="Arial" w:cs="Arial" w:eastAsia="Arial" w:hAnsi="Arial"/>
          <w:sz w:val="17"/>
          <w:szCs w:val="17"/>
          <w:color w:val="auto"/>
        </w:rPr>
        <w:t>. We are developing pegcetacoplan as monotherapy for GA,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administered by intravitreal injections. We are conducting two 600-patient Phase 3 clinical trials of pegcetacoplan in GA to assess the efficacy and safety of multiple intravitreal injections of pegcetacoplan in patients with GA. We expect to have fully enrolled both trials by the end of the first half of 2020 and that we will announce data from these trials in mid-2021.</w:t>
      </w:r>
    </w:p>
    <w:p>
      <w:pPr>
        <w:spacing w:after="0" w:line="63" w:lineRule="exact"/>
        <w:rPr>
          <w:rFonts w:ascii="Arial" w:cs="Arial" w:eastAsia="Arial" w:hAnsi="Arial"/>
          <w:sz w:val="17"/>
          <w:szCs w:val="17"/>
          <w:color w:val="auto"/>
        </w:rPr>
      </w:pPr>
    </w:p>
    <w:p>
      <w:pPr>
        <w:ind w:left="1040" w:hanging="519"/>
        <w:spacing w:after="0" w:line="268"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Prepare for regulatory submission and commercialization of subcutaneous pegcetacoplan in PNH. </w:t>
      </w:r>
      <w:r>
        <w:rPr>
          <w:rFonts w:ascii="Arial" w:cs="Arial" w:eastAsia="Arial" w:hAnsi="Arial"/>
          <w:sz w:val="17"/>
          <w:szCs w:val="17"/>
          <w:color w:val="auto"/>
        </w:rPr>
        <w:t>We are developing pegcetacoplan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monotherapy for patients with PNH, administered by subcutaneous injection. In January 2020, we announced top-line data from the Phase 3 PEGASUS trial that showed that pegcetacoplan met the trial’s primary efficacy endpoint, demonstrating superiority to eculizumab with a statistically significant improvement in adjusted means of 3.8 g/dL of hemoglobin at week 16 (p &lt; 0.0001) and showed promising results in key secondary endpoints, including transfusion avoidance and absolute reticulocyte count. We plan to present detailed 16-week results from the PEGASUS trial at a future scientific meeting and expect to report 48-week topline data in the second half of 2020</w:t>
      </w:r>
      <w:r>
        <w:rPr>
          <w:rFonts w:ascii="Arial" w:cs="Arial" w:eastAsia="Arial" w:hAnsi="Arial"/>
          <w:sz w:val="20"/>
          <w:szCs w:val="20"/>
          <w:color w:val="auto"/>
        </w:rPr>
        <w:t>.</w:t>
      </w:r>
      <w:r>
        <w:rPr>
          <w:rFonts w:ascii="Arial" w:cs="Arial" w:eastAsia="Arial" w:hAnsi="Arial"/>
          <w:sz w:val="17"/>
          <w:szCs w:val="17"/>
          <w:color w:val="auto"/>
        </w:rPr>
        <w:t xml:space="preserve"> We expect to complete enrollment in the PRINCE trial in the first half of 2020 and to present top-line data in the first quarter of 2021. We intend to meet with and discuss our data with the FDA, EMA and other regulatory agencies in the first half of 2020 to discuss what information is required to support regulatory submissions of an NDA and an MAA for pegcetacoplan in PNH.</w:t>
      </w:r>
    </w:p>
    <w:p>
      <w:pPr>
        <w:spacing w:after="0" w:line="76" w:lineRule="exact"/>
        <w:rPr>
          <w:rFonts w:ascii="Arial" w:cs="Arial" w:eastAsia="Arial" w:hAnsi="Arial"/>
          <w:sz w:val="17"/>
          <w:szCs w:val="17"/>
          <w:color w:val="auto"/>
        </w:rPr>
      </w:pPr>
    </w:p>
    <w:p>
      <w:pPr>
        <w:ind w:left="1040" w:right="12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clinical development of subcutaneous pegcetacoplan in other indications, including CAD and C3G. </w:t>
      </w:r>
      <w:r>
        <w:rPr>
          <w:rFonts w:ascii="Arial" w:cs="Arial" w:eastAsia="Arial" w:hAnsi="Arial"/>
          <w:sz w:val="18"/>
          <w:szCs w:val="18"/>
          <w:color w:val="auto"/>
        </w:rPr>
        <w:t>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pegcetacoplan for patients with CAD and C3G, administered by subcutaneous injection. We intend to disclose our plans and timing for further clinical development of pegcetacoplan for patients with CAD and C3G in the first half of 2020.</w:t>
      </w:r>
    </w:p>
    <w:p>
      <w:pPr>
        <w:spacing w:after="0" w:line="73"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Continue development of our intravenous C3 inhibition program and expand our pipeline</w:t>
      </w:r>
      <w:r>
        <w:rPr>
          <w:rFonts w:ascii="Arial" w:cs="Arial" w:eastAsia="Arial" w:hAnsi="Arial"/>
          <w:sz w:val="17"/>
          <w:szCs w:val="17"/>
          <w:color w:val="auto"/>
        </w:rPr>
        <w:t>. We are developing compounds targeting C3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intravenous administration. In particular, we are developing APL-9 for the prevention of complement immune system activation coincident with AAV vector administration for gene therapies. In addition, we believe that our core expertise in complement inhibition and our understanding of immunology and the role of the complement system in disease, positions us to continue to develop a pipeline of treatments for a broad range of autoimmune and inflammatory diseases with pegcetacoplan and additional new product candidates.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Intravitreal pegcetacoplan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Atrophy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Background</w:t>
      </w:r>
    </w:p>
    <w:p>
      <w:pPr>
        <w:spacing w:after="0" w:line="18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GA is a type of advanced age-related macular degeneration, or AMD. According to the Brightfocus Foundation, over ten million people in the United States have some form of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or drusen, appear under the retina. Over time, the disease can progress to an intermediate stage where drusen deposits grow larger and other changes reflective of disease progression appear and then to an advanced stage associated with progressive and often severe vision loss which may be characterized as either GA or wet AMD. GA is characterized by a degenerative process resulting in the progressive loss of retinal cells, which over the course of several years results in blindness. Based on published studies, we believe that at least one million people in the United States have GA.</w:t>
      </w:r>
    </w:p>
    <w:p>
      <w:pPr>
        <w:spacing w:after="0" w:line="138"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mechanism by which complement activation is upregulated and can damage the retina is poorly understood. However, we believe that the upregulation of complement activation due to immune dysregulation damages retinal cells in two ways. First, retinal cells are damaged by inflammation caused by increased levels of C3a and C5a. Second, the increased deposition of C3b on the cell surface of retinal cells caused by complement activation, combined with the limited ability of cells to remove C3 activated fragments such as C3b, leads to the accumulation of C3 fragments on the retinal cells. The presence of C3a and C5a, as well as C3 fragment deposition on retinal cells, activates macrophages and microglia. Macrophages are large white blood cells that form part of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immune system that engulf and digest cells, debris and foreign substances. Macrophages also play an important role in modulating other parts of the immune system. Microglia are a type of tissue-residing macrophage located in the brain, spinal cord and retina.</w:t>
      </w:r>
    </w:p>
    <w:p>
      <w:pPr>
        <w:spacing w:after="0" w:line="14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Because pegcetacoplan both blocks the production of C3a and C5a and prevents the accumulation of C3 fragments on retinal cells through the inhibition of C3, we believe that pegcetacoplan may control complement activation in the retinal environment to return to its quiescent state. We do not believe that selective inhibitors of the alternative pathway, which would only partially block the formation of C3b on the retinal cell surface, or C5 inhibitors, which cannot prevent C3b deposition on retinal cells, can cause the retinal environment to return to its quiescent state.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185"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There are no therapies approved to treat GA. There are, however, therapies in development for GA. For instance, Zimura, a C5 inhibitor being developed by Iveric Bio, is in Phase 2/3 trials.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We believe pegcetacoplan, with its inhibition of complement activation at the level of C3 in the retinal environment, may provide the following benefits:</w:t>
      </w:r>
    </w:p>
    <w:p>
      <w:pPr>
        <w:spacing w:after="0" w:line="62" w:lineRule="exact"/>
        <w:rPr>
          <w:sz w:val="20"/>
          <w:szCs w:val="20"/>
          <w:color w:val="auto"/>
        </w:rPr>
      </w:pPr>
    </w:p>
    <w:p>
      <w:pPr>
        <w:ind w:left="1040" w:right="2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Prevention or reduction of the rate of retinal cell death progression</w:t>
      </w:r>
      <w:r>
        <w:rPr>
          <w:rFonts w:ascii="Arial" w:cs="Arial" w:eastAsia="Arial" w:hAnsi="Arial"/>
          <w:sz w:val="18"/>
          <w:szCs w:val="18"/>
          <w:color w:val="auto"/>
        </w:rPr>
        <w:t>. We believe pegcetacoplan may mitigate or prevent retinal cell death in GA.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Phase 2 trial of pegcetacoplan in patients with GA, treatment with pegcetacoplan resulted in a significant reduction in the rate of GA lesion growth over 12 months.</w:t>
      </w:r>
    </w:p>
    <w:p>
      <w:pPr>
        <w:spacing w:after="0" w:line="73"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Potential application to all patients with GA independent of complement pathway causing disease progression. </w:t>
      </w:r>
      <w:r>
        <w:rPr>
          <w:rFonts w:ascii="Arial" w:cs="Arial" w:eastAsia="Arial" w:hAnsi="Arial"/>
          <w:sz w:val="18"/>
          <w:szCs w:val="18"/>
          <w:color w:val="auto"/>
        </w:rPr>
        <w:t>Pegcetacoplan, by targeting C3,</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designed to inhibit all three principal complement activation pathways and may therefore be effective in a broad patient population. We believe, based on the genetic marker and other data from our analysis of our Phase 2 trial, that the activity of pegcetacoplan does not depend upon the activation of any particular complement pathway.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8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initiated Phase 3 clinical trials of pegcetacoplan in patients with GA following completion of a Phase 2 clinical trial in patients with GA, which we refer to as the FILLY trial. In August 2017, we completed the primary endpoint analysis for the 12-month treatment period for the Phase 2 FILLY trial and in February 2018 we completed the analysis of data from the six-month monitoring period from that trial. Prior to the FILLY trial, we completed a Phase 1 clinical trial of pegcetacoplan in patients with wet AMD in 2016. In July 2018, we received fast track designation from the FDA for pegcetacoplan in GA.</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3 Clinical Trials</w:t>
      </w:r>
    </w:p>
    <w:p>
      <w:pPr>
        <w:spacing w:after="0" w:line="19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Phase 3 clinical program for the development of intravitreal pegcetacoplan is ongoing. The Phase 3 program in GA consists of two 600-patient prospective, multicenter, randomized, double-masked, sham-injection controlled trials to assess the efficacy and safety of multiple intravitreal injections of pegcetacoplan in patients with GA, with the goal of enrolling a total of 1,200 patients across approximately 200 sites worldwide. We refer to these trials as the DERBY and OAKS trials. We dosed the first patient in our Phase 3 trials in September 2018. We believe that both trials will be fully enrolled by the end of the first half of 2020 and that we will announce data from these trials in mid-2021.</w:t>
      </w:r>
    </w:p>
    <w:p>
      <w:pPr>
        <w:spacing w:after="0" w:line="14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Patients in each Phase 3 trial receive a dose of 15 mg of pegcetacoplan injected intravitreally in a 0.1 cc volume, monthly or every other month for 24 months. In the sham-injection cohorts, patients receive a simulated injection. As with our Phase 2 clinical trial, the primary endpoint of each trial is the change in total area of GA lesions in the study eye from baseline to month 12 compared to sham. The measurements of change in lesion size will be analyzed at 12 months (primary endpoint) and 24 months. We set statistical significance as a p-value of 0.05 or less, meaning that there is a 1 in 20 or less probability that the observed results occurred by chance. Patients who develop new onset exudation in the study eye will continue to be treated with pegcetacoplan along with anti-VEGF injections, the current standard of care for wet AMD.</w:t>
      </w:r>
    </w:p>
    <w:p>
      <w:pPr>
        <w:spacing w:after="0" w:line="13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observation intervals in pivotal studies in AMD are typically 24 months in total duration in order to meet regulatory requirements for long-term safety and to demonstrate durability of the treatment effect on anatomical and functional endpoints. However, based on our experience in the Phase 2 FILLY trial, we believe that pegcetacoplan can show treatment effect at 12 months and we therefore plan to analyze the data after all patients have completed 12 months of treatment in the trial in addition to a second assessment after 24 months of treatment. This design is in line with the recommendations of the FDA and the EMA.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jc w:val="both"/>
        <w:ind w:right="20" w:firstLine="518"/>
        <w:spacing w:after="0" w:line="277" w:lineRule="auto"/>
        <w:rPr>
          <w:sz w:val="20"/>
          <w:szCs w:val="20"/>
          <w:color w:val="auto"/>
        </w:rPr>
      </w:pPr>
      <w:r>
        <w:rPr>
          <w:rFonts w:ascii="Arial" w:cs="Arial" w:eastAsia="Arial" w:hAnsi="Arial"/>
          <w:sz w:val="18"/>
          <w:szCs w:val="18"/>
          <w:color w:val="auto"/>
        </w:rPr>
        <w:t>We are using a liquid formulation of pegcetacoplan in our Phase 3 trials instead of the freeze-dried formulation that we used in the Phase 2 FILLY trial, which we believe may reduce the incidence of endophthalmitis.</w:t>
      </w:r>
    </w:p>
    <w:p>
      <w:pPr>
        <w:spacing w:after="0" w:line="14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October 2018, we announced that we voluntarily implemented a pause in dosing in our Phase 3 clinical trials in patients with GA due to observed cases of non-infectious inflammation in patients treated from a single manufacturing lot of pegcetacoplan intravitreal drug product. Four patients in the Phase 3 GA program were treated with pegcetacoplan from this manufacturing lot and each patient developed non-infectious inflammation. Inflammation in all patients completely resolved. We reviewed these events with the data safety monitoring board for our GA trials, conducted a series of non-human studies and introduced improvements to the manufacturing process. Based on these efforts, we believe that the </w:t>
      </w:r>
      <w:r>
        <w:rPr>
          <w:rFonts w:ascii="Arial" w:cs="Arial" w:eastAsia="Arial" w:hAnsi="Arial"/>
          <w:sz w:val="17"/>
          <w:szCs w:val="17"/>
          <w:color w:val="111111"/>
        </w:rPr>
        <w:t>source of inflammation resided in a</w:t>
      </w:r>
      <w:r>
        <w:rPr>
          <w:rFonts w:ascii="Arial" w:cs="Arial" w:eastAsia="Arial" w:hAnsi="Arial"/>
          <w:sz w:val="17"/>
          <w:szCs w:val="17"/>
          <w:color w:val="auto"/>
        </w:rPr>
        <w:t xml:space="preserve"> contaminant or </w:t>
      </w:r>
      <w:r>
        <w:rPr>
          <w:rFonts w:ascii="Arial" w:cs="Arial" w:eastAsia="Arial" w:hAnsi="Arial"/>
          <w:sz w:val="17"/>
          <w:szCs w:val="17"/>
          <w:color w:val="111111"/>
        </w:rPr>
        <w:t>impurity in the active pharmaceutical ingredient.</w:t>
      </w:r>
      <w:r>
        <w:rPr>
          <w:rFonts w:ascii="Arial" w:cs="Arial" w:eastAsia="Arial" w:hAnsi="Arial"/>
          <w:sz w:val="17"/>
          <w:szCs w:val="17"/>
          <w:color w:val="auto"/>
        </w:rPr>
        <w:t xml:space="preserve"> We resumed the trials in March 2019.</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 Clinical Trial</w:t>
      </w:r>
    </w:p>
    <w:p>
      <w:pPr>
        <w:spacing w:after="0" w:line="18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third quarter of 2015, we initiated a Phase 2 multicenter, randomized, single-masked, sham-controlled clinical trial of pegcetacoplan in patients with GA, which we refer to as the FILLY trial, at more than 40 clinical sites, primarily located in the United States. We enrolled 246 patients in the trial. Patients were randomized in a 2:2:1:1 manner to receive pegcetacoplan monthly, pegcetacoplan every other month, sham injection monthly or sham injection every other month. Patients in the pegcetacoplan arms received a dose of 15 mg of pegcetacoplan injected intravitreally in a 0.1 cc volume, monthly or every other month for 12 months followed by six months of monitoring without treatment. In the sham-injection cohorts, patients receive a simulated injection. Study eyes received up to 13 injections in the monthly arm, and up to seven injections in the every other month arm. Eyes were evaluated for GA at the end of months two, six, 12 and 18.</w:t>
      </w:r>
    </w:p>
    <w:p>
      <w:pPr>
        <w:spacing w:after="0" w:line="14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conducted this trial to assess the safety, tolerability, pharmacokinetics, or PK, and evidence of activity of multiple intravitreal injections of pegcetacoplan in patients with GA in at least one eye. The primary efficacy endpoint was change in the square root of GA lesion size from baseline to month 12 in each treatment arm when compared to sham in the modified intent to treat population, which included 84 patients receiving administration of pegcetacoplan every month, 78 patients receiving administration of pegcetacoplan every other month and 80 patients in the group receiving sham injections. The primary safety endpoint was the number and severity of local and systemic treatment emergent adverse events. The trial was monitored by a safety monitoring committee.</w:t>
      </w:r>
    </w:p>
    <w:p>
      <w:pPr>
        <w:spacing w:after="0" w:line="166"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We announced 12-month results of the Phase 2 trial in August 2017. After 12 months, patients treated monthly with pegcetacoplan showed a 29% reduction in the rate of GA lesion growth compared to sham, with a p-value of 0.008, and patients treated every other month showed a 20% reduction compared to sham, with a p-value of 0.067. The rate of GA lesion growth in the sham was consistent with the rate of lesion growth in patients with GA in third-party historical studies. These data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264795</wp:posOffset>
            </wp:positionV>
            <wp:extent cx="4502150" cy="2118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215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EOM = Every other month</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We set statistical significance as a p-value of 0.1 or less, meaning that there is a 1-in-10 or less statistical probability that the observed results occurred by chance rather than as a result of a treatment effect. Because the p-value of these results was less than 0.1, they are statistically significant.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2" w:name="page13"/>
    <w:bookmarkEnd w:id="12"/>
    <w:p>
      <w:pPr>
        <w:ind w:right="80" w:firstLine="761"/>
        <w:spacing w:after="0" w:line="271" w:lineRule="auto"/>
        <w:rPr>
          <w:sz w:val="20"/>
          <w:szCs w:val="20"/>
          <w:color w:val="auto"/>
        </w:rPr>
      </w:pPr>
      <w:r>
        <w:rPr>
          <w:rFonts w:ascii="Arial" w:cs="Arial" w:eastAsia="Arial" w:hAnsi="Arial"/>
          <w:sz w:val="17"/>
          <w:szCs w:val="17"/>
          <w:color w:val="auto"/>
        </w:rPr>
        <w:t>After the 12-month treatment period, patients were monitored for a further six months without treatment. During the monitoring period, the GA lesions in the previously treated groups grew at a rate similar to sham but the treatment effect was maintained for the full 18 months. Patients who received monthly pegcetacoplan, and for whom images were available at 12 and 18 months showed a 12% reduction in the growth rate of lesions over the six-month monitoring period compared to sham, while patients who received every other month administration of pegcetacoplan showed a 9% reduction in the growth rate of lesions over the six-month monitoring period compared to sham. These differences are not considered to be statistically significant. In the modified intent to treat population over the full 18-month period, patients who received monthly pegcetacoplan showed a 20% reduction in the growth rate of lesions over the full 18-month period compared to sham, while patients who received every other month administration of pegcetacoplan showed a 16% reduction in the growth rate of lesions over the full 18-month period compared to sham.</w:t>
      </w:r>
    </w:p>
    <w:p>
      <w:pPr>
        <w:spacing w:after="0" w:line="152"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The most frequently reported adverse events in the trial were associated with the injection procedure in the study eye. These adverse events included two cases of confirmed endophthalmitis and one case of presumed endophthalmitis where the culture tested negative for bacterial growth. In the latter case, the patient fully recovered visual acuity. In our Phase 2 trial, we observed an incidence rate of endophthalmitis of 0.21% per injection.</w:t>
      </w:r>
    </w:p>
    <w:p>
      <w:pPr>
        <w:spacing w:after="0" w:line="10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during the 12-month treatment period and the six-month monitoring period, we observed a higher incidence of new onset exudation in the study eyes treated with pegcetacoplan as compared to sham, predominantly in patients with a history of wet AMD in the fellow eye. Specifically, we observed that, after the 12-month treatment period and the six-month monitoring period, 18 patients (21%) receiving administration of pegcetacoplan every month and seven patients (9%) receiving administration of pegcetacoplan every other month showed new onset exudation in the study eye, as compared to one patient (1%) in the sham group.</w:t>
      </w:r>
    </w:p>
    <w:p>
      <w:pPr>
        <w:spacing w:after="0" w:line="14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Patients who experienced new onset exudation in the study eye were discontinued from treatment with pegcetacoplan and, in all but one case, treated with standard of care anti-VEGF injections under supervision. There was no meaningful negative impact on visual acuity resulting from the new onset exudations.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1b/2 Clinical Trial in Wet AMD</w:t>
      </w:r>
    </w:p>
    <w:p>
      <w:pPr>
        <w:spacing w:after="0" w:line="185"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conducted a Phase 1b/2, multi-center, open label clinical trial to evaluate the safety of intravitreal pegcetacoplan therapy when administered in parallel with anti-VEGF treatments in patients with wet AMD in the study eye in the second quarter of 2018. As with our Phase 3 program in GA, we voluntarily implemented a pause in our Phase 1b/2 trial of pegcetacoplan in patients with wet AMD in October 2018. We decided to discontinue the Phase 1b/2 trial of pegcetacoplan in patients with wet AMD.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1 Clinical Trial in Low Vision Geography Atrophy</w:t>
      </w:r>
    </w:p>
    <w:p>
      <w:pPr>
        <w:spacing w:after="0" w:line="19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We are conducting a Phase 1b clinical trial to evaluate the safety of monthly intravitreal treatments with pegcetacoplan in up to 12 patients with GA secondary to AMD and with low vision, which we initiated in September 2018.</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1 Clinical Trial</w:t>
      </w:r>
    </w:p>
    <w:p>
      <w:pPr>
        <w:spacing w:after="0" w:line="18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conducted a Phase 1 open label, ascending single-dose clinical trial of pegcetacoplan administered by intravitreal injection in patients with wet AMD who were receiving anti-VEGF therapy. We conducted the trial at multiple clinical sites both within and outside the United States to assess safety, tolerability and PK of pegcetacoplan. In this trial, patients received a single dose of pegcetacoplan by intravitreal injection followed by 113 days of monitoring. We enrolled eighteen patients in the trial, in three cohorts, at doses of 5 mg (3 patients), 10 mg (3 patients) and 20 mg (12 patients) of pegcetacoplan. Pegcetacoplan was well tolerated, and no serious adverse events were reported. Based on the results, we determined to evaluate a dose of 15 mg in our Phase 2 trial.</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Preclinical Studies</w:t>
      </w:r>
    </w:p>
    <w:p>
      <w:pPr>
        <w:spacing w:after="0" w:line="185"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have conducted preclinical studies in monkeys to assess the safety of pegcetacoplan injected intravitreally. A full toxicological review, including histopathological examinations of both eyes and of multiple additional tissues from each monkey revealed no evidence of pegcetacoplan -related toxicity changes at any of the doses tested.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Subcutaneous Pegcetacoplan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Paroxysmal Nocturnal Hemoglobinuria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Background</w:t>
      </w:r>
    </w:p>
    <w:p>
      <w:pPr>
        <w:spacing w:after="0" w:line="18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185" w:lineRule="exact"/>
        <w:rPr>
          <w:sz w:val="20"/>
          <w:szCs w:val="20"/>
          <w:color w:val="auto"/>
        </w:rPr>
      </w:pPr>
    </w:p>
    <w:p>
      <w:pPr>
        <w:ind w:right="100" w:firstLine="571"/>
        <w:spacing w:after="0" w:line="272" w:lineRule="auto"/>
        <w:rPr>
          <w:sz w:val="20"/>
          <w:szCs w:val="20"/>
          <w:color w:val="auto"/>
        </w:rPr>
      </w:pPr>
      <w:r>
        <w:rPr>
          <w:rFonts w:ascii="Arial" w:cs="Arial" w:eastAsia="Arial" w:hAnsi="Arial"/>
          <w:sz w:val="17"/>
          <w:szCs w:val="17"/>
          <w:color w:val="auto"/>
        </w:rPr>
        <w:t>Eculizumab, marketed as Soliris, and ravulizumab, marketed as Ultomiris, both by Alexion, are the only therapies that have been approved for the treatment of PNH. Alexion has reported that eculizumab had worldwide sales of more than $3.6 billion in 2018 for its three approved indications, PNH, atypical hemolytic-uremic syndrome, or aHUS, and refractory myasthenia gravis in ACHR+ adults. Eculizumab, which is administered every two weeks intravenously, or directly into the veins, is designed to treat PNH by targeting C5 and preventing the formation of the membrane attack complex and intravascular hemolysis. Many patients with PNH on treatment with eculizumab continue to be anemic. Ravulizumab is administered intravenously every weeks and subcutaneously once per week and is designed to have a longer half-life and greater inhibition of C5 than eculizumab. Ravulizumab was tested in two Phase 3 non-inferiority trials with Soliris and was found to be non-inferior.</w:t>
      </w:r>
    </w:p>
    <w:p>
      <w:pPr>
        <w:spacing w:after="0" w:line="137"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Retrospective studies have reported that up to 70% of patients with PNH who are on treatment with eculizumab remained anemic and up to 36% of patients on eculizumab continued to require at least one transfusion per year. In these studies, 100% of patients with PNH on eculizumab showed evidence of C3-related opsonization on their red blood cells. We believe that uncontrolled extravascular hemolysis is responsible in part for these continuing complications.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98"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We believe that, because pegcetacoplan inhibits complement activation at the level of C3, pegcetacoplan may provide the following benefits in controlling PNH:</w:t>
      </w:r>
    </w:p>
    <w:p>
      <w:pPr>
        <w:spacing w:after="0" w:line="62" w:lineRule="exact"/>
        <w:rPr>
          <w:sz w:val="20"/>
          <w:szCs w:val="20"/>
          <w:color w:val="auto"/>
        </w:rPr>
      </w:pPr>
    </w:p>
    <w:p>
      <w:pPr>
        <w:jc w:val="both"/>
        <w:ind w:left="1040" w:right="28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Prevention of intravascular hemolysis and its consequences</w:t>
      </w:r>
      <w:r>
        <w:rPr>
          <w:rFonts w:ascii="Arial" w:cs="Arial" w:eastAsia="Arial" w:hAnsi="Arial"/>
          <w:sz w:val="18"/>
          <w:szCs w:val="18"/>
          <w:color w:val="auto"/>
        </w:rPr>
        <w:t>. Pegcetacoplan may prevent the formation of the membrane attack complex on</w:t>
      </w:r>
      <w:r>
        <w:rPr>
          <w:rFonts w:ascii="Arial" w:cs="Arial" w:eastAsia="Arial" w:hAnsi="Arial"/>
          <w:sz w:val="18"/>
          <w:szCs w:val="18"/>
          <w:i w:val="1"/>
          <w:iCs w:val="1"/>
          <w:color w:val="auto"/>
        </w:rPr>
        <w:t xml:space="preserve"> </w:t>
      </w:r>
      <w:r>
        <w:rPr>
          <w:rFonts w:ascii="Arial" w:cs="Arial" w:eastAsia="Arial" w:hAnsi="Arial"/>
          <w:sz w:val="18"/>
          <w:szCs w:val="18"/>
          <w:color w:val="auto"/>
        </w:rPr>
        <w:t>blood cells and may thereby prevent the activation of mutant platelets and intravascular hemolysis, thus reducing the risk of thrombosis, the leading cause of mortality in PNH, as well as reducing anemia.</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Prevention of extravascular hemolysis and its consequences</w:t>
      </w:r>
      <w:r>
        <w:rPr>
          <w:rFonts w:ascii="Arial" w:cs="Arial" w:eastAsia="Arial" w:hAnsi="Arial"/>
          <w:sz w:val="18"/>
          <w:szCs w:val="18"/>
          <w:color w:val="auto"/>
        </w:rPr>
        <w:t>. Pegcetacoplan may prevent C3b opsonization, on blood cells, and may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extravascular hemolysis, further reducing anemia and transfusion dependency in patients with PNH.</w:t>
      </w:r>
    </w:p>
    <w:p>
      <w:pPr>
        <w:spacing w:after="0" w:line="62" w:lineRule="exact"/>
        <w:rPr>
          <w:rFonts w:ascii="Arial" w:cs="Arial" w:eastAsia="Arial" w:hAnsi="Arial"/>
          <w:sz w:val="18"/>
          <w:szCs w:val="18"/>
          <w:color w:val="auto"/>
        </w:rPr>
      </w:pPr>
    </w:p>
    <w:p>
      <w:pPr>
        <w:ind w:left="1040" w:right="260" w:hanging="519"/>
        <w:spacing w:after="0" w:line="342"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Ease and convenience of use</w:t>
      </w:r>
      <w:r>
        <w:rPr>
          <w:rFonts w:ascii="Arial" w:cs="Arial" w:eastAsia="Arial" w:hAnsi="Arial"/>
          <w:sz w:val="16"/>
          <w:szCs w:val="16"/>
          <w:color w:val="auto"/>
        </w:rPr>
        <w:t>. We believe that the ability to self-administer pegcetacoplan by subcutaneous injection on a regular basis could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the quality of life for patients with PNH by eliminating the need to travel to a health care facility for intravenous treatment.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85"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Our clinical development program is guided by a planned commercial switch-over strategy for pegcetacoplan. Under this strategy, if we are able to obtain marketing approval for pegcetacoplan for PNH, we plan to allow PNH patients on treatment with eculizumab to assess the benefit of pegcetacoplan in co-treatment with eculizumab for a limited time, before deciding to switch to pegcetacoplan monotherapy or to revert to eculizumab monotherapy.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3 Clinical Trial - PEGASUS</w:t>
      </w:r>
    </w:p>
    <w:p>
      <w:pPr>
        <w:spacing w:after="0" w:line="18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initiated the Phase 3 PEGASUS trial in patients in June 2018. The PEGASUS trial is an 80-patient randomized head-to-head trial comparing pegcetacoplan monotherapy to eculizumab monotherapy in patients with PNH currently on treatment with eculizumab who have a hemoglobin level of less than 10.5 g/dL, regarding of eculizumab dose or transfusion history. The primary efficacy endpoint of the trial is the change in hemoglobin level from baseline at week 16. The PEGASUS trial was fully enrolled in June 2019. The treatment period of the trial consists of three parts: a four-week run-in period, a 16-week randomized treatment period and a 32-week open-label pegcetacoplan only period. During the run-in period, all patients receive twice-weekly subcutaneous doses of 1,080 mg of pegcetacoplan in addition to patients’ then current dose of eculizumab. The run-in period is designed to provide patients with sufficient plasma concentration of pegcetacoplan to provide for what we expected to be adequate complement inhibition before withdrawing eculizumab. Following completion of the run-in period, patients received either 1,080 mg of pegcetacoplan twice per week or their current dose of eculizumab through the duration of the 16-week randomized treatment period. Following completion of the randomized treatment period with either pegcetacoplan monotherapy or eculizumab monotherapy, all 80 patients had the option to receive pegcetacoplan monotherapy for 32 weeks in an open-label treatment period.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January 2020, we announced top-line data from the PEGASUS trial that showed that pegcetacoplan met the primary efficacy endpoint,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demonstrating superiority to eculizumab with a statistically significant improvement in adjusted means of 3.8 g/dL of hemoglobin at week 16 (p &lt; 0.0001).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week 16, pegcetacoplan-treated patients (n = 41) had an adjusted mean hemoglobin increase of 2.4 g/dL from a baseline of 8.7 g/dL,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eculizumab-treated patients (n = 39) who had a change of -1.5 g/dL from a baseline of 8.7 g/dL. Additionally, pegcetacoplan showed promising results in key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secondary endpoints. Pegcetacoplan met non-inferiority on transfusion avoidance and absolute reticulocyte count. Pegcetacoplan did not meet pre-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specified criteria for non-inferiority on mean LDH levels. Pegcetacoplan showed positive trends on LDH and fatigue as measured by the FACIT-fatigue score.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statistical analysis plan for the PEGASUS trial provided for use of the mixed model—repeated measures (MMRM) method. To avoid the effect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transfusions in hemoglobin levels during the 16-week randomization period of the trial, if a patient received a transfusion during the 16-week randomization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any measurements after the first transfusion were censored from the data used in the MMRM analysis. The treatment effects using observed data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trial, which included all post-transfusion measurements, were consistent with and supportive of the reported results from the MMRM analysis.</w:t>
      </w:r>
    </w:p>
    <w:p>
      <w:pPr>
        <w:spacing w:after="0" w:line="22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the trial, the safety profile of pegcetacoplan was comparable to eculizumab. Seven of 41 patients (17.1%) in the pegcetacoplan group experienced a serious adverse event, or SAE, and six of 39 patients (15.4%) in the eculizumab group experienced SAEs. No cases of meningitis and no deaths were reported in either treatment group. The most common adverse events reported during the 16-week, randomized, controlled treatment period in the pegcetacoplan and eculizumab groups, respectively, were injection site reactions (36.6% vs. 2.6%), diarrhea (22.0% vs. 0%), headache (7.3% vs. 20.5%) and fatigue (4.9% vs. 15.4%). Another common adverse event was hemolysis, which was reported in four patients in the pegcetacoplan group (9.8%) and nine patients in the eculizumab group (23.1%). This led to the three discontinuations in pegcetacoplan group.</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patients who completed the randomization period in both groups (77/80) entered the 32-week open-label pegcetacoplan treatment period.</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3 Clinical Trial – PRINCE</w:t>
      </w:r>
    </w:p>
    <w:p>
      <w:pPr>
        <w:spacing w:after="0" w:line="239"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We initiated the Phase 3 PRINCE trial in September 2019. The PRINCE trial is a 54-patient randomized, multicenter, open-label trial to evaluate the efficacy of pegcetacoplan in treatment-naïve patients. The primary endpoints are avoidance of a greater than 1 g/dL decrease in hemoglobin level from baseline in the absence of transfusion through week 26 and reduction in lactate dehydrogenase (LDH) level from baseline to week 26, in patients with PNH who are currently not being treated with complement inhibitors. Secondary endpoints include hemoglobin response (defined as an increase in hemoglobin levels greater than or equal to 1 g/dL), change in absolute reticulocyte count, change in hemoglobin levels, number of packed red blood cells transfused, change in FACIT score, hemoglobin normalization and LDH normalization. We expect to complete enrollment in this trial in the first half of 2020 and to present top-line data in the first quarter of 2021.</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Trials – PHAROAH and PADDOCK</w:t>
      </w:r>
    </w:p>
    <w:p>
      <w:pPr>
        <w:spacing w:after="0" w:line="19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have conducted two clinical trials of pegcetacoplan as part of our PNH program: a Phase 1b clinical trial (PHAROAH) in patients with PNH being treated with eculizumab, which has concluded, and an on-going Phase 1b clinical trial (PADDOCK)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color w:val="auto"/>
        </w:rPr>
        <w:t>treatment-naïve patients, which is ongoing. These trials were designed to assess safety and tolerability and whether pegcetacoplan has the potential to control PNH. In these trials, we measured hemoglobin levels, which are significantly lower in patients with PNH, whether or not treated with eculizumab, and blood reticulocyte count, which is an indicator of overall hemolysis (both intravascular and extravascular) in patients on eculizumab. We also measured intravascular hemolysis based on LDH levels, which can be ten times higher than normal in patients with PNH, bilirubin, which is a breakdown product of hemoglobin and may be higher in patients who experience hemolysis, and the clonal distributions of normal red blood cells and mutant red blood cells unprotected from the membrane attack complex.</w:t>
      </w:r>
    </w:p>
    <w:p>
      <w:pPr>
        <w:spacing w:after="0" w:line="166"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PHAROAH was a Phase 1b open-label, single and multiple ascending dose clinical trial of pegcetacoplan in patients with PNH who are receiving eculizumab, conducted at multiple clinical sites in the United States. In the PHAROAH trial, doses of pegcetacoplan were administered by subcutaneous injection to patients with PNH who were concurrently being treated with eculizumab at varying doses according to the treating physicians’ recommendations. We treated a total of nine patients in the PHAROAH trial. Pegcetacoplan was generally well tolerated by the patients in the trial with 12 serious adverse events reported across three patients. Only one of these serious adverse events was noted as possibly related to the administration of pegcetacoplan. We initiated this trial in February 2015 and the last patient transitioned in October 2018 into a long-term extension study that we are conducting.</w:t>
      </w:r>
    </w:p>
    <w:p>
      <w:pPr>
        <w:spacing w:after="0" w:line="12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PADDOCK is a Phase 1b open-label clinical trial of pegcetacoplan in treatment-naïve patients with PNH that we initiated in December 2015 and are conducting this trial at multiple clinical sites outside of the United States. In the PADDOCK trial, doses of pegcetacoplan were initially administered by subcutaneous injection during the treatment period. We have treated a total of 22 patients in the PADDOCK trial, of which 15 are currently enrolled in the long-term extension study. As of February 24, 2020, pegcetacoplan had been generally well tolerated in these patients with 13 serious adverse events reported across seven patients. Only one of these serious adverse events was noted as possibly related to administration of pegcetacoplan.</w:t>
      </w:r>
    </w:p>
    <w:p>
      <w:pPr>
        <w:spacing w:after="0" w:line="13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both Phase 1b trials, patients treated with pegcetacoplan experienced reductions in LDH levels, and improved hemoglobin levels. Furthermore, we have observed lower reticulocyte counts in patients treated with pegcetacoplan, which we believe reflects that the bone marrow is producing fewer red blood cells because fewer red blood cells are destroyed by hemolytic activity. We believe that the clonal distribution of red blood cells in treated patients suggests that fewer mutant cells are destroyed by hemolytic activity.</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111111"/>
        </w:rPr>
        <w:t>Long-Term Extension Study</w:t>
      </w:r>
    </w:p>
    <w:p>
      <w:pPr>
        <w:spacing w:after="0" w:line="18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111111"/>
        </w:rPr>
        <w:t xml:space="preserve">We are conducting a long-term extension study of </w:t>
      </w:r>
      <w:r>
        <w:rPr>
          <w:rFonts w:ascii="Arial" w:cs="Arial" w:eastAsia="Arial" w:hAnsi="Arial"/>
          <w:sz w:val="17"/>
          <w:szCs w:val="17"/>
          <w:color w:val="000000"/>
        </w:rPr>
        <w:t>pegcetacoplan</w:t>
      </w:r>
      <w:r>
        <w:rPr>
          <w:rFonts w:ascii="Arial" w:cs="Arial" w:eastAsia="Arial" w:hAnsi="Arial"/>
          <w:sz w:val="17"/>
          <w:szCs w:val="17"/>
          <w:color w:val="111111"/>
        </w:rPr>
        <w:t xml:space="preserve"> in patients with PNH who participated in previous clinical trials with </w:t>
      </w:r>
      <w:r>
        <w:rPr>
          <w:rFonts w:ascii="Arial" w:cs="Arial" w:eastAsia="Arial" w:hAnsi="Arial"/>
          <w:sz w:val="17"/>
          <w:szCs w:val="17"/>
          <w:color w:val="000000"/>
        </w:rPr>
        <w:t>pegcetacoplan</w:t>
      </w:r>
      <w:r>
        <w:rPr>
          <w:rFonts w:ascii="Arial" w:cs="Arial" w:eastAsia="Arial" w:hAnsi="Arial"/>
          <w:sz w:val="17"/>
          <w:szCs w:val="17"/>
          <w:color w:val="111111"/>
        </w:rPr>
        <w:t xml:space="preserve">. This study </w:t>
      </w:r>
      <w:r>
        <w:rPr>
          <w:rFonts w:ascii="Arial" w:cs="Arial" w:eastAsia="Arial" w:hAnsi="Arial"/>
          <w:sz w:val="17"/>
          <w:szCs w:val="17"/>
          <w:color w:val="000000"/>
        </w:rPr>
        <w:t>is an open label, non-randomized, multi-center study to evaluate the long-term safety and efficacy of pegcetacoplan in the treatment of PNH with</w:t>
      </w:r>
      <w:r>
        <w:rPr>
          <w:rFonts w:ascii="Arial" w:cs="Arial" w:eastAsia="Arial" w:hAnsi="Arial"/>
          <w:sz w:val="17"/>
          <w:szCs w:val="17"/>
          <w:color w:val="111111"/>
        </w:rPr>
        <w:t xml:space="preserve"> </w:t>
      </w:r>
      <w:r>
        <w:rPr>
          <w:rFonts w:ascii="Arial" w:cs="Arial" w:eastAsia="Arial" w:hAnsi="Arial"/>
          <w:sz w:val="17"/>
          <w:szCs w:val="17"/>
          <w:color w:val="000000"/>
        </w:rPr>
        <w:t>dosing for a longer period and at doses of 1,080 mg given either twice a week or every three days. The study is being carried out with fifteen patients who were enrolled in our Phase 1b studies. We expect to continue the extension study until pegcetacoplan becomes commercially available in the subject’s participating country, or until the development program for pegcetacoplan in subjects with PNH is terminated.</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1 Clinical Trials—Single and Multiple Ascending Dose in Healthy Volunteers</w:t>
      </w:r>
    </w:p>
    <w:p>
      <w:pPr>
        <w:spacing w:after="0" w:line="198" w:lineRule="exact"/>
        <w:rPr>
          <w:sz w:val="20"/>
          <w:szCs w:val="20"/>
          <w:color w:val="auto"/>
        </w:rPr>
      </w:pPr>
    </w:p>
    <w:p>
      <w:pPr>
        <w:ind w:right="480" w:firstLine="518"/>
        <w:spacing w:after="0" w:line="276" w:lineRule="auto"/>
        <w:rPr>
          <w:sz w:val="20"/>
          <w:szCs w:val="20"/>
          <w:color w:val="auto"/>
        </w:rPr>
      </w:pPr>
      <w:r>
        <w:rPr>
          <w:rFonts w:ascii="Arial" w:cs="Arial" w:eastAsia="Arial" w:hAnsi="Arial"/>
          <w:sz w:val="17"/>
          <w:szCs w:val="17"/>
          <w:color w:val="auto"/>
        </w:rPr>
        <w:t>We have completed both single ascending and multiple ascending dose Phase 1 randomized, double-blind, placebo-controlled clinical trials of pegcetacoplan in a total of 55 healthy volunteers. We conducted the trials at a single site in Australia to assess the safety, tolerability, PK and pharmacodynamics, or PD of pegcetacoplan. Pegcetacoplan was well tolerated in both trials with no serious adverse events reported, and the PK of pegcetacoplan in humans was in line with our expectations derived from preclinical data, with little inter-subject variability observed. In both trials, we observed a dose-dependent increase in C3 that is indicative of pegcetacoplan binding to C3.</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Supporting Clinical Trials and Studies</w:t>
      </w:r>
    </w:p>
    <w:p>
      <w:pPr>
        <w:spacing w:after="0" w:line="18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conducted a Phase 1 trial to assess the safety and tolerability of pegcetacoplan in patients with renal impairment. The study will initially include one cohort of eight patients with severe renal impairment and a second cohort of eight control patients and will evaluate various PK endpoints, in addition to safety and tolerability endpoints. No significant difference in PK parameters was noted.</w:t>
      </w:r>
    </w:p>
    <w:p>
      <w:pPr>
        <w:spacing w:after="0" w:line="15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conducted a Phase 1 trial to determine the safety, PK and PD of twice-weekly and once-weekly subcutaneous administration of pegcetacoplan in healthy volunteers. We are evaluating whether less frequent administration provides comparable PK and PD profiles to daily subcutaneous administration and may enable less frequent dosing in upcoming clinical trials.</w:t>
      </w:r>
    </w:p>
    <w:p>
      <w:pPr>
        <w:spacing w:after="0" w:line="141"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We conducted a Phase 1 trial to determine the safety, PK and PD of pegcetacoplan in healthy volunteers of Japanese descent. We intend to evaluate whether pegcetacoplan will have comparable PK and PD profiles in this population. No significant difference in PK parameters was noted.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have conducted numerous preclinical studies of pegcetacoplan in animals and in laboratory samples to assess the safety of pegcetacoplan, including repeat-dose subcutaneous and intravenous toxicity studies of pegcetacoplan in rats, rabbits and monkeys for durations of up to nine months. In these studies, there were no significant macroscopically observable or clinical pathology drug-related changes in any species at any of the doses tested. Similarly, there was no evidence of a potential for adverse effects on myocardial conduction, cardiovascular and respiratory systems in either species and no genotoxicity potential was observed. In addition, no signs of infection were observed in any of the studies that we conducted. The main toxicity observed at the highest doses tested was microscopic kidney damage, likely resulting from accumulation of pegcetacoplan in the kidney, which is one of the organs we believe to be responsible for its clearance from the body.</w:t>
      </w:r>
    </w:p>
    <w:p>
      <w:pPr>
        <w:spacing w:after="0" w:line="178"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 xml:space="preserve">While there is no animal model of PNH, pegcetacoplan inhibited both hemolysis of red blood cells by the membrane attack complex and C3 fragment deposition on the surface of these cells in preclinical studies that we conducted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on blood samples from patients with PNH.</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w:t>
      </w:r>
    </w:p>
    <w:p>
      <w:pPr>
        <w:spacing w:after="0" w:line="18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all trials of pegcetacoplan administered systemically by subcutaneous injection, we have monitored the safety of our targeting of C3 closely. Individuals who lack functional levels of C3 or C5 have been shown to be susceptible to infection by certain bacterial species, including </w:t>
      </w:r>
      <w:r>
        <w:rPr>
          <w:rFonts w:ascii="Arial" w:cs="Arial" w:eastAsia="Arial" w:hAnsi="Arial"/>
          <w:sz w:val="18"/>
          <w:szCs w:val="18"/>
          <w:i w:val="1"/>
          <w:iCs w:val="1"/>
          <w:color w:val="auto"/>
        </w:rPr>
        <w:t>Neisseria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meningitidis </w:t>
      </w:r>
      <w:r>
        <w:rPr>
          <w:rFonts w:ascii="Arial" w:cs="Arial" w:eastAsia="Arial" w:hAnsi="Arial"/>
          <w:sz w:val="18"/>
          <w:szCs w:val="18"/>
          <w:color w:val="auto"/>
        </w:rPr>
        <w:t>in C5-deficient individuals and</w:t>
      </w:r>
      <w:r>
        <w:rPr>
          <w:rFonts w:ascii="Arial" w:cs="Arial" w:eastAsia="Arial" w:hAnsi="Arial"/>
          <w:sz w:val="18"/>
          <w:szCs w:val="18"/>
          <w:i w:val="1"/>
          <w:iCs w:val="1"/>
          <w:color w:val="auto"/>
        </w:rPr>
        <w:t xml:space="preserve"> Neisseria meningitidis</w:t>
      </w:r>
      <w:r>
        <w:rPr>
          <w:rFonts w:ascii="Arial" w:cs="Arial" w:eastAsia="Arial" w:hAnsi="Arial"/>
          <w:sz w:val="18"/>
          <w:szCs w:val="18"/>
          <w:color w:val="auto"/>
        </w:rPr>
        <w:t>,</w:t>
      </w:r>
      <w:r>
        <w:rPr>
          <w:rFonts w:ascii="Arial" w:cs="Arial" w:eastAsia="Arial" w:hAnsi="Arial"/>
          <w:sz w:val="18"/>
          <w:szCs w:val="18"/>
          <w:i w:val="1"/>
          <w:iCs w:val="1"/>
          <w:color w:val="auto"/>
        </w:rPr>
        <w:t xml:space="preserve"> Streptococcus pneumoniae </w:t>
      </w:r>
      <w:r>
        <w:rPr>
          <w:rFonts w:ascii="Arial" w:cs="Arial" w:eastAsia="Arial" w:hAnsi="Arial"/>
          <w:sz w:val="18"/>
          <w:szCs w:val="18"/>
          <w:color w:val="auto"/>
        </w:rPr>
        <w:t>and</w:t>
      </w:r>
      <w:r>
        <w:rPr>
          <w:rFonts w:ascii="Arial" w:cs="Arial" w:eastAsia="Arial" w:hAnsi="Arial"/>
          <w:sz w:val="18"/>
          <w:szCs w:val="18"/>
          <w:i w:val="1"/>
          <w:iCs w:val="1"/>
          <w:color w:val="auto"/>
        </w:rPr>
        <w:t xml:space="preserve"> Haemophilus influenzae </w:t>
      </w:r>
      <w:r>
        <w:rPr>
          <w:rFonts w:ascii="Arial" w:cs="Arial" w:eastAsia="Arial" w:hAnsi="Arial"/>
          <w:sz w:val="18"/>
          <w:szCs w:val="18"/>
          <w:color w:val="auto"/>
        </w:rPr>
        <w:t>in C3-deficient individuals.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we vaccinate patients in these trials against these three pathogens, which we believe minimizes the risk of infection. As of July 10, 2019, in our clinical trials of pegcetacoplan using subcutaneous administration, in patients or healthy volunteers, a total of 49 serious adverse events had been reported in 24 of the 192 subjects. Of these 49 serious adverse events, 5 were considered to be at least possibly related to study medication by the investigator. None of these indicated any unexpected safety concerns.</w:t>
      </w:r>
    </w:p>
    <w:p>
      <w:pPr>
        <w:spacing w:after="0" w:line="200" w:lineRule="exact"/>
        <w:rPr>
          <w:sz w:val="20"/>
          <w:szCs w:val="20"/>
          <w:color w:val="auto"/>
        </w:rPr>
      </w:pP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Matters</w:t>
      </w:r>
    </w:p>
    <w:p>
      <w:pPr>
        <w:spacing w:after="0" w:line="185" w:lineRule="exact"/>
        <w:rPr>
          <w:sz w:val="20"/>
          <w:szCs w:val="20"/>
          <w:color w:val="auto"/>
        </w:rPr>
      </w:pPr>
    </w:p>
    <w:p>
      <w:pPr>
        <w:ind w:right="300" w:firstLine="518"/>
        <w:spacing w:after="0" w:line="293" w:lineRule="auto"/>
        <w:rPr>
          <w:sz w:val="20"/>
          <w:szCs w:val="20"/>
          <w:color w:val="auto"/>
        </w:rPr>
      </w:pPr>
      <w:r>
        <w:rPr>
          <w:rFonts w:ascii="Arial" w:cs="Arial" w:eastAsia="Arial" w:hAnsi="Arial"/>
          <w:sz w:val="16"/>
          <w:szCs w:val="16"/>
          <w:color w:val="auto"/>
        </w:rPr>
        <w:t>We intend to meet with regulatory agencies in the first half of 2020 to discuss what information is required to support regulatory submissions of an NDA and an MAA for pegcetacoplan in PNH. The FDA has advised us that, for the approval of a new treatment for PNH, hemoglobin stabilization in conjunction with change in transfusion dependence constitute accepted clinical benefit, but that a rise in hemoglobin levels may not translate to clinical benefit in patients who entered the trial with high hemoglobin levels, such as permitted by the inclusion criteria of the PEGASUS trial, and who do not require transfusions. We believe that the data from the PEGASUS trial support a finding of clinical benefit. As clinical data is susceptible to varying interpretations and analyses, we will need to discuss our data with the FDA, EMA and other regulatory agencies before we can determine our next steps.</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July 2014, we submitted an IND to the FDA for the clinical development of pegcetacoplan for the treatment of PNH. In April 2014, we received orphan drug designation from the FDA for pegcetacoplan for PNH. In February 2019 we received fast track designation from the FDA for pegcetacoplan for patients with PNH, which superseded the fast track designation we received in December 2016 for pegcetacoplan for the subset of patients with PNH who continue to require transfusions despite receiving therapy with eculizumab.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Cold Agglutinin Disease</w:t>
      </w:r>
    </w:p>
    <w:p>
      <w:pPr>
        <w:spacing w:after="0" w:line="202"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111111"/>
        </w:rPr>
        <w:t>Cold agglutinin disease, or CAD, is a severe, chronic rare autoimmune disorder caused by pathogenic immunoglobulin M antibodies that react with red blood cells at body temperatures below 30</w:t>
      </w:r>
      <w:r>
        <w:rPr>
          <w:rFonts w:ascii="Arial" w:cs="Arial" w:eastAsia="Arial" w:hAnsi="Arial"/>
          <w:sz w:val="14"/>
          <w:szCs w:val="14"/>
          <w:color w:val="111111"/>
        </w:rPr>
        <w:t>o</w:t>
      </w:r>
      <w:r>
        <w:rPr>
          <w:rFonts w:ascii="Arial" w:cs="Arial" w:eastAsia="Arial" w:hAnsi="Arial"/>
          <w:sz w:val="17"/>
          <w:szCs w:val="17"/>
          <w:color w:val="111111"/>
        </w:rPr>
        <w:t xml:space="preserve">C and leads to agglutination of red blood cells. Like other autoimmune hemolytic anemias, CAD is </w:t>
      </w:r>
      <w:r>
        <w:rPr>
          <w:rFonts w:ascii="Arial" w:cs="Arial" w:eastAsia="Arial" w:hAnsi="Arial"/>
          <w:sz w:val="17"/>
          <w:szCs w:val="17"/>
          <w:color w:val="000000"/>
        </w:rPr>
        <w:t xml:space="preserve">characterized by autoantibody-initiated premature destruction of red blood cells, </w:t>
      </w:r>
      <w:r>
        <w:rPr>
          <w:rFonts w:ascii="Arial" w:cs="Arial" w:eastAsia="Arial" w:hAnsi="Arial"/>
          <w:sz w:val="17"/>
          <w:szCs w:val="17"/>
          <w:color w:val="111111"/>
        </w:rPr>
        <w:t>chronic anemia, severe fatigue, and an increased risk of life-threatening</w:t>
      </w:r>
      <w:r>
        <w:rPr>
          <w:rFonts w:ascii="Arial" w:cs="Arial" w:eastAsia="Arial" w:hAnsi="Arial"/>
          <w:sz w:val="17"/>
          <w:szCs w:val="17"/>
          <w:color w:val="000000"/>
        </w:rPr>
        <w:t xml:space="preserve"> </w:t>
      </w:r>
      <w:r>
        <w:rPr>
          <w:rFonts w:ascii="Arial" w:cs="Arial" w:eastAsia="Arial" w:hAnsi="Arial"/>
          <w:sz w:val="17"/>
          <w:szCs w:val="17"/>
          <w:color w:val="111111"/>
        </w:rPr>
        <w:t xml:space="preserve">events such as stroke. There are an estimated </w:t>
      </w:r>
      <w:r>
        <w:rPr>
          <w:rFonts w:ascii="Arial" w:cs="Arial" w:eastAsia="Arial" w:hAnsi="Arial"/>
          <w:sz w:val="17"/>
          <w:szCs w:val="17"/>
          <w:color w:val="000000"/>
        </w:rPr>
        <w:t>10,000 CAD</w:t>
      </w:r>
      <w:r>
        <w:rPr>
          <w:rFonts w:ascii="Arial" w:cs="Arial" w:eastAsia="Arial" w:hAnsi="Arial"/>
          <w:sz w:val="17"/>
          <w:szCs w:val="17"/>
          <w:color w:val="111111"/>
        </w:rPr>
        <w:t xml:space="preserve"> patients across </w:t>
      </w:r>
      <w:r>
        <w:rPr>
          <w:rFonts w:ascii="Arial" w:cs="Arial" w:eastAsia="Arial" w:hAnsi="Arial"/>
          <w:sz w:val="17"/>
          <w:szCs w:val="17"/>
          <w:color w:val="000000"/>
        </w:rPr>
        <w:t>the United States</w:t>
      </w:r>
      <w:r>
        <w:rPr>
          <w:rFonts w:ascii="Arial" w:cs="Arial" w:eastAsia="Arial" w:hAnsi="Arial"/>
          <w:sz w:val="17"/>
          <w:szCs w:val="17"/>
          <w:color w:val="111111"/>
        </w:rPr>
        <w:t xml:space="preserve"> and </w:t>
      </w:r>
      <w:r>
        <w:rPr>
          <w:rFonts w:ascii="Arial" w:cs="Arial" w:eastAsia="Arial" w:hAnsi="Arial"/>
          <w:sz w:val="17"/>
          <w:szCs w:val="17"/>
          <w:color w:val="000000"/>
        </w:rPr>
        <w:t>Europe</w:t>
      </w:r>
      <w:r>
        <w:rPr>
          <w:rFonts w:ascii="Arial" w:cs="Arial" w:eastAsia="Arial" w:hAnsi="Arial"/>
          <w:sz w:val="17"/>
          <w:szCs w:val="17"/>
          <w:color w:val="111111"/>
        </w:rPr>
        <w:t xml:space="preserve">. The </w:t>
      </w:r>
      <w:r>
        <w:rPr>
          <w:rFonts w:ascii="Arial" w:cs="Arial" w:eastAsia="Arial" w:hAnsi="Arial"/>
          <w:sz w:val="17"/>
          <w:szCs w:val="17"/>
          <w:color w:val="000000"/>
        </w:rPr>
        <w:t>complement system plays a major role in red</w:t>
      </w:r>
      <w:r>
        <w:rPr>
          <w:rFonts w:ascii="Arial" w:cs="Arial" w:eastAsia="Arial" w:hAnsi="Arial"/>
          <w:sz w:val="17"/>
          <w:szCs w:val="17"/>
          <w:color w:val="111111"/>
        </w:rPr>
        <w:t xml:space="preserve"> </w:t>
      </w:r>
      <w:r>
        <w:rPr>
          <w:rFonts w:ascii="Arial" w:cs="Arial" w:eastAsia="Arial" w:hAnsi="Arial"/>
          <w:sz w:val="17"/>
          <w:szCs w:val="17"/>
          <w:color w:val="000000"/>
        </w:rPr>
        <w:t>blood cell destruction in CAD through extravascular hemolysis, which corresponds to the removal and destruction of opsonized red blood cells from the blood vessels by the spleen or liver, and intravascular hemolysis, which corresponds to the destruction of the red blood cells following the formation of the membrane attack complex in the membrane of the red blood cells in the blood vessels.</w:t>
      </w:r>
    </w:p>
    <w:p>
      <w:pPr>
        <w:spacing w:after="0" w:line="13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 xml:space="preserve">We are developing pegcetacoplan as a monotherapy for CAD. In March 2018, we initiated a Phase 2 open label clinical trial of pegcetacoplan </w:t>
      </w:r>
      <w:r>
        <w:rPr>
          <w:rFonts w:ascii="Arial" w:cs="Arial" w:eastAsia="Arial" w:hAnsi="Arial"/>
          <w:sz w:val="18"/>
          <w:szCs w:val="18"/>
          <w:color w:val="111111"/>
        </w:rPr>
        <w:t xml:space="preserve">administered by subcutaneous injection </w:t>
      </w:r>
      <w:r>
        <w:rPr>
          <w:rFonts w:ascii="Arial" w:cs="Arial" w:eastAsia="Arial" w:hAnsi="Arial"/>
          <w:sz w:val="18"/>
          <w:szCs w:val="18"/>
          <w:color w:val="000000"/>
        </w:rPr>
        <w:t>in patients with CAD, which we refer to as the PLAUDIT trial</w:t>
      </w:r>
      <w:r>
        <w:rPr>
          <w:rFonts w:ascii="Arial" w:cs="Arial" w:eastAsia="Arial" w:hAnsi="Arial"/>
          <w:sz w:val="18"/>
          <w:szCs w:val="18"/>
          <w:color w:val="111111"/>
        </w:rPr>
        <w:t xml:space="preserve">. </w:t>
      </w:r>
      <w:r>
        <w:rPr>
          <w:rFonts w:ascii="Arial" w:cs="Arial" w:eastAsia="Arial" w:hAnsi="Arial"/>
          <w:sz w:val="18"/>
          <w:szCs w:val="18"/>
          <w:color w:val="000000"/>
        </w:rPr>
        <w:t>In the PLAUDIT trial, doses of pegcetacoplan were</w:t>
      </w:r>
      <w:r>
        <w:rPr>
          <w:rFonts w:ascii="Arial" w:cs="Arial" w:eastAsia="Arial" w:hAnsi="Arial"/>
          <w:sz w:val="18"/>
          <w:szCs w:val="18"/>
          <w:color w:val="111111"/>
        </w:rPr>
        <w:t xml:space="preserve"> </w:t>
      </w:r>
      <w:r>
        <w:rPr>
          <w:rFonts w:ascii="Arial" w:cs="Arial" w:eastAsia="Arial" w:hAnsi="Arial"/>
          <w:sz w:val="18"/>
          <w:szCs w:val="18"/>
          <w:color w:val="000000"/>
        </w:rPr>
        <w:t>initially administered by subcutaneous injection during the treatment period, followed by a long-term extension period. We have treated a total of 24 patients with CAD in the PLAUDIT trial, of which 13 are currently enrolled</w:t>
      </w:r>
      <w:r>
        <w:rPr>
          <w:rFonts w:ascii="Arial" w:cs="Arial" w:eastAsia="Arial" w:hAnsi="Arial"/>
          <w:sz w:val="18"/>
          <w:szCs w:val="18"/>
          <w:color w:val="111111"/>
        </w:rPr>
        <w:t>.</w:t>
      </w:r>
      <w:r>
        <w:rPr>
          <w:rFonts w:ascii="Arial" w:cs="Arial" w:eastAsia="Arial" w:hAnsi="Arial"/>
          <w:sz w:val="18"/>
          <w:szCs w:val="18"/>
          <w:color w:val="000000"/>
        </w:rPr>
        <w:t xml:space="preserve"> In December 2018, we announced interim data for the Phase 2 trial at the ASH Conference and further interim data at the European Hematology Association Congress in June 2019. </w:t>
      </w:r>
      <w:r>
        <w:rPr>
          <w:rFonts w:ascii="Arial" w:cs="Arial" w:eastAsia="Arial" w:hAnsi="Arial"/>
          <w:sz w:val="18"/>
          <w:szCs w:val="18"/>
          <w:color w:val="111111"/>
        </w:rPr>
        <w:t>We observed that</w:t>
      </w:r>
      <w:r>
        <w:rPr>
          <w:rFonts w:ascii="Arial" w:cs="Arial" w:eastAsia="Arial" w:hAnsi="Arial"/>
          <w:sz w:val="18"/>
          <w:szCs w:val="18"/>
          <w:color w:val="000000"/>
        </w:rPr>
        <w:t xml:space="preserve"> in the 10 patients with CAD who reached day 168: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7" w:name="page18"/>
    <w:bookmarkEnd w:id="17"/>
    <w:p>
      <w:pPr>
        <w:ind w:left="1140" w:hanging="376"/>
        <w:spacing w:after="0"/>
        <w:tabs>
          <w:tab w:leader="none" w:pos="1140" w:val="left"/>
        </w:tabs>
        <w:numPr>
          <w:ilvl w:val="0"/>
          <w:numId w:val="7"/>
        </w:numPr>
        <w:rPr>
          <w:rFonts w:ascii="Arial" w:cs="Arial" w:eastAsia="Arial" w:hAnsi="Arial"/>
          <w:sz w:val="18"/>
          <w:szCs w:val="18"/>
          <w:color w:val="111111"/>
        </w:rPr>
      </w:pPr>
      <w:r>
        <w:rPr>
          <w:rFonts w:ascii="Arial" w:cs="Arial" w:eastAsia="Arial" w:hAnsi="Arial"/>
          <w:sz w:val="18"/>
          <w:szCs w:val="18"/>
          <w:color w:val="111111"/>
        </w:rPr>
        <w:t>70% showed a Hb increase of ≥ 2 g/dL, 40% had normalized Hb (≥ 12.0 g/dL) and 80% had Hb ≥ 11.0 g/dL at Day 168.</w:t>
      </w:r>
    </w:p>
    <w:p>
      <w:pPr>
        <w:spacing w:after="0" w:line="23" w:lineRule="exact"/>
        <w:rPr>
          <w:rFonts w:ascii="Arial" w:cs="Arial" w:eastAsia="Arial" w:hAnsi="Arial"/>
          <w:sz w:val="18"/>
          <w:szCs w:val="18"/>
          <w:color w:val="111111"/>
        </w:rPr>
      </w:pPr>
    </w:p>
    <w:p>
      <w:pPr>
        <w:ind w:left="1140" w:hanging="376"/>
        <w:spacing w:after="0"/>
        <w:tabs>
          <w:tab w:leader="none" w:pos="1140" w:val="left"/>
        </w:tabs>
        <w:numPr>
          <w:ilvl w:val="0"/>
          <w:numId w:val="7"/>
        </w:numPr>
        <w:rPr>
          <w:rFonts w:ascii="Arial" w:cs="Arial" w:eastAsia="Arial" w:hAnsi="Arial"/>
          <w:sz w:val="18"/>
          <w:szCs w:val="18"/>
          <w:color w:val="111111"/>
        </w:rPr>
      </w:pPr>
      <w:r>
        <w:rPr>
          <w:rFonts w:ascii="Arial" w:cs="Arial" w:eastAsia="Arial" w:hAnsi="Arial"/>
          <w:sz w:val="18"/>
          <w:szCs w:val="18"/>
          <w:color w:val="111111"/>
        </w:rPr>
        <w:t>Mean Hb increased from 8.9 g/dL at baseline to 11.2 g/dL at Day 168, a 2.4 g/dL increase (normal Hb is 12 - 16 g/dL).</w:t>
      </w:r>
    </w:p>
    <w:p>
      <w:pPr>
        <w:spacing w:after="0" w:line="9" w:lineRule="exact"/>
        <w:rPr>
          <w:rFonts w:ascii="Arial" w:cs="Arial" w:eastAsia="Arial" w:hAnsi="Arial"/>
          <w:sz w:val="18"/>
          <w:szCs w:val="18"/>
          <w:color w:val="111111"/>
        </w:rPr>
      </w:pPr>
    </w:p>
    <w:p>
      <w:pPr>
        <w:ind w:left="1140" w:right="540" w:hanging="376"/>
        <w:spacing w:after="0" w:line="250" w:lineRule="auto"/>
        <w:tabs>
          <w:tab w:leader="none" w:pos="1140" w:val="left"/>
        </w:tabs>
        <w:numPr>
          <w:ilvl w:val="0"/>
          <w:numId w:val="7"/>
        </w:numPr>
        <w:rPr>
          <w:rFonts w:ascii="Arial" w:cs="Arial" w:eastAsia="Arial" w:hAnsi="Arial"/>
          <w:sz w:val="18"/>
          <w:szCs w:val="18"/>
          <w:color w:val="111111"/>
        </w:rPr>
      </w:pPr>
      <w:r>
        <w:rPr>
          <w:rFonts w:ascii="Arial" w:cs="Arial" w:eastAsia="Arial" w:hAnsi="Arial"/>
          <w:sz w:val="18"/>
          <w:szCs w:val="18"/>
          <w:color w:val="111111"/>
        </w:rPr>
        <w:t>Mean Functional Assessment of Chronic Illness Therapy (FACIT) Fatigue Score increased from 29.4 at baseline to 39.1 at Day 168, an improvement of 9.7 points, where a clinically significant increase is 3 or more points.</w:t>
      </w:r>
    </w:p>
    <w:p>
      <w:pPr>
        <w:ind w:left="1140" w:right="280" w:hanging="376"/>
        <w:spacing w:after="0" w:line="251" w:lineRule="auto"/>
        <w:tabs>
          <w:tab w:leader="none" w:pos="1140" w:val="left"/>
        </w:tabs>
        <w:numPr>
          <w:ilvl w:val="0"/>
          <w:numId w:val="7"/>
        </w:numPr>
        <w:rPr>
          <w:rFonts w:ascii="Arial" w:cs="Arial" w:eastAsia="Arial" w:hAnsi="Arial"/>
          <w:sz w:val="18"/>
          <w:szCs w:val="18"/>
          <w:color w:val="111111"/>
        </w:rPr>
      </w:pPr>
      <w:r>
        <w:rPr>
          <w:rFonts w:ascii="Arial" w:cs="Arial" w:eastAsia="Arial" w:hAnsi="Arial"/>
          <w:sz w:val="18"/>
          <w:szCs w:val="18"/>
          <w:color w:val="111111"/>
        </w:rPr>
        <w:t>Mean absolute reticulocyte count (ARC) decreased from 138.6 X 10⁹/L at baseline to 63.6 X 10⁹/L at Day 168 (normal ARC is 30 - 100 X 10⁹/L).</w:t>
      </w:r>
    </w:p>
    <w:p>
      <w:pPr>
        <w:ind w:left="1140" w:hanging="376"/>
        <w:spacing w:after="0"/>
        <w:tabs>
          <w:tab w:leader="none" w:pos="1140" w:val="left"/>
        </w:tabs>
        <w:numPr>
          <w:ilvl w:val="0"/>
          <w:numId w:val="7"/>
        </w:numPr>
        <w:rPr>
          <w:rFonts w:ascii="Arial" w:cs="Arial" w:eastAsia="Arial" w:hAnsi="Arial"/>
          <w:sz w:val="17"/>
          <w:szCs w:val="17"/>
          <w:color w:val="111111"/>
        </w:rPr>
      </w:pPr>
      <w:r>
        <w:rPr>
          <w:rFonts w:ascii="Arial" w:cs="Arial" w:eastAsia="Arial" w:hAnsi="Arial"/>
          <w:sz w:val="17"/>
          <w:szCs w:val="17"/>
          <w:color w:val="111111"/>
        </w:rPr>
        <w:t>Mean indirect bilirubin decreased from 1.9 mg/dL at baseline to 0.4 mg/dL at Day 168 (normal indirect bilirubin is 0.1 -0.75 mg/dL).</w:t>
      </w:r>
    </w:p>
    <w:p>
      <w:pPr>
        <w:spacing w:after="0" w:line="18" w:lineRule="exact"/>
        <w:rPr>
          <w:rFonts w:ascii="Arial" w:cs="Arial" w:eastAsia="Arial" w:hAnsi="Arial"/>
          <w:sz w:val="17"/>
          <w:szCs w:val="17"/>
          <w:color w:val="111111"/>
        </w:rPr>
      </w:pPr>
    </w:p>
    <w:p>
      <w:pPr>
        <w:ind w:left="1140" w:hanging="376"/>
        <w:spacing w:after="0"/>
        <w:tabs>
          <w:tab w:leader="none" w:pos="1140" w:val="left"/>
        </w:tabs>
        <w:numPr>
          <w:ilvl w:val="0"/>
          <w:numId w:val="7"/>
        </w:numPr>
        <w:rPr>
          <w:rFonts w:ascii="Arial" w:cs="Arial" w:eastAsia="Arial" w:hAnsi="Arial"/>
          <w:sz w:val="18"/>
          <w:szCs w:val="18"/>
          <w:color w:val="111111"/>
        </w:rPr>
      </w:pPr>
      <w:r>
        <w:rPr>
          <w:rFonts w:ascii="Arial" w:cs="Arial" w:eastAsia="Arial" w:hAnsi="Arial"/>
          <w:sz w:val="18"/>
          <w:szCs w:val="18"/>
          <w:color w:val="111111"/>
        </w:rPr>
        <w:t>Mean LDH decreased from 486.5 U/L at baseline to 183.2 U/L at Day 168 (normal LDH is 87 - 252 U/L).</w:t>
      </w:r>
    </w:p>
    <w:p>
      <w:pPr>
        <w:spacing w:after="0" w:line="9" w:lineRule="exact"/>
        <w:rPr>
          <w:sz w:val="20"/>
          <w:szCs w:val="20"/>
          <w:color w:val="auto"/>
        </w:rPr>
      </w:pPr>
    </w:p>
    <w:p>
      <w:pPr>
        <w:ind w:right="460" w:firstLine="518"/>
        <w:spacing w:after="0" w:line="261" w:lineRule="auto"/>
        <w:rPr>
          <w:sz w:val="20"/>
          <w:szCs w:val="20"/>
          <w:color w:val="auto"/>
        </w:rPr>
      </w:pPr>
      <w:r>
        <w:rPr>
          <w:rFonts w:ascii="Arial" w:cs="Arial" w:eastAsia="Arial" w:hAnsi="Arial"/>
          <w:sz w:val="18"/>
          <w:szCs w:val="18"/>
          <w:color w:val="auto"/>
        </w:rPr>
        <w:t>As of December 31, 2019, pegcetacoplan had been generally well tolerated in these patients with 13 serious adverse events reported, across ten patients, of which all are considered unlikely to be related to administration of pegcetacoplan.</w:t>
      </w:r>
    </w:p>
    <w:p>
      <w:pPr>
        <w:spacing w:after="0" w:line="143" w:lineRule="exact"/>
        <w:rPr>
          <w:sz w:val="20"/>
          <w:szCs w:val="20"/>
          <w:color w:val="auto"/>
        </w:rPr>
      </w:pPr>
    </w:p>
    <w:p>
      <w:pPr>
        <w:ind w:right="380" w:firstLine="571"/>
        <w:spacing w:after="0" w:line="342" w:lineRule="auto"/>
        <w:rPr>
          <w:sz w:val="20"/>
          <w:szCs w:val="20"/>
          <w:color w:val="auto"/>
        </w:rPr>
      </w:pPr>
      <w:r>
        <w:rPr>
          <w:rFonts w:ascii="Arial" w:cs="Arial" w:eastAsia="Arial" w:hAnsi="Arial"/>
          <w:sz w:val="16"/>
          <w:szCs w:val="16"/>
          <w:color w:val="auto"/>
        </w:rPr>
        <w:t>There is no FDA-approved drug therapy specifically for CAD. The primary and secondary therapies, which include corticosteroids, splenectomy, alkylating agents and immunosuppressive drugs, are associated with low response rates, relapses and clinically significant adverse effects.</w:t>
      </w:r>
    </w:p>
    <w:p>
      <w:pPr>
        <w:spacing w:after="0" w:line="97" w:lineRule="exact"/>
        <w:rPr>
          <w:sz w:val="20"/>
          <w:szCs w:val="20"/>
          <w:color w:val="auto"/>
        </w:rPr>
      </w:pPr>
    </w:p>
    <w:p>
      <w:pPr>
        <w:ind w:right="680" w:firstLine="518"/>
        <w:spacing w:after="0" w:line="342" w:lineRule="auto"/>
        <w:rPr>
          <w:sz w:val="20"/>
          <w:szCs w:val="20"/>
          <w:color w:val="auto"/>
        </w:rPr>
      </w:pPr>
      <w:r>
        <w:rPr>
          <w:rFonts w:ascii="Arial" w:cs="Arial" w:eastAsia="Arial" w:hAnsi="Arial"/>
          <w:sz w:val="16"/>
          <w:szCs w:val="16"/>
          <w:color w:val="auto"/>
        </w:rPr>
        <w:t>We believe that C3 inhibition has the potential to prevent C3-related opsonization and extravascular hemolysis in patients with CAD, and that inhibiting the complement system by targeting C3 may have the same impact, if not greater, as other complement pathway drugs in these diseases.</w:t>
      </w:r>
    </w:p>
    <w:p>
      <w:pPr>
        <w:spacing w:after="0" w:line="83"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We have discussed our plans for clinical development in CAD with the FDA and other regulatory agencies and will incorporate their feedback. We intend to disclose our plans and timing for further clinical development of pegcetacoplan for patients with CAD in the first half of 2020.</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C3 Glomerulopathy</w:t>
      </w:r>
    </w:p>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C3 glomerulopathy, or C3G, is a disease in which complement activation is believed to play an important role in kidney injury. There are no medicines currently approved for C3G, a rare disease that leads to kidney failure within five to 10 years of diagnosis in approximately 50% of people. In C3G, a part of the immune system known as the complement cascade is overactive, which results in the excessive breakdown of a protein called C3. These C3 breakdown products become trapped in the glomeruli, the filtering units of the kidney, causing inflammation and tissue damage. Proteinuria, or loss of blood proteins (e.g. albumin) in the urine, is a common finding in people with C3G, and an indication that the disease is damaging the kidneys. Pegcetacoplan is designed to prevent C3 activation, and as such, we believe it has the potential to prevent further deposition of C3 activation products in the glomeruli, which may protect the kidney from further injury.</w:t>
      </w:r>
    </w:p>
    <w:p>
      <w:pPr>
        <w:spacing w:after="0" w:line="14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111111"/>
        </w:rPr>
        <w:t xml:space="preserve">In February 2018, we initiated a Phase 2 clinical trial of </w:t>
      </w:r>
      <w:r>
        <w:rPr>
          <w:rFonts w:ascii="Arial" w:cs="Arial" w:eastAsia="Arial" w:hAnsi="Arial"/>
          <w:sz w:val="18"/>
          <w:szCs w:val="18"/>
          <w:color w:val="000000"/>
        </w:rPr>
        <w:t>pegcetacoplan</w:t>
      </w:r>
      <w:r>
        <w:rPr>
          <w:rFonts w:ascii="Arial" w:cs="Arial" w:eastAsia="Arial" w:hAnsi="Arial"/>
          <w:sz w:val="18"/>
          <w:szCs w:val="18"/>
          <w:color w:val="111111"/>
        </w:rPr>
        <w:t xml:space="preserve"> in biopsy-proven C3G and other glomerular diseases in which complement has been implicated, including IgA nephropathy, primary membranous nephropathy and lupus nephritis </w:t>
      </w:r>
      <w:r>
        <w:rPr>
          <w:rFonts w:ascii="Arial" w:cs="Arial" w:eastAsia="Arial" w:hAnsi="Arial"/>
          <w:sz w:val="18"/>
          <w:szCs w:val="18"/>
          <w:color w:val="000000"/>
        </w:rPr>
        <w:t>to evaluate the safety and biologic activity of</w:t>
      </w:r>
      <w:r>
        <w:rPr>
          <w:rFonts w:ascii="Arial" w:cs="Arial" w:eastAsia="Arial" w:hAnsi="Arial"/>
          <w:sz w:val="18"/>
          <w:szCs w:val="18"/>
          <w:color w:val="111111"/>
        </w:rPr>
        <w:t xml:space="preserve"> </w:t>
      </w:r>
      <w:r>
        <w:rPr>
          <w:rFonts w:ascii="Arial" w:cs="Arial" w:eastAsia="Arial" w:hAnsi="Arial"/>
          <w:sz w:val="18"/>
          <w:szCs w:val="18"/>
          <w:color w:val="000000"/>
        </w:rPr>
        <w:t>pegcetacoplan in patients with these glomerular diseases. Each patient will receive once daily subcutaneous infusions of up to 360 mg of pegcetacoplan for one year. The primary efficacy endpoint is the reduction in proteinuria from baseline to week 48 as quantified by uPCR. Based on the scientific literature as well as the underlying pathophysiology of the disease, we believe that a substantial change in proteinuria is reasonably likely to predict a clinical benefit in all four glomerular diseases. Secondary endpoints include analysis of serum C3 and estimated glomerular filtration rate. We reported preliminary data from six patients in the C3G cohort in November 2019.</w:t>
      </w:r>
    </w:p>
    <w:p>
      <w:pPr>
        <w:ind w:right="80" w:firstLine="518"/>
        <w:spacing w:after="0" w:line="259" w:lineRule="auto"/>
        <w:rPr>
          <w:sz w:val="20"/>
          <w:szCs w:val="20"/>
          <w:color w:val="auto"/>
        </w:rPr>
      </w:pPr>
      <w:r>
        <w:rPr>
          <w:rFonts w:ascii="Arial" w:cs="Arial" w:eastAsia="Arial" w:hAnsi="Arial"/>
          <w:sz w:val="18"/>
          <w:szCs w:val="18"/>
          <w:color w:val="auto"/>
        </w:rPr>
        <w:t>In the data presented on six C3G patients treated with pegcetacoplan for 84 days, there was a downward trend in mean proteinuria as measured by uPCR. Mean (SE) uPCR decreased from 2.03 (0.46) mg/mg to 1.05 (0.23) mg/mg at study day 84 (normal range &lt;0.200 mg/mg), a 48% reduction, and a corresponding normalization of mean serum albumin was observed. Serum C3 levels also increased in all six of these patients. No serious adverse events and no discontinuations due to adverse events were reported in individuals with C3G.</w:t>
      </w:r>
    </w:p>
    <w:p>
      <w:pPr>
        <w:spacing w:after="0" w:line="14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met with the FDA in October 2017 in a pre-IND meeting and submitted an IND to the FDA in November 2017. In December 2018, we received orphan drug designation from the FDA for the treatment of C3G. We intend to disclose our plans and timing for further clinical development of pegcetacoplan for patients with C3G in the first half of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Intravenous C3 Inhibition</w:t>
      </w:r>
    </w:p>
    <w:p>
      <w:pPr>
        <w:spacing w:after="0" w:line="202" w:lineRule="exact"/>
        <w:rPr>
          <w:sz w:val="20"/>
          <w:szCs w:val="20"/>
          <w:color w:val="auto"/>
        </w:rPr>
      </w:pPr>
    </w:p>
    <w:p>
      <w:pPr>
        <w:jc w:val="both"/>
        <w:ind w:right="180" w:firstLine="476"/>
        <w:spacing w:after="0" w:line="264" w:lineRule="auto"/>
        <w:rPr>
          <w:sz w:val="20"/>
          <w:szCs w:val="20"/>
          <w:color w:val="auto"/>
        </w:rPr>
      </w:pPr>
      <w:r>
        <w:rPr>
          <w:rFonts w:ascii="Arial" w:cs="Arial" w:eastAsia="Arial" w:hAnsi="Arial"/>
          <w:sz w:val="18"/>
          <w:szCs w:val="18"/>
          <w:color w:val="auto"/>
        </w:rPr>
        <w:t>We are developing compounds targeting C3 for intravenous administration. In particular, we are developing APL-9 for the prevention of complement immune system activation coincident with AAV vector administration for gene therapies and other indications. APL-9 is a second generation C3 modulator and is designed to be intravenously administered for acute use.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180" w:firstLine="476"/>
        <w:spacing w:after="0" w:line="297" w:lineRule="auto"/>
        <w:rPr>
          <w:sz w:val="20"/>
          <w:szCs w:val="20"/>
          <w:color w:val="auto"/>
        </w:rPr>
      </w:pPr>
      <w:r>
        <w:rPr>
          <w:rFonts w:ascii="Arial" w:cs="Arial" w:eastAsia="Arial" w:hAnsi="Arial"/>
          <w:sz w:val="16"/>
          <w:szCs w:val="16"/>
          <w:color w:val="auto"/>
        </w:rPr>
        <w:t>We believe that targeted control of C3 may prevent the C3-mediated attack on AAV particles, yielding three important potential advantages. First, controlling C3 may significantly increase the efficiency of gene therapy delivery by protecting the AAV particles on their journey from the site of administration to the target tissue. This may reduce the amount of particles needed to be used in gene therapies. Second, control of C3 may minimize the formation of anti-AAV neutralizing antibodies that can complicate subsequent retreatment with the same AAV. Finally, by countering the rapid activation of C3 upon administration of AAV particles, control of C3 may prevent inflammatory reactions that can lead to significant organ damage.</w:t>
      </w:r>
    </w:p>
    <w:p>
      <w:pPr>
        <w:spacing w:after="0" w:line="131" w:lineRule="exact"/>
        <w:rPr>
          <w:sz w:val="20"/>
          <w:szCs w:val="20"/>
          <w:color w:val="auto"/>
        </w:rPr>
      </w:pPr>
    </w:p>
    <w:p>
      <w:pPr>
        <w:ind w:firstLine="476"/>
        <w:spacing w:after="0" w:line="255" w:lineRule="auto"/>
        <w:rPr>
          <w:sz w:val="20"/>
          <w:szCs w:val="20"/>
          <w:color w:val="auto"/>
        </w:rPr>
      </w:pPr>
      <w:r>
        <w:rPr>
          <w:rFonts w:ascii="Arial" w:cs="Arial" w:eastAsia="Arial" w:hAnsi="Arial"/>
          <w:sz w:val="18"/>
          <w:szCs w:val="18"/>
          <w:color w:val="auto"/>
        </w:rPr>
        <w:t>We have conducted a single ascending dose Phase 1 randomized, double-blind, placebo-controlled clinical trials of APL-9 in 20 healthy volunteers to determine the safety, PK and PD of APL-9. In this trial, APL-9 was administered either as a single intravenous dose infused over 30 minutes or as a slow bolus intravenous loading dose to provide rapid pharmacological complement inhibition followed by a continuous intravenous infusion to maintain pharmacological levels of APL-9 for the desired duration. APL-9 demonstrated control of complement through modulation of C3 within one hour of administration, that lasted up to 12 hours after the end of the infusion. Multiple doses tested achieved complete suppression of the AH50 hemolytic activity. In this Phase I study, APL-9 was well tolerated with no serious adverse events reported. In the study, complement activity resumed shortly after the termination of the intravenous infusion.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Pegcetacoplan and APL-9 are analogs of the cyclic peptide compstatin, based on technology that we have exclusively licensed from the Trustees of the University of Pennsylvania, or Penn, including a license agreement with Penn that was assigned to us in connection with our acquisition of the assets of Potentia Pharmaceuticals, Inc., or Potentia, in September 2015. The intellectual property in-licensed under our two license agreements with Penn includes four U.S. patents and one pending U.S. patent application, including original filings, continuations and divisional applications, and numerous foreign counterparts, with claims granted or pending in Europe, Japan and elsewhere. These licensed patent rights include issued patents with claims that recite a class of compounds generically covering our lead product candidates, pegcetacoplan and APL-9, and that specifically recite the active component. These patents have terms that extend to 2026.</w:t>
      </w:r>
    </w:p>
    <w:p>
      <w:pPr>
        <w:spacing w:after="0" w:line="14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 xml:space="preserve">In addition to the intellectual property licensed from Penn, as of December 31, 2019, we own a total of eleven U.S. patents and 23 pending U.S. patent applications, including original filings, continuations and divisional applications, as well as numerous foreign counterparts of many of these patents and patent applications. Our patent applications include families of US and foreign applications relating, for example, to certain compstatin analogs with a prolonged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half-life, including pegcetacoplan, and/or to methods of treatment and dosing regimens for treating particular complement-dependent diseases. Patents in these families would expire in 2032 or 2033. Our patent applications also include families relating in part to particular doses and dosing regimens for intravitreally or subcutaneously administered pegcetacoplan. Patents based on these applications would expire between 2036 and 2038. Finally, the filings include certain U.S. and foreign patents and patent applications relating to methods of treating eye disorders associated with complement activation, which we acquired in the acquisition of Potentia’s assets. These acquired Potentia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w:t>
      </w:r>
    </w:p>
    <w:p>
      <w:pPr>
        <w:spacing w:after="0" w:line="13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5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Similar provisions are available in the European Union and certain other foreign jurisdictions to extend the term of a patent that covers an approved drug. In the future, if and when our product candidates, including pegcetacoplan, receive approval by the FDA or foreign regulatory authorities, we expect to apply for patent term extensions on issued patents covering those products, depending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upon the length of the clinical trials for each drug and other factors. Expiration dates referred to above are without regard to potential patent term adjustment or extension or other market exclusivity that may be available to us.</w:t>
      </w:r>
    </w:p>
    <w:p>
      <w:pPr>
        <w:spacing w:after="0" w:line="14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granted rights to use our intellectual property to manage our Phase 1 and 2 clinical trials in Australia and exclusive rights to distribute our product within Australia, South Korea, Singapore, Indonesia, Malaysia, the Philippines, Thailand, Vietnam and New Zealand to our wholly-owned subsidiary, Apellis Australia Pty Ltd.</w:t>
      </w:r>
    </w:p>
    <w:p>
      <w:pPr>
        <w:spacing w:after="0" w:line="14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License Agreement with The Trustees of the University of Pennsylvania (Non-ophthalmic Fields of Use)</w:t>
      </w:r>
    </w:p>
    <w:p>
      <w:pPr>
        <w:spacing w:after="0" w:line="18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In March 2008, Apellis AG entered into an agreement with Penn for an exclusive worldwide license, under specified patent rights controlled by Penn, to develop and commercialize products covered by the licensed patent rights for all fields except the treatment of ophthalmic indications. This license was assigned to us in 2010 in connection with our acquisition of Apellis AG, and we have the right to grant sublicenses under this license.</w:t>
      </w:r>
    </w:p>
    <w:p>
      <w:pPr>
        <w:spacing w:after="0" w:line="13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patent rights licensed to us by Penn include patents with claims that recite a class of compounds generically covering our lead product candidates, pegcetacoplan and APL-9, and specifically recite the active component.</w:t>
      </w:r>
    </w:p>
    <w:p>
      <w:pPr>
        <w:spacing w:after="0" w:line="170"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In exchange for the rights licensed from Penn, Apellis AG transferred to Penn shares of Potentia common stock that it had purchased from Potentia with a $250,000 promissory note in 2008. In 2010, Apellis AG assigned its Penn license to us together with the promissory note. We repaid the promissory note in full in 2013.</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Under the license agreement, we are obligated to make a $100,000 annual license maintenance payment to Penn until the first commercial sale of a licensed product, some of which may become creditable against milestone payments under specified circumstances. We may also become obligated to make payments to Penn aggregating up to $1,650,000 based on achieving specified development and regulatory approval milestones and up to $2,500,000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3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In 2018 we made payments of $375,000, net of a credit for the annual license maintenance payment, for the achievement of milestones under this agreement.</w:t>
      </w:r>
    </w:p>
    <w:p>
      <w:pPr>
        <w:spacing w:after="0" w:line="13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w:t>
      </w:r>
    </w:p>
    <w:p>
      <w:pPr>
        <w:spacing w:after="0" w:line="154"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agreement obligates us to use commercially reasonable efforts to develop licensed products in accordance with a development plan, which we update annually, and a development milestone timetable specified in the agreement and to use commercially reasonable efforts to commercialize licensed products.</w:t>
      </w:r>
    </w:p>
    <w:p>
      <w:pPr>
        <w:spacing w:after="0" w:line="14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Amended and Restated Patent License Agreement with The Trustees of the University of Pennsylvania (Ophthalmic Field of Use)</w:t>
      </w:r>
    </w:p>
    <w:p>
      <w:pPr>
        <w:spacing w:after="0" w:line="196"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At the same time that it entered into the agreement with Apellis AG, Penn licensed rights to the same portfolio of cases to Potentia, to develop and commercialize products covered by the licensed patent rights for the treatment of ophthalmic indications. In September 2015, Potentia assigned the license agreement between Potentia and Penn to us in connection with our acquisition of the assets of Potentia pursuant to an asset purchase agreement with Potentia.</w:t>
      </w:r>
    </w:p>
    <w:p>
      <w:pPr>
        <w:spacing w:after="0" w:line="12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Upon Potentia’s assignment of the license to us, we became the licensee and are obligated to make a $100,000 annual license maintenance payment to Penn until the first commercial sale of a licensed product. We also became obligated to make payments to Penn aggregating up to $3,200,000 based on achieving specified development and regulatory approval milestones and up to $5,000,000 based on achieving specified annual sales milestones with respect to each licensed product, and to pay low single-digit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4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 2018 we made payments of $650,000, net of a credit for the annual license maintenance payment, for the achievement of milestones under this agreement.</w:t>
      </w:r>
    </w:p>
    <w:p>
      <w:pPr>
        <w:spacing w:after="0" w:line="130"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the right to grant sublicenses under the license.</w:t>
      </w:r>
    </w:p>
    <w:p>
      <w:pPr>
        <w:spacing w:after="0" w:line="198"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41"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4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4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If our lead product candidate is approved for the indications for which we are currently undertaking or planning clinical trials, it will compete with the products and product candidates discussed below.</w:t>
      </w:r>
    </w:p>
    <w:p>
      <w:pPr>
        <w:spacing w:after="0" w:line="1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b w:val="1"/>
          <w:bCs w:val="1"/>
          <w:i w:val="1"/>
          <w:iCs w:val="1"/>
          <w:color w:val="auto"/>
        </w:rPr>
        <w:t>GA</w:t>
      </w:r>
      <w:r>
        <w:rPr>
          <w:rFonts w:ascii="Arial" w:cs="Arial" w:eastAsia="Arial" w:hAnsi="Arial"/>
          <w:sz w:val="17"/>
          <w:szCs w:val="17"/>
          <w:color w:val="auto"/>
        </w:rPr>
        <w:t>. There are currently no approved treatments for GA. We are aware that there are a number of companies that are actively developing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for the treatment of GA, including the following product candidates that are in clinical development: CLG561, an anti-properdin monoclonal antibody being developed by Novartis AG as a monotherapy or adjunctive therapy with LFG316, an anti-C5 monoclonal antibody, in Phase 2 clinical trials; Zimura, a C5 inhibitor being developed by Iveric bio (formerly known as Ophthotech Corporation) in Phase 2/3 clinical trials; and other product candidates that do not target the complement system that are in Phase 2 clinical trials, including therapies being developed by Alcon, Allegro Ophthalmics LLC, Allergan PLC, Cell Cure Neurosciences, Genentech, Hemera Biosciences, Ionis Pharmaceuticals, Inc., Janssen Research &amp; Development, LLC, Regenerative Patch Technologies, Stealth BioTherapeutics Corp., Gyroscope Therapeutics, and BioTime, Inc. In October 2019 Alexion obtained an option to co-develop and commercialize elamipretide for certain indications, including geography atrophy, from Stealth BioTherapeutics. Stealth is evaluating elamipretide in a Phase 2 clinical trial in patients with GA.</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PNH. </w:t>
      </w:r>
      <w:r>
        <w:rPr>
          <w:rFonts w:ascii="Arial" w:cs="Arial" w:eastAsia="Arial" w:hAnsi="Arial"/>
          <w:sz w:val="18"/>
          <w:szCs w:val="18"/>
          <w:color w:val="auto"/>
        </w:rPr>
        <w:t>The principal competitors for PNH, and possibly other indications in our hematology and nephrology programs are eculizumab (marketed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Soliris) and ravulizumab (marketed as Ultomiris), C5 complement inhibitors, developed and marketed by Alexion. Eculizumab and ravulizumab are the only drugs approved for the treatment of PNH. Alexion is developing danicopan, formerly ACHN-4471, an orally available complement factor D inhibitor, currently in Phase 2 clinical trials as a cotreatment or combination product with eculizumab, and next generation complement factor D inhibitors ACHN-5528 and ACHN-5548, which are in early clinical development. In addition, we are aware that there are a number of other companies that are actively developing product candidates for the treatment of PNH, including:</w:t>
      </w:r>
    </w:p>
    <w:p>
      <w:pPr>
        <w:spacing w:after="0" w:line="85" w:lineRule="exact"/>
        <w:rPr>
          <w:sz w:val="20"/>
          <w:szCs w:val="20"/>
          <w:color w:val="auto"/>
        </w:rPr>
      </w:pPr>
    </w:p>
    <w:p>
      <w:pPr>
        <w:ind w:left="1040" w:right="180" w:hanging="519"/>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AMY-101, a C3 complement inhibitor being developed by Amyndas Pharmaceuticals SA; cemdisiran, an RNAi therapeutic targeting C5 developed by Alnylam Pharmaceuticals, Inc. in early clinical trials; nomacopan, a small protein C5 complement inhibitor being developed by Akari Therapeutics, Plc. in Phase 2 clinical trials; BCX9930, a Factor D inhibitor being developed by BioCryst, currently in early clinical development; zilucoplan, a cyclic peptide C5 inhibitor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1" w:name="page22"/>
    <w:bookmarkEnd w:id="21"/>
    <w:p>
      <w:pPr>
        <w:jc w:val="both"/>
        <w:ind w:left="1040"/>
        <w:spacing w:after="0" w:line="264" w:lineRule="auto"/>
        <w:rPr>
          <w:sz w:val="20"/>
          <w:szCs w:val="20"/>
          <w:color w:val="auto"/>
        </w:rPr>
      </w:pPr>
      <w:r>
        <w:rPr>
          <w:rFonts w:ascii="Arial" w:cs="Arial" w:eastAsia="Arial" w:hAnsi="Arial"/>
          <w:sz w:val="18"/>
          <w:szCs w:val="18"/>
          <w:color w:val="auto"/>
        </w:rPr>
        <w:t>developed by Ra Pharmaceuticals, Inc., or Ra, currently in Phase 2 clinical trials, crovalimab, an anti-C5 antibody developed by Roche/Chugai, currently in Phase 2 clinical trials; pozelimab, an anti-C5 antibody developed by Regeneron, currently in Phase 2 clinical trials; and LNP-023, a Factor B inhibitor being developed by Novartis currently in Phase 2 clinical trials;</w:t>
      </w:r>
    </w:p>
    <w:p>
      <w:pPr>
        <w:spacing w:after="0" w:line="73" w:lineRule="exact"/>
        <w:rPr>
          <w:sz w:val="20"/>
          <w:szCs w:val="20"/>
          <w:color w:val="auto"/>
        </w:rPr>
      </w:pPr>
    </w:p>
    <w:p>
      <w:pPr>
        <w:ind w:left="1040" w:right="2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product candidates directed at other mechanisms of complement inhibition such as NM-9405, an anti-properdin antibody in preclinical development by NovelMed Therapeutics, Inc.;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Amgen is developing ABP959, a biosimilar for eculizumab that is in Phase 3 clinical development.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CAD. </w:t>
      </w:r>
      <w:r>
        <w:rPr>
          <w:rFonts w:ascii="Arial" w:cs="Arial" w:eastAsia="Arial" w:hAnsi="Arial"/>
          <w:sz w:val="18"/>
          <w:szCs w:val="18"/>
          <w:color w:val="auto"/>
        </w:rPr>
        <w:t>There are no currently marketed drug treatments for CAD, but there are currently treatments in development for CAD, including:</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sutimlimab, a C1s monoclonal antibody inhibitor, being developed by Sanofi, is in Phase 3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paraclisib, p P13K-8 inhibitor, being developed by Incyte, is in Phase 2 clinical trials;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KZR-616, a proteasome inhibitor, being developed by Kezar Lifesciences, is in Phase 2 clinical trials.</w:t>
      </w:r>
    </w:p>
    <w:p>
      <w:pPr>
        <w:spacing w:after="0" w:line="225"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b w:val="1"/>
          <w:bCs w:val="1"/>
          <w:i w:val="1"/>
          <w:iCs w:val="1"/>
          <w:color w:val="auto"/>
        </w:rPr>
        <w:t xml:space="preserve">C3 Glomerulopathy. </w:t>
      </w:r>
      <w:r>
        <w:rPr>
          <w:rFonts w:ascii="Arial" w:cs="Arial" w:eastAsia="Arial" w:hAnsi="Arial"/>
          <w:sz w:val="17"/>
          <w:szCs w:val="17"/>
          <w:color w:val="auto"/>
        </w:rPr>
        <w:t>There are no currently marketed drug treatments for C3 glomerulopathy, but there are currently treatments in development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C3G including narsoplimab (OMS721), a human monoclonal antibody to mannose-binding lectin-associated serine protease-2 (MASP-2) that blocks the lectin pathway, being developed by Omeros Corp., which is in Phase 2 clinical trials; avacopan, an oral C5aR-inhibitor developed by ChemoCentryx, Inc., which is in Phase 2 clinical trials; LNP023, a complement factor inhibitor being developed by Novartis, for C3 glomerulopathy which is in Phase 2 clinical trials; and danicopan, being developed by Alexion for C3G, which is in Phase 2 clinical trials.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hold worldwide commercialization rights to all our product candidates. 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our product candidates. Although we intend to rely on third-party contract manufacturers to produce our products, we have recruited personnel with experience to manage the third-party contract manufacturers producing our product candidates and other product candidates or products that we may develop in the future.</w:t>
      </w:r>
    </w:p>
    <w:p>
      <w:pPr>
        <w:spacing w:after="0" w:line="1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process for manufacturing our product candidates consists of chemical synthesis, purification using liquid chromatography, and freeze drying into solid form. The drug substance is then dissolved in solution and aliquoted into small vials for individual dosing. Each of these steps involves a relatively routine chemical engineering process. We expect the costs associated with manufacturing drug product for our product candidates may be comparable to the current manufacturing costs for other similarly sized peptide-based components.</w:t>
      </w:r>
    </w:p>
    <w:p>
      <w:pPr>
        <w:spacing w:after="0" w:line="160"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have engaged a limited number of third-party manufacturers to provide all of our raw materials, drug substances and finished products for use in clinical trials. Our raw materials, drug substances and finished products have been produced under master service contracts and specific work orders from these manufacturers pursuant to agreements that include specific supply timelines and volume and quality expectations. We choose the third-party manufacturers of the raw materials and drug substances based on the volume required and the regulatory requirements at the relevant stage of development. All lots of drug substances and finished products used in clinical trials are manufactured under current good manufacturing practices. Separate third-party manufacturers are for fill and finish services and for labeling and shipment of the final drug products to the clinical trial sites.</w:t>
      </w:r>
    </w:p>
    <w:p>
      <w:pPr>
        <w:spacing w:after="0" w:line="12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111111"/>
        </w:rPr>
        <w:t>We have introduced improvements to the manufacturing process in order to eliminate impurities like those that we believe caused inflammation in our Phase 3 trials in GA and our Phase 1b/2 trial in wet AMD. We believe that the improved manufacturing process can be used to supply pegcetacoplan at a scale required for our clinical trials and global commercialization. In non-clinical testing, treatment with pegcetacoplan manufactured through the improved manufacturing process did not cause inflammation.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Review and Approval of Drugs in the United States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applicant seeking approval to market and distribute a new drug product in the United States must typically undertake the following:</w:t>
      </w:r>
    </w:p>
    <w:p>
      <w:pPr>
        <w:spacing w:after="0" w:line="117" w:lineRule="exact"/>
        <w:rPr>
          <w:sz w:val="20"/>
          <w:szCs w:val="20"/>
          <w:color w:val="auto"/>
        </w:rPr>
      </w:pPr>
    </w:p>
    <w:p>
      <w:pPr>
        <w:ind w:left="1040" w:right="30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may begin;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representing each clinical site before each clinical trial may be initiated;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17" w:lineRule="exact"/>
        <w:rPr>
          <w:rFonts w:ascii="Arial" w:cs="Arial" w:eastAsia="Arial" w:hAnsi="Arial"/>
          <w:sz w:val="18"/>
          <w:szCs w:val="18"/>
          <w:color w:val="auto"/>
        </w:rPr>
      </w:pPr>
    </w:p>
    <w:p>
      <w:pPr>
        <w:jc w:val="both"/>
        <w:ind w:left="1040" w:right="2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post-approval studies required by the FDA.</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 xml:space="preserve">Before an applicant begins testing a product candidate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3" w:name="page24"/>
    <w:bookmarkEnd w:id="23"/>
    <w:p>
      <w:pPr>
        <w:ind w:right="620"/>
        <w:spacing w:after="0" w:line="277" w:lineRule="auto"/>
        <w:rPr>
          <w:sz w:val="20"/>
          <w:szCs w:val="20"/>
          <w:color w:val="auto"/>
        </w:rPr>
      </w:pPr>
      <w:r>
        <w:rPr>
          <w:rFonts w:ascii="Arial" w:cs="Arial" w:eastAsia="Arial" w:hAnsi="Arial"/>
          <w:sz w:val="18"/>
          <w:szCs w:val="18"/>
          <w:color w:val="auto"/>
        </w:rPr>
        <w:t>appropriate packaging must be selected and tested and stability studies must be conducted to demonstrate that the product candidate does not undergo unacceptable deterioration over its shelf life.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6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certain FDA requirements in order to use the study as support for an IND or application for marketing approval. Those requirements provide that such studies must be conducted in accordance with GCP, including review and approval by an independent ethics committee, or IEC, and informed consent from subjects.</w:t>
      </w:r>
    </w:p>
    <w:p>
      <w:pPr>
        <w:spacing w:after="0" w:line="188"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88"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100"/>
        <w:spacing w:after="0" w:line="259" w:lineRule="auto"/>
        <w:rPr>
          <w:sz w:val="20"/>
          <w:szCs w:val="20"/>
          <w:color w:val="auto"/>
        </w:rPr>
      </w:pPr>
      <w:r>
        <w:rPr>
          <w:rFonts w:ascii="Arial" w:cs="Arial" w:eastAsia="Arial" w:hAnsi="Arial"/>
          <w:sz w:val="18"/>
          <w:szCs w:val="18"/>
          <w:color w:val="auto"/>
        </w:rPr>
        <w:t>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December 13, 2016, the 21st Century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89"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the following sequential phases, which may overlap or be combined:</w:t>
      </w:r>
    </w:p>
    <w:p>
      <w:pPr>
        <w:spacing w:after="0" w:line="117" w:lineRule="exact"/>
        <w:rPr>
          <w:sz w:val="20"/>
          <w:szCs w:val="20"/>
          <w:color w:val="auto"/>
        </w:rPr>
      </w:pPr>
    </w:p>
    <w:p>
      <w:pPr>
        <w:ind w:left="1040" w:right="8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73" w:lineRule="exact"/>
        <w:rPr>
          <w:rFonts w:ascii="Arial" w:cs="Arial" w:eastAsia="Arial" w:hAnsi="Arial"/>
          <w:sz w:val="18"/>
          <w:szCs w:val="18"/>
          <w:color w:val="auto"/>
        </w:rPr>
      </w:pPr>
    </w:p>
    <w:p>
      <w:pPr>
        <w:ind w:left="1040" w:right="160" w:hanging="519"/>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8" w:lineRule="exact"/>
        <w:rPr>
          <w:rFonts w:ascii="Arial" w:cs="Arial" w:eastAsia="Arial" w:hAnsi="Arial"/>
          <w:sz w:val="17"/>
          <w:szCs w:val="17"/>
          <w:color w:val="auto"/>
        </w:rPr>
      </w:pPr>
    </w:p>
    <w:p>
      <w:pPr>
        <w:ind w:left="1040" w:right="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3"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17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82"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firstLine="518"/>
        <w:spacing w:after="0" w:line="253"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or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drugs intended to treat a serious or life-threatening disease or condition, the FDA must, upon the request of an applicant, meet to discuss preparation of the initial pediatric study plan or to discuss deferral or waiver of pediatric assessments.</w:t>
      </w:r>
    </w:p>
    <w:p>
      <w:pPr>
        <w:spacing w:after="0" w:line="19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subject to an application user fee, which for federal fiscal year 2020 is $2,942,965 for an application requiring clinical data. The sponsor of an approved NDA is also subject to an annual program fee, which for federal fiscal year 2020 is $325,424. Certain exceptions and waivers are available for some of these fees, such as an exception from the application fee for products with orphan designation and a waiver for certain small businesses.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strives to inform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9"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comply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or FDARA, the FDA must implement a protocol to expedite review of responses to inspection reports pertaining to certain drug applications, including applications for drugs in a shortage or drugs for which approval is dependent on remediation of conditions identified in the inspection report.</w:t>
      </w:r>
    </w:p>
    <w:p>
      <w:pPr>
        <w:spacing w:after="0" w:line="192"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79"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5"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Fourth, 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jc w:val="both"/>
        <w:ind w:right="100" w:firstLine="518"/>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2"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and its implementation regulations, as well as the Drug Supply Chain Security Act, or DSCSA, which regulates the distribution of and tracing of prescription drugs and prescription drug samples at the federal level, and sets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8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88"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line="276" w:lineRule="auto"/>
        <w:rPr>
          <w:sz w:val="20"/>
          <w:szCs w:val="20"/>
          <w:color w:val="auto"/>
        </w:rPr>
      </w:pPr>
      <w:r>
        <w:rPr>
          <w:rFonts w:ascii="Arial" w:cs="Arial" w:eastAsia="Arial" w:hAnsi="Arial"/>
          <w:sz w:val="17"/>
          <w:szCs w:val="17"/>
          <w:color w:val="auto"/>
        </w:rPr>
        <w:t>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73"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Under FDARA, a priority review track will be established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8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9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8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Review and Clearance or Approval of Medical Devices in the United States</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 xml:space="preserve">Medical devices in the United States are strictly regulated by the FDA. Under the FDCA, a medical device is defined as an instrument, apparatus, implement, machine, contrivance, implant,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8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Unless an exemption applies, a new medical device may not be marketed in the United States until it has been cleared through filing of a 510(k) premarket notification, or 510(k), or approved by the FDA pursuant to a 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spacing w:after="0" w:line="18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510(k) must demonstrate that the proposed device is substantially equivalent to another legally marketed device, or predicate device, that did not require premarket approval. In evaluating a 510(k), the FDA will determine whether the device has the same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40"/>
        <w:spacing w:after="0" w:line="255" w:lineRule="auto"/>
        <w:rPr>
          <w:sz w:val="20"/>
          <w:szCs w:val="20"/>
          <w:color w:val="auto"/>
        </w:rPr>
      </w:pPr>
      <w:r>
        <w:rPr>
          <w:rFonts w:ascii="Arial" w:cs="Arial" w:eastAsia="Arial" w:hAnsi="Arial"/>
          <w:sz w:val="18"/>
          <w:szCs w:val="18"/>
          <w:color w:val="auto"/>
        </w:rPr>
        <w:t>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w:t>
      </w:r>
    </w:p>
    <w:p>
      <w:pPr>
        <w:spacing w:after="0" w:line="189"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7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Review and Approval of Combination Products in the United States</w:t>
      </w:r>
    </w:p>
    <w:p>
      <w:pPr>
        <w:spacing w:after="0" w:line="117"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w:t>
      </w:r>
    </w:p>
    <w:p>
      <w:pPr>
        <w:spacing w:after="0" w:line="16" w:lineRule="exact"/>
        <w:rPr>
          <w:sz w:val="20"/>
          <w:szCs w:val="20"/>
          <w:color w:val="auto"/>
        </w:rPr>
      </w:pPr>
    </w:p>
    <w:p>
      <w:pPr>
        <w:ind w:left="1040" w:right="1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w:t>
      </w:r>
    </w:p>
    <w:p>
      <w:pPr>
        <w:spacing w:after="0" w:line="117" w:lineRule="exact"/>
        <w:rPr>
          <w:rFonts w:ascii="Arial" w:cs="Arial" w:eastAsia="Arial" w:hAnsi="Arial"/>
          <w:sz w:val="18"/>
          <w:szCs w:val="18"/>
          <w:color w:val="auto"/>
        </w:rPr>
      </w:pPr>
    </w:p>
    <w:p>
      <w:pPr>
        <w:ind w:left="1040" w:right="16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78"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4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Review and Approval of Drug Products in the European Union</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20"/>
        <w:spacing w:after="0" w:line="273" w:lineRule="auto"/>
        <w:rPr>
          <w:sz w:val="20"/>
          <w:szCs w:val="20"/>
          <w:color w:val="auto"/>
        </w:rPr>
      </w:pPr>
      <w:r>
        <w:rPr>
          <w:rFonts w:ascii="Arial" w:cs="Arial" w:eastAsia="Arial" w:hAnsi="Arial"/>
          <w:sz w:val="17"/>
          <w:szCs w:val="17"/>
          <w:color w:val="auto"/>
        </w:rPr>
        <w:t>trials, marketing authorization, commercial sales and distribution of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Procedures Governing Approval of Drug Products in the European Union</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5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To obtain marketing approval of a product under European Union regulatory systems, an applicant must submit a marketing authorization application, or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6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the centralized procedure, the Committee for Medicinal Products for Human Use, or the CHMP, established at the European Medicines Agency, or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7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decentralized procedure is available to applicants who wish to market a product in various E.U. member states where such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6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Requirements for the conduct of clinical trials in the European Union including Good Clinical Practice, or GCP, are set forth in the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each E.U. member state in which a study is planned to be conducted. To this end, a clinical trial application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In April 2014, the European Union passed the new Clinical Trials Regulation, (EU) No 536/2014, which will replace the current Clinical Trials Directive 2001/20/EC. To ensure that the rules for clinical trials are identical throughout the European Union, the new E.U.</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ind w:right="40"/>
        <w:spacing w:after="0" w:line="288" w:lineRule="auto"/>
        <w:rPr>
          <w:sz w:val="20"/>
          <w:szCs w:val="20"/>
          <w:color w:val="auto"/>
        </w:rPr>
      </w:pPr>
      <w:r>
        <w:rPr>
          <w:rFonts w:ascii="Arial" w:cs="Arial" w:eastAsia="Arial" w:hAnsi="Arial"/>
          <w:sz w:val="16"/>
          <w:szCs w:val="16"/>
          <w:color w:val="auto"/>
        </w:rPr>
        <w:t>clinical trials legislation was passed as a regulation that is directly applicable in all E.U. member states. All clinical trials performed in the European Union are required to be conducted in accordance with the Clinical Trials Directive 2001/20/EC until the new Clinical Trials Regulation (EU) No 536/2014 becomes applicable. The Clinical Trials Directive 2001/20/EC will, however, still apply three years from the date of entry into application of the Clinical Trials Regulation to</w:t>
      </w:r>
    </w:p>
    <w:p>
      <w:pPr>
        <w:ind w:right="80" w:firstLine="8"/>
        <w:spacing w:after="0" w:line="253" w:lineRule="auto"/>
        <w:tabs>
          <w:tab w:leader="none" w:pos="2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applications submitted before the entry into application and (ii) clinical trials applications submitted within one year after the entry into application if the sponsor opts for old system. As of January 1, 2020, the website of the European Commission reported that the implementation of the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The website indicated that the audit was expected to commence in December 2020.</w:t>
      </w:r>
    </w:p>
    <w:p>
      <w:pPr>
        <w:spacing w:after="0" w:line="19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new Clinical Trials Regulation aims to simplify and streamline the approval of clinical trial in the European Union. The main characteristics of the regulation include: a streamlined application procedure via a single entry point, the E.U. portal; a single set of documents to be prepared and submitted for the application as well as simplified reporting procedures that will spare sponsors from submitting broadly identical information separately to various bodies and different member states; a harmonized procedure for the assessment of applications for clinical trials, which is divided in two parts—Part I is assessed jointly by all member states concerned. Part II is assessed separately by each member state concerned; strictly defined deadlines for the assessment of clinical trial applications; and the involvement of the ethics committees in the assessment procedure in accordance with the national law of the member state concerned but within the overall timelines defined by the Clinical Trials Regulation.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in the United States, similar requirements for posting clinical trial information are present in the European Union (EudraCT)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https://eudract.ema.europa.eu/ and other countries.</w:t>
      </w: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PRIME Designation in the EU</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spacing w:after="0" w:line="18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400"/>
        <w:spacing w:after="0" w:line="277" w:lineRule="auto"/>
        <w:rPr>
          <w:sz w:val="20"/>
          <w:szCs w:val="20"/>
          <w:color w:val="auto"/>
        </w:rPr>
      </w:pPr>
      <w:r>
        <w:rPr>
          <w:rFonts w:ascii="Arial" w:cs="Arial" w:eastAsia="Arial" w:hAnsi="Arial"/>
          <w:sz w:val="18"/>
          <w:szCs w:val="18"/>
          <w:color w:val="auto"/>
        </w:rPr>
        <w:t>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European Union market (in case of centralized procedure) or on the market of the authorizing member state within three years after authorization ceases to be valid (the so-called sunset clause).</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Regulation 141/2000 provides that a drug shall be designated as an orphan drug if its sponsor can establish: that the product is intended for the diagnosis, prevention or treatment of a life-threatening or chronically debilitating condition affecting not more than five in ten thousand persons in the European Community when the application is made, or that the product is intended for the diagnosis, prevention or treatment of a life-threatening, seriously debilitating or serious and chronic condition in the European Community and that without incentives it is unlikely that the marketing of the drug in the European Community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Community or, if such method exists, the drug will be of significant benefit to those affected by that condition.</w:t>
      </w:r>
    </w:p>
    <w:p>
      <w:pPr>
        <w:spacing w:after="0" w:line="178"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Regulation 847/2000 sets out criteria and procedures governing designation of orphan drugs in the European Union. Specifically, an application for designation as an orphan product can be made any time prior to the filing of an application for approval to market the product. Marketing authorization for an orphan drug leads to a ten-year period of market exclusivity. 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“clinically relevant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pursuant to Regulation 141/2000 shall be eligible for incentives made available by the European Community and by the member states to support research into, and the development and availability of, orphan drugs.</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On June 23, 2016, the electorate in the United Kingdom (U.K.)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UK will not accept high regulatory alignment with the EU.</w:t>
      </w:r>
    </w:p>
    <w:p>
      <w:pPr>
        <w:spacing w:after="0" w:line="29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and/or European Union for our product candidates, which could significantly and materially harm our business.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Data Protection Regulation</w:t>
      </w:r>
    </w:p>
    <w:p>
      <w:pPr>
        <w:spacing w:after="0" w:line="23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collection, use, disclosure, transfer, or other processing of personal data regarding individuals in the EU, including personal health data, is subject to the EU General Data Protection Regulation (GDPR), which became effective on May 25, 2018. The GDPR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17"/>
          <w:szCs w:val="17"/>
          <w:color w:val="auto"/>
        </w:rPr>
        <w:t>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6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65"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65"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5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121"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79" w:lineRule="exact"/>
        <w:rPr>
          <w:sz w:val="20"/>
          <w:szCs w:val="20"/>
          <w:color w:val="auto"/>
        </w:rPr>
      </w:pPr>
    </w:p>
    <w:p>
      <w:pPr>
        <w:ind w:left="1040" w:right="16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040" w:right="56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73"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78"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8" w:lineRule="exact"/>
        <w:rPr>
          <w:rFonts w:ascii="Arial" w:cs="Arial" w:eastAsia="Arial" w:hAnsi="Arial"/>
          <w:sz w:val="17"/>
          <w:szCs w:val="17"/>
          <w:color w:val="auto"/>
        </w:rPr>
      </w:pPr>
    </w:p>
    <w:p>
      <w:pPr>
        <w:ind w:left="1040" w:right="20" w:hanging="519"/>
        <w:spacing w:after="0" w:line="293"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56" w:lineRule="exact"/>
        <w:rPr>
          <w:rFonts w:ascii="Arial" w:cs="Arial" w:eastAsia="Arial" w:hAnsi="Arial"/>
          <w:sz w:val="16"/>
          <w:szCs w:val="16"/>
          <w:color w:val="auto"/>
        </w:rPr>
      </w:pPr>
    </w:p>
    <w:p>
      <w:pPr>
        <w:ind w:left="1040" w:right="3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March 2010, the United States Congress enacted the Affordable Care Act, or ACA, which, among other things, includes changes to the coverage and payment for drug products under government health care programs. Among the provisions of the ACA of importance to our potential product candidates are:</w:t>
      </w:r>
    </w:p>
    <w:p>
      <w:pPr>
        <w:spacing w:after="0" w:line="73" w:lineRule="exact"/>
        <w:rPr>
          <w:sz w:val="20"/>
          <w:szCs w:val="20"/>
          <w:color w:val="auto"/>
        </w:rPr>
      </w:pPr>
    </w:p>
    <w:p>
      <w:pPr>
        <w:ind w:left="1040" w:right="1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ind w:left="1040" w:right="4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5" w:lineRule="exact"/>
        <w:rPr>
          <w:rFonts w:ascii="Arial" w:cs="Arial" w:eastAsia="Arial" w:hAnsi="Arial"/>
          <w:sz w:val="16"/>
          <w:szCs w:val="16"/>
          <w:color w:val="auto"/>
        </w:rPr>
      </w:pPr>
    </w:p>
    <w:p>
      <w:pPr>
        <w:ind w:left="1040" w:right="34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17" w:lineRule="exact"/>
        <w:rPr>
          <w:rFonts w:ascii="Arial" w:cs="Arial" w:eastAsia="Arial" w:hAnsi="Arial"/>
          <w:sz w:val="18"/>
          <w:szCs w:val="18"/>
          <w:color w:val="auto"/>
        </w:rPr>
      </w:pPr>
    </w:p>
    <w:p>
      <w:pPr>
        <w:ind w:left="1040" w:right="280" w:hanging="519"/>
        <w:spacing w:after="0" w:line="286"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established the Medicare Part D coverage gap discount program by requiring manufacturers to provide a 50% (and 70% starting January 1, 2019) point-of-sale-discount off the negotiated price of applicable brand drugs to eligible beneficiaries during their coverage gap period as a condition for the manufacturers’ outpatient drugs to be covered under Medicare Part D; and</w:t>
      </w:r>
    </w:p>
    <w:p>
      <w:pPr>
        <w:spacing w:after="0" w:line="57" w:lineRule="exact"/>
        <w:rPr>
          <w:rFonts w:ascii="Arial" w:cs="Arial" w:eastAsia="Arial" w:hAnsi="Arial"/>
          <w:sz w:val="17"/>
          <w:szCs w:val="17"/>
          <w:color w:val="auto"/>
        </w:rPr>
      </w:pPr>
    </w:p>
    <w:p>
      <w:pPr>
        <w:ind w:left="1040" w:right="1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Since enactment of the ACA, there have been,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9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This decision is under review by the U.S. Supreme Court during its current term. The full effects of this gap in reimbursement on third-party payors, the viability of the ACA marketplace, providers, and potentially our business, are not yet known.</w:t>
      </w:r>
    </w:p>
    <w:p>
      <w:pPr>
        <w:spacing w:after="0" w:line="16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recently represented to the Court of Appeals considering this judgment that it does not oppose the lower court’s ruling. On July 10, 2019, the Court of Appeals for the Fifth Circuit heard oral argument in this case.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both"/>
        <w:ind w:right="100"/>
        <w:spacing w:after="0" w:line="259" w:lineRule="auto"/>
        <w:rPr>
          <w:sz w:val="20"/>
          <w:szCs w:val="20"/>
          <w:color w:val="auto"/>
        </w:rPr>
      </w:pPr>
      <w:r>
        <w:rPr>
          <w:rFonts w:ascii="Arial" w:cs="Arial" w:eastAsia="Arial" w:hAnsi="Arial"/>
          <w:sz w:val="18"/>
          <w:szCs w:val="18"/>
          <w:color w:val="auto"/>
        </w:rPr>
        <w:t>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79" w:lineRule="exact"/>
        <w:rPr>
          <w:sz w:val="20"/>
          <w:szCs w:val="20"/>
          <w:color w:val="auto"/>
        </w:rPr>
      </w:pPr>
    </w:p>
    <w:p>
      <w:pPr>
        <w:ind w:right="80" w:firstLine="518"/>
        <w:spacing w:after="0" w:line="285"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Administration issued a plan to lower drug prices. Under this blueprint for action, the Administration indicated that the Department of Health and Human Services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18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scientific advisory board includes physicians and scientists recognized as authorities in the areas of hematology, neurology, nephrology, ophthalmology and pulmonology. Our scientific advisory board meets annually and provides scientific and clinical insights and strategic guidance to us as we continue to advance our product candidates through research and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761"/>
        <w:spacing w:after="0" w:line="264" w:lineRule="auto"/>
        <w:rPr>
          <w:sz w:val="20"/>
          <w:szCs w:val="20"/>
          <w:color w:val="auto"/>
        </w:rPr>
      </w:pPr>
      <w:r>
        <w:rPr>
          <w:rFonts w:ascii="Arial" w:cs="Arial" w:eastAsia="Arial" w:hAnsi="Arial"/>
          <w:sz w:val="18"/>
          <w:szCs w:val="18"/>
          <w:color w:val="auto"/>
        </w:rPr>
        <w:t>As of December 31, 2019, we had 235 full-time or part-time employees, including 4 employees with M.D./Ph.D. degrees, 4 employees with an M.D. degree and 22 employees with Ph.D. degrees. None of our employees are represented by labor unions or covered by collective bargaining agreements. We consider the relationship with our employees to be good.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20" w:firstLine="761"/>
        <w:spacing w:after="0" w:line="264" w:lineRule="auto"/>
        <w:rPr>
          <w:sz w:val="20"/>
          <w:szCs w:val="20"/>
          <w:color w:val="auto"/>
        </w:rPr>
      </w:pPr>
      <w:r>
        <w:rPr>
          <w:rFonts w:ascii="Arial" w:cs="Arial" w:eastAsia="Arial" w:hAnsi="Arial"/>
          <w:sz w:val="18"/>
          <w:szCs w:val="18"/>
          <w:color w:val="auto"/>
        </w:rPr>
        <w:t>We were incorporated under the laws of the State of Delaware on September 25, 2009 under the name Apellis Pharmaceuticals, Inc. Effective January 1, 2020, our principal executive office is located at 100 Fifth Avenue, Waltham, Massachusetts and our telephone number is 617-977-5700. Previously our principal executive office was located in Crestwood, Kentucky.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40" w:firstLine="761"/>
        <w:spacing w:after="0" w:line="264" w:lineRule="auto"/>
        <w:rPr>
          <w:sz w:val="20"/>
          <w:szCs w:val="20"/>
          <w:color w:val="auto"/>
        </w:rPr>
      </w:pPr>
      <w:r>
        <w:rPr>
          <w:rFonts w:ascii="Arial" w:cs="Arial" w:eastAsia="Arial" w:hAnsi="Arial"/>
          <w:sz w:val="18"/>
          <w:szCs w:val="18"/>
          <w:color w:val="auto"/>
        </w:rPr>
        <w:t>We file reports and other information with the Securities and Exchange Commission as required by the Securities Exchange Act of 1934, as amended, which we refer to as the Exchange Act. You can review our electronically filed reports and other information that we file with the SEC on the SEC’s web site at http://www.sec.gov.</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ind w:right="20" w:firstLine="761"/>
        <w:spacing w:after="0" w:line="297" w:lineRule="auto"/>
        <w:rPr>
          <w:sz w:val="20"/>
          <w:szCs w:val="20"/>
          <w:color w:val="auto"/>
        </w:rPr>
      </w:pPr>
      <w:r>
        <w:rPr>
          <w:rFonts w:ascii="Arial" w:cs="Arial" w:eastAsia="Arial" w:hAnsi="Arial"/>
          <w:sz w:val="16"/>
          <w:szCs w:val="16"/>
          <w:color w:val="auto"/>
        </w:rPr>
        <w:t>Our website address is www.apellis.com.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spacing w:after="0" w:line="266" w:lineRule="exact"/>
        <w:rPr>
          <w:sz w:val="20"/>
          <w:szCs w:val="20"/>
          <w:color w:val="auto"/>
        </w:rPr>
      </w:pPr>
    </w:p>
    <w:p>
      <w:pPr>
        <w:ind w:right="180" w:firstLine="761"/>
        <w:spacing w:after="0" w:line="277" w:lineRule="auto"/>
        <w:rPr>
          <w:sz w:val="20"/>
          <w:szCs w:val="20"/>
          <w:color w:val="auto"/>
        </w:rPr>
      </w:pPr>
      <w:r>
        <w:rPr>
          <w:rFonts w:ascii="Arial" w:cs="Arial" w:eastAsia="Arial" w:hAnsi="Arial"/>
          <w:sz w:val="18"/>
          <w:szCs w:val="18"/>
          <w:color w:val="auto"/>
        </w:rPr>
        <w:t>The foregoing references to our website are not intended to, nor shall they be deemed to, incorporate information on our website into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Annual Report on Form 10-K and in other documents that we file with the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at least the next several years, and may never achieve or maintain profitability.</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have incurred significant annual net operating losses in every year since our inception. We expect to continue to incur significant and increasing net operating losses for at least the next several years. Our net losses were $51.0 million, $127.5 million and $304.7 million for the years ended December 31, 2017, 2018 and 2019, respectively. As of December 31, 2019, we had an accumulated deficit of $581.5 million. We have not generated any revenues from product sales, have not completed the development of any product candidate and may never have a product candidate approved for commercialization. We have financed our operations to date primarily through the sale of our common stock in our initial public offering and subsequent follow-on offerings, the sale of convertible notes, private placements of our preferred stock, the development funding agreement with SFJ Pharmaceuticals Group, or SFJ, borrowings under a term loan facility and the issuance and sale of a promissory note.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stockholders’ equity and working capital.</w:t>
      </w:r>
    </w:p>
    <w:p>
      <w:pPr>
        <w:spacing w:after="0" w:line="16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 our current and new indications with our lead product candidate, pegcetacoplan;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continue research and preclinical and clinical development efforts for any future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 for complement-dependent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in the future to commercialize any products for which we may obtain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manufacture of larger quantities of product candidates for clinical development and, potentially, commercialization;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help us comply with our obligations as a public company;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programs.</w:t>
      </w:r>
    </w:p>
    <w:p>
      <w:pPr>
        <w:spacing w:after="0" w:line="200" w:lineRule="exact"/>
        <w:rPr>
          <w:sz w:val="20"/>
          <w:szCs w:val="20"/>
          <w:color w:val="auto"/>
        </w:rPr>
      </w:pPr>
    </w:p>
    <w:p>
      <w:pPr>
        <w:spacing w:after="0" w:line="24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Our ability to become and remain profitable depends on our ability to generate revenue. We do not expect to generate significant revenue unless and until we are, or any future collaborator is, able to obtain marketing approval for, and successfully commercialize,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0" w:name="page41"/>
    <w:bookmarkEnd w:id="40"/>
    <w:p>
      <w:pPr>
        <w:ind w:right="60"/>
        <w:spacing w:after="0" w:line="289" w:lineRule="auto"/>
        <w:rPr>
          <w:sz w:val="20"/>
          <w:szCs w:val="20"/>
          <w:color w:val="auto"/>
        </w:rPr>
      </w:pPr>
      <w:r>
        <w:rPr>
          <w:rFonts w:ascii="Arial" w:cs="Arial" w:eastAsia="Arial" w:hAnsi="Arial"/>
          <w:sz w:val="16"/>
          <w:szCs w:val="16"/>
          <w:color w:val="auto"/>
        </w:rPr>
        <w:t>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future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spacing w:after="0" w:line="2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not yet successfully obtained marketing approvals nor commercialized pharmaceutical products, which may make it difficult to evaluate our future prospects.</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Our operations to date have been limited to financing and staffing our company, developing our technology and conducting preclinical research and Phase 1, Phase 2 and Phase 3 clinical trials for our product candidates. However, although we have begun planning commercial activities, we have not yet demonstrated an ability to successfully obtain marketing approvals, manufacture a commercial-scale product, or arrange for a third party to do so on our behalf, or conduct sales and marketing activities necessary for successful product commercialization. Accordingly, our stockholders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7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28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p>
    <w:p>
      <w:pPr>
        <w:spacing w:after="0" w:line="2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27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have consumed substantial amounts of cash since our inception. For example, in the years ended December 31, 2017, 2018 and 2019, we used net cash of $46.6 million, $131.2 million and $211.1 million respectively, in our operating activities substantially all of which related to research and development activities. As of December 31, 2019, our cash and cash equivalents were $352.0 million. We expect our expenses to increase in connection with our ongoing activities, particularly as we initiate new clinical trials of, initiate new research and preclinical development efforts for and seek marketing approval for, our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future collaborator. Furthermore, we incur significant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27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will be required to expend significant funds in order to advance the development of pegcetacoplan in multiple disease areas, as well as other product candidates we may seek to develop. In addition, while we may seek one or more collaborators for future development of our product candidates for one or more indications, we may not be able to enter into a collaboration for any of our product candidates for such indications on suitable terms, on a timely basis or at all. In any event, our existing cash and cash equivalents will not be sufficient to complete all of our ongoing Phase 3 clinical trials of pegcetacoplan or to complete development of pegcetacoplan or any of our other product candidates. Accordingly, we will be required to obtain further funding through public or private equity offerings, debt financings, collaborations and licensing arrangements or other sources to achieve our business objectives. We do not have any committed external source of funds. Adequate additional financing may not be available to us 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acceptable terms, or at all. Our failure to raise capital as and when needed would have a negative impact on our financial condition and our ability to pursue our business strategy.</w:t>
      </w:r>
    </w:p>
    <w:p>
      <w:pPr>
        <w:spacing w:after="0" w:line="17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at least into mid-2021. Our estimate as to how long we expect our cash and cash equivalents to be able to continue to fund our operations is based on assumptions that may prove to be wrong, and we could use our available capital resources sooner than we currently expect. Although we expect that our cash and cash equivalents will allow us to announce top-line data on the primary efficacy endpoint in our DERBY and OAKS trials, we would not be able to complete the 24 month observation intervals for the DERBY and OAKS clinical trials or complete the clinical and commercial development of pegcetacoplan or any of our other product candidates. Further, changing circumstances, some of which may be beyond our control, could cause us to consume capital significantly faster than we currently anticipate, and we may need to seek additional funds sooner than planned. Our future funding requirements, will depend on many factors, including:</w:t>
      </w:r>
    </w:p>
    <w:p>
      <w:pPr>
        <w:spacing w:after="0" w:line="84" w:lineRule="exact"/>
        <w:rPr>
          <w:sz w:val="20"/>
          <w:szCs w:val="20"/>
          <w:color w:val="auto"/>
        </w:rPr>
      </w:pPr>
    </w:p>
    <w:p>
      <w:pPr>
        <w:ind w:left="1020" w:right="280" w:hanging="377"/>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pegcetacoplan, APL-9 and future product candidates;</w:t>
      </w:r>
    </w:p>
    <w:p>
      <w:pPr>
        <w:spacing w:after="0" w:line="62" w:lineRule="exact"/>
        <w:rPr>
          <w:rFonts w:ascii="Arial" w:cs="Arial" w:eastAsia="Arial" w:hAnsi="Arial"/>
          <w:sz w:val="18"/>
          <w:szCs w:val="18"/>
          <w:color w:val="auto"/>
        </w:rPr>
      </w:pPr>
    </w:p>
    <w:p>
      <w:pPr>
        <w:ind w:left="1020" w:right="340" w:hanging="377"/>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a collaborator for any of our product candidates and the terms and timing of any collaboration agreement that we may establish for the development and any commercialization of such product candidates;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future product candidates that we pursue and their development requirements;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timing and costs of clinical trials and of seeking regulatory approvals;</w:t>
      </w:r>
    </w:p>
    <w:p>
      <w:pPr>
        <w:spacing w:after="0" w:line="117" w:lineRule="exact"/>
        <w:rPr>
          <w:rFonts w:ascii="Arial" w:cs="Arial" w:eastAsia="Arial" w:hAnsi="Arial"/>
          <w:sz w:val="18"/>
          <w:szCs w:val="18"/>
          <w:color w:val="auto"/>
        </w:rPr>
      </w:pPr>
    </w:p>
    <w:p>
      <w:pPr>
        <w:ind w:left="1020" w:right="220" w:hanging="377"/>
        <w:spacing w:after="0" w:line="264"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73"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to receipt of marketing approval, revenue, if any, received from commercial sales of our current and future product candidates;</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20" w:right="440" w:hanging="377"/>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adequate reimbursement for any product we commercialize;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expect our expenses to increase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 anti-dilution protections that could adversely affect the rights of our common stockholders. In addition, additional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For example, under our development funding agreement with SFJ, as amended, we have agreed that following regulatory approval by the U.S. Food and Drug Administration, or FDA, or the European Medicines Agency, or EMA, for the use of pegcetacoplan as a treatment for paroxysmal-nocturnal hemoglobinuria, or PNH we will pay to SFJ an initial payment of up to $5.0 million (or up to a total of $10.0 million if regulatory approval is granted by the FDA and the EMA) and then up to an additional $226.0 million in the aggregate (or up to $452.0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$120.0 million (including as a result of the payment of the Additional SFJ Funding but excluding the $20.0 million funding payment made under the SFJ amendment). Additionally, we granted a security interest in all of our assets, excluding our intellectual property and license agreements to which we are a party. In connection with the grant of the security interest, we agreed to certain affirmative and negative covenants, including restrictions on our ability to pay dividends, incur additional debt or enter into licensing transactions with respect to our intellectual property other than specified types of licenses.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right="20" w:firstLine="518"/>
        <w:spacing w:after="0" w:line="286" w:lineRule="auto"/>
        <w:rPr>
          <w:sz w:val="20"/>
          <w:szCs w:val="20"/>
          <w:color w:val="auto"/>
        </w:rPr>
      </w:pPr>
      <w:r>
        <w:rPr>
          <w:rFonts w:ascii="Arial" w:cs="Arial" w:eastAsia="Arial" w:hAnsi="Arial"/>
          <w:sz w:val="17"/>
          <w:szCs w:val="17"/>
          <w:color w:val="auto"/>
        </w:rPr>
        <w:t>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6"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8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If we receive regulatory approval for the use of pegcetacoplan as a treatment for PNH or if our agreement with SFJ is terminated prior to receiving such approval in specified circumstances, we will be required to make substantial payments to SFJ pursuant to our development funding agreement. If we do not have sufficient funding or cash flow from our business to meet our</w:t>
      </w:r>
    </w:p>
    <w:p>
      <w:pPr>
        <w:ind w:right="2120"/>
        <w:spacing w:after="0" w:line="261" w:lineRule="auto"/>
        <w:rPr>
          <w:sz w:val="20"/>
          <w:szCs w:val="20"/>
          <w:color w:val="auto"/>
        </w:rPr>
      </w:pPr>
      <w:r>
        <w:rPr>
          <w:rFonts w:ascii="Arial" w:cs="Arial" w:eastAsia="Arial" w:hAnsi="Arial"/>
          <w:sz w:val="18"/>
          <w:szCs w:val="18"/>
          <w:b w:val="1"/>
          <w:bCs w:val="1"/>
          <w:i w:val="1"/>
          <w:iCs w:val="1"/>
          <w:color w:val="auto"/>
        </w:rPr>
        <w:t>payment obligations under the development funding agreement, SFJ could exercise its remedies as a holder of a first priority security interest in our assets and our business could be materially harmed.</w:t>
      </w:r>
    </w:p>
    <w:p>
      <w:pPr>
        <w:spacing w:after="0" w:line="197" w:lineRule="exact"/>
        <w:rPr>
          <w:sz w:val="20"/>
          <w:szCs w:val="20"/>
          <w:color w:val="auto"/>
        </w:rPr>
      </w:pPr>
    </w:p>
    <w:p>
      <w:pPr>
        <w:ind w:right="1760" w:firstLine="518"/>
        <w:spacing w:after="0" w:line="271" w:lineRule="auto"/>
        <w:rPr>
          <w:sz w:val="20"/>
          <w:szCs w:val="20"/>
          <w:color w:val="auto"/>
        </w:rPr>
      </w:pPr>
      <w:r>
        <w:rPr>
          <w:rFonts w:ascii="Arial" w:cs="Arial" w:eastAsia="Arial" w:hAnsi="Arial"/>
          <w:sz w:val="17"/>
          <w:szCs w:val="17"/>
          <w:color w:val="auto"/>
        </w:rPr>
        <w:t>If we receive regulatory approval for the use of pegcetacoplan as a treatment for PNH, we will be required to make substantial payments to SFJ pursuant to our development funding agreement. In addition, if the agreement is terminated prior to obtaining regulatory approval for the treatment of PNH, under specified circumstances, we also will be required to make substantial payments to SFJ. Our ability to make these required payments depends on our future performance, which is subject to economic, financial, competitive and other factors beyond our control. Our business may generate cash flow from operations in the future sufficient to meet our obligations under the development funding agreement. If we are unable to generate such cash flow or to obtain additional funding through public or private equity offerings, debt financings, collaborations and licensing arrangements or other sources on acceptable terms or at all, we could default on our payment obligations to SFJ.</w:t>
      </w:r>
    </w:p>
    <w:p>
      <w:pPr>
        <w:spacing w:after="0" w:line="19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Our payment obligations to SFJ could have significant consequences for our security holders and our business, results of operations and financial condition by, among other things:</w:t>
      </w:r>
    </w:p>
    <w:p>
      <w:pPr>
        <w:spacing w:after="0" w:line="130"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84" w:lineRule="exact"/>
        <w:rPr>
          <w:rFonts w:ascii="Arial" w:cs="Arial" w:eastAsia="Arial" w:hAnsi="Arial"/>
          <w:sz w:val="18"/>
          <w:szCs w:val="18"/>
          <w:color w:val="auto"/>
        </w:rPr>
      </w:pPr>
    </w:p>
    <w:p>
      <w:pPr>
        <w:ind w:left="760" w:right="54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meet our obligations under the development funding agreement, which will reduce the amount of cash available for other purposes; and</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8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to SFJ, and our cash needs may increase in the future.</w:t>
      </w:r>
    </w:p>
    <w:p>
      <w:pPr>
        <w:spacing w:after="0" w:line="14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granted SFJ a first priority security interest in all of our assets other than our intellectual property and the license agreements to which we are a party. If we are unable to meet our payment obligations to SFJ, SFJ may exercise its remedies as a holder of a first priority security interest, which would result in a loss of our assets and our business would be materially harmed.</w:t>
      </w:r>
    </w:p>
    <w:p>
      <w:pPr>
        <w:spacing w:after="0" w:line="30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Our indebtedness could limit the cash flow available for our operations, expose us to risks that could adversely affect our business, financial condition and results of operations and impair our ability to satisfy our obligations under the Convertible Notes.</w:t>
      </w:r>
    </w:p>
    <w:p>
      <w:pPr>
        <w:spacing w:after="0" w:line="106"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We incurred $220.0 million of indebtedness as a result of the sale of the convertible notes in September 2019, or the Convertible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41" w:lineRule="exact"/>
        <w:rPr>
          <w:sz w:val="20"/>
          <w:szCs w:val="20"/>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8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ind w:left="760" w:hanging="374"/>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diluting the interests of our existing stockholders as a result of issuing shares of our common stock upon conversion of the Convertible Notes; and</w:t>
      </w:r>
    </w:p>
    <w:p>
      <w:pPr>
        <w:spacing w:after="0" w:line="207" w:lineRule="exact"/>
        <w:rPr>
          <w:rFonts w:ascii="Arial" w:cs="Arial" w:eastAsia="Arial" w:hAnsi="Arial"/>
          <w:sz w:val="16"/>
          <w:szCs w:val="16"/>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8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the Convertible Notes, and our cash needs may increase in the future.</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Servicing the Convertible Notes will require a significant amount of cash, and we may not have sufficient cash flow from our business to make payments on the Convertible Notes.</w:t>
      </w:r>
    </w:p>
    <w:p>
      <w:pPr>
        <w:spacing w:after="0" w:line="143" w:lineRule="exact"/>
        <w:rPr>
          <w:sz w:val="20"/>
          <w:szCs w:val="20"/>
          <w:color w:val="auto"/>
        </w:rPr>
      </w:pPr>
    </w:p>
    <w:p>
      <w:pPr>
        <w:ind w:right="260" w:firstLine="518"/>
        <w:spacing w:after="0" w:line="293" w:lineRule="auto"/>
        <w:rPr>
          <w:sz w:val="20"/>
          <w:szCs w:val="20"/>
          <w:color w:val="auto"/>
        </w:rPr>
      </w:pPr>
      <w:r>
        <w:rPr>
          <w:rFonts w:ascii="Arial" w:cs="Arial" w:eastAsia="Arial" w:hAnsi="Arial"/>
          <w:sz w:val="16"/>
          <w:szCs w:val="16"/>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2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Convertible Notes in cash or to repurchase the Convertible Notes upon a fundamental change, and our future debt may contain limitations on our ability to pay cash upon conversion or repurchase of the Convertible Notes.</w:t>
      </w:r>
    </w:p>
    <w:p>
      <w:pPr>
        <w:spacing w:after="0" w:line="14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Holders of the Convertible Notes have the right to require us to repurchase all or a portion of their Convertible Notes upon the occurrence of a fundamental change at a price equal to the principal amount of the Convertible Notes to be repurchased, plus accrued and unpaid interest. In addition,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Convertible Notes being converted.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Convertible Notes, if triggered, may adversely affect our financial condition and operating results.</w:t>
      </w:r>
    </w:p>
    <w:p>
      <w:pPr>
        <w:spacing w:after="0" w:line="196"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do not elect to convert their Convertible Notes, we could be required under applicable accounting rules to reclassify all or a portion of the outstanding principal amount of the Convertible Notes as a current rather than long-term liability, which would result in a material reduction of our net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convertible debt securities could have a material effect on our reported financial results.</w:t>
      </w:r>
    </w:p>
    <w:p>
      <w:pPr>
        <w:spacing w:after="0" w:line="198"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In May 2008, the Financial Accounting Standards Board, or FASB, issued FASB Staff Position No. APB 14-1, Accounting for Convertible Debt Instruments That May Be Settled in Cash Upon Conversion (Including Partial Cash Settlement), which has subsequently been codified as Accounting Standards Codification 470-20, Debt with Conversion and Other Options, or ASC 470-20. Under ASC 470-20, an entity must separately account for the liability and equity components of the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in our financial results because ASC 470-20 will require interest to include both the current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ind w:right="480"/>
        <w:spacing w:after="0" w:line="277" w:lineRule="auto"/>
        <w:rPr>
          <w:sz w:val="20"/>
          <w:szCs w:val="20"/>
          <w:color w:val="auto"/>
        </w:rPr>
      </w:pPr>
      <w:r>
        <w:rPr>
          <w:rFonts w:ascii="Arial" w:cs="Arial" w:eastAsia="Arial" w:hAnsi="Arial"/>
          <w:sz w:val="18"/>
          <w:szCs w:val="18"/>
          <w:color w:val="auto"/>
        </w:rPr>
        <w:t>period’s amortization of the debt discount and the instrument’s coupon interest, which could adversely affect our reported or future financial results, the trading price of our common stock and the trading price of the Convertible Notes.</w:t>
      </w:r>
    </w:p>
    <w:p>
      <w:pPr>
        <w:spacing w:after="0" w:line="13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275"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In July 2019, the FASB issued an exposure draft that proposes to change the accounting for the convertible debt instruments described above. Under the exposure draft, an entity may no longer be required to separately account for the liability and equity components of convertible debt instruments. This could have the impact of reducing non-cash interest expense, and thereby increasing net income. Additionally, as currently proposed, the treasury stock method for calculating earnings per share will no longer be allowed for convertible debt instruments whose principal amount may be settled using shares. Rather, the if-converted method may be required, which would decrease our diluted weighted-average earnings per share. We cannot be sure that this exposure draft will be issued, or will be issued in its current format. We also cannot be sure whether other changes may be made to the current accounting standards related to the Convertible Notes, or otherwise, that could have an adverse impact on our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There are no approved therapies that act by inhibiting C3, and we may not be able to successfully develop and commercialize pegcetacoplan or other product candidates.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Pegcetacoplan is a novel therapeutic compound and its potential benefit in controlling autoimmune and inflammatory diseases has not been established. Pegcetacoplan is designed to control disease through inhibition of C3. There are no approved therapies that act by inhibiting C3 and only one approved therapy that acts by inhibiting the complement system. As a result, pegcetacoplan may not demonstrate in patients any or all of the pharmacological benefits we believe it may possess. We have not yet demonstrated efficacy and safety for pegcetacoplan or any other product candidates in a pivotal trial or obtained marketing approval of any product candidate. We have evaluated pegcetacoplan in preclinical studies and in clinical trials, and have advanced pegcetacoplan into Phase 3 clinical development in geographic atrophy, or GA, PNH, but we have not obtained regulatory approval to sell any product based on our therapeutic approaches.</w:t>
      </w:r>
    </w:p>
    <w:p>
      <w:pPr>
        <w:spacing w:after="0" w:line="189" w:lineRule="exact"/>
        <w:rPr>
          <w:sz w:val="20"/>
          <w:szCs w:val="20"/>
          <w:color w:val="auto"/>
        </w:rPr>
      </w:pPr>
    </w:p>
    <w:p>
      <w:pPr>
        <w:ind w:right="200" w:firstLine="518"/>
        <w:spacing w:after="0" w:line="258"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pegcetacoplan or any other product candidate, commercialize products, raise capital, expand our business or continue our operations.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We are dependent on the successful development and commercialization of our lead product candidate, </w:t>
      </w:r>
      <w:r>
        <w:rPr>
          <w:rFonts w:ascii="Arial" w:cs="Arial" w:eastAsia="Arial" w:hAnsi="Arial"/>
          <w:sz w:val="18"/>
          <w:szCs w:val="18"/>
          <w:color w:val="auto"/>
        </w:rPr>
        <w:t>pegcetacoplan</w:t>
      </w:r>
      <w:r>
        <w:rPr>
          <w:rFonts w:ascii="Arial" w:cs="Arial" w:eastAsia="Arial" w:hAnsi="Arial"/>
          <w:sz w:val="18"/>
          <w:szCs w:val="18"/>
          <w:b w:val="1"/>
          <w:bCs w:val="1"/>
          <w:i w:val="1"/>
          <w:iCs w:val="1"/>
          <w:color w:val="auto"/>
        </w:rPr>
        <w:t>. If we are unable to develop, obtain marketing approval for or successfully commercialize this product candidate, either alone or through a collaboration, or if we experience significant delays in doing so, our business could be harmed.</w:t>
      </w:r>
    </w:p>
    <w:p>
      <w:pPr>
        <w:spacing w:after="0" w:line="8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currently have no products approved for sale and are investing a significant portion of our efforts and financial resources to fund the development of pegcetacoplan. Our prospects are substantially dependent on our ability, or that of any future collaborator, to develop, obtain marketing approval for and successfully commercialize pegcetacoplan in one or more disease indications.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pegcetacoplan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recruitment of patients, enrollment in and completion of our ongoing and planned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and successful recruitment of patients, enrollment in and completion of additional clinical trials;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040" w:right="10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suppliers and manufacturers of raw materials and drug intermediates;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products that are appropriately packaged for sale;</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validating and maintaining a commercially viable manufacturing process that is compliant with current good manufacturing practices, or cGMPs;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pegcetacoplan drug product from third-party manufacturers of sufficient quality to be used in our clinical trials and for commercial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acceptable safety profile following any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acceptance of our products, if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other therapies;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future collaborator. If we are unable to develop, receive marketing approval for and successfully commercialize pegcetacoplan or another product candidate, on our own or with any future collaborator, or experience delays as a result of any of these factors or otherwise, our business could be substantially harmed.</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clinical trials of our product candidates fail to satisfactorily demonstrate safety and efficacy to the FDA and other regulators, we, or any future collaborators, may incur additional costs or experience delays in completing, or ultimately be unable to complete, the development and commercialization of these product candidates.</w:t>
      </w:r>
    </w:p>
    <w:p>
      <w:pPr>
        <w:spacing w:after="0" w:line="141"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We, and any future collaborators, are not permitted to commercialize, market, promote or sell any product candidate in the United States without obtaining marketing approval from the FDA. Foreign regulatory authorities, such as the EMA, impose similar requirements. We have not previously submitted a new drug application, or NDA, to the FDA or similar drug approval filings to comparable foreign regulatory authorities for any of our product candidates. We, and any future collaborators, may never receive such approvals. We, and any future collaborators, must complete extensive preclinical development and clinical trials to demonstrate the safety and efficacy of our product candidates in humans before we will be able to obtain these approvals.</w:t>
      </w:r>
    </w:p>
    <w:p>
      <w:pPr>
        <w:spacing w:after="0" w:line="13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34" w:lineRule="exact"/>
        <w:rPr>
          <w:sz w:val="20"/>
          <w:szCs w:val="20"/>
          <w:color w:val="auto"/>
        </w:rPr>
      </w:pPr>
    </w:p>
    <w:p>
      <w:pPr>
        <w:ind w:right="600" w:firstLine="571"/>
        <w:spacing w:after="0" w:line="277" w:lineRule="auto"/>
        <w:rPr>
          <w:sz w:val="20"/>
          <w:szCs w:val="20"/>
          <w:color w:val="auto"/>
        </w:rPr>
      </w:pPr>
      <w:r>
        <w:rPr>
          <w:rFonts w:ascii="Arial" w:cs="Arial" w:eastAsia="Arial" w:hAnsi="Arial"/>
          <w:sz w:val="18"/>
          <w:szCs w:val="18"/>
          <w:color w:val="auto"/>
        </w:rPr>
        <w:t>In October 2018, we announced that we voluntarily implemented a pause in dosing in our Phase 3 clinical program in patients with GA due to observed cases of non-infectious inflammation in patients treated from a single manufacturing lot of pegcetacoplan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right="20"/>
        <w:spacing w:after="0" w:line="290" w:lineRule="auto"/>
        <w:rPr>
          <w:sz w:val="20"/>
          <w:szCs w:val="20"/>
          <w:color w:val="auto"/>
        </w:rPr>
      </w:pPr>
      <w:r>
        <w:rPr>
          <w:rFonts w:ascii="Arial" w:cs="Arial" w:eastAsia="Arial" w:hAnsi="Arial"/>
          <w:sz w:val="16"/>
          <w:szCs w:val="16"/>
          <w:color w:val="auto"/>
        </w:rPr>
        <w:t xml:space="preserve">intravitreal drug product. We also voluntarily implemented a pause in our Phase 1b/2 trial of pegcetacoplan in patients with wet AMD, which we subsequently discontinued. A total of eight patients, four in the Phase 3 GA program and four in our Phase 1b/2 clinical trial of pegcetacoplan in patients with wet AMD, were treated with pegcetacoplan from this manufacturing lot and each patient developed non-infectious inflammation. Inflammation in all eight patients completely resolved. We reviewed these events with the data safety monitoring board for the ophthalmology program, conducted a series of non-human studies and introduced improvements to the manufacturing process. Based on these efforts, we believe that the likely </w:t>
      </w:r>
      <w:r>
        <w:rPr>
          <w:rFonts w:ascii="Arial" w:cs="Arial" w:eastAsia="Arial" w:hAnsi="Arial"/>
          <w:sz w:val="16"/>
          <w:szCs w:val="16"/>
          <w:color w:val="111111"/>
        </w:rPr>
        <w:t>source of inflammation resided</w:t>
      </w:r>
      <w:r>
        <w:rPr>
          <w:rFonts w:ascii="Arial" w:cs="Arial" w:eastAsia="Arial" w:hAnsi="Arial"/>
          <w:sz w:val="16"/>
          <w:szCs w:val="16"/>
          <w:color w:val="auto"/>
        </w:rPr>
        <w:t xml:space="preserve"> </w:t>
      </w:r>
      <w:r>
        <w:rPr>
          <w:rFonts w:ascii="Arial" w:cs="Arial" w:eastAsia="Arial" w:hAnsi="Arial"/>
          <w:sz w:val="16"/>
          <w:szCs w:val="16"/>
          <w:color w:val="111111"/>
        </w:rPr>
        <w:t xml:space="preserve">in an impurity in the active pharmaceutical ingredient </w:t>
      </w:r>
      <w:r>
        <w:rPr>
          <w:rFonts w:ascii="Arial" w:cs="Arial" w:eastAsia="Arial" w:hAnsi="Arial"/>
          <w:sz w:val="16"/>
          <w:szCs w:val="16"/>
          <w:color w:val="000000"/>
        </w:rPr>
        <w:t>that was introduced by the scale-up of the manufacturing process to produce commercial lot sizes. We</w:t>
      </w:r>
      <w:r>
        <w:rPr>
          <w:rFonts w:ascii="Arial" w:cs="Arial" w:eastAsia="Arial" w:hAnsi="Arial"/>
          <w:sz w:val="16"/>
          <w:szCs w:val="16"/>
          <w:color w:val="111111"/>
        </w:rPr>
        <w:t xml:space="preserve"> </w:t>
      </w:r>
      <w:r>
        <w:rPr>
          <w:rFonts w:ascii="Arial" w:cs="Arial" w:eastAsia="Arial" w:hAnsi="Arial"/>
          <w:sz w:val="16"/>
          <w:szCs w:val="16"/>
          <w:color w:val="000000"/>
        </w:rPr>
        <w:t>modified our manufacturing process in order to eliminate the impurity and have manufactured sufficient supply of pegcetacoplan utilizing the modified manufacturing process to conduct the Phase 3 GA program. In March 2019, we restarted enrollment of our Phase 3 clinical program in GA</w:t>
      </w:r>
      <w:r>
        <w:rPr>
          <w:rFonts w:ascii="Arial" w:cs="Arial" w:eastAsia="Arial" w:hAnsi="Arial"/>
          <w:sz w:val="16"/>
          <w:szCs w:val="16"/>
          <w:color w:val="111111"/>
        </w:rPr>
        <w:t>.</w:t>
      </w:r>
    </w:p>
    <w:p>
      <w:pPr>
        <w:spacing w:after="0" w:line="13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any future collaborators, and impair our ability to generate revenues from product sales, regulatory and commercialization milestones and royalties. Moreover, if we, or any future collaborators, are required to conduct additional clinical trials or other testing of our product candidates beyond the trials and testing that we or they contemplate, if we or they are unable to successfully complete clinical trials of our product candidates or other testing or the results of these trials or tests are unfavorable, uncertain or are only modestly favorable, or there are unacceptable safety concerns associated with our product candidates, we, or any future collaborators may:</w:t>
      </w:r>
    </w:p>
    <w:p>
      <w:pPr>
        <w:spacing w:after="0" w:line="85"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unplanned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significant safety warnings, including boxed warnings;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addition, investigators for our clinical trials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6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27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Adverse events or undesirable side effects caused by, or other unexpected properties of, any of our product candidates may be identified during development that could delay or prevent their marketing approval or limit their use.</w:t>
      </w:r>
    </w:p>
    <w:p>
      <w:pPr>
        <w:spacing w:after="0" w:line="13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Adverse events or undesirable side effects caused by, or other unexpected properties of, our product candidates could cause us, any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pegcetacoplan has immunosuppressive effects and, in some cases, may be administered to patients with underlying significantly compromised health. Administration of our product candidates could make patients more susceptible to infection.</w:t>
      </w:r>
    </w:p>
    <w:p>
      <w:pPr>
        <w:spacing w:after="0" w:line="13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addition, in preclinical studies of pegcetacoplan, we observed evidence of minimal to mild kidney toxicity when animals were administered relatively higher doses of pegcetacoplan than the doses we intend to use in the treatment of patients. We believe this kidney toxicity is likely associated with the presence of polyethylene glycol, or PEG, which is a component of pegcetacoplan. If such kidney toxicity, or other adverse effects, were to arise in patients being treated with pegcetacoplan or any other of our product candidates, it could require us to halt, delay or interrupt clinical trials of such product candidate or adversely affect our ability to obtain requisite approvals to advance the development and commercialization of such product candidate.</w:t>
      </w:r>
    </w:p>
    <w:p>
      <w:pPr>
        <w:spacing w:after="0" w:line="13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our Phase 2 trial of pegcetacoplan in patients with GA, the most frequently reported adverse events were associated with the injection procedure in the study eye. These adverse events included two cases of confirmed endophthalmitis, which is inflammation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7" w:name="page48"/>
    <w:bookmarkEnd w:id="47"/>
    <w:p>
      <w:pPr>
        <w:spacing w:after="0" w:line="270" w:lineRule="auto"/>
        <w:rPr>
          <w:sz w:val="20"/>
          <w:szCs w:val="20"/>
          <w:color w:val="auto"/>
        </w:rPr>
      </w:pPr>
      <w:r>
        <w:rPr>
          <w:rFonts w:ascii="Arial" w:cs="Arial" w:eastAsia="Arial" w:hAnsi="Arial"/>
          <w:sz w:val="17"/>
          <w:szCs w:val="17"/>
          <w:color w:val="auto"/>
        </w:rPr>
        <w:t>the eye typically caused by infection, and one case of presumed endophthalmitis where the culture tested negative for bacterial growth. In addition, during the 12-month treatment period and the subsequent six-month period during which no treatment was administered, we observed a higher incidence of new onset exudation, or fluid leakage in the retinas of eyes in which exudation had not previously been reported, in the study eyes treated with pegcetacoplan, predominantly in patients with a history of wet AMD in the non-study eye, or fellow eye. Specifically, we observed that, after the 12 month treatment period and the six-month monitoring period, 21% of patients who received administration of pegcetacoplan every month and 9% of patients who received administration of pegcetacoplan every other month showed new onset exudation in the study eye as compared to 1% of the sham group. As we continue development of pegcetacoplan for GA, if a significant number of patients develop new onset exudation, then we may need to limit development of intravitreal pegcetacoplan to certain uses or subpopulations in which the undesirable side effects or other characteristics are less prevalent, less severe or more acceptable from a risk-benefit perspective.</w:t>
      </w:r>
    </w:p>
    <w:p>
      <w:pPr>
        <w:spacing w:after="0" w:line="155"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In our Phase 3 clinical trial of pegcetacoplan in patients with GA and our Phase 1b/2 clinical trial of pegcetacoplan in patients with wet AMD, several patients treated from a single manufacturing lot of pegcetacoplan intravitreal drug product experienced non-infectious inflammation. A total of eight patients, four in our Phase 3 GA program and four in our Phase 1b/2 clinical trial of pegcetacoplan in patients with wet AMD, were treated with this pegcetacoplan from this manufacturing lot and each patient developed non-infectious inflammation. Inflammation in these patients has completely resolved.</w:t>
      </w:r>
    </w:p>
    <w:p>
      <w:pPr>
        <w:spacing w:after="0" w:line="168"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In our Phase 3 PEGASUS trial, the most common adverse events reported during the 16-week, randomized, controlled treatment period in the pegcetacoplan and eculizumab groups, respectively, were injection site reactions (36.6% vs. 2.6%), diarrhea (22.0% vs. 0%), headache (7.3% vs. 20.5%) and fatigue (4.9% vs. 15.4%). Another common adverse event was hemolysis, which was reported in four patients in the pegcetacoplan group (9.8%) and nine patients in the eculizumab group (23.1%) and which led to three discontinuations in pegcetacoplan group.</w:t>
      </w:r>
    </w:p>
    <w:p>
      <w:pPr>
        <w:spacing w:after="0" w:line="13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our Phase 1b trial of pegcetacoplan in patients receiving treatment with eculizumab, one serious adverse event was noted as possibly related to the administration of pegcetacoplan. The patient with this serious adverse event experienced liver pain and elevated liver enzyme levels. As a result, treatment with pegcetacoplan was temporarily discontinued but treatment with eculizumab continued. This discontinuation was followed by a recurrence of anemia and required a blood transfusion, and treatment with pegcetacoplan was reinitiated. Following resumption of treatment, the patient had surgery, which resulted in a lowering of liver enzyme levels. In late October 2017, in our Phase 1b trial of pegcetacoplan in treatment-naïve patients, we learned that one patient with concomitant aplastic anemia developed bone marrow failure after one year of treatment with pegcetacoplan. Treatment with pegcetacoplan was discontinued on November 14, 2017. The investigator determined that the bone marrow failure in this patient was not related to the administration of pegcetacoplan. Development of bone marrow failure is a known risk in patients with PNH. In third-party studies, bone marrow failure occurred in between 15% and 30% of PNH patients, regardless of treatment with eculizumab. However, there can be no assurance that the administration of pegcetacoplan could not have contributed to the bone marrow failure experienced by this patient.</w:t>
      </w:r>
    </w:p>
    <w:p>
      <w:pPr>
        <w:spacing w:after="0" w:line="13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addition, in our Phase 1b clinical trial of pegcetacoplan treatment naïve patients with PNH, one patient, who had been temporarily discontinued from dosing with pegcetacoplan due to an unrelated medical condition, experienced increased hemolysis and required a transfusion. This was classified as a serious adverse event unrelated to the administration of pegcetacoplan. This patient subsequently recovered and has resumed treatment with pegcetacoplan. We believe that a sudden discontinuation of pegcetacoplan may cause increased hemolysis in some patients. Another patient in this study had a hypersensitivity reaction which resolved without further complications, which was classified as a serious adverse event possibly related to the administration of pegcetacoplan.</w:t>
      </w:r>
    </w:p>
    <w:p>
      <w:pPr>
        <w:spacing w:after="0" w:line="30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If any of our product candidates is associated with adverse events or undesirable side effects or has properties that are unexpected, we, or any future collaborators, may need to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r>
        <w:rPr>
          <w:rFonts w:ascii="Arial" w:cs="Arial" w:eastAsia="Arial" w:hAnsi="Arial"/>
          <w:sz w:val="18"/>
          <w:szCs w:val="18"/>
          <w:i w:val="1"/>
          <w:iCs w:val="1"/>
          <w:color w:val="auto"/>
        </w:rPr>
        <w:t>.</w:t>
      </w:r>
    </w:p>
    <w:p>
      <w:pPr>
        <w:spacing w:after="0" w:line="16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 If safety problems occur or are identified after one of our products reaches the market, the FDA or comparable non-U.S. regulatory authorities may require that we amend the labeling of our product, recall our product, or even withdraw approval for our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8" w:name="page49"/>
    <w:bookmarkEnd w:id="48"/>
    <w:p>
      <w:pPr>
        <w:ind w:right="120"/>
        <w:spacing w:after="0" w:line="342" w:lineRule="auto"/>
        <w:rPr>
          <w:sz w:val="20"/>
          <w:szCs w:val="20"/>
          <w:color w:val="auto"/>
        </w:rPr>
      </w:pPr>
      <w:r>
        <w:rPr>
          <w:rFonts w:ascii="Arial" w:cs="Arial" w:eastAsia="Arial" w:hAnsi="Arial"/>
          <w:sz w:val="16"/>
          <w:szCs w:val="16"/>
          <w:b w:val="1"/>
          <w:bCs w:val="1"/>
          <w:i w:val="1"/>
          <w:iCs w:val="1"/>
          <w:color w:val="auto"/>
        </w:rPr>
        <w:t>If we, or any future collaborators,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6"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or any future collaborators, may experience numerous unforeseen events during, or as a result of, clinical trials that could delay or prevent clinical development, marketing approval or commercialization of our product candidates, including:</w:t>
      </w:r>
    </w:p>
    <w:p>
      <w:pPr>
        <w:spacing w:after="0" w:line="62"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or inconclusive results;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future collaborators, may decide, or regulators may require us or them, to conduct additional clinical trials or abandon product development programs;</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or any future collaborators, anticipate, patient enrollment in these clinical trials may be slower than we, or any future collaborators, anticipate or participants may drop out of these clinical trials at a higher rate than we, or any future collaborators, anticipate;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planned clinical trials of our product candidates may be greater than we anticipate;</w:t>
      </w:r>
    </w:p>
    <w:p>
      <w:pPr>
        <w:spacing w:after="0" w:line="117" w:lineRule="exact"/>
        <w:rPr>
          <w:rFonts w:ascii="Arial" w:cs="Arial" w:eastAsia="Arial" w:hAnsi="Arial"/>
          <w:sz w:val="18"/>
          <w:szCs w:val="18"/>
          <w:color w:val="auto"/>
        </w:rPr>
      </w:pPr>
    </w:p>
    <w:p>
      <w:pPr>
        <w:ind w:left="1040" w:hanging="519"/>
        <w:spacing w:after="0" w:line="31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third-party contractors or those of any future collaborators, including those manufacturing our product candidates or components or ingredients thereof or conducting clinical trials on our behalf or on behalf of any future collaborators, may deviate from the trial protocol, fail to comply with regulatory requirements or fail to meet their contractual obligations to us or any future collaborators in a timely manner or at all;</w:t>
      </w:r>
    </w:p>
    <w:p>
      <w:pPr>
        <w:spacing w:after="0" w:line="38" w:lineRule="exact"/>
        <w:rPr>
          <w:rFonts w:ascii="Arial" w:cs="Arial" w:eastAsia="Arial" w:hAnsi="Arial"/>
          <w:sz w:val="16"/>
          <w:szCs w:val="16"/>
          <w:color w:val="auto"/>
        </w:rPr>
      </w:pPr>
    </w:p>
    <w:p>
      <w:pPr>
        <w:ind w:left="1040" w:right="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any future collaborators or our or their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future collaborators, may have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73"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future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w:t>
      </w:r>
    </w:p>
    <w:p>
      <w:pPr>
        <w:spacing w:after="0" w:line="73" w:lineRule="exact"/>
        <w:rPr>
          <w:rFonts w:ascii="Arial" w:cs="Arial" w:eastAsia="Arial" w:hAnsi="Arial"/>
          <w:sz w:val="18"/>
          <w:szCs w:val="18"/>
          <w:color w:val="auto"/>
        </w:rPr>
      </w:pPr>
    </w:p>
    <w:p>
      <w:pPr>
        <w:ind w:left="1040" w:right="20" w:hanging="519"/>
        <w:spacing w:after="0" w:line="27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any future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63"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any future collaborators’, clinical trial designs or our or their interpretation of data from preclinical studies and clinical trials, including the data from our PEGASUS trial;</w:t>
      </w:r>
    </w:p>
    <w:p>
      <w:pPr>
        <w:spacing w:after="0" w:line="62"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facilities of third-party manufacturers with which we, or any future collaborators, enter into agreements for clinical and commercial supplies;</w:t>
      </w:r>
    </w:p>
    <w:p>
      <w:pPr>
        <w:spacing w:after="0" w:line="15" w:lineRule="exact"/>
        <w:rPr>
          <w:rFonts w:ascii="Arial" w:cs="Arial" w:eastAsia="Arial" w:hAnsi="Arial"/>
          <w:sz w:val="16"/>
          <w:szCs w:val="16"/>
          <w:color w:val="auto"/>
        </w:rPr>
      </w:pPr>
    </w:p>
    <w:p>
      <w:pPr>
        <w:ind w:left="1040" w:right="10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w:t>
      </w:r>
    </w:p>
    <w:p>
      <w:pPr>
        <w:spacing w:after="0" w:line="73"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Product development costs for us, or any future collaborators, will increase if we, or they, experience delays in testing or pursuing marketing approvals and we, or they,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any future collaborators, may have the exclusive right to commercialize our product candidates or allow our competitors, or the competitors of any future collaborators, to bring products to market before we, or any future collaborators, do and impair our ability, or the ability of any future collaborators, to successfully commercialize our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color w:val="auto"/>
        </w:rPr>
        <w:t>candidates and may harm our business and results of operations. In addition, many of the factors that lead to clinical trial delays may ultimately lead to the denial of marketing approval of any of our product candidates.</w:t>
      </w:r>
    </w:p>
    <w:p>
      <w:pPr>
        <w:spacing w:after="0" w:line="2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or any future collaborators, experience delays or difficulties in the enrollment of patients in clinical trials, our or their receipt of necessary regulatory approvals could be delayed or prevented.</w:t>
      </w:r>
    </w:p>
    <w:p>
      <w:pPr>
        <w:spacing w:after="0" w:line="62"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We, or any future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5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particular, the successful completion of our clinical development program for pegcetacoplan for the treatment of PNH is dependent upon our ability to enroll a sufficient number of patients with PNH. PNH, cold agglutinin disease, or CAD, and C3 glomerulopathy, or C3G are rare diseases with a small patient population, and many of those patients are treated with other therapies or products. Further, there are only a limited number of specialist physicians that regularly treat patients with these rare diseases and major clinical centers that support such treatment are concentrated in a few geographic regions. In addition, other companies are conducting clinical trials and have announced plans for future clinical trials that are seeking, or are likely to seek, to enroll patients with these rare diseases and patients are generally only able to enroll in a single trial at a time. Both patients and their physicians may be reluctant to forgo, discontinue or otherwise alter existing, approved life-saving therapeutic approaches. Given the severe and life-threatening nature of these indications and the expectation that many patients will be on treatment with other therapies or products, we may encounter difficulty in recruiting a sufficient number of patients for our trials including in particular our planned clinical trials. The small population of patients, competition for these patients, the nature of the disease and limited trial sites may make it difficult for us to enroll enough patients to complete our clinical trials of pegcetacoplan in a timely and cost-effective manner.</w:t>
      </w:r>
    </w:p>
    <w:p>
      <w:pPr>
        <w:spacing w:after="0" w:line="183"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Our inability, or the inability of any future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any future collaborators’, ability to commence sales of and generate revenues from our product candidates, which could cause the value of our company to decline and limit our ability to obtain additional financing, if needed.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Phase 1 and Phase 2 clinical trials may not be predictive of results of later clinical trials.</w:t>
      </w:r>
    </w:p>
    <w:p>
      <w:pPr>
        <w:spacing w:after="0" w:line="117"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w:t>
      </w:r>
    </w:p>
    <w:p>
      <w:pPr>
        <w:ind w:right="160"/>
        <w:spacing w:after="0" w:line="261" w:lineRule="auto"/>
        <w:rPr>
          <w:sz w:val="20"/>
          <w:szCs w:val="20"/>
          <w:color w:val="auto"/>
        </w:rPr>
      </w:pPr>
      <w:r>
        <w:rPr>
          <w:rFonts w:ascii="Arial" w:cs="Arial" w:eastAsia="Arial" w:hAnsi="Arial"/>
          <w:sz w:val="18"/>
          <w:szCs w:val="18"/>
          <w:color w:val="auto"/>
        </w:rPr>
        <w:t>Similarly, the design of a clinical trial can determine whether its results will support approval of a product and flaws in the design of a clinical trial may not become apparent until the clinical trial is well advanced.</w:t>
      </w:r>
    </w:p>
    <w:p>
      <w:pPr>
        <w:spacing w:after="0" w:line="184"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We have limited experience in designing pivotal clinical trials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future collaborators, believe that the results of</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0" w:name="page51"/>
    <w:bookmarkEnd w:id="50"/>
    <w:p>
      <w:pPr>
        <w:ind w:right="180"/>
        <w:spacing w:after="0" w:line="277" w:lineRule="auto"/>
        <w:rPr>
          <w:sz w:val="20"/>
          <w:szCs w:val="20"/>
          <w:color w:val="auto"/>
        </w:rPr>
      </w:pPr>
      <w:r>
        <w:rPr>
          <w:rFonts w:ascii="Arial" w:cs="Arial" w:eastAsia="Arial" w:hAnsi="Arial"/>
          <w:sz w:val="18"/>
          <w:szCs w:val="18"/>
          <w:color w:val="auto"/>
        </w:rPr>
        <w:t>clinical trials for our product candidates warrant marketing approval, the FDA or comparable foreign regulatory authorities may disagree and may not grant marketing approval of our product candidates.</w:t>
      </w:r>
    </w:p>
    <w:p>
      <w:pPr>
        <w:spacing w:after="0" w:line="170"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 xml:space="preserve">Some of the data we present on the use of pegcetacoplan for the treatment of GA is drawn from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of data subsets from our Phase 2 clinical trial. While we believe these data may be useful in informing the design of future Phase 3 clinical trials for pegcetacoplan,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performed after unmasking trial results can result in the introduction of bias and may not be predictive of success in Phase 3 clinical trials.</w:t>
      </w:r>
    </w:p>
    <w:p>
      <w:pPr>
        <w:spacing w:after="0" w:line="166"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For instance, the Phase 3 clinical trials in GA are similar in design to the Phase 2 clinical trial, except that patients will be treated with pegcetacoplan for 24 months rather than 12 months and there will not be a six-month monitoring period following treatment. Additionally, unlike the Phase 2 clinical trial, GA lesion size will be measured by total area rather than mean change in the square root of GA lesion size. In our Phase 3 clinical trials in GA, statistical significance is set at a p-value of 0.05 or less, meaning that there is a 1-in-20 or less probability that the observed results occurred by chance rather than as a treatment effect. In our Phase 2 clinical trial, we set statistical significance as a p-value of 0.1 or less, meaning that there is a 1-in-10 or less probability that the observed results occurred by chance.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117"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Although the development and commercialization of pegcetacoplan is our primary focus, as part of our growth strategy, we are developing a pipeline of product candidates for the treatment of complement-dependent diseases.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76"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have never obtained marketing approval for a product candidate. It is possible that the FDA may refuse to accept for substantive review any NDAs that we submit for our product candidates or may conclude after review of our data that our application is insufficient to obtain marketing approval of our product candidates. If the FDA does not accept or approve our NDAs for any of our product candidates, including pegcetacoplan, it may require that we conduct additional clinical trials, preclinical studies or manufacturing validation studies and submit that data before it will reconsider our applications. Depending on the extent of these or any other FDA-required trials or studies, approval of any NDA or application that we submit may be delayed by several years, or may require us to expend more resources than we have available. It is also possible that additional trials or studies, if performed and completed, may not be considered sufficient by the FDA to approve our NDAs.</w:t>
      </w:r>
    </w:p>
    <w:p>
      <w:pPr>
        <w:spacing w:after="0" w:line="178"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intend to meet with regulatory agencies in the first half of 2020 to discuss what information is required to support regulatory submissions of an NDA and an MAA for pegcetacoplan in PNH. The FDA has advised us that, for the approval of a new treatment for PNH, hemoglobin stabilization in conjunction with change in transfusion dependence constitute accepted clinical benefit, but that a rise in hemoglobin levels may not translate to clinical benefit in patients who entered the trial with high hemoglobin levels, such as permitted by the inclusion criteria of the PEGASUS trial, and who do not require transfusions. We believe that the data from the PEGASUS trial support a finding of clinical benefit. As clinical data is susceptible to varying interpretations and analyses, we will need to discuss our data with the FDA, European Medicines Agency, or EMA, and other regulatory agencies before we can determine our next steps.</w:t>
      </w:r>
    </w:p>
    <w:p>
      <w:pPr>
        <w:spacing w:after="0" w:line="189"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right="1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we or others may later discover that the product is less effective than previously believed or causes undesirable side effects that were not previously identified, which could compromise our ability, or that of any future collaborators, to market the product.</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80"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the product is administered or conduct additional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have never commercialized a product, and even if one of our product candidates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Eculizumab (marketed as Soliris) and ravulizumab (marketed as Ultomiris) are the only therapies that have been approved for the treatment of PNH, and even if we are able to obtain marketing approval of pegcetacoplan for the treatment of PNH, we may not be able to successfully convince physicians or patients to switch from eculizumab or ravulizumab to pegcetacoplan. This may be particularly true with respect to eculizumab as many in the medical community believe that patients with PNH on eculizumab may experience sudden and excessive blood cell lysis, or rupture, leading to anemia, blood clots and other medical problems, when they stop receiving eculizumab. In addition, even if we are able to demonstrate our product candidates’ safety and efficacy to the FDA and other regulators, safety concerns in the medical community may hinder market acceptance.</w:t>
      </w:r>
    </w:p>
    <w:p>
      <w:pPr>
        <w:spacing w:after="0" w:line="75"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7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our approved products as well as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3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right="120" w:firstLine="761"/>
        <w:spacing w:after="0" w:line="286"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57" w:lineRule="exact"/>
        <w:rPr>
          <w:sz w:val="20"/>
          <w:szCs w:val="20"/>
          <w:color w:val="auto"/>
        </w:rPr>
      </w:pPr>
    </w:p>
    <w:p>
      <w:pPr>
        <w:ind w:right="40" w:firstLine="761"/>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any product candidates if approved.</w:t>
      </w:r>
    </w:p>
    <w:p>
      <w:pPr>
        <w:spacing w:after="0" w:line="62" w:lineRule="exact"/>
        <w:rPr>
          <w:sz w:val="20"/>
          <w:szCs w:val="20"/>
          <w:color w:val="auto"/>
        </w:rPr>
      </w:pPr>
    </w:p>
    <w:p>
      <w:pPr>
        <w:ind w:right="20" w:firstLine="761"/>
        <w:spacing w:after="0" w:line="312" w:lineRule="auto"/>
        <w:rPr>
          <w:sz w:val="20"/>
          <w:szCs w:val="20"/>
          <w:color w:val="auto"/>
        </w:rPr>
      </w:pPr>
      <w:r>
        <w:rPr>
          <w:rFonts w:ascii="Arial" w:cs="Arial" w:eastAsia="Arial" w:hAnsi="Arial"/>
          <w:sz w:val="16"/>
          <w:szCs w:val="16"/>
          <w:color w:val="auto"/>
        </w:rPr>
        <w:t>We do not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We are currently developing sales, marketing and distribution infrastructure to support commercialization of our product candidates.</w:t>
      </w:r>
    </w:p>
    <w:p>
      <w:pPr>
        <w:spacing w:after="0" w:line="39"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We are building focused capabilities to commercialize development programs for certain indications where we believe that the medical specialists for the indications are sufficiently concentrated to allow us to effectively promote the product with a targeted sales team. The development of sales, marketing and distribution capabilities requires substantial resources, is time-consuming and could delay any product launch. If the commercial launch of a product candidate for which we recruit a sales force and establish marketing and distribution capabilities is delayed or does not occur for any reason, we could have prematurely or unnecessarily incurred these commercialization costs. This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70" w:lineRule="exact"/>
        <w:rPr>
          <w:sz w:val="20"/>
          <w:szCs w:val="20"/>
          <w:color w:val="auto"/>
        </w:rPr>
      </w:pPr>
    </w:p>
    <w:p>
      <w:pPr>
        <w:ind w:right="20" w:firstLine="761"/>
        <w:spacing w:after="0" w:line="291" w:lineRule="auto"/>
        <w:rPr>
          <w:sz w:val="20"/>
          <w:szCs w:val="20"/>
          <w:color w:val="auto"/>
        </w:rPr>
      </w:pPr>
      <w:r>
        <w:rPr>
          <w:rFonts w:ascii="Arial" w:cs="Arial" w:eastAsia="Arial" w:hAnsi="Arial"/>
          <w:sz w:val="16"/>
          <w:szCs w:val="16"/>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right="700" w:firstLine="761"/>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of our product candidates that receive marketing approval.</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We expect that we, and any future collaborators, will face significant competition from major pharmaceutical companies, specialty pharmaceutical companies and biotechnology companies worldwide with respect to any of our product candidates that we, or any future collaborators, may seek to develop or commercialize in the future, including from therapies that act through the complement system and therapies that use different approaches.</w:t>
      </w:r>
    </w:p>
    <w:p>
      <w:pPr>
        <w:spacing w:after="0" w:line="187" w:lineRule="exact"/>
        <w:rPr>
          <w:sz w:val="20"/>
          <w:szCs w:val="20"/>
          <w:color w:val="auto"/>
        </w:rPr>
      </w:pPr>
    </w:p>
    <w:p>
      <w:pPr>
        <w:ind w:right="40" w:firstLine="761"/>
        <w:spacing w:after="0" w:line="290" w:lineRule="auto"/>
        <w:rPr>
          <w:sz w:val="20"/>
          <w:szCs w:val="20"/>
          <w:color w:val="auto"/>
        </w:rPr>
      </w:pPr>
      <w:r>
        <w:rPr>
          <w:rFonts w:ascii="Arial" w:cs="Arial" w:eastAsia="Arial" w:hAnsi="Arial"/>
          <w:sz w:val="16"/>
          <w:szCs w:val="16"/>
          <w:color w:val="auto"/>
        </w:rPr>
        <w:t>There are currently no approved treatments for GA. We are aware that there are a number of companies that are actively developing product candidates for the treatment of GA, including the following product candidates that are in clinical development: CLG561, an anti-properdin monoclonal antibody being developed by Novartis AG as a monotherapy or adjunctive therapy with LFG316, an anti-C5 monoclonal antibody, in Phase 2 clinical trials; Zimura, a C5 inhibitor being developed by Iveric bio (formerly known as Ophthotech Corporation) in Phase 2/3 clinical trials; and other product candidates that do not target the complement system that are in Phase 2 clinical trials, including therapies being developed by Alcon, Allegro Ophthalmics LLC, Allergan PLC, Cell Cure Neurosciences, Genentech, Hemera Biosciences, Ionis Pharmaceuticals, Inc., Janssen Research &amp; Development, LLC, Regenerative Patch Technologies, Stealth, Gyroscope Therapeutics, and BioTime, Inc. In October 2019 Alexion obtained an option to co-develop and commercialize elamipretide for certain indications, including GA, from Stealth. Stealth is evaluating elamipretide in a Phase 2 clinical trial in patients with GA.</w:t>
      </w:r>
    </w:p>
    <w:p>
      <w:pPr>
        <w:spacing w:after="0" w:line="166" w:lineRule="exact"/>
        <w:rPr>
          <w:sz w:val="20"/>
          <w:szCs w:val="20"/>
          <w:color w:val="auto"/>
        </w:rPr>
      </w:pPr>
    </w:p>
    <w:p>
      <w:pPr>
        <w:ind w:right="500" w:firstLine="761"/>
        <w:spacing w:after="0" w:line="264" w:lineRule="auto"/>
        <w:rPr>
          <w:sz w:val="20"/>
          <w:szCs w:val="20"/>
          <w:color w:val="auto"/>
        </w:rPr>
      </w:pPr>
      <w:r>
        <w:rPr>
          <w:rFonts w:ascii="Arial" w:cs="Arial" w:eastAsia="Arial" w:hAnsi="Arial"/>
          <w:sz w:val="18"/>
          <w:szCs w:val="18"/>
          <w:color w:val="auto"/>
        </w:rPr>
        <w:t>The principal competitors for PNH, and possibly other indications in our hematology and nephrology programs are eculizumab (marketed as Soliris) and ravulizumab (marketed as Ultomiris), C5 inhibitors developed and marketed by Alexion. Eculizumab and ravulizumab are the only drugs currently approved for the treatment of PNH.</w:t>
      </w:r>
    </w:p>
    <w:p>
      <w:pPr>
        <w:spacing w:after="0" w:line="181" w:lineRule="exact"/>
        <w:rPr>
          <w:sz w:val="20"/>
          <w:szCs w:val="20"/>
          <w:color w:val="auto"/>
        </w:rPr>
      </w:pPr>
    </w:p>
    <w:p>
      <w:pPr>
        <w:ind w:right="20" w:firstLine="761"/>
        <w:spacing w:after="0" w:line="268" w:lineRule="auto"/>
        <w:rPr>
          <w:sz w:val="20"/>
          <w:szCs w:val="20"/>
          <w:color w:val="auto"/>
        </w:rPr>
      </w:pPr>
      <w:r>
        <w:rPr>
          <w:rFonts w:ascii="Arial" w:cs="Arial" w:eastAsia="Arial" w:hAnsi="Arial"/>
          <w:sz w:val="17"/>
          <w:szCs w:val="17"/>
          <w:color w:val="auto"/>
        </w:rPr>
        <w:t>We are aware of several other companies that are actively developing product candidates for the treatment of PNH, including AMY-101, C3 complement inhibitor being developed by Amyndas Pharmaceuticals SA; cemdisiran, an RNAi therapeutic targeting C5 developed by Alnylam Pharmaceuticals, Inc. in early clinical trials; nomacopan, a small protein C5 complement inhibitor being developed by Akari Therapeutics, Plc. in Phase 2 clinical trials; BCX9930, a Factor D inhibitor being developed by BioCryst, currently in early clinical development; zilucoplan, a cyclic peptide C5 inhibitor developed by Ra Pharmaceuticals, Inc., or Ra, currently in Phase 2 clinical trials, crovalimab, an anti-C5 antibody developed by Roche/Chugai, currently in Phase 2 clinical trials; pozelimab, an anti-C5 antibody developed by Regeneron, currently in Phase 2 clinical trials; and LNP-023, a Factor B inhibitor being developed by Novartis currently in Phase 2 clinical trials; and other product candidates directed at other mechanisms of complement inhibition such as NM-9405, an anti-properdin antibody in preclinical development by NovelMed Therapeutics, Inc. Alexion is developing danicopan, formerly ACHN-4471, an orally available complement factor D inhibitor, currently in Phase 2 clinical trials as a cotreatment or combination product with eculizumab, and next generation complement factor D inhibitors ACHN-5528 and ACHN-5548 in early clinical development. Amgen is developing ABP959, a biosimilar for eculizumab that is in Phase 3 development.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88"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There are no currently marketed drug treatments for CAD but treatments in development, include sutimlimab, a C1s monoclonal antibody inhibitor, being developed by Sanofi, in Phase 3 clinical trials; parsaclisib, a PI3K-d inhibitor, being developed by Incyte, in Phase 2 clinical trials; and KZR-616, a proteasome inhibitor, being developed by Kezar Lifesciences, in Phase 2 clinical trials.</w:t>
      </w:r>
    </w:p>
    <w:p>
      <w:pPr>
        <w:spacing w:after="0" w:line="181"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There are no currently marketed drug treatments for C3 glomerulopathy, but treatments in development include narsoplimab (OMS721), a human monoclonal antibody to mannose-binding lectin-associated serine protease-2 (MASP-2) that blocks the lectin pathway, being developed by Omeros Corp., in Phase 2 clinical trials; avacopan, an oral C5aR-inhibitor developed by ChemoCentryx, Inc., in Phase 2 clinical trials; LNP023, a complement factor inhibitor being developed by Novartis, for C3 glomerulopathy is in Phase 2 clinical trials; and danicopan, being developed by Alexion for C3G, in Phase 2 clinical trials.</w:t>
      </w:r>
    </w:p>
    <w:p>
      <w:pPr>
        <w:spacing w:after="0" w:line="188"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In October 2019, the acquisition of Ra by UCB S.A. was announced. Ra and UCB S.A. have stated that they expect the acquisition to close in the first quarter of 2020, pending satisfaction of closing conditions and approval from relevant regulatory agencies.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jc w:val="both"/>
        <w:ind w:right="300" w:firstLine="761"/>
        <w:spacing w:after="0" w:line="264" w:lineRule="auto"/>
        <w:rPr>
          <w:sz w:val="20"/>
          <w:szCs w:val="20"/>
          <w:color w:val="auto"/>
        </w:rPr>
      </w:pPr>
      <w:r>
        <w:rPr>
          <w:rFonts w:ascii="Arial" w:cs="Arial" w:eastAsia="Arial" w:hAnsi="Arial"/>
          <w:sz w:val="18"/>
          <w:szCs w:val="18"/>
          <w:color w:val="auto"/>
        </w:rPr>
        <w:t>Our competitors may succeed in developing, acquiring or licensing technologies and products that are more effective, have fewer side effects or more tolerable side effects or are less costly than any product candidates that we are currently developing or that we may develop, which could render our product candidates obsolete and noncompetitive.</w:t>
      </w:r>
    </w:p>
    <w:p>
      <w:pPr>
        <w:spacing w:after="0" w:line="181" w:lineRule="exact"/>
        <w:rPr>
          <w:sz w:val="20"/>
          <w:szCs w:val="20"/>
          <w:color w:val="auto"/>
        </w:rPr>
      </w:pPr>
    </w:p>
    <w:p>
      <w:pPr>
        <w:ind w:right="160" w:firstLine="761"/>
        <w:spacing w:after="0" w:line="30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any future collaborators, may develop. Our competitors also may obtain FDA or other marketing approval for their products before we, or any future collaborators, are able to obtain approval for ours, which could result in our competitors establishing a strong market position before we, or any future collaborators, are able to enter the market.</w:t>
      </w:r>
    </w:p>
    <w:p>
      <w:pPr>
        <w:spacing w:after="0" w:line="154" w:lineRule="exact"/>
        <w:rPr>
          <w:sz w:val="20"/>
          <w:szCs w:val="20"/>
          <w:color w:val="auto"/>
        </w:rPr>
      </w:pPr>
    </w:p>
    <w:p>
      <w:pPr>
        <w:ind w:right="220" w:firstLine="761"/>
        <w:spacing w:after="0" w:line="255" w:lineRule="auto"/>
        <w:rPr>
          <w:sz w:val="20"/>
          <w:szCs w:val="20"/>
          <w:color w:val="auto"/>
        </w:rPr>
      </w:pPr>
      <w:r>
        <w:rPr>
          <w:rFonts w:ascii="Arial" w:cs="Arial" w:eastAsia="Arial" w:hAnsi="Arial"/>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2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81" w:lineRule="exact"/>
        <w:rPr>
          <w:sz w:val="20"/>
          <w:szCs w:val="20"/>
          <w:color w:val="auto"/>
        </w:rPr>
      </w:pPr>
    </w:p>
    <w:p>
      <w:pPr>
        <w:ind w:right="100" w:firstLine="761"/>
        <w:spacing w:after="0" w:line="271" w:lineRule="auto"/>
        <w:rPr>
          <w:sz w:val="20"/>
          <w:szCs w:val="20"/>
          <w:color w:val="auto"/>
        </w:rPr>
      </w:pPr>
      <w:r>
        <w:rPr>
          <w:rFonts w:ascii="Arial" w:cs="Arial" w:eastAsia="Arial" w:hAnsi="Arial"/>
          <w:sz w:val="17"/>
          <w:szCs w:val="17"/>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79" w:lineRule="exact"/>
        <w:rPr>
          <w:sz w:val="20"/>
          <w:szCs w:val="20"/>
          <w:color w:val="auto"/>
        </w:rPr>
      </w:pPr>
    </w:p>
    <w:p>
      <w:pPr>
        <w:ind w:right="120" w:firstLine="761"/>
        <w:spacing w:after="0" w:line="270"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78"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27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Even if we, or any future collaborators, are able to commercialize any product candidate that we, or they, develop, the product may become subject to unfavorable pricing regulations, third-party payor reimbursement practices or healthcare reform initiatives, any of which could harm our business.</w:t>
      </w:r>
    </w:p>
    <w:p>
      <w:pPr>
        <w:spacing w:after="0" w:line="1" w:lineRule="exact"/>
        <w:rPr>
          <w:sz w:val="20"/>
          <w:szCs w:val="20"/>
          <w:color w:val="auto"/>
        </w:rPr>
      </w:pPr>
    </w:p>
    <w:p>
      <w:pPr>
        <w:ind w:firstLine="761"/>
        <w:spacing w:after="0" w:line="293"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60"/>
        <w:spacing w:after="0" w:line="264" w:lineRule="auto"/>
        <w:rPr>
          <w:sz w:val="20"/>
          <w:szCs w:val="20"/>
          <w:color w:val="auto"/>
        </w:rPr>
      </w:pPr>
      <w:r>
        <w:rPr>
          <w:rFonts w:ascii="Arial" w:cs="Arial" w:eastAsia="Arial" w:hAnsi="Arial"/>
          <w:sz w:val="18"/>
          <w:szCs w:val="18"/>
          <w:color w:val="auto"/>
        </w:rPr>
        <w:t>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1"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any future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any future collaborators to recoup our or their investment in one or more product candidates, even if our product candidates obtain marketing approval.</w:t>
      </w:r>
    </w:p>
    <w:p>
      <w:pPr>
        <w:spacing w:after="0" w:line="179"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and the ability of any future collaborators, to commercialize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any future collaborators to sell our product candidates profitably. These payors may not view our products, if any, as cost-effective, and coverage and reimbursement may not be available to our customers, or those of any future collaborators, or may not be sufficient to allow our products, if any, to be marketed on a competitive basis. Cost-control initiatives could cause us, or any future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3" w:lineRule="exact"/>
        <w:rPr>
          <w:sz w:val="20"/>
          <w:szCs w:val="20"/>
          <w:color w:val="auto"/>
        </w:rPr>
      </w:pPr>
    </w:p>
    <w:p>
      <w:pPr>
        <w:ind w:right="420" w:firstLine="761"/>
        <w:spacing w:after="0" w:line="255" w:lineRule="auto"/>
        <w:rPr>
          <w:sz w:val="20"/>
          <w:szCs w:val="20"/>
          <w:color w:val="auto"/>
        </w:rPr>
      </w:pPr>
      <w:r>
        <w:rPr>
          <w:rFonts w:ascii="Arial" w:cs="Arial" w:eastAsia="Arial" w:hAnsi="Arial"/>
          <w:sz w:val="18"/>
          <w:szCs w:val="18"/>
          <w:color w:val="auto"/>
        </w:rPr>
        <w:t>The commercial potential of our products depends in part on reimbursement by government health administration authorities, private health insurers and other organizations. If we are unable to obtain coverage or reimbursement for our products, as monotherapy or in combination with other therapies, including possible combinations with eculizumab, at the levels anticipated, our financial condition could be harmed. Additionally, if new compounds currently in development by potential competitors, including biosimilars of eculizumab, obtain marketing approval, there may be downward pressure on reimbursement levels for therapies in our target disease areas, which could have a negative impact on our ability to achieve and maintain profitability.</w:t>
      </w:r>
    </w:p>
    <w:p>
      <w:pPr>
        <w:spacing w:after="0" w:line="193" w:lineRule="exact"/>
        <w:rPr>
          <w:sz w:val="20"/>
          <w:szCs w:val="20"/>
          <w:color w:val="auto"/>
        </w:rPr>
      </w:pPr>
    </w:p>
    <w:p>
      <w:pPr>
        <w:ind w:right="120" w:firstLine="761"/>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73"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or any future collaborators commercially sell any product that we may or they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6" w:name="page57"/>
    <w:bookmarkEnd w:id="56"/>
    <w:p>
      <w:pPr>
        <w:ind w:right="360"/>
        <w:spacing w:after="0" w:line="277" w:lineRule="auto"/>
        <w:rPr>
          <w:sz w:val="20"/>
          <w:szCs w:val="20"/>
          <w:color w:val="auto"/>
        </w:rPr>
      </w:pPr>
      <w:r>
        <w:rPr>
          <w:rFonts w:ascii="Arial" w:cs="Arial" w:eastAsia="Arial" w:hAnsi="Arial"/>
          <w:sz w:val="18"/>
          <w:szCs w:val="18"/>
          <w:color w:val="auto"/>
        </w:rPr>
        <w:t>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62"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Although we maintain product liability insurance coverage in the amount of up to $20.0 million in the aggregate and clinical trial liability insurance of up to $20.0 million in the aggregate, this insurance may not fully cover potential liabilities that we may incur. The cost of any litigation or other proceeding, even if resolved in our favor, could be substantial. We will need to increase our insurance coverage if we commercialize any product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internal information systems, or those of any contractors, consultants, vendors, business partners or other third parties, may fail or suffer security breaches, which could result in a material disruption of our product development programs</w:t>
      </w:r>
      <w:r>
        <w:rPr>
          <w:rFonts w:ascii="Arial" w:cs="Arial" w:eastAsia="Arial" w:hAnsi="Arial"/>
          <w:sz w:val="18"/>
          <w:szCs w:val="18"/>
          <w:color w:val="auto"/>
        </w:rPr>
        <w:t>.</w:t>
      </w:r>
    </w:p>
    <w:p>
      <w:pPr>
        <w:spacing w:after="0" w:line="170" w:lineRule="exact"/>
        <w:rPr>
          <w:sz w:val="20"/>
          <w:szCs w:val="20"/>
          <w:color w:val="auto"/>
        </w:rPr>
      </w:pPr>
    </w:p>
    <w:p>
      <w:pPr>
        <w:jc w:val="both"/>
        <w:ind w:right="540" w:firstLine="518"/>
        <w:spacing w:after="0" w:line="264" w:lineRule="auto"/>
        <w:rPr>
          <w:sz w:val="20"/>
          <w:szCs w:val="20"/>
          <w:color w:val="auto"/>
        </w:rPr>
      </w:pPr>
      <w:r>
        <w:rPr>
          <w:rFonts w:ascii="Arial" w:cs="Arial" w:eastAsia="Arial" w:hAnsi="Arial"/>
          <w:sz w:val="18"/>
          <w:szCs w:val="18"/>
          <w:color w:val="auto"/>
        </w:rPr>
        <w:t>We collect, store and transmit large amounts of confidential information, including personal information and information relating to intellectual property, on internal information systems and through the information systems of our contractors, consultants, vendors, business partners or other third parties.</w:t>
      </w:r>
    </w:p>
    <w:p>
      <w:pPr>
        <w:spacing w:after="0" w:line="181"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Despite the implementation of security measures, our internal information systems and those of third parties are vulnerable to damage from computer viruses, malware,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business partners and other third parties, or from cyber-attacks by malicious third parties over the Internet or through other mechanisms. Cyber-attacks are increasing in their frequency, sophistication and intensity, and have become increasingly difficult to detect. Cyber-attacks could include the deployment of harmful malware, ransomware, denial of 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While we have not experienced any such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information or 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 costs to maintain the security of our information systems and comply with evolving laws and regulations pertaining to cybersecurity and related areas. To the extent that any disruption or security breach were to result in a loss of, or damage to, our data or applications, or inappropriate disclosure of confidential or proprietary information, we could incur liability, including regulatory fines and other losses with respect to privacy claims, enrollment in our clinical trials could be negatively affected, our competitive position and reputation could be harmed and the further development and commercialization of our product candidates could be delayed.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7" w:name="page58"/>
    <w:bookmarkEnd w:id="57"/>
    <w:p>
      <w:pPr>
        <w:ind w:right="120"/>
        <w:spacing w:after="0" w:line="302" w:lineRule="auto"/>
        <w:rPr>
          <w:sz w:val="20"/>
          <w:szCs w:val="20"/>
          <w:color w:val="auto"/>
        </w:rPr>
      </w:pPr>
      <w:r>
        <w:rPr>
          <w:rFonts w:ascii="Arial" w:cs="Arial" w:eastAsia="Arial" w:hAnsi="Arial"/>
          <w:sz w:val="16"/>
          <w:szCs w:val="16"/>
          <w:color w:val="auto"/>
        </w:rPr>
        <w:t>to conduct our clinical trials of pegcetacoplan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5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28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and distribution of our product candidates for clinical trials and expect to continue to do so in connection with our future development and commercialization efforts.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46"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plan to continue to rely upon contract manufacturers, and, potentially collaboration partners, to manufacture commercial quantities of our products, if approved. We may be unable to establish any agreements with contract manufacturers or to do so on acceptable terms. Even if we are able to establish agreements with contract manufacturers, reliance on contract manufacturers entails additional risks, including:</w:t>
      </w:r>
    </w:p>
    <w:p>
      <w:pPr>
        <w:spacing w:after="0" w:line="146" w:lineRule="exact"/>
        <w:rPr>
          <w:sz w:val="20"/>
          <w:szCs w:val="20"/>
          <w:color w:val="auto"/>
        </w:rPr>
      </w:pPr>
    </w:p>
    <w:p>
      <w:pPr>
        <w:ind w:left="104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give greater priority to the supply of other products over our product candidates or otherwise do not satisfactorily perform according to the terms of the agreements between us and them, or if unforeseen events in the manufacturing process arise;</w:t>
      </w:r>
    </w:p>
    <w:p>
      <w:pPr>
        <w:spacing w:after="0" w:line="140"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84"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breach by the third-party contractors of our agreements with them;</w:t>
      </w:r>
    </w:p>
    <w:p>
      <w:pPr>
        <w:spacing w:after="0" w:line="184"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84"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ind w:left="1040" w:right="4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29"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8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We currently rely, and expect to continue to rely, on a small number of third-party contract manufacturers to supply most of our supply of active pharmaceutical ingredients and required finished product for our preclinical studies and clinical trials. We do not have long-term supply agreements with any of these third parties.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For example, in the past we experienced issues associated with the manufacturing process for pegcetacoplan that resulted in delays in the supply of pegcetacoplan. These delays resulted in us incurring additional costs and delays in our PNH development program. Additionally, in October 2018, we announced that we voluntarily implemented a pause in dosing in our Phase 3 clinical program in patients with GA due to observed cases of non-infectious inflammation in patients treated from a single manufacturing lot of pegcetacoplan intravitreal drug product that we believe occurred due to </w:t>
      </w:r>
      <w:r>
        <w:rPr>
          <w:rFonts w:ascii="Arial" w:cs="Arial" w:eastAsia="Arial" w:hAnsi="Arial"/>
          <w:sz w:val="17"/>
          <w:szCs w:val="17"/>
          <w:color w:val="111111"/>
        </w:rPr>
        <w:t>an impurity in the active pharmaceutical ingredient</w:t>
      </w:r>
      <w:r>
        <w:rPr>
          <w:rFonts w:ascii="Arial" w:cs="Arial" w:eastAsia="Arial" w:hAnsi="Arial"/>
          <w:sz w:val="17"/>
          <w:szCs w:val="17"/>
          <w:color w:val="auto"/>
        </w:rPr>
        <w:t>. If we experience other issues or delays in the future, our development of pegcetacoplan may be materially delayed and our business adversely affected.</w:t>
      </w:r>
    </w:p>
    <w:p>
      <w:pPr>
        <w:spacing w:after="0" w:line="15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Any manufacturing problem, the loss of a contract manufacturer or any loss of storage could be disruptive to our operations, delay our clinical trials and, if our products are approved for sale, result in lost sales. Additionally, we rely on third parties to supply the raw materials needed to manufacture our product candidates. For example, one company currently produces most of the PEG that is used in pharmaceutical and drug development globally. PEG is a component of pegcetacoplan. If this supplier of PEG experiences manufacturing and supply problems with respect to PEG, then the manufacturers with whom we contract may have difficulty in procuring PEG for the supply and manufacture of pegcetacoplan. Any reliance on suppliers may involve several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w:t>
      </w:r>
    </w:p>
    <w:p>
      <w:pPr>
        <w:spacing w:after="0" w:line="13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any of our product candidates are approved by any regulatory agency, we will need to enter into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4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 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39"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5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developing a custom, on-body drug delivery system that would enable patients to self-administer pegcetacoplan through subcutaneous infusion. While this device is in development, we plan to use one or more commercially available ambulatory infusion pumps in our ongoing and planned clinical trials. The development of a custom drug delivery system may be delayed or we may not be successful in developing a custom drug delivery system and may need to continue to rely on commercially available ambulatory infusion pumps. Any reliance on third-party infusion pumps may involve several risks, including reduced control over costs, delivery schedules, reliability and quality.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right="120" w:firstLine="51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harm our future profit margins and our ability to commercialize any products that receive marketing approval on a timely and competitive basis.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We may seek to establish one or more collaborators for the development and commercialization of one or more of our product candidates.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w:t>
      </w:r>
    </w:p>
    <w:p>
      <w:pPr>
        <w:spacing w:after="0" w:line="15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6"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w:t>
      </w:r>
    </w:p>
    <w:p>
      <w:pPr>
        <w:spacing w:after="0" w:line="16"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and commercialization of our product candidates, our prospects with respect to those product candidates will depend in significant part on the success of those collaborations.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may seek to enter into collaborations for the development and commercialization of certain of our product candidates. We have not entered into any collaborations to date.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pose a number of risks, including the following:</w:t>
      </w:r>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3"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0" w:name="page61"/>
    <w:bookmarkEnd w:id="60"/>
    <w:p>
      <w:pPr>
        <w:ind w:left="1040" w:right="7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40" w:right="380" w:hanging="519"/>
        <w:spacing w:after="0" w:line="25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1040" w:right="11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62"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are a party to patent license agreements with Penn under which we license patent rights relating to a family of compounds for use in all fields. The licensed patent rights include issued U.S. and foreign patents with claims that recite a class of compounds generically covering our lead product candidates, pegcetacoplan and APL-9, and that specifically recite the active component.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27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7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right="20" w:firstLine="518"/>
        <w:spacing w:after="0" w:line="273" w:lineRule="auto"/>
        <w:rPr>
          <w:sz w:val="20"/>
          <w:szCs w:val="20"/>
          <w:color w:val="auto"/>
        </w:rPr>
      </w:pPr>
      <w:r>
        <w:rPr>
          <w:rFonts w:ascii="Arial" w:cs="Arial" w:eastAsia="Arial" w:hAnsi="Arial"/>
          <w:sz w:val="17"/>
          <w:szCs w:val="17"/>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78"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54"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3"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520"/>
        <w:spacing w:after="0" w:line="308" w:lineRule="auto"/>
        <w:rPr>
          <w:sz w:val="20"/>
          <w:szCs w:val="20"/>
          <w:color w:val="auto"/>
        </w:rPr>
      </w:pPr>
      <w:r>
        <w:rPr>
          <w:rFonts w:ascii="Arial" w:cs="Arial" w:eastAsia="Arial" w:hAnsi="Arial"/>
          <w:sz w:val="17"/>
          <w:szCs w:val="17"/>
          <w:color w:val="auto"/>
        </w:rPr>
        <w:t>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4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3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3"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spacing w:after="0" w:line="302" w:lineRule="auto"/>
        <w:rPr>
          <w:sz w:val="20"/>
          <w:szCs w:val="20"/>
          <w:color w:val="auto"/>
        </w:rPr>
      </w:pPr>
      <w:r>
        <w:rPr>
          <w:rFonts w:ascii="Arial" w:cs="Arial" w:eastAsia="Arial" w:hAnsi="Arial"/>
          <w:sz w:val="16"/>
          <w:szCs w:val="16"/>
          <w:color w:val="auto"/>
        </w:rPr>
        <w:t>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 candidates or relating to the use of complement inhibition that may cover our product candidates or approach to complement inhibition. For example, we are aware of a U.S. patent with claims that could be construed to cover pegcetacoplan. Although we believe that these claims, if construed to cover pegcetacoplan, would be invalid due to various prior art disclosures available more than a year before the priority date of the U.S. patent, there are no assurances that a court would agree. If any third-party patents or patent applications are found to cover our product candidates or their methods of use or our approach to complement inhibition, we may not be free to manufacture or market our product candidates as planned without obtaining a license, which may not be available on commercially reasonable terms, or at all.</w:t>
      </w:r>
    </w:p>
    <w:p>
      <w:pPr>
        <w:spacing w:after="0" w:line="197"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proceedings before the USPTO.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73" w:lineRule="exact"/>
        <w:rPr>
          <w:sz w:val="20"/>
          <w:szCs w:val="20"/>
          <w:color w:val="auto"/>
        </w:rPr>
      </w:pPr>
    </w:p>
    <w:p>
      <w:pPr>
        <w:ind w:right="80" w:firstLine="571"/>
        <w:spacing w:after="0" w:line="270" w:lineRule="auto"/>
        <w:rPr>
          <w:sz w:val="20"/>
          <w:szCs w:val="20"/>
          <w:color w:val="auto"/>
        </w:rPr>
      </w:pPr>
      <w:r>
        <w:rPr>
          <w:rFonts w:ascii="Arial" w:cs="Arial" w:eastAsia="Arial" w:hAnsi="Arial"/>
          <w:sz w:val="17"/>
          <w:szCs w:val="17"/>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2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3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Some of our in-licensed intellectual property with respect to our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For example, under the “march-in” provisions of the Bayh-Dole Act, the U.S. government may have the right under limited circumstances to require the patent owners to grant exclusive, partially exclusive or non-exclusive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4" w:name="page65"/>
    <w:bookmarkEnd w:id="64"/>
    <w:p>
      <w:pPr>
        <w:ind w:right="80"/>
        <w:spacing w:after="0" w:line="291" w:lineRule="auto"/>
        <w:rPr>
          <w:sz w:val="20"/>
          <w:szCs w:val="20"/>
          <w:color w:val="auto"/>
        </w:rPr>
      </w:pPr>
      <w:r>
        <w:rPr>
          <w:rFonts w:ascii="Arial" w:cs="Arial" w:eastAsia="Arial" w:hAnsi="Arial"/>
          <w:sz w:val="16"/>
          <w:szCs w:val="16"/>
          <w:color w:val="auto"/>
        </w:rPr>
        <w:t>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Intellectual property under such discoveries would be subject to the applicable provisions of the Bayh-Dole Act. Similarly, intellectual property that we license in the future may have been made using government funding and may be subject to the provisions of the Bayh-Dole Act.</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80"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9"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ind w:right="100"/>
        <w:spacing w:after="0" w:line="271" w:lineRule="auto"/>
        <w:rPr>
          <w:sz w:val="20"/>
          <w:szCs w:val="20"/>
          <w:color w:val="auto"/>
        </w:rPr>
      </w:pPr>
      <w:r>
        <w:rPr>
          <w:rFonts w:ascii="Arial" w:cs="Arial" w:eastAsia="Arial" w:hAnsi="Arial"/>
          <w:sz w:val="17"/>
          <w:szCs w:val="17"/>
          <w:color w:val="auto"/>
        </w:rPr>
        <w:t>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right="380" w:firstLine="518"/>
        <w:spacing w:after="0" w:line="256"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ind w:firstLine="518"/>
        <w:spacing w:after="0" w:line="290"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540" w:firstLine="518"/>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Arial" w:cs="Arial" w:eastAsia="Arial" w:hAnsi="Arial"/>
          <w:sz w:val="18"/>
          <w:szCs w:val="18"/>
          <w:color w:val="auto"/>
        </w:rPr>
        <w:t>.</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121"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Even if we complete the necessary preclinical studies and clinical trials, the regulatory approval process is expensive, time 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2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and any future collaborators,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spacing w:after="0" w:line="16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ind w:right="620"/>
        <w:spacing w:after="0" w:line="277" w:lineRule="auto"/>
        <w:rPr>
          <w:sz w:val="20"/>
          <w:szCs w:val="20"/>
          <w:color w:val="auto"/>
        </w:rPr>
      </w:pPr>
      <w:r>
        <w:rPr>
          <w:rFonts w:ascii="Arial" w:cs="Arial" w:eastAsia="Arial" w:hAnsi="Arial"/>
          <w:sz w:val="18"/>
          <w:szCs w:val="18"/>
          <w:color w:val="auto"/>
        </w:rPr>
        <w:t>commercial use. 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future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7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Any delay in obtaining or failure to obtain required approvals and clearances could negatively impact our ability or that of any future collaborators to generate revenue from the particular product candidate, which likely would result in significant harm to our financial position and adversely impact our stock price.</w:t>
      </w:r>
    </w:p>
    <w:p>
      <w:pPr>
        <w:spacing w:after="0" w:line="28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24"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other foreign jurisdictions, we, and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any future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82"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color w:val="auto"/>
        </w:rPr>
        <w:t>Additionally, on January 31, 2020 the United Kingdom formally withdrew from the European Union.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UK will not accept high regulatory alignment with the EU.</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or any future collaborators, may not be able to obtain orphan drug designation or orphan drug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200" w:firstLine="518"/>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pegcetacoplan for the treatment of PNH and for the treatment of C3 glomerulopathy. We, or any future collaborators, may seek orphan drug designations for other product candidates and may be unable to obtain such designations.</w:t>
      </w:r>
    </w:p>
    <w:p>
      <w:pPr>
        <w:spacing w:after="0" w:line="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Even if we, or any future collaborators, obtain orphan drug designation for a product candidate, such as is the case for pegcetacoplan for the treatment of PNH, we, or they, may not be able to obtain orphan drug exclusivity for that product candidate. Generally, a product with orphan drug designation only becomes entitled to orphan drug exclusivity if it receives the first marketing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t>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Even if we, or any future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Fast track designation for one or more of our product candidates may not actually lead to a faster development or regulatory review or approval process.</w:t>
      </w:r>
    </w:p>
    <w:p>
      <w:pPr>
        <w:spacing w:after="0" w:line="152"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We have received fast track designations for pegcetacoplan for the treatment of PNH and GA.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pegcetacoplan for the treatment of PNH and GA, fast track designation does not ensure that we will receive marketing approval or that approval will be granted within any particular timeframe. We may not experience a faster development or regulatory review or approval process with fast 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8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Even if we, or any future collaborators, obtain marketing approvals for our product candidates, the terms of approvals and ongoing regulation of our products may limit how we manufacture and market our products, which could impair our ability to generate revenue.</w:t>
      </w:r>
    </w:p>
    <w:p>
      <w:pPr>
        <w:spacing w:after="0" w:line="38" w:lineRule="exact"/>
        <w:rPr>
          <w:sz w:val="20"/>
          <w:szCs w:val="20"/>
          <w:color w:val="auto"/>
        </w:rPr>
      </w:pPr>
    </w:p>
    <w:p>
      <w:pPr>
        <w:ind w:right="160" w:firstLine="518"/>
        <w:spacing w:after="0" w:line="268"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3" w:lineRule="exact"/>
        <w:rPr>
          <w:sz w:val="20"/>
          <w:szCs w:val="20"/>
          <w:color w:val="auto"/>
        </w:rPr>
      </w:pPr>
    </w:p>
    <w:p>
      <w:pPr>
        <w:ind w:right="160" w:firstLine="518"/>
        <w:spacing w:after="0" w:line="253"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the FDA to monitor and ensure compliance with cGMPs.</w:t>
      </w:r>
    </w:p>
    <w:p>
      <w:pPr>
        <w:spacing w:after="0" w:line="19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Accordingly, assuming we, or any future collaborators, receive marketing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we, and any future collaborators, are not able to comply with post-approval regulatory requirements, we, and any future collaborators, could have the marketing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ind w:right="180"/>
        <w:spacing w:after="0" w:line="312" w:lineRule="auto"/>
        <w:rPr>
          <w:sz w:val="20"/>
          <w:szCs w:val="20"/>
          <w:color w:val="auto"/>
        </w:rPr>
      </w:pPr>
      <w:r>
        <w:rPr>
          <w:rFonts w:ascii="Arial" w:cs="Arial" w:eastAsia="Arial" w:hAnsi="Arial"/>
          <w:sz w:val="16"/>
          <w:szCs w:val="16"/>
          <w:b w:val="1"/>
          <w:bCs w:val="1"/>
          <w:i w:val="1"/>
          <w:iCs w:val="1"/>
          <w:color w:val="auto"/>
        </w:rPr>
        <w:t>Any of our product candidates for which we, or any future collaborators, obtain marketing approval in the future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p>
    <w:p>
      <w:pPr>
        <w:spacing w:after="0" w:line="3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Any of our product candidates for which we, or any future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w:t>
      </w:r>
    </w:p>
    <w:p>
      <w:pPr>
        <w:spacing w:after="0" w:line="178"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92"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6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0" w:name="page71"/>
    <w:bookmarkEnd w:id="70"/>
    <w:p>
      <w:pPr>
        <w:ind w:right="220" w:firstLine="518"/>
        <w:spacing w:after="0" w:line="264"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and our product candidates are the following:</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Since enactment of the ACA, there have been,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9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This decision is under review by the U.S. Supreme Court during its current term. The full effects of this gap in reimbursement on third-party payors, the viability of the ACA marketplace, providers, and potentially our business, are not yet known.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1900" w:firstLine="518"/>
        <w:spacing w:after="0" w:line="270" w:lineRule="auto"/>
        <w:rPr>
          <w:sz w:val="20"/>
          <w:szCs w:val="20"/>
          <w:color w:val="auto"/>
        </w:rPr>
      </w:pPr>
      <w:r>
        <w:rPr>
          <w:rFonts w:ascii="Arial" w:cs="Arial" w:eastAsia="Arial" w:hAnsi="Arial"/>
          <w:sz w:val="17"/>
          <w:szCs w:val="17"/>
          <w:color w:val="auto"/>
        </w:rPr>
        <w:t>In addition, the Centers for Medicare &amp;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while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91" w:lineRule="exact"/>
        <w:rPr>
          <w:sz w:val="20"/>
          <w:szCs w:val="20"/>
          <w:color w:val="auto"/>
        </w:rPr>
      </w:pPr>
    </w:p>
    <w:p>
      <w:pPr>
        <w:ind w:right="1920" w:firstLine="761"/>
        <w:spacing w:after="0" w:line="291"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w:t>
      </w:r>
    </w:p>
    <w:p>
      <w:pPr>
        <w:spacing w:after="0" w:line="269" w:lineRule="auto"/>
        <w:rPr>
          <w:sz w:val="20"/>
          <w:szCs w:val="20"/>
          <w:color w:val="auto"/>
        </w:rPr>
      </w:pPr>
      <w:r>
        <w:rPr>
          <w:rFonts w:ascii="Arial" w:cs="Arial" w:eastAsia="Arial" w:hAnsi="Arial"/>
          <w:sz w:val="17"/>
          <w:szCs w:val="17"/>
          <w:color w:val="auto"/>
        </w:rPr>
        <w:t>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194" w:lineRule="exact"/>
        <w:rPr>
          <w:sz w:val="20"/>
          <w:szCs w:val="20"/>
          <w:color w:val="auto"/>
        </w:rPr>
      </w:pPr>
    </w:p>
    <w:p>
      <w:pPr>
        <w:ind w:firstLine="488"/>
        <w:spacing w:after="0" w:line="287" w:lineRule="auto"/>
        <w:rPr>
          <w:sz w:val="20"/>
          <w:szCs w:val="20"/>
          <w:color w:val="auto"/>
        </w:rPr>
      </w:pPr>
      <w:r>
        <w:rPr>
          <w:rFonts w:ascii="Arial" w:cs="Arial" w:eastAsia="Arial" w:hAnsi="Arial"/>
          <w:sz w:val="16"/>
          <w:szCs w:val="16"/>
          <w:color w:val="auto"/>
        </w:rPr>
        <w:t>The costs of prescription pharmaceuticals has also been the subject of considerable discussion in the United States, and members of Congress and the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annual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6" w:lineRule="exact"/>
        <w:rPr>
          <w:sz w:val="20"/>
          <w:szCs w:val="20"/>
          <w:color w:val="auto"/>
        </w:rPr>
      </w:pPr>
    </w:p>
    <w:p>
      <w:pPr>
        <w:ind w:right="20" w:firstLine="488"/>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Administration issued a plan to lower drug prices. Under this blueprint for action, the Administration indicated that the Department of Health and Human Services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72" w:name="page73"/>
    <w:bookmarkEnd w:id="72"/>
    <w:p>
      <w:pPr>
        <w:ind w:right="20" w:firstLine="488"/>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6" w:lineRule="exact"/>
        <w:rPr>
          <w:sz w:val="20"/>
          <w:szCs w:val="20"/>
          <w:color w:val="auto"/>
        </w:rPr>
      </w:pPr>
    </w:p>
    <w:p>
      <w:pPr>
        <w:ind w:right="160" w:firstLine="488"/>
        <w:spacing w:after="0" w:line="276"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 civil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 xml:space="preserve">Transparency Requirements. </w:t>
      </w:r>
      <w:r>
        <w:rPr>
          <w:rFonts w:ascii="Arial" w:cs="Arial" w:eastAsia="Arial" w:hAnsi="Arial"/>
          <w:sz w:val="17"/>
          <w:szCs w:val="17"/>
          <w:color w:val="auto"/>
        </w:rPr>
        <w:t>The federal Physician Payments Sunshine Act requires certain manufacturers of drugs, devices, biologics, and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physicians and teaching hospitals, as well as information regarding ownership and investment interests held by physicians and their immediate family members; and</w:t>
      </w:r>
    </w:p>
    <w:p>
      <w:pPr>
        <w:spacing w:after="0" w:line="17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73" w:name="page74"/>
    <w:bookmarkEnd w:id="73"/>
    <w:p>
      <w:pPr>
        <w:ind w:right="320"/>
        <w:spacing w:after="0" w:line="277" w:lineRule="auto"/>
        <w:rPr>
          <w:sz w:val="20"/>
          <w:szCs w:val="20"/>
          <w:color w:val="auto"/>
        </w:rPr>
      </w:pPr>
      <w:r>
        <w:rPr>
          <w:rFonts w:ascii="Arial" w:cs="Arial" w:eastAsia="Arial" w:hAnsi="Arial"/>
          <w:sz w:val="18"/>
          <w:szCs w:val="18"/>
          <w:color w:val="auto"/>
        </w:rPr>
        <w:t>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ind w:right="60" w:firstLine="518"/>
        <w:spacing w:after="0" w:line="252"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3"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4" w:name="page75"/>
    <w:bookmarkEnd w:id="74"/>
    <w:p>
      <w:pPr>
        <w:ind w:firstLine="518"/>
        <w:spacing w:after="0" w:line="264"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harmed.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are highly dependent on the pharmaceutical research and development and business development expertise of our executive team, including Cedric Francois, M.D., Ph.D., our President and Chief Executive Officer, and Pascal Deschatelets, Ph.D., our Chief Operating Officer. The members of our executive team are employed “at will,” meaning any of them may terminate his employment with us at any time with or without notice and for any reason or no reason. In the future, we may be dependent on other members of our management, scientific and development team.</w:t>
      </w:r>
    </w:p>
    <w:p>
      <w:pPr>
        <w:spacing w:after="0" w:line="17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9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spacing w:after="0" w:line="256" w:lineRule="auto"/>
        <w:rPr>
          <w:sz w:val="20"/>
          <w:szCs w:val="20"/>
          <w:color w:val="auto"/>
        </w:rPr>
      </w:pPr>
      <w:r>
        <w:rPr>
          <w:rFonts w:ascii="Arial" w:cs="Arial" w:eastAsia="Arial" w:hAnsi="Arial"/>
          <w:sz w:val="18"/>
          <w:szCs w:val="18"/>
          <w:color w:val="auto"/>
        </w:rPr>
        <w:t>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ind w:right="560"/>
        <w:spacing w:after="0" w:line="261" w:lineRule="auto"/>
        <w:rPr>
          <w:sz w:val="20"/>
          <w:szCs w:val="20"/>
          <w:color w:val="auto"/>
        </w:rPr>
      </w:pPr>
      <w:r>
        <w:rPr>
          <w:rFonts w:ascii="Arial" w:cs="Arial" w:eastAsia="Arial" w:hAnsi="Arial"/>
          <w:sz w:val="18"/>
          <w:szCs w:val="18"/>
          <w:b w:val="1"/>
          <w:bCs w:val="1"/>
          <w:i w:val="1"/>
          <w:iCs w:val="1"/>
          <w:color w:val="auto"/>
        </w:rPr>
        <w:t>We expect to continue to expand our organization, and as a result, we may encounter difficulties in managing our growth, which could disrupt our operations.</w:t>
      </w:r>
    </w:p>
    <w:p>
      <w:pPr>
        <w:spacing w:after="0" w:line="184"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continue to expect to experience significant growth in the number of our employees and the scope of our operations, particularly in the areas of drug manufacturing, clinical, regulatory affairs and sales, marketing and distribution. During 2019, the number of our employees increased from 80 on December 31, 2018 to 235 on December 31, 2019 and we expect the number of employees to increase significantly in 2020. Our principal office is located in Massachusetts and we maintain additional offices in Kentucky, California and Switzerland. To manage these growth activities and separation of offices, we must continue to implement and improve our managerial, operational and financial systems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disrupt our business, cause dilution to our stockholders or reduce our financial resources.</w:t>
      </w:r>
    </w:p>
    <w:p>
      <w:pPr>
        <w:spacing w:after="0" w:line="225"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62" w:lineRule="exact"/>
        <w:rPr>
          <w:sz w:val="20"/>
          <w:szCs w:val="20"/>
          <w:color w:val="auto"/>
        </w:rPr>
      </w:pPr>
    </w:p>
    <w:p>
      <w:pPr>
        <w:ind w:right="100" w:firstLine="588"/>
        <w:spacing w:after="0" w:line="302" w:lineRule="auto"/>
        <w:rPr>
          <w:sz w:val="20"/>
          <w:szCs w:val="20"/>
          <w:color w:val="auto"/>
        </w:rPr>
      </w:pPr>
      <w:r>
        <w:rPr>
          <w:rFonts w:ascii="Arial" w:cs="Arial" w:eastAsia="Arial" w:hAnsi="Arial"/>
          <w:sz w:val="16"/>
          <w:szCs w:val="16"/>
          <w:color w:val="auto"/>
        </w:rPr>
        <w:t>Our shares began trading on the Nasdaq Global Select Market on November 9, 2017. Given the limited trading history of our common stock,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highly volatile, which could result in substantial losses for our stockholders.</w:t>
      </w:r>
    </w:p>
    <w:p>
      <w:pPr>
        <w:spacing w:after="0" w:line="23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80" w:lineRule="exact"/>
        <w:rPr>
          <w:sz w:val="20"/>
          <w:szCs w:val="20"/>
          <w:color w:val="auto"/>
        </w:rPr>
      </w:pPr>
    </w:p>
    <w:p>
      <w:pPr>
        <w:ind w:left="5620" w:right="3920" w:hanging="5099"/>
        <w:spacing w:after="0" w:line="528" w:lineRule="auto"/>
        <w:tabs>
          <w:tab w:leader="none" w:pos="10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results of clinical trials of pegcetacoplan and any other product candidates;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discussions with regulatory authorities and regulatory actions with respect to our product candidates or our competitors’ products and product candidates;</w:t>
      </w:r>
    </w:p>
    <w:p>
      <w:pPr>
        <w:spacing w:after="0" w:line="62" w:lineRule="exact"/>
        <w:rPr>
          <w:rFonts w:ascii="Arial" w:cs="Arial" w:eastAsia="Arial" w:hAnsi="Arial"/>
          <w:sz w:val="18"/>
          <w:szCs w:val="18"/>
          <w:color w:val="auto"/>
        </w:rPr>
      </w:pPr>
    </w:p>
    <w:p>
      <w:pPr>
        <w:ind w:left="1040" w:right="10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 or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 positions, hedging or other transactions in our securities in connection with our Convertible Notes;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funds and may not use them effectively.</w:t>
      </w:r>
    </w:p>
    <w:p>
      <w:pPr>
        <w:spacing w:after="0" w:line="2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Our management will have broad discretion in the application of our cash and cash equivalents and could spend our funds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spacing w:after="0" w:line="28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will be required to devote substantial time to new compliance initiatives and corporate governance practices.</w:t>
      </w:r>
    </w:p>
    <w:p>
      <w:pPr>
        <w:spacing w:after="0" w:line="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line="279" w:lineRule="auto"/>
        <w:rPr>
          <w:sz w:val="20"/>
          <w:szCs w:val="20"/>
          <w:color w:val="auto"/>
        </w:rPr>
      </w:pPr>
      <w:r>
        <w:rPr>
          <w:rFonts w:ascii="Arial" w:cs="Arial" w:eastAsia="Arial" w:hAnsi="Arial"/>
          <w:sz w:val="17"/>
          <w:szCs w:val="17"/>
          <w:color w:val="auto"/>
        </w:rPr>
        <w:t>towards maintaining compliance with these requirements. These requirements will increase our legal and financial compliance costs and will make some activities more time-consuming and costly, especially as we are no longer an “emerging growth company”, as defined in the Jumpstart Our Business Startups Act of 2012, and are no longer able to take advantage of certain exemptions from various reporting requirements that are applicable to other public companies that are “emerging growth companies” and were applicable to us prior to January 1, 2019.</w:t>
      </w:r>
    </w:p>
    <w:p>
      <w:pPr>
        <w:spacing w:after="0" w:line="17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Pursuant to SOX Section 404, we are required to furnish with our periodic Exchange Act reports a report by our management on our internal control over financial reporting and we are required to include with our annual report on Form 10-K an attestation report on internal control over financial reporting issued by our independent registered public accounting firm. To achieve compliance with SOX Section 404 within the prescribed period, we have been engaged in a process to document and evaluate our internal control over financial reporting, which has been, and will continued to be,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from time to time, that our internal control over financial reporting is effective. If we identify one or more material weaknesses, it could result in an adverse reaction in the financial markets due to a loss of confidence in the reliability of our financial statements.</w:t>
      </w:r>
    </w:p>
    <w:p>
      <w:pPr>
        <w:spacing w:after="0" w:line="3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41" w:lineRule="exact"/>
        <w:rPr>
          <w:sz w:val="20"/>
          <w:szCs w:val="20"/>
          <w:color w:val="auto"/>
        </w:rPr>
      </w:pPr>
    </w:p>
    <w:p>
      <w:pPr>
        <w:ind w:right="280" w:firstLine="761"/>
        <w:spacing w:after="0" w:line="26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spacing w:after="0" w:line="154" w:lineRule="exact"/>
        <w:rPr>
          <w:sz w:val="20"/>
          <w:szCs w:val="20"/>
          <w:color w:val="auto"/>
        </w:rPr>
      </w:pPr>
    </w:p>
    <w:p>
      <w:pPr>
        <w:ind w:right="20" w:firstLine="761"/>
        <w:spacing w:after="0" w:line="293" w:lineRule="auto"/>
        <w:rPr>
          <w:sz w:val="20"/>
          <w:szCs w:val="20"/>
          <w:color w:val="auto"/>
        </w:rPr>
      </w:pPr>
      <w:r>
        <w:rPr>
          <w:rFonts w:ascii="Arial" w:cs="Arial" w:eastAsia="Arial" w:hAnsi="Arial"/>
          <w:sz w:val="16"/>
          <w:szCs w:val="16"/>
          <w:color w:val="auto"/>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common stock could be negatively affected.</w:t>
      </w:r>
    </w:p>
    <w:p>
      <w:pPr>
        <w:spacing w:after="0" w:line="124" w:lineRule="exact"/>
        <w:rPr>
          <w:sz w:val="20"/>
          <w:szCs w:val="20"/>
          <w:color w:val="auto"/>
        </w:rPr>
      </w:pPr>
    </w:p>
    <w:p>
      <w:pPr>
        <w:ind w:right="20" w:firstLine="761"/>
        <w:spacing w:after="0" w:line="279" w:lineRule="auto"/>
        <w:rPr>
          <w:sz w:val="20"/>
          <w:szCs w:val="20"/>
          <w:color w:val="auto"/>
        </w:rPr>
      </w:pPr>
      <w:r>
        <w:rPr>
          <w:rFonts w:ascii="Arial" w:cs="Arial" w:eastAsia="Arial" w:hAnsi="Arial"/>
          <w:sz w:val="17"/>
          <w:szCs w:val="17"/>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spacing w:after="0" w:line="2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could cause the market price of our common stock to decline significantly, even if our business is doing well.</w:t>
      </w:r>
    </w:p>
    <w:p>
      <w:pPr>
        <w:spacing w:after="0" w:line="62"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February 21, 2020, we had 75,321,471 shares of common stock outstanding. All of these shares may be freely sold in the public market at any time to the extent permitted by Rules 144 and 701 under the Securities Act of 1933, as amended, or the Securities Act and subject to the volume limitations applicable to affiliates.</w:t>
      </w:r>
    </w:p>
    <w:p>
      <w:pPr>
        <w:spacing w:after="0" w:line="154"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intend to register all shares of common stock that we may issue under our equity compensation plans. As of December 31, 2019, we had options to purchase an aggregate of 10,854,437 shares of our common stock outstanding, of which options to purchase 4,808,730 shares were vested. These shares can be freely sold in the public market upon issuance, subject to volume limitations applicable to affiliates. Moreover, holders of an aggregate of 11,153,094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The Tax Cuts and Jobs Act could adversely affect our business and financial condition.</w:t>
      </w:r>
    </w:p>
    <w:p>
      <w:pPr>
        <w:spacing w:after="0" w:line="33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December 22, 2017, President Trump signed into law new legislation, commonly referred to as the Tax Cuts and Jobs Act, or the TCJA, that significantly revised the Internal Revenue Code of 1986, as amended.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federal tax law remains uncertain and our business and financial condition could be adversely affected. In addition, how various states will respond to the TCJA continues to be uncertain.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As of December 31, 2019, we had both federal and state net operating loss carryforwards of $392.9 million and $358.3 million, respectively, and federal research and development tax credit carryforwards of $24.2 million, all of which if not utilized will begin to expire in 2024. These net operating loss and tax credit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w:t>
      </w: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62"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plan to retain all of our future earnings, if any, to finance the operation, development and growth of our business. In addition, the terms of our development funding agreement with SFJ, precludes us from paying dividends, and any future debt or credit agreements may also preclude us from paying dividends. As a result, capital appreciation, if any, of our common stock will be our stockholders’ sole source of gain for the foreseeable future.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As of February 21, 2020, our executive officers and directors, and entities associated or affiliated with our executive officers and directors, in the aggregate, beneficially owned shares representing approximately 25.5% of our outstanding common stock, including our largest stockholder, Morningside Venture Investments, Ltd., which beneficially owned approximately 16.7%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spacing w:after="0" w:line="7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ind w:right="9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3"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spacing w:after="0" w:line="2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0" w:name="page81"/>
    <w:bookmarkEnd w:id="80"/>
    <w:p>
      <w:pPr>
        <w:ind w:right="280"/>
        <w:spacing w:after="0" w:line="277" w:lineRule="auto"/>
        <w:rPr>
          <w:sz w:val="20"/>
          <w:szCs w:val="20"/>
          <w:color w:val="auto"/>
        </w:rPr>
      </w:pPr>
      <w:r>
        <w:rPr>
          <w:rFonts w:ascii="Arial" w:cs="Arial" w:eastAsia="Arial" w:hAnsi="Arial"/>
          <w:sz w:val="18"/>
          <w:szCs w:val="18"/>
          <w:b w:val="1"/>
          <w:bCs w:val="1"/>
          <w:i w:val="1"/>
          <w:iCs w:val="1"/>
          <w:color w:val="auto"/>
        </w:rPr>
        <w:t>of actions and proceedings that may be initiated by our stockholders, which could discourage lawsuits against our company and our directors, officers and employees.</w:t>
      </w:r>
    </w:p>
    <w:p>
      <w:pPr>
        <w:spacing w:after="0" w:line="6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facilities consist of office space of approximately 61,417 square feet in Waltham, Massachusetts under a lease that expires in June 2025, office space of approximately 9,478 square feet in San Francisco, California under a lease that expires in April 2024; office space of 7,125 square feet in Crestwood, Kentucky under a lease that expires in July 2023, and temporary office space in Zug, Switzerland.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jc w:val="center"/>
        <w:ind w:left="520"/>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2100"/>
        <w:spacing w:after="0" w:line="51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0" w:firstLine="761"/>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“APLS” since November 9, 2017. Prior to that date, there was no public trading market for our common stock.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3"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As of February 21, 2020, we had 24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We have never declared or paid cash dividends on our capital stock. In addition, our development agreement with SFJ contains restrictive covenants that prohibit us, subject to certain exceptions, from paying dividends on our common stock, and future debt securities or other financing arrangements could contain similar or more restrictive negative covenants.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Information about our equity compensation plans is incorporated by reference herein to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spacing w:after="0" w:line="203" w:lineRule="exact"/>
        <w:rPr>
          <w:sz w:val="20"/>
          <w:szCs w:val="20"/>
          <w:color w:val="auto"/>
        </w:rPr>
      </w:pPr>
    </w:p>
    <w:p>
      <w:pPr>
        <w:ind w:right="80" w:firstLine="476"/>
        <w:spacing w:after="0" w:line="293" w:lineRule="auto"/>
        <w:rPr>
          <w:sz w:val="20"/>
          <w:szCs w:val="20"/>
          <w:color w:val="auto"/>
        </w:rPr>
      </w:pPr>
      <w:r>
        <w:rPr>
          <w:rFonts w:ascii="Arial" w:cs="Arial" w:eastAsia="Arial" w:hAnsi="Arial"/>
          <w:sz w:val="16"/>
          <w:szCs w:val="16"/>
          <w:color w:val="auto"/>
        </w:rPr>
        <w:t>The graph below compares the cumulative total stockholder return on our common stock between November 9, 2017 (the first date that shares of our common stock were publicly traded) and December 31, 2019, with the cumulative total return of (a) the Nasdaq Composite Index and (b) the Nasdaq Biotechnology Index over the same period. The graph assumes the investment of $100 after the market close on November 9, 2017 in our common stock and each of the other indices described above. The comparisons are not intended to forecast or be indicative of future performance of our common stock. All amounts shown are based on the closing price of our common stock with the exception of November 9, 2017, which is the opening price based on initial trading of our common stock. Data for the Nasdaq Composite Index and Nasdaq Biotechnology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65850" cy="3936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firstLine="518"/>
        <w:spacing w:after="0" w:line="218" w:lineRule="exact"/>
        <w:rPr>
          <w:sz w:val="20"/>
          <w:szCs w:val="20"/>
          <w:color w:val="auto"/>
        </w:rPr>
      </w:pPr>
      <w:r>
        <w:rPr>
          <w:rFonts w:ascii="Arial" w:cs="Arial" w:eastAsia="Arial" w:hAnsi="Arial"/>
          <w:sz w:val="17"/>
          <w:szCs w:val="17"/>
          <w:color w:val="auto"/>
        </w:rPr>
        <w:t>The selected consolidated financial data included in this section are not intended to replace the consolidated financial statements included elsewhere in this Annual Report on Form 10-K. We derived the selected consolidated statements of operations data for the years ended December 31, 2017, 2018 and 2019 and the selected consolidated balance sheet data at December 31, 2018 and 2019 from our audited consolidated financial statements included elsewhere in this report. We have derived the consolidated statements of operations data for the years ended December 31, 2015 and 2016 and the consolidated balance sheet data as of December 31, 2015, 2016 and 2017 from our audited financial statements not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Our historical results are not necessarily indicative of the results that may be expected in the future. You should read the selected historical consolidated financial data below in conjunction with the section titled “Management’s Discussion and Analysis of Financial Condition and Results of Operations” and the audited consolidated financial statements and the related notes included elsewhere in this report.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CFF0FC"/>
            </w:tcBorders>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Statements of Operations Data:</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 (1)</w:t>
            </w: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13,730,311</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22,978,599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40,303,878</w:t>
            </w:r>
          </w:p>
        </w:tc>
        <w:tc>
          <w:tcPr>
            <w:tcW w:w="1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105,285,576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220,968,770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w w:val="95"/>
              </w:rPr>
              <w:t>Cost of acquired in-process research and development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26,486,000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 (1)</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6,356,782</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4,303,743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10,463,151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22,639,184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67,046,483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(46,573,093)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(27,282,342)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(50,767,029)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(127,924,760)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(288,015,253)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(1,501,215)</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2"/>
              </w:rPr>
              <w:t>Loss from remeasurement of development derivative liability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(14,839,000)</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(374,749)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(2,512,956)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(5,284,610)</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50,853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135,309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277,834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2,960,771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5,108,779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(142,150)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(175,314)</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(46,515,956)</w:t>
            </w:r>
          </w:p>
        </w:tc>
        <w:tc>
          <w:tcPr>
            <w:tcW w:w="4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(27,124,637)</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(51,006,094</w:t>
            </w:r>
          </w:p>
        </w:tc>
        <w:tc>
          <w:tcPr>
            <w:tcW w:w="180" w:type="dxa"/>
            <w:vAlign w:val="bottom"/>
            <w:tcBorders>
              <w:bottom w:val="single" w:sz="8" w:color="CFF0FC"/>
            </w:tcBorders>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(127,502,194</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(304,706,613</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per common share, basic and diluted (3)</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used</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in net loss per common share, basic and diluted</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5,795,040</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8,428,366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13,870,949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54,396,483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62,228,601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share-based compensation as follows: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171,388</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377,776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2,678,956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3,559,047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10,682,553</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374,313</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701,212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2,739,754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4,174,209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10,461,476</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545,701</w:t>
            </w: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1,078,988</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5,418,710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7,733,256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21,144,029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right="540" w:hanging="512"/>
        <w:spacing w:after="0" w:line="27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amortization of debt discount associated with term loan facility, promissory note due to the issuance of warrants and convertible senior notes. See Note 7 to our audited consolidated financial statements included elsewhere in this report.</w:t>
      </w:r>
    </w:p>
    <w:p>
      <w:pPr>
        <w:ind w:left="520" w:right="80" w:hanging="512"/>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15 in the notes to our audited consolidated financial statements appearing at the end of this document for a description of the method used to calculate basic and diluted net loss per common share.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9"/>
                <w:szCs w:val="19"/>
                <w:color w:val="auto"/>
              </w:rPr>
            </w:pPr>
          </w:p>
        </w:tc>
        <w:tc>
          <w:tcPr>
            <w:tcW w:w="1160" w:type="dxa"/>
            <w:vAlign w:val="bottom"/>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118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36,003,546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24,863,488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  175,643,529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4"/>
              </w:rPr>
              <w:t>$  176,267,666</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351,985,085</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34,843,678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23,729,792</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175,461,348</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185,414,614</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307,341,865</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38,177,109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27,433,258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182,131,456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203,533,559</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389,244,980</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19,806,944</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20,388,988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Promissory note</w:t>
            </w:r>
          </w:p>
        </w:tc>
        <w:tc>
          <w:tcPr>
            <w:tcW w:w="1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6,583,402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6,655,193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142,566,851</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Development derivative liability</w:t>
            </w:r>
          </w:p>
        </w:tc>
        <w:tc>
          <w:tcPr>
            <w:tcW w:w="1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134,839,000</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3,200,160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3,638,938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33,188,596</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42,560,904</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355,015,304</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77,191,906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92,054,926</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(71,132,922)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(98,257,559)</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(149,263,653)</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(276,765,847)</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(581,472,460)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34,976,949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23,794,320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148,942,860</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160,972,655</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34,229,676</w:t>
            </w:r>
          </w:p>
        </w:tc>
        <w:tc>
          <w:tcPr>
            <w:tcW w:w="100" w:type="dxa"/>
            <w:vAlign w:val="bottom"/>
          </w:tcPr>
          <w:p>
            <w:pPr>
              <w:spacing w:after="0"/>
              <w:rPr>
                <w:sz w:val="20"/>
                <w:szCs w:val="20"/>
                <w:color w:val="auto"/>
              </w:rPr>
            </w:pPr>
          </w:p>
        </w:tc>
      </w:tr>
      <w:tr>
        <w:trPr>
          <w:trHeight w:val="661"/>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7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We have the most advanced clinical program targeting C3 with Phase 3 clinical trials of our lead product candidate, pegcetacoplan, in multiple indications. We believe that pegcetacoplan has the potential to be a best-in-class treatment that may address the limitations of existing treatment options or provide a treatment option where there currently is none. Pegcetacoplan has already shown activity that we believe is clinically meaningful in clinical trials for several distinct medical conditions, including geographic atrophy in age-related macular degeneration, or GA; paroxysmal nocturnal hemoglobinuria, or PNH; cold agglutinin disease, or CAD; and C3 glomerulopathy, or C3G.</w:t>
      </w:r>
    </w:p>
    <w:p>
      <w:pPr>
        <w:spacing w:after="0" w:line="121"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i w:val="1"/>
          <w:iCs w:val="1"/>
          <w:color w:val="auto"/>
        </w:rPr>
        <w:t>GA</w:t>
      </w:r>
      <w:r>
        <w:rPr>
          <w:rFonts w:ascii="Arial" w:cs="Arial" w:eastAsia="Arial" w:hAnsi="Arial"/>
          <w:sz w:val="18"/>
          <w:szCs w:val="18"/>
          <w:color w:val="auto"/>
        </w:rPr>
        <w:t>. We initiated a Phase 3 clinical program consisting of two Phase 3 clinical trials evaluating pegcetacoplan in patients with GA in September 2018.</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both trials will be fully enrolled by the end of the first half of 2020 and that we will announce data from these trials in mid-2021. In our Phase 2 clinical trial of pegcetacoplan in patients with GA, treatment with pegcetacoplan resulted in a significant reduction in the rate of GA lesion growth over 12 months.</w:t>
      </w:r>
    </w:p>
    <w:p>
      <w:pPr>
        <w:spacing w:after="0" w:line="11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PNH</w:t>
      </w:r>
      <w:r>
        <w:rPr>
          <w:rFonts w:ascii="Arial" w:cs="Arial" w:eastAsia="Arial" w:hAnsi="Arial"/>
          <w:sz w:val="18"/>
          <w:szCs w:val="18"/>
          <w:color w:val="auto"/>
        </w:rPr>
        <w:t>. In June 2018, we initiated a Phase 3 clinical trial evaluating pegcetacoplan in 80 patients with PNH who exhibited signs of moderate to severe</w:t>
      </w:r>
      <w:r>
        <w:rPr>
          <w:rFonts w:ascii="Arial" w:cs="Arial" w:eastAsia="Arial" w:hAnsi="Arial"/>
          <w:sz w:val="18"/>
          <w:szCs w:val="18"/>
          <w:i w:val="1"/>
          <w:iCs w:val="1"/>
          <w:color w:val="auto"/>
        </w:rPr>
        <w:t xml:space="preserve"> </w:t>
      </w:r>
      <w:r>
        <w:rPr>
          <w:rFonts w:ascii="Arial" w:cs="Arial" w:eastAsia="Arial" w:hAnsi="Arial"/>
          <w:sz w:val="18"/>
          <w:szCs w:val="18"/>
          <w:color w:val="auto"/>
        </w:rPr>
        <w:t>anemia (specifically with an inclusion criterion of hemoglobin level of less than 10.5 g/dL) while being treated with eculizumab, an approved therapy for PNH that is marketed as Soliris. We refer to this trial as the PEGASUS trial.</w:t>
      </w:r>
    </w:p>
    <w:p>
      <w:pPr>
        <w:spacing w:after="0" w:line="11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January 2020, we announced top-line data from the PEGASUS trial that showed that pegcetacoplan met the trial’s primary efficacy endpoint, demonstrating superiority to eculizumab with a statistically significant improvement in adjusted means of 3.8 g/dL of hemoglobin at week 16 (p &lt; 0.0001). At week 16, pegcetacoplan-treated patients (n = 41) had an adjusted mean hemoglobin increase of 2.4 g/dL from a baseline of 8.7 g/dL, compared to eculizumab-treated patients (n = 39) who had a change of -1.5 g/dL from a baseline of 8.7 g/dL. Additionally, pegcetacoplan showed promising results in key secondary endpoints. Pegcetacoplan met non-inferiority on transfusion avoidance and absolute reticulocyte count. Pegcetacoplan did not meet pre-specified criteria for non-inferiority on mean lactate dehydrogenase, or LDH, levels. Pegcetacoplan showed positive trends on LDH and fatigue as measured by the Functional Assessment of Chronic Illness Therapy, or FACIT, fatigue score. In the trial, the safety profile of pegcetacoplan was comparable to eculizumab.</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2019, we initiated a second Phase 3 clinical trial in patients with PNH who have not been treated with eculizumab, or</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eculizumab treatment-naïve patients. We expect to complete enrollment in this trial in the first half of 2020 and to present top-line data in the first quarter of 2021. We refer to this trial as the PRINCE trial.</w:t>
      </w:r>
    </w:p>
    <w:p>
      <w:pPr>
        <w:spacing w:after="0" w:line="116"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intend to meet with regulatory agencies in the first half of 2020 to discuss what information is required to support regulatory submissions of a new drug application, or NDA, or marketing authorization application, or MAA, for pegcetacoplan in PNH.</w:t>
      </w:r>
    </w:p>
    <w:p>
      <w:pPr>
        <w:spacing w:after="0" w:line="10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CAD</w:t>
      </w:r>
      <w:r>
        <w:rPr>
          <w:rFonts w:ascii="Arial" w:cs="Arial" w:eastAsia="Arial" w:hAnsi="Arial"/>
          <w:sz w:val="18"/>
          <w:szCs w:val="18"/>
          <w:color w:val="auto"/>
        </w:rPr>
        <w:t>. In our ongoing Phase 2 clinical trials of pegcetacoplan in patients with CAD, patients have achieved increased hemoglobin levels,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reticulocytes and bilirubin levels, and reduced LDH levels. We intend to disclose our plans and timing for further clinical development of pegcetacoplan for patients with CAD in the first half of 2020.</w:t>
      </w:r>
    </w:p>
    <w:p>
      <w:pPr>
        <w:spacing w:after="0" w:line="114"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i w:val="1"/>
          <w:iCs w:val="1"/>
          <w:color w:val="auto"/>
        </w:rPr>
        <w:t>C3G</w:t>
      </w:r>
      <w:r>
        <w:rPr>
          <w:rFonts w:ascii="Arial" w:cs="Arial" w:eastAsia="Arial" w:hAnsi="Arial"/>
          <w:sz w:val="17"/>
          <w:szCs w:val="17"/>
          <w:color w:val="auto"/>
        </w:rPr>
        <w:t>. We are also conducting a Phase 2 clinical trial of pegcetacoplan for glomerular diseases with complement involvement, including C3G. We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preliminary data on patients with C3G from this trial at the Annual Meeting of American Society of Nephropathy in November 2019. We intend to disclose our plans and timing for further clinical development of pegcetacoplan for patients with C3G in the first half of 2020.</w:t>
      </w:r>
    </w:p>
    <w:p>
      <w:pPr>
        <w:spacing w:after="0" w:line="274" w:lineRule="exact"/>
        <w:rPr>
          <w:sz w:val="20"/>
          <w:szCs w:val="20"/>
          <w:color w:val="auto"/>
        </w:rPr>
      </w:pPr>
    </w:p>
    <w:p>
      <w:pPr>
        <w:ind w:right="60" w:firstLine="571"/>
        <w:spacing w:after="0" w:line="286" w:lineRule="auto"/>
        <w:rPr>
          <w:sz w:val="20"/>
          <w:szCs w:val="20"/>
          <w:color w:val="auto"/>
        </w:rPr>
      </w:pPr>
      <w:r>
        <w:rPr>
          <w:rFonts w:ascii="Arial" w:cs="Arial" w:eastAsia="Arial" w:hAnsi="Arial"/>
          <w:sz w:val="17"/>
          <w:szCs w:val="17"/>
          <w:i w:val="1"/>
          <w:iCs w:val="1"/>
          <w:color w:val="auto"/>
        </w:rPr>
        <w:t xml:space="preserve">Intravenous C3 Inhibition. </w:t>
      </w:r>
      <w:r>
        <w:rPr>
          <w:rFonts w:ascii="Arial" w:cs="Arial" w:eastAsia="Arial" w:hAnsi="Arial"/>
          <w:sz w:val="17"/>
          <w:szCs w:val="17"/>
          <w:color w:val="auto"/>
        </w:rPr>
        <w:t>We are developing compounds targeting C3 for intravenous administration. In particular, we are developing APL-9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prevention of complement immune system activation coincident with adeno-associated virus, or AAV, vector administration for gene therapies and other indications. APL-9 is a second generation C3 modulator and is designed to be intravenously administered for acute use.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color w:val="auto"/>
        </w:rPr>
        <w:t>We hold worldwide commercialization rights to pegcetacoplan, APL-9 and those other novel compounds targeting C3.</w:t>
      </w:r>
    </w:p>
    <w:p>
      <w:pPr>
        <w:spacing w:after="0" w:line="18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the commercial launch of our products and providing general and administrative support for these operations.</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On November 13, 2017, we issued and sold 10,714,000 shares of common stock in our initial public offering, or IPO, at a price to the public of $14.00 per share for net proceeds of $137.2 million after deducting underwriting discounts and commissions of $10.5 million and offering expenses of approximately $2.3 million. In addition, on December 13, 2017, we issued and sold an additional 981,107 shares of common stock at a price to the public of $14.00 per share pursuant to the underwriters’ partial exercise of their option to purchase additional shares of common stock, for net proceeds of approximately $12.8 million, after underwriting discounts and commissions. On November 13, 2017, upon the closing of the IPO, all shares of redeemable convertible preferred stock then outstanding converted into an aggregate of 30,070,034 shares of common stock.</w:t>
      </w:r>
    </w:p>
    <w:p>
      <w:pPr>
        <w:spacing w:after="0" w:line="192"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On April 23, 2018, we issued and sold 5,500,000 shares of our common stock in a follow-on public offering at a public offering price of $25.50 per share for net proceeds of $131.2 million, after deducting underwriting discounts and commissions of $8.4 million and offering expenses of $0.5 million.</w:t>
      </w:r>
    </w:p>
    <w:p>
      <w:pPr>
        <w:spacing w:after="0" w:line="13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On February 28, 2019, we entered into a development funding agreement, which we refer to as the SFJ agreement, with SFJ Pharmaceuticals Group or SFJ, under which SFJ agreed to provide funding to us to support the development of pegcetacoplan for the treatment of patients with PNH. Pursuant to the agreement, SFJ paid us $60.0 million following the signing of the agreement, and agreed to pay us up to an additional $60.0 million in the aggregate in three equal installments upon the achievement of specified development milestones with respect to our Phase 3 program for pegcetacoplan in PNH and subject to our having cash resources at the time sufficient to fund at least 10 months of our operations. In addition, upon the mutual agreement of us and SFJ, at any time after the earlier of the date that we have reviewed the primary endpoint data from our PEGASUS Phase 3 trial of pegcetacoplan in patients with PNH and March 31, 2020, SFJ may fund an additional $50.0 million of our development costs which we refer to as the Additional SFJ Funding.</w:t>
      </w:r>
    </w:p>
    <w:p>
      <w:pPr>
        <w:spacing w:after="0" w:line="18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On March 11, 2019, we issued and sold 6,900,000 shares of our common stock in a follow-on offering at a public offering price of $17.00 per share for net proceeds of $109.6 million, after deducting underwriting discounts and commissions of $7.0 million and estimated offering expenses of $0.7 million.</w:t>
      </w:r>
    </w:p>
    <w:p>
      <w:pPr>
        <w:spacing w:after="0" w:line="13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On June 7, 2019, we executed an amendment to the SFJ agreement, which we refer to as the SFJ amendment. Under the SFJ amendment, SFJ agreed to make an additional $20.0 million funding payment to us to support the development of pegcetacoplan for the treatment of patients with PNH. This additional $20.0 million is in addition to and not part of the Additional SFJ Funding.</w:t>
      </w:r>
    </w:p>
    <w:p>
      <w:pPr>
        <w:spacing w:after="0" w:line="19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On June 27, 2019, we received $40.0 million from SFJ, consisting of $20.0 million as the first installment of the additional $60.0 million upon the achievement of a milestone and the $20.0 million payable under the SFJ amendment.</w:t>
      </w:r>
    </w:p>
    <w:p>
      <w:pPr>
        <w:spacing w:after="0" w:line="170" w:lineRule="exact"/>
        <w:rPr>
          <w:sz w:val="20"/>
          <w:szCs w:val="20"/>
          <w:color w:val="auto"/>
        </w:rPr>
      </w:pPr>
    </w:p>
    <w:p>
      <w:pPr>
        <w:ind w:right="160" w:firstLine="518"/>
        <w:spacing w:after="0" w:line="295" w:lineRule="auto"/>
        <w:rPr>
          <w:sz w:val="20"/>
          <w:szCs w:val="20"/>
          <w:color w:val="auto"/>
        </w:rPr>
      </w:pPr>
      <w:r>
        <w:rPr>
          <w:rFonts w:ascii="Arial" w:cs="Arial" w:eastAsia="Arial" w:hAnsi="Arial"/>
          <w:sz w:val="16"/>
          <w:szCs w:val="16"/>
          <w:color w:val="auto"/>
        </w:rPr>
        <w:t xml:space="preserve">On September 16, 2019, we issued and sold $220.0 million aggregate principal amount of 3.5% convertible senior notes due 2026, or </w:t>
      </w:r>
      <w:r>
        <w:rPr>
          <w:rFonts w:ascii="Arial" w:cs="Arial" w:eastAsia="Arial" w:hAnsi="Arial"/>
          <w:sz w:val="16"/>
          <w:szCs w:val="16"/>
          <w:color w:val="212529"/>
        </w:rPr>
        <w:t>Convertible</w:t>
      </w:r>
      <w:r>
        <w:rPr>
          <w:rFonts w:ascii="Arial" w:cs="Arial" w:eastAsia="Arial" w:hAnsi="Arial"/>
          <w:sz w:val="16"/>
          <w:szCs w:val="16"/>
          <w:color w:val="auto"/>
        </w:rPr>
        <w:t xml:space="preserve"> </w:t>
      </w:r>
      <w:r>
        <w:rPr>
          <w:rFonts w:ascii="Arial" w:cs="Arial" w:eastAsia="Arial" w:hAnsi="Arial"/>
          <w:sz w:val="16"/>
          <w:szCs w:val="16"/>
          <w:color w:val="212529"/>
        </w:rPr>
        <w:t>N</w:t>
      </w:r>
      <w:r>
        <w:rPr>
          <w:rFonts w:ascii="Arial" w:cs="Arial" w:eastAsia="Arial" w:hAnsi="Arial"/>
          <w:sz w:val="16"/>
          <w:szCs w:val="16"/>
          <w:color w:val="000000"/>
        </w:rPr>
        <w:t>otes, in a private offering.</w:t>
      </w:r>
      <w:r>
        <w:rPr>
          <w:rFonts w:ascii="Arial" w:cs="Arial" w:eastAsia="Arial" w:hAnsi="Arial"/>
          <w:sz w:val="16"/>
          <w:szCs w:val="16"/>
          <w:color w:val="212529"/>
        </w:rPr>
        <w:t xml:space="preserve"> The net proceeds from the sale of the notes were approximately $212.9 million after deducting the initial purchasers’ discounts and commissions and estimated offering expenses payable. We used $28.4 million of the net proceeds from the offering to pay the cost of the capped call transactions described below. The Convertible Notes are convertible into shares of our common stock at an initial conversion rate of 25.3405 shares per $1,000 principal amount of notes (equivalent to an initial conversion price of approximately $39.46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applicable indenture, or the Indenture.</w:t>
      </w:r>
    </w:p>
    <w:p>
      <w:pPr>
        <w:spacing w:after="0" w:line="17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In September 2019, we received $20.0 million from SFJ, as the second installment of the additional $60.0 million due to the achievement of a milestone. We met the remaining development milestones under the SFJ agreement upon the announcement of the results of the PEGASUS phase 3 trial in January 2020. The remaining $20.0 million of the additional $60.0 million installment was paid in January 2020.</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January 13, 2020, we issued and sold 10,925,000 shares of our common stock at a price per share to the public of $37.00 in a follow-on public offering including 1,425,000 shares of shares sold pursuant to the underwriters’ exercise in full of their option to purchase additional shares. We received total net proceeds of $381.4 million from the sale of shares in the offering after deducting underwriting discounts and commissions of $22.2 million and estimated offering costs of approximately $0.6 million for these transactions.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6" w:name="page87"/>
    <w:bookmarkEnd w:id="86"/>
    <w:p>
      <w:pPr>
        <w:ind w:right="80" w:firstLine="518"/>
        <w:spacing w:after="0" w:line="297" w:lineRule="auto"/>
        <w:rPr>
          <w:sz w:val="20"/>
          <w:szCs w:val="20"/>
          <w:color w:val="auto"/>
        </w:rPr>
      </w:pPr>
      <w:r>
        <w:rPr>
          <w:rFonts w:ascii="Arial" w:cs="Arial" w:eastAsia="Arial" w:hAnsi="Arial"/>
          <w:sz w:val="16"/>
          <w:szCs w:val="16"/>
          <w:color w:val="auto"/>
        </w:rPr>
        <w:t>To date, we have financed our operations primarily through $150.0 million in net proceeds from our IPO, $212.9 million in net proceeds from the private offering of Convertible Notes, $622.2 million in net proceeds from follow-on offerings of our common stock which includes the $381.4 million from the offering in January 2020, $112.6 million in proceeds from the private placement of shares of our convertible preferred stock, $140.0 million from the SFJ agreement, $20.0 million in proceeds from borrowings under a term loan facility with Silicon Valley Bank, and $7.0 million in proceeds from our issuance and sale of a promissory note. The amounts due and owed under the term loan facility and the promissory note have been repaid in full.</w:t>
      </w:r>
    </w:p>
    <w:p>
      <w:pPr>
        <w:spacing w:after="0" w:line="15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have not generated any revenue from product sales. We have incurred significant annual net operating losses in each year since our inception and expect to continue to incur net operating losses for the foreseeable future. Our net losses were $51.0 million, $127.5 million and $304.7 million for the years ended December 31, 2017, 2018 and 2019, respectively. As of December 31, 2019, we had an accumulated deficit of $581.5 million. We expect to continue to incur significant expenses and increasing operating losses for the next several years. Our net losses may fluctuate significantly from quarter to quarter and year to year. We anticipate that our expenses will increase significantly if and as we continue to develop and conduct clinical trials in our current and new indications with pegcetacoplan and APL-9, including our ongoing Phase 3 program in GA, our ongoing Phase 3 trials in PNH and our ongoing and planned clinical trials of pegcetacoplan in other indications;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in the future to commercialize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 In addition, we are incurring additional costs associated with operating as a public company.</w:t>
      </w:r>
    </w:p>
    <w:p>
      <w:pPr>
        <w:spacing w:after="0" w:line="172"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As of December 31, 2019, we had cash and cash equivalents of $352.0 million. We believe that our cash and cash equivalents as of December 31, 2019, together with the net proceeds of its follow-on public offering of $381.4 million in January 2020 and the $20.0 million received from SFJ in January 2020, will be sufficient to enable us to fund our current operations at least into mid-2021. We have based this estimate on assumptions that may prove to be wrong, and we could exhaust our available capital resources sooner than we expect. See “Liquidity and Capital Resources.”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We have not generated any revenue from product sales and do not expect to generate any revenue from the sale of products within the next twelve months. In the future, we will seek to generate revenue primarily from a combination of product sales and collaborations with strategic partners.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62" w:lineRule="exact"/>
        <w:rPr>
          <w:sz w:val="20"/>
          <w:szCs w:val="20"/>
          <w:color w:val="auto"/>
        </w:rPr>
      </w:pPr>
    </w:p>
    <w:p>
      <w:pPr>
        <w:ind w:left="1040" w:right="5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and share-based compensation expense related to individuals performing research and development activities;</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consultants, including share-based compensation expense;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various other expenses incident to the management of our preclinical studies and clinical trials.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on a program-by-program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color w:val="auto"/>
        </w:rPr>
        <w:t>The following summarizes our most advanced research and development programs:</w:t>
      </w:r>
    </w:p>
    <w:p>
      <w:pPr>
        <w:spacing w:after="0" w:line="113" w:lineRule="exact"/>
        <w:rPr>
          <w:sz w:val="20"/>
          <w:szCs w:val="20"/>
          <w:color w:val="auto"/>
        </w:rPr>
      </w:pPr>
    </w:p>
    <w:p>
      <w:pPr>
        <w:ind w:left="1040" w:right="40" w:hanging="470"/>
        <w:spacing w:after="0" w:line="258" w:lineRule="auto"/>
        <w:rPr>
          <w:sz w:val="20"/>
          <w:szCs w:val="20"/>
          <w:color w:val="auto"/>
        </w:rPr>
      </w:pPr>
      <w:r>
        <w:rPr>
          <w:rFonts w:ascii="Arial" w:cs="Arial" w:eastAsia="Arial" w:hAnsi="Arial"/>
          <w:sz w:val="18"/>
          <w:szCs w:val="18"/>
          <w:b w:val="1"/>
          <w:bCs w:val="1"/>
          <w:color w:val="auto"/>
        </w:rPr>
        <w:t>GA</w:t>
      </w:r>
      <w:r>
        <w:rPr>
          <w:rFonts w:ascii="Arial" w:cs="Arial" w:eastAsia="Arial" w:hAnsi="Arial"/>
          <w:sz w:val="18"/>
          <w:szCs w:val="18"/>
          <w:color w:val="auto"/>
        </w:rPr>
        <w:t>. We are developing pegcetacoplan for intravitreal administration in geographic atrophy. We initiated a Phase 3 clinical program consisting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two Phase 3 clinical trials evaluating pegcetacoplan in patients with GA in September 2018, which we refer to as the DERBY and OAKS trials. We expect that both trials will be fully enrolled in the first half of 2020 and that we will announce data from these trials in mid-2021. In our Phase 2 clinical trial of pegcetacoplan in patients with GA, treatment with pegcetacoplan resulted in a significant reduction in the rate of GA lesion growth over 12 months.</w:t>
      </w:r>
    </w:p>
    <w:p>
      <w:pPr>
        <w:spacing w:after="0" w:line="80" w:lineRule="exact"/>
        <w:rPr>
          <w:sz w:val="20"/>
          <w:szCs w:val="20"/>
          <w:color w:val="auto"/>
        </w:rPr>
      </w:pPr>
    </w:p>
    <w:p>
      <w:pPr>
        <w:ind w:left="1040" w:right="160" w:hanging="470"/>
        <w:spacing w:after="0" w:line="293" w:lineRule="auto"/>
        <w:rPr>
          <w:sz w:val="20"/>
          <w:szCs w:val="20"/>
          <w:color w:val="auto"/>
        </w:rPr>
      </w:pPr>
      <w:r>
        <w:rPr>
          <w:rFonts w:ascii="Arial" w:cs="Arial" w:eastAsia="Arial" w:hAnsi="Arial"/>
          <w:sz w:val="16"/>
          <w:szCs w:val="16"/>
          <w:b w:val="1"/>
          <w:bCs w:val="1"/>
          <w:i w:val="1"/>
          <w:iCs w:val="1"/>
          <w:color w:val="auto"/>
        </w:rPr>
        <w:t>PNH</w:t>
      </w:r>
      <w:r>
        <w:rPr>
          <w:rFonts w:ascii="Arial" w:cs="Arial" w:eastAsia="Arial" w:hAnsi="Arial"/>
          <w:sz w:val="16"/>
          <w:szCs w:val="16"/>
          <w:color w:val="auto"/>
        </w:rPr>
        <w:t>. We are developing pegcetacoplan as monotherapy for patients with PNH, administered by subcutaneous injection. We initiated the Phase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PEGASUS trial, an 80-patient randomized head-to-head study comparing pegcetacoplan monotherapy to eculizumab monotherapy in patients with PNH currently on treatment with eculizumab, in June 2018, completed enrollment in June 2019 and reported top-line results in January 2020. We plan to present detailed 16-week results from the PEGASUS trial at a future scientific meeting and expect to report 48-week topline data in the second half of 2020. In September 2019, we initiated our PRINCE trial, a 54-patient Phase 3 clinical trial in treatment-naïve patients. We expect to complete enrollment in this trial in the first half of 2020 and to present top-line data in the first quarter of 2021.</w:t>
      </w:r>
    </w:p>
    <w:p>
      <w:pPr>
        <w:spacing w:after="0" w:line="57" w:lineRule="exact"/>
        <w:rPr>
          <w:sz w:val="20"/>
          <w:szCs w:val="20"/>
          <w:color w:val="auto"/>
        </w:rPr>
      </w:pPr>
    </w:p>
    <w:p>
      <w:pPr>
        <w:ind w:left="1040" w:right="200" w:hanging="470"/>
        <w:spacing w:after="0" w:line="270" w:lineRule="auto"/>
        <w:rPr>
          <w:sz w:val="20"/>
          <w:szCs w:val="20"/>
          <w:color w:val="auto"/>
        </w:rPr>
      </w:pPr>
      <w:r>
        <w:rPr>
          <w:rFonts w:ascii="Arial" w:cs="Arial" w:eastAsia="Arial" w:hAnsi="Arial"/>
          <w:sz w:val="18"/>
          <w:szCs w:val="18"/>
          <w:b w:val="1"/>
          <w:bCs w:val="1"/>
          <w:i w:val="1"/>
          <w:iCs w:val="1"/>
          <w:color w:val="auto"/>
        </w:rPr>
        <w:t>CAD</w:t>
      </w:r>
      <w:r>
        <w:rPr>
          <w:rFonts w:ascii="Arial" w:cs="Arial" w:eastAsia="Arial" w:hAnsi="Arial"/>
          <w:sz w:val="18"/>
          <w:szCs w:val="18"/>
          <w:color w:val="auto"/>
        </w:rPr>
        <w:t>. We are developing pegacetacoplan for patients with CAD, administered by subcutaneous injection. We initiated a Phase 2 clinical trial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pegcetacoplan in patients with CAD in the first quarter of 2018, reported interim data in December 2018 and provided additional data in June 2019. We intend to disclose our plans and timing for further clinical development of pegcetacoplan for patients with CAD in the first half of 2020.</w:t>
      </w:r>
    </w:p>
    <w:p>
      <w:pPr>
        <w:spacing w:after="0" w:line="68" w:lineRule="exact"/>
        <w:rPr>
          <w:sz w:val="20"/>
          <w:szCs w:val="20"/>
          <w:color w:val="auto"/>
        </w:rPr>
      </w:pPr>
    </w:p>
    <w:p>
      <w:pPr>
        <w:ind w:left="1040" w:right="40" w:hanging="470"/>
        <w:spacing w:after="0" w:line="257" w:lineRule="auto"/>
        <w:rPr>
          <w:sz w:val="20"/>
          <w:szCs w:val="20"/>
          <w:color w:val="auto"/>
        </w:rPr>
      </w:pPr>
      <w:r>
        <w:rPr>
          <w:rFonts w:ascii="Arial" w:cs="Arial" w:eastAsia="Arial" w:hAnsi="Arial"/>
          <w:sz w:val="18"/>
          <w:szCs w:val="18"/>
          <w:b w:val="1"/>
          <w:bCs w:val="1"/>
          <w:i w:val="1"/>
          <w:iCs w:val="1"/>
          <w:color w:val="auto"/>
        </w:rPr>
        <w:t>C3G</w:t>
      </w:r>
      <w:r>
        <w:rPr>
          <w:rFonts w:ascii="Arial" w:cs="Arial" w:eastAsia="Arial" w:hAnsi="Arial"/>
          <w:sz w:val="18"/>
          <w:szCs w:val="18"/>
          <w:color w:val="auto"/>
        </w:rPr>
        <w:t>. We are developing pegcetacoplan for patients with glomerular diseases with complement involvement, administered by subcutaneous injection.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initiated a Phase 2 clinical trial of pegcetacoplan in patients with glomerular diseases with complement involvement, in the first quarter of 2018. We presented preliminary data on patients with C3G from this trial at the Annual Meeting of American Society of Nephropathy in November 2019. We intend to disclose our plans and timing for further clinical development of pegcetacoplan for patients with C3G in the first half of 2020</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pegcetacoplan or any other potential product candidates. This is due to the numerous risks and uncertainties associated with developing therapeutics, including the uncertainties of:</w:t>
      </w:r>
    </w:p>
    <w:p>
      <w:pPr>
        <w:spacing w:after="0" w:line="79"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an appropriate safety profile in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acceptable safety profile of the products following approval.</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bonuses, benefits and share-based compensation. Other significant costs include facility costs not otherwise included in research and development expenses, legal fees relating to patent and corporate matters, and fees for accounting and consulting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360" w:firstLine="518"/>
        <w:spacing w:after="0" w:line="276"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attorneys and accountants, among other expenses. Additionally, we anticipate increased costs associated with being a public company including expenses related to services associated with maintaining compliance with exchange listing and SEC requirements, insurance costs and investor relations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contract manufacturing organizations, or CMOs, in connection with research and development activities for which we have not yet been invoiced.</w:t>
      </w:r>
    </w:p>
    <w:p>
      <w:pPr>
        <w:spacing w:after="0" w:line="19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measure share-based awards granted to employees, consultants and members of the board of directors at fair value on the date of grant and recognize the corresponding share-based compensation expense of those awards, net of forfeitures, over the requisite service period, which is generally the vesting period of the respective award. We have historically granted stock options with exercise prices equivalent to the fair value of our common stock, with reference to arms’ length transactions effected contemporaneously with the date of grant of the stock options.</w:t>
      </w:r>
    </w:p>
    <w:p>
      <w:pPr>
        <w:spacing w:after="0" w:line="17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measure other share-based awards granted to non-employees at fair value as of the end of each reporting period and record expense for the awards over the period in which the related services are rendered. We estimated the fair value of each stock option grant using the Monte Carlo simulation model, or Monte Carlo, for grants made on or prior to June 30, 2015 and the Black-Scholes option pricing model, or Black-Scholes, for grants made on or after July 1, 2015. We historically have been a privately-held company and lack company-specific historical and implied volatility information over a time period equal to the expected term of our stock options at grant. Therefore, we estimate our expected volatility based on the historical volatility of a representative group of publicly traded biopharmaceutical companies and expect to continue to do so until we have adequate historical data regarding the volatility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right="20"/>
        <w:spacing w:after="0" w:line="254" w:lineRule="auto"/>
        <w:rPr>
          <w:sz w:val="20"/>
          <w:szCs w:val="20"/>
          <w:color w:val="auto"/>
        </w:rPr>
      </w:pPr>
      <w:r>
        <w:rPr>
          <w:rFonts w:ascii="Arial" w:cs="Arial" w:eastAsia="Arial" w:hAnsi="Arial"/>
          <w:sz w:val="18"/>
          <w:szCs w:val="18"/>
          <w:color w:val="auto"/>
        </w:rPr>
        <w:t>our traded stock price. Before the IPO, we determined the expected term of our options utilizing the probability weighted time to liquidity event at each grant date, assuming that holders of our options would exercise at the time of such liquidity event. After the IPO, we calculate the expected term for options granted to employees based on the simplified method set forth in SEC Staff Accounting Bulletin 107, because it does not have sufficient historical exercise data to provide a reasonable basis upon which to estimate expected term due to the limited period of time its equity shares have been publicly traded. Under the simplified method, the weighted average vesting period is averaged with the contractual term of the option being valued. We determine the risk-free interest rate by reference to the U.S. Treasury yield curve in effect at the time of grant of the award for time periods approximately equal to the expected term of the award. We assume an expected dividend yield of zero because we have never paid cash dividends and do not expect to pay any cash dividends in the foreseeable future.</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Valuations of Common Stock</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 xml:space="preserve">Due to the absence of a public trading market for our common stock, from inception through November 9, 2017, which is the date our common stock commenced trading on the Nasdaq Global Select Market, our retrospective and contemporaneous determinations of the fair value of our common stock were performed using methodologies, approaches and assumptions consistent with the American Institute of Certified Public Accountants Audit and Accounting Practice Aid Series: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There are significant judgments and estimates inherent in the determination of the fair value of our common stock, including the contemporaneous and retrospective valuations. These judgments and estimates include assumptions regarding our future operating performance, the probability and timing of completing an initial public offering or other liquidity event and the determinations of the appropriate valuation methods. If we had made different assumptions, our share-based compensation expense, net loss and net loss per share could have been significantly different.</w:t>
      </w:r>
    </w:p>
    <w:p>
      <w:pPr>
        <w:spacing w:after="0" w:line="7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Since the IPO, we have determined the fair market value of our common stock using the market closing price of our common stock as reported on the Nasdaq Global Select Market on the date of grant.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Valuation Methodologies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Prior to our IPO, the common stock valuations were prepared using a hybrid of the option-pricing method, or OPM, and the probability-weighted expected return method, or PWERM.</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OPM</w:t>
      </w:r>
      <w:r>
        <w:rPr>
          <w:rFonts w:ascii="Arial" w:cs="Arial" w:eastAsia="Arial" w:hAnsi="Arial"/>
          <w:sz w:val="17"/>
          <w:szCs w:val="17"/>
          <w:color w:val="auto"/>
        </w:rPr>
        <w:t>. The OPM treats each class of common stock and preferred stock as call options on the total equity value of a company, with exercise prices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merger or initial public offering.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liquidation preference is paid.</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OPM uses Monte Carlo or Black-Scholes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used the OPM backsolve approach to estimate enterprise value under the OPM. The OPM backsolve approach uses the OPM to calculate the implied equity value based on recent sales of the company’s securities. For the OPM, we based our assumed volatility factor on the historical trading volatility of our publicly traded peer companies. For each valuation date, we determined the appropriate volatility to be used, considering such factors as our expected time to a liquidity event and our stage of development.</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To derive the fair value of our common stock using the OPM, we calculated the proceeds to the common stockholders based on the preferences and priorities of the preferred and common stock. We then applied a discount for lack of marketability to the common stock to account for the lack of access to an active public market.</w:t>
      </w:r>
    </w:p>
    <w:p>
      <w:pPr>
        <w:spacing w:after="0" w:line="18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i w:val="1"/>
          <w:iCs w:val="1"/>
          <w:color w:val="auto"/>
        </w:rPr>
        <w:t>PWERM</w:t>
      </w:r>
      <w:r>
        <w:rPr>
          <w:rFonts w:ascii="Arial" w:cs="Arial" w:eastAsia="Arial" w:hAnsi="Arial"/>
          <w:sz w:val="16"/>
          <w:szCs w:val="16"/>
          <w:color w:val="auto"/>
        </w:rPr>
        <w:t>. The PWERM is a scenario-based methodology that estimates the fair value of common stock based upon an analysis of future values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is then applied to the common stock to account for the lack of access to an active public market.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ind w:left="26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September 16, 2019, we completed a private offering of Convertible Notes with an aggregate principal amount of $220.0 million.</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212529"/>
        </w:rPr>
        <w:t xml:space="preserve">The notes are convertible into shares of our common stock at an initial conversion rate of 25.3405 shares per $1,000 principal amount of the </w:t>
      </w:r>
      <w:r>
        <w:rPr>
          <w:rFonts w:ascii="Arial" w:cs="Arial" w:eastAsia="Arial" w:hAnsi="Arial"/>
          <w:sz w:val="18"/>
          <w:szCs w:val="18"/>
          <w:color w:val="000000"/>
        </w:rPr>
        <w:t xml:space="preserve">Convertible Notes </w:t>
      </w:r>
      <w:r>
        <w:rPr>
          <w:rFonts w:ascii="Arial" w:cs="Arial" w:eastAsia="Arial" w:hAnsi="Arial"/>
          <w:sz w:val="18"/>
          <w:szCs w:val="18"/>
          <w:color w:val="212529"/>
        </w:rPr>
        <w:t>(equivalent to an initial conversion price of approximately $39.46 per share of common stock). The conversion rate is subject to customary</w:t>
      </w:r>
      <w:r>
        <w:rPr>
          <w:rFonts w:ascii="Arial" w:cs="Arial" w:eastAsia="Arial" w:hAnsi="Arial"/>
          <w:sz w:val="18"/>
          <w:szCs w:val="18"/>
          <w:color w:val="000000"/>
        </w:rPr>
        <w:t xml:space="preserve"> </w:t>
      </w:r>
      <w:r>
        <w:rPr>
          <w:rFonts w:ascii="Arial" w:cs="Arial" w:eastAsia="Arial" w:hAnsi="Arial"/>
          <w:sz w:val="18"/>
          <w:szCs w:val="18"/>
          <w:color w:val="212529"/>
        </w:rPr>
        <w:t xml:space="preserve">anti-dilution adjustments. In addition, following certain events that occur prior to the maturity date or if we deliver a notice of redemption, we are required to increase the conversion rate for a holder who elects to convert its notes in connection with such corporate event or a notice of redemption, as the case may be, in certain circumstances as provided in the Indenture. </w:t>
      </w:r>
      <w:r>
        <w:rPr>
          <w:rFonts w:ascii="Arial" w:cs="Arial" w:eastAsia="Arial" w:hAnsi="Arial"/>
          <w:sz w:val="18"/>
          <w:szCs w:val="18"/>
          <w:color w:val="000000"/>
        </w:rPr>
        <w:t>The Convertible Notes will also be subject to redemption at our option, on or after September 20, 2023,</w:t>
      </w:r>
      <w:r>
        <w:rPr>
          <w:rFonts w:ascii="Arial" w:cs="Arial" w:eastAsia="Arial" w:hAnsi="Arial"/>
          <w:sz w:val="18"/>
          <w:szCs w:val="18"/>
          <w:color w:val="212529"/>
        </w:rPr>
        <w:t xml:space="preserve"> </w:t>
      </w:r>
      <w:r>
        <w:rPr>
          <w:rFonts w:ascii="Arial" w:cs="Arial" w:eastAsia="Arial" w:hAnsi="Arial"/>
          <w:sz w:val="18"/>
          <w:szCs w:val="18"/>
          <w:color w:val="000000"/>
        </w:rPr>
        <w:t>if certain conditions are met. The redemption price is equal to 100% of the principal amount of the notes to be redeemed, plus accrued and unpaid interest to, but excluding, the redemption date.</w:t>
      </w:r>
    </w:p>
    <w:p>
      <w:pPr>
        <w:spacing w:after="0" w:line="18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212529"/>
        </w:rPr>
        <w:t xml:space="preserve">Pursuant to Accounting Standards Codification (“ASC”) Subtopic 470-20 </w:t>
      </w:r>
      <w:r>
        <w:rPr>
          <w:rFonts w:ascii="Arial" w:cs="Arial" w:eastAsia="Arial" w:hAnsi="Arial"/>
          <w:sz w:val="18"/>
          <w:szCs w:val="18"/>
          <w:i w:val="1"/>
          <w:iCs w:val="1"/>
          <w:color w:val="212529"/>
        </w:rPr>
        <w:t>Convertible Debt</w:t>
      </w:r>
      <w:r>
        <w:rPr>
          <w:rFonts w:ascii="Arial" w:cs="Arial" w:eastAsia="Arial" w:hAnsi="Arial"/>
          <w:sz w:val="18"/>
          <w:szCs w:val="18"/>
          <w:color w:val="212529"/>
        </w:rPr>
        <w:t>, we used an effective interest rate of 10.5% to determine the liability component of the Convertible Notes. This resulted in the recognition of $145.1 million as the liability component of the notes and the recognition of the residual amount of $74.9 million as the debt discount with a corresponding increase to additional paid in capital for the equity component of the notes. Aggregate debt issuance costs of $7.1 million was allocated to the liability and equity components in the amounts of $4.7 million and $2.4 million, respectively.</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Capped Call Transactions</w:t>
      </w:r>
    </w:p>
    <w:p>
      <w:pPr>
        <w:spacing w:after="0" w:line="225" w:lineRule="exact"/>
        <w:rPr>
          <w:sz w:val="20"/>
          <w:szCs w:val="20"/>
          <w:color w:val="auto"/>
        </w:rPr>
      </w:pPr>
    </w:p>
    <w:p>
      <w:pPr>
        <w:ind w:right="60" w:firstLine="761"/>
        <w:spacing w:after="0" w:line="290" w:lineRule="auto"/>
        <w:rPr>
          <w:sz w:val="20"/>
          <w:szCs w:val="20"/>
          <w:color w:val="auto"/>
        </w:rPr>
      </w:pPr>
      <w:r>
        <w:rPr>
          <w:rFonts w:ascii="Arial" w:cs="Arial" w:eastAsia="Arial" w:hAnsi="Arial"/>
          <w:sz w:val="16"/>
          <w:szCs w:val="16"/>
          <w:color w:val="212529"/>
        </w:rPr>
        <w:t xml:space="preserve">On September 11, 2019, concurrently with the pricing of the </w:t>
      </w:r>
      <w:r>
        <w:rPr>
          <w:rFonts w:ascii="Arial" w:cs="Arial" w:eastAsia="Arial" w:hAnsi="Arial"/>
          <w:sz w:val="16"/>
          <w:szCs w:val="16"/>
          <w:color w:val="000000"/>
        </w:rPr>
        <w:t>Convertible Notes</w:t>
      </w:r>
      <w:r>
        <w:rPr>
          <w:rFonts w:ascii="Arial" w:cs="Arial" w:eastAsia="Arial" w:hAnsi="Arial"/>
          <w:sz w:val="16"/>
          <w:szCs w:val="16"/>
          <w:color w:val="212529"/>
        </w:rPr>
        <w:t xml:space="preserve">, we entered into capped call transactions with two counterparties. The capped call transactions are expected generally to reduce the potential dilution to our common stock upon any conversion of notes and/or offset any cash payments we are required to make in excess of the principal amount of the </w:t>
      </w:r>
      <w:r>
        <w:rPr>
          <w:rFonts w:ascii="Arial" w:cs="Arial" w:eastAsia="Arial" w:hAnsi="Arial"/>
          <w:sz w:val="16"/>
          <w:szCs w:val="16"/>
          <w:color w:val="000000"/>
        </w:rPr>
        <w:t>Convertible Notes</w:t>
      </w:r>
      <w:r>
        <w:rPr>
          <w:rFonts w:ascii="Arial" w:cs="Arial" w:eastAsia="Arial" w:hAnsi="Arial"/>
          <w:sz w:val="16"/>
          <w:szCs w:val="16"/>
          <w:color w:val="212529"/>
        </w:rPr>
        <w:t xml:space="preserve">, as the case may be, in the event that the market price per share of our common stock, as measured under the terms of the capped call transactions, is greater than the strike price of the capped call transactions, which is initially $39.4625 (the conversion price of the </w:t>
      </w:r>
      <w:r>
        <w:rPr>
          <w:rFonts w:ascii="Arial" w:cs="Arial" w:eastAsia="Arial" w:hAnsi="Arial"/>
          <w:sz w:val="16"/>
          <w:szCs w:val="16"/>
          <w:color w:val="000000"/>
        </w:rPr>
        <w:t>Convertible Notes</w:t>
      </w:r>
      <w:r>
        <w:rPr>
          <w:rFonts w:ascii="Arial" w:cs="Arial" w:eastAsia="Arial" w:hAnsi="Arial"/>
          <w:sz w:val="16"/>
          <w:szCs w:val="16"/>
          <w:color w:val="212529"/>
        </w:rPr>
        <w:t>) and is subject to anti-dilution adjustments substantially similar to those applicable to the conversion rate of such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66"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212529"/>
        </w:rPr>
        <w:t xml:space="preserve">Pursuant to ASC 815-40 </w:t>
      </w:r>
      <w:r>
        <w:rPr>
          <w:rFonts w:ascii="Arial" w:cs="Arial" w:eastAsia="Arial" w:hAnsi="Arial"/>
          <w:sz w:val="18"/>
          <w:szCs w:val="18"/>
          <w:i w:val="1"/>
          <w:iCs w:val="1"/>
          <w:color w:val="212529"/>
        </w:rPr>
        <w:t>Derivatives and Hedging</w:t>
      </w:r>
      <w:r>
        <w:rPr>
          <w:rFonts w:ascii="Arial" w:cs="Arial" w:eastAsia="Arial" w:hAnsi="Arial"/>
          <w:sz w:val="18"/>
          <w:szCs w:val="18"/>
          <w:color w:val="212529"/>
        </w:rPr>
        <w:t>, we determined that the capped call transactions should be classified as equity instruments and the capped call premium paid in the amount of $28.4 million was recorded as a reduction to additional paid-in capital.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Development Derivative Liability</w:t>
      </w:r>
    </w:p>
    <w:p>
      <w:pPr>
        <w:spacing w:after="0" w:line="22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Following regulatory approval by the FDA or the European Medicines Agency, or the EMA, for the use of pegcetacoplan as a treatment for PNH we will be obligated to pay SFJ an initial payment of up to $5.0 million (or a total of $10.0 million if regulatory approval is granted by the FDA and the EMA) and then up to an additional $226.0 million in the aggregate (or up to $452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 million (including as a result of the payment of the Additional SFJ Funding but excluding the $20 million funding payment made under the SFJ amendment). Additionally, we granted a security interest in all of our assets, excluding intellectual property and license agreements to which we are a party. In connection with the grant of the security interest, we agreed to certain affirmative and negative covenants, including restrictions on our ability to pay dividends, incur additional debt or enter into licensing transactions with respect to its intellectual property, other than specified types of licenses.</w:t>
      </w:r>
    </w:p>
    <w:p>
      <w:pPr>
        <w:spacing w:after="0" w:line="18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SFJ agreement is presented as a derivative liability on the consolidated balance sheet as of December 31, 2019. The liability was initially recorded at the value of the $60.0 million of aggregate cash received pursuant to the contractual terms, which was determined to have been fairly valued as a level 3 derivative. During 2019, we received an additional $60.0 million as we met additional milestones in the SFJ agreement. The SFJ agreement was remeasured quarterly in 2019 and finally at December 31, 2019 as a level 3 derivative, with the total change in fair value from the date of execution to December 31, 2019 of $14.8 million recorded in loss from remeasurement of development derivative liability on the consolidated income statement.</w:t>
      </w:r>
    </w:p>
    <w:p>
      <w:pPr>
        <w:spacing w:after="0" w:line="17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goals to receive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right="520"/>
        <w:spacing w:after="0" w:line="277" w:lineRule="auto"/>
        <w:rPr>
          <w:sz w:val="20"/>
          <w:szCs w:val="20"/>
          <w:color w:val="auto"/>
        </w:rPr>
      </w:pPr>
      <w:r>
        <w:rPr>
          <w:rFonts w:ascii="Arial" w:cs="Arial" w:eastAsia="Arial" w:hAnsi="Arial"/>
          <w:sz w:val="18"/>
          <w:szCs w:val="18"/>
          <w:color w:val="auto"/>
        </w:rPr>
        <w:t>next tranches of funding, (ii) the probability and timing of achieving FDA and EMA approval, (iii) SFJ’s cost of borrowing (8.0%), and (iv) our cost of borrowing (16.6%).</w:t>
      </w:r>
    </w:p>
    <w:p>
      <w:pPr>
        <w:spacing w:after="0" w:line="184" w:lineRule="exact"/>
        <w:rPr>
          <w:sz w:val="20"/>
          <w:szCs w:val="20"/>
          <w:color w:val="auto"/>
        </w:rPr>
      </w:pPr>
    </w:p>
    <w:p>
      <w:pPr>
        <w:ind w:right="20" w:firstLine="553"/>
        <w:spacing w:after="0" w:line="264" w:lineRule="auto"/>
        <w:rPr>
          <w:sz w:val="20"/>
          <w:szCs w:val="20"/>
          <w:color w:val="auto"/>
        </w:rPr>
      </w:pPr>
      <w:r>
        <w:rPr>
          <w:rFonts w:ascii="Arial" w:cs="Arial" w:eastAsia="Arial" w:hAnsi="Arial"/>
          <w:sz w:val="18"/>
          <w:szCs w:val="18"/>
          <w:color w:val="auto"/>
        </w:rPr>
        <w:t>SFJ’s implied cost of borrowing was 8.0% and our implied cost of borrowing was 16.6%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If actual results or events differ materially from the estimates, judgments and assumptions used by us in applying these policies, our reported financial condition and results of operations could be materially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2018 and 2019, together with the dollar increase or decrease and percentage change in those items: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56"/>
        </w:trPr>
        <w:tc>
          <w:tcPr>
            <w:tcW w:w="44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105,285,576</w:t>
            </w:r>
          </w:p>
        </w:tc>
        <w:tc>
          <w:tcPr>
            <w:tcW w:w="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220,968,770</w:t>
            </w:r>
          </w:p>
        </w:tc>
        <w:tc>
          <w:tcPr>
            <w:tcW w:w="22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115,683,194</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22,639,184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67,046,483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44,407,299</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180" w:type="dxa"/>
            <w:vAlign w:val="bottom"/>
            <w:shd w:val="clear" w:color="auto" w:fill="CFF0FC"/>
          </w:tcPr>
          <w:p>
            <w:pPr>
              <w:spacing w:after="0"/>
              <w:rPr>
                <w:sz w:val="19"/>
                <w:szCs w:val="19"/>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(127,924,760)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(288,015,253)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(160,090,493)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(1,501,215)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(1,501,215)</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2"/>
              </w:rPr>
              <w:t>Loss from remeasurement of development derivative liability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(14,839,000)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(14,839,000)</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(2,512,956)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(5,284,610)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(2,771,654)</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2,960,771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5,108,779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2,148,008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(175,314)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(150,065)</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80" w:type="dxa"/>
            <w:vAlign w:val="bottom"/>
            <w:shd w:val="clear" w:color="auto" w:fill="CFF0FC"/>
          </w:tcPr>
          <w:p>
            <w:pPr>
              <w:spacing w:after="0"/>
              <w:rPr>
                <w:sz w:val="19"/>
                <w:szCs w:val="19"/>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(127,502,194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(304,706,613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(177,204,419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2018 and 2019, together with the dollar increase or decrease and percentage change in those items: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9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Clinical trial costs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54,928,992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96,038,981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41,109,989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27,925,474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71,728,933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43,803,459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156.9</w:t>
            </w:r>
          </w:p>
        </w:tc>
        <w:tc>
          <w:tcPr>
            <w:tcW w:w="18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Pre-clinical study expenses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2,836,183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9,374,317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6,538,134</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18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Compensation and related personnel costs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14,207,537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37,648,194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23,440,657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costs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3,989,978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6,186,266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2,196,288</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Device development expenses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1,397,412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(7,921)</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(1,405,333)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(100.6)</w:t>
            </w: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105,285,576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220,968,770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115,683,194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Research and development expenses increased by $115.7 million to $221.0 million for the year ended December 31, 2019 from $105.3 million for the year ended December 31, 2018, an increase of 109.9%. The increase in research and development expenses was primarily attributable to an increase of $41.1 million in clinical trial costs associated with the preparation for and commencement of our Phase 3 clinical trials, an increase of $43.8 million in manufacturing expenses in connection with the supply of pegcetacoplan for our Phase 3 clinical trials, an increase of $23.5 million in compensation and related personnel costs primarily due to the hiring of additional personnel in 2019, an increase of $6.5 million related to preclinical study expenses, and an increase of $2.2 million in research and development supporting activities and offset by a decrease of $1.4 million in device development expenses. We expect our research and development expenses to continue to increase as the number of patients in our trials increases and the number of ongoing trials increases.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General and administrative expenses increased by $44.4 million to $67.0 million for the year ended December 31, 2019, from $22.6 million for the year ended December 31, 2018, an increase of 196.2%. The increase in general and administrative expenses was primarily attributable to an increase in employee related costs of $21.0 million due to the hiring of additional personnel, an increase in professional and consulting fees of $20.2 million, an increase in office, travel and related costs of $2.1 million, an increase of $1.5 million in information technology expenses and an increase in insurance costs of $0.6 million. These increases were offset by a decrease in license agreement costs of $1.0 million from the payment of certain milestones met in 2018. The increased employee related costs of $21.0 million consisted of $12.7 million related to an increase in salaries and benefits primarily due to the hiring of additional members of our management team, $6.3 million related to stock option expense associated with the grants of stock options to employees and $2.0 million in recruitment expense. The increased professional and consulting fees of $20.2 million primarily consisted of an increase in consulting fees of $16.7 million, an increase of $2.0 million in legal fees, an increase in communication and public relations fees of $0.9 million, an increase of $0.5 million in accounting fees, and an increase of $0.1 million in public company costs.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On March 26, 2019, we repaid all outstanding amounts due and owed, including applicable termination fees, under our term loan facility with Silicon Valley Bank. The final payment included the outstanding balance of the term loan as well as (i) a prepayment fee contractually owed of $0.1 million, (ii) a final payment equal to 8% of the original principal amount of the term loan, or $1.6 million, and (iii) per diem interest of $0.1 million, for a total payment of $21.8 million, which resulted in a loss on extinguishment of debt of $1.2 million. On September 16, 2019, we repaid outstanding amounts due and owed on the promissory note with Golda Darty Partners, S.A. or GDP. The remaining discount on the promissory note related to the issuance of warrants in connection with the issuance of the promissory note resulted in a loss on extinguishment of debt of $0.3 million.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Loss from Remeasurement of Development Derivative Liability</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Loss from remeasurement of development derivative liability was $14.8 million for the year ended December 31, 2019. On February 28, 2019, we entered into the SFJ agreement under which SFJ agreed to provide funding to us to support the development of pegcetacoplan for the treatment of patients with PNH. The SFJ agreement was amended on June 7, 2019 to provide for additional funding and we received $20.0 million upon execution of the SFJ amendment in June 2019. In each of June and September 2019, we achieved a $20.0 million development milestone under the terms of the agreement, result in receipt of an aggregate of $40.0 million of additional funding from SFJ. The change in fair value of the derivative liability is due to the remeasurement at December 31, 2019 which resulted in a loss of $14.8 million for the year ended December 31, 2019. The derivative liability was remeasured as a level 3 derivative.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360" w:firstLine="518"/>
        <w:spacing w:after="0" w:line="259" w:lineRule="auto"/>
        <w:rPr>
          <w:sz w:val="20"/>
          <w:szCs w:val="20"/>
          <w:color w:val="auto"/>
        </w:rPr>
      </w:pPr>
      <w:r>
        <w:rPr>
          <w:rFonts w:ascii="Arial" w:cs="Arial" w:eastAsia="Arial" w:hAnsi="Arial"/>
          <w:sz w:val="18"/>
          <w:szCs w:val="18"/>
          <w:color w:val="auto"/>
        </w:rPr>
        <w:t>Interest expense was $5.3 million for the year ended December 31, 2019, an increase of $2.8 million, compared to $2.5 million for the year ended December 31, 2018. The increase in interest expense was primarily attributable to the amortization of the discount on the Convertible Notes offset by the decrease in interest expense attributable to our long-term debt under the term loan facility that we repaid in March 2019 and the promissory note that we repaid in 2019.</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8"/>
          <w:szCs w:val="18"/>
          <w:color w:val="auto"/>
        </w:rPr>
        <w:t>Interest income was $5.1 million for the year ended December 31, 2019, an increase of $2.1 million, compared to $3.0 million for the year ended December 31, 2018. The increase in interest income earned in 2019 from 2018 was due to the interest earned on our cash and cash equivalents that increased from the receipt of proceeds from of our follow-on offering in March 2019, the payments to us under the SFJ agreement and the receipt of proceeds from the Convertible Notes offering in September 2019.</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Other expense increased $0.2 million for the year ended December 31, 2019 as compared to the year ended December 31, 2018. The increase was primarily related to corporate franchise taxes and fees.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3" w:name="page94"/>
    <w:bookmarkEnd w:id="93"/>
    <w:p>
      <w:pPr>
        <w:ind w:left="260"/>
        <w:spacing w:after="0"/>
        <w:rPr>
          <w:sz w:val="20"/>
          <w:szCs w:val="20"/>
          <w:color w:val="auto"/>
        </w:rPr>
      </w:pPr>
      <w:r>
        <w:rPr>
          <w:rFonts w:ascii="Arial" w:cs="Arial" w:eastAsia="Arial" w:hAnsi="Arial"/>
          <w:sz w:val="18"/>
          <w:szCs w:val="18"/>
          <w:b w:val="1"/>
          <w:bCs w:val="1"/>
          <w:i w:val="1"/>
          <w:iCs w:val="1"/>
          <w:color w:val="auto"/>
        </w:rPr>
        <w:t>Comparison of Years Ended December 31, 2017 and 2018</w:t>
      </w:r>
    </w:p>
    <w:p>
      <w:pPr>
        <w:spacing w:after="0" w:line="225"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2017 and 2018, together with the dollar increase or decrease and percentage change in those items: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56"/>
        </w:trPr>
        <w:tc>
          <w:tcPr>
            <w:tcW w:w="326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2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40,303,878</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105,285,576</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64,981,698</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161.2%</w:t>
            </w:r>
          </w:p>
        </w:tc>
      </w:tr>
      <w:tr>
        <w:trPr>
          <w:trHeight w:val="230"/>
        </w:trPr>
        <w:tc>
          <w:tcPr>
            <w:tcW w:w="3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10,463,151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22,639,184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12,176,033</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80" w:type="dxa"/>
            <w:vAlign w:val="bottom"/>
            <w:shd w:val="clear" w:color="auto" w:fill="CFF0FC"/>
          </w:tcPr>
          <w:p>
            <w:pPr>
              <w:spacing w:after="0"/>
              <w:rPr>
                <w:sz w:val="19"/>
                <w:szCs w:val="19"/>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Operating loss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(50,767,029)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(127,924,760)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(77,157,731)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152.0</w:t>
            </w:r>
          </w:p>
        </w:tc>
        <w:tc>
          <w:tcPr>
            <w:tcW w:w="18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(374,749)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(2,512,956)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(2,138,207)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18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277,834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2,960,771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2,682,937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965.7</w:t>
            </w:r>
          </w:p>
        </w:tc>
        <w:tc>
          <w:tcPr>
            <w:tcW w:w="18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(142,150)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(25,249)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116,901</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(82.2)</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(51,006,094</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(127,502,194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(76,496,100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2017 and 2018, together with the dollar increase or decrease and percentage change in those items: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9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Clinical trial costs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15,231,683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54,928,992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39,697,309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260.6%</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13,323,343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27,925,474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14,602,131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Pre-clinical study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1,699,902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2,836,183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1,136,281</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Compensation and related personnel costs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4,933,207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14,207,537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9,274,330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188.0</w:t>
            </w:r>
          </w:p>
        </w:tc>
        <w:tc>
          <w:tcPr>
            <w:tcW w:w="18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costs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3,659,506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3,989,978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330,472</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Device Development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1,456,237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1,397,412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(58,825)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40,303,878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105,285,576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64,981,698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Research and development expenses increased by $65.0 million to $105.3 million for the year ended December 31, 2018 from $40.3 million for the year ended December 31, 2017, an increase of 161.2%. The increase in research and development expenses was primarily attributable to an increase of $39.7 million in clinical trial costs associated with the preparation for and commencement of our Phase 3 clinical trials of pegcetacoplan, an increase of $14.6 million in manufacturing expenses in connection with the supply for our Phase 3 clinical trials of pegcetacoplan, an increase of $9.3 million in compensation and related personnel costs primarily due to increased headcount in 2018, an increase of $1.1 million related to preclinical study expenses, and an increase of $0.3 million in research and development supporting activities, offset by a slight decrease of $0.1 million in device development expenses.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General and administrative expenses increased by $12.2 million to $22.6 million for the year ended December 31, 2018, from $10.5 million for the year ended December 31, 2017, an increase of 116.4% The increase in general and administrative expenses was primarily attributable to an increase in employee related costs of $5.9 million due to the hiring of additional personnel, an increase in professional and consulting fees of $3.2 million, an increase in license agreement costs of $1.0 million, an increase in insurance costs of $0.8 million, an increase of $0.6 million in information technology expenses, and an increase in office, travel and related costs of $0.7 million. The increased employee related costs of $5.9 million consisted of $3.6 million related to an increase in salaries and benefits primarily due to the hiring of additional members of our management team, $1.4 million related to stock option expense associated with the grants of stock options to employees and $0.9 million in recruitment expense. The increased professional and consulting fees of $3.2 million primarily consisted of an increase of $1.0 million in legal fees, an increase of $0.9 million in accounting fees, an increase of $0.9 million in public company costs and an increase in consulting fees of $0.4 million.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Interest expense was $2.5 million for the year ended December 31, 2018, an increase of $2.1 million, compared to $0.4 million for the year ended December 31, 2017. The increase in interest expense was attributable to interest expense incurred on our loan facility with Silicon Valley Bank and our promissory note with GDP.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4" w:name="page95"/>
    <w:bookmarkEnd w:id="94"/>
    <w:p>
      <w:pPr>
        <w:ind w:left="2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Interest income was $3.0 million for the year ended December 31, 2018, an increase of $2.7 million, compared to $0.3 million for the year ended December 31, 2017. The increase in interest income earned in 2018 from 2017 was due to the interest earned on our cash and cash equivalents that increased from the completion of our IPO in November 2017 and the follow-on offering in April 2018.</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Other income, net increased $0.1 million for the year ended December 31, 2018 as compared to the year ended December 31, 2017. The increase was primarily related to corporate franchise taxes and fees.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On November 13, 2017, we issued and sold 10,714,000 shares of common stock in our IPO at a public offering price of $14.00 per share for net proceeds of $137.2 million after deducting underwriting discounts and commissions of $10.5 million and other offering expenses of approximately $2.3 million. On November 13, 2017, upon the closing of the IPO, all shares of preferred stock then outstanding converted into an aggregate of 30,070,034 shares of common stock. In addition, on December 13, 2017, we issued and sold an additional 981,107 shares of common stock at the IPO price of $14.00 per share pursuant to the underwriters’ partial exercise of their option to purchase additional shares of common stock, resulting in net proceeds of approximately $12.8 million, after underwriting discounts and commissions of $1.0 million.</w:t>
      </w:r>
    </w:p>
    <w:p>
      <w:pPr>
        <w:spacing w:after="0" w:line="192"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On April 23, 2018, we issued and sold 5,500,000 shares of our common stock in a follow-on public offering at a public offering price of $25.50 per share for net proceeds of $131.3 million, after deducting underwriting discounts and commissions of $8.4 million and offering expenses of $0.5 million.</w:t>
      </w:r>
    </w:p>
    <w:p>
      <w:pPr>
        <w:spacing w:after="0" w:line="16"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On March 11, 2019, we issued and sold 6,900,000 shares of our common stock in a follow-on offering at a public offering price of $17.00. We received net proceeds of $109.6 million after deducting underwriting discounts and commissions of $7.0 million and offering costs of $0.7 million.</w:t>
      </w:r>
    </w:p>
    <w:p>
      <w:pPr>
        <w:spacing w:after="0" w:line="12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September 16, 2019, we completed a private offering of $220.0 million aggregate principal amount of Convertible Notes. We received net proceeds of approximately $212.9 million after deducting the initial purchasers’ discounts and commissions and offering costs of $7.1 million. Prior to the IPO and the 2018 follow-on offering, we financed our operations primarily through $112.6 million in proceeds from the private placement of shares of our convertible preferred stock, $20.0 million in proceeds from borrowings under our term loan facility with Silicon Valley Bank, and $7.0 million in proceeds from our issuance and sale of a promissory note to GDP.</w:t>
      </w:r>
    </w:p>
    <w:p>
      <w:pPr>
        <w:spacing w:after="0" w:line="188"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Prior to the IPO, we financed our operations primarily through $112.6 million in proceeds from the private placement of shares of our convertible preferred stock, $20.0 million in proceeds from borrowings under our term loan facility with Silicon Valley Bank, and $7.0 million in proceeds from our issuance and sale of a promissory note to GDP.</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8"/>
          <w:szCs w:val="18"/>
          <w:color w:val="auto"/>
        </w:rPr>
        <w:t>Subsequent to December 31, 2019, on January 13, 2020, we issued and sold 10,925,000 shares of our common stock in a follow-on offering at a public offering price of $37.00, including 1,425,000 shares sold pursuant to the underwriters’ exercise in full of their option to purchase additional shares of common stock. We received total net proceeds of $381.4 million after deducting underwriting discounts and commissions of $22.2 million and offering costs of approximately $0.6 million.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SFJ</w:t>
      </w:r>
    </w:p>
    <w:p>
      <w:pPr>
        <w:spacing w:after="0" w:line="23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February 28, 2019, we entered into the SFJ agreement, under which SFJ agreed to provide funding to us to support the development of pegcetacoplan for the treatment of patients with PNH. Pursuant to the agreement, SFJ paid us $60.0 million following the signing of the agreement, and has agreed to pay us up to an additional $60.0 million in the aggregate in three equal installments upon the achievement of specified development milestones with respect to our Phase 3 program for pegcetacoplan in PNH and subject to our having cash resources at the time sufficient to fund at least 10 months of our operations. In addition, upon the mutual agreement between us and SFJ, at any time after the earlier of the date that we have reviewed the primary endpoint data from its PEGASUS Phase 3 trial of pegcetacoplan in patients with PNH and March 31, 2020, SFJ may fund an additional $50.0 million of our development costs.</w:t>
      </w:r>
    </w:p>
    <w:p>
      <w:pPr>
        <w:spacing w:after="0" w:line="203"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On June 7, 2019, we amended the funding agreement with SFJ. Under the amendment, SFJ agreed to make an additional $20.0 million of funding payment to us to support the development of pegcetacoplan for the treatment of patients with PNH. This additional $20.0 million was in addition to and not part of the Additional SFJ Funding.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5" w:name="page96"/>
    <w:bookmarkEnd w:id="95"/>
    <w:p>
      <w:pPr>
        <w:ind w:right="340" w:firstLine="518"/>
        <w:spacing w:after="0" w:line="302" w:lineRule="auto"/>
        <w:rPr>
          <w:sz w:val="20"/>
          <w:szCs w:val="20"/>
          <w:color w:val="auto"/>
        </w:rPr>
      </w:pPr>
      <w:r>
        <w:rPr>
          <w:rFonts w:ascii="Arial" w:cs="Arial" w:eastAsia="Arial" w:hAnsi="Arial"/>
          <w:sz w:val="16"/>
          <w:szCs w:val="16"/>
          <w:color w:val="auto"/>
        </w:rPr>
        <w:t>On June 27, 2019, we received $40.0 million from SFJ, consisting of $20.0 million as the first installment of the additional $60.0 million upon the achievement of a milestone and the $20.0 million payable under the SFJ amendment. On September 23, 2019, we received $20.0 million from SFJ as the second installment of the additional $60.0 million due to the achievement of a milestone. We met the remaining development milestones under the SFJ agreement upon the announcement of the PEGASUS Phase 3 trial data in January 2020. The remaining $20.0 million was paid in January 2020.</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Following regulatory approval by the U.S. Food and Drug Administration, or the FDA, or the European Medicines Agency, or the EMA, for the use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pegcetacoplan as a treatment for PNH we will be obligated to pay SFJ an initial payment of up to $5.0 million (or a total of $10.0 million if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is granted by the FDA and the EMA) and then up to an additional $226.0 million in the aggregate (or up to $452.0 million if regulatory approval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by the FDA and the EMA) in six additional annual payments with the majority of the payments being made from the third anniversary to the sixth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regulatory approval. Such payments will be proportionately adjusted in the event that the actual funding from SFJ is lower or greater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 million (including as a result of the payment of the Additional SFJ Funding but excluding the $20.0 million funding made under the SFJ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granted a security interest in all of our assets, excluding intellectual property and license agreements to which we are a party.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grant of the security interest, we agreed to certain affirmative and negative covenants, including restrictions on our ability to pay dividends, incur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debt or enter into licensing transactions with respect to its intellectual property, other than specified types of licenses.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On October 20, 2017, we entered into a loan and security agreement with Silicon Valley Bank providing for a $20.0 million term loan facility, which we refer to as the term loan facility.</w:t>
      </w:r>
    </w:p>
    <w:p>
      <w:pPr>
        <w:spacing w:after="0" w:line="170"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Borrowings under the term loan facility accrued interest at a floating rate per annum equal to the WSJ prime rate plus 1.50%. Under the agreement, we were required to make monthly interest-only payments through November 1, 2019 and we were required to make 24 equal monthly payments of principal, plus accrued interest, thereafter from November 1, 2019 through October 1, 2021, when all unpaid principal and interest were to become due and payable.</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March 26, 2019, we repaid all outstanding amounts due and owed, including applicable termination fees, under the term loan facility. The final payment included the outstanding balance of the term loan as well as (i) a prepayment fee contractually owed of $0.1 million, (ii) a final payment equal to 8% of the original principal amount of the term loan, or $1.6 million, and (iii) per diem interest of $0.1 million, for a total payment of $21.8 million, which resulted in a loss on extinguishment of debt of $1.2 million.</w:t>
      </w:r>
    </w:p>
    <w:p>
      <w:pPr>
        <w:spacing w:after="0" w:line="18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In connection with our entry into the term loan facility, in October 2017 we issued to Silicon Valley Bank a warrant to purchase 14,064 shares of our common stock, with an exercise price per share of $5.484. The warrant had a ten-year term and included a put option pursuant to which, in the event of an acquisition, change in control or dissolution or winding up of our company, or the expiration of the warrant, Silicon Valley Bank could require us to repurchase the warrant for a total aggregate purchase price of $250,000. Silicon Valley Bank exercised the warrant in the fourth quarter of 2019.</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Promissory Note</w:t>
      </w:r>
    </w:p>
    <w:p>
      <w:pPr>
        <w:spacing w:after="0" w:line="23"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October 19, 2017, we issued and sold an unsecured promissory note in the principal amount of $7.0 million to GDP. The note accrued interest at a rate per annum of 8.0% and was due and payable quarterly in arrears on the 19th day of each April, July, October and January. The promissory note had a maturity date of October 19, 2022. The promissory note was contractually subordinated to our obligations to SFJ under the SFJ agreement. On September 16, 2019, we repaid outstanding amounts due and owed, under the promissory note.</w:t>
      </w:r>
    </w:p>
    <w:p>
      <w:pPr>
        <w:spacing w:after="0" w:line="19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connection with the issuance and sale of the $7.0 million promissory note, we issued a warrant to purchase 93,764 shares of our common stock at a price per share of $5.484, which was exercised in October 2017 prior to the IPO. The warrant was exercisable at any time but would have expired if unexercised by the closing date of our IPO. We recorded the fair value of the warrant in the aggregate amount of $0.4 million as a discount to the promissory note. This amount was being accreted as additional interest expense over the term of the promissory note. Upon the repayment of the promissory note, this discount resulted in a loss on extinguishment of debt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i w:val="1"/>
          <w:iCs w:val="1"/>
          <w:color w:val="212529"/>
        </w:rPr>
        <w:t>Convertible Notes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212529"/>
        </w:rPr>
        <w:t>On September 16, 2019, we completed a private offering of Convertible Notes with an aggregate principal amount of $220.0 million. The Convertible Notes are senior unsecured obligations and bear interest at a rate of 3.5% per year payable semiannually in arrears on March 15 and September 15 of each year, beginning on March 15, 2020. The Convertible Notes will mature on September 15, 2026, unless earlier converted, redeemed or repurchased in accordance with their terms.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212529"/>
        </w:rPr>
        <w:t>The net proceeds from the sale of the Convertible Notes were approximately $212.9 million after deducting the initial purchasers’ discounts and commissions and estimated offering expenses payable. We used $28.4 million of the net proceeds from the sale of the Convertible Notes to pay the cost of the capped call transactions described below.</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212529"/>
        </w:rPr>
        <w:t>The Convertible Notes are convertible into shares of our common stock at an initial conversion rate of 25.3405 shares per $1,000 principal amount of Convertible Notes (equivalent to an initial conversion price of approximately $39.46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18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212529"/>
        </w:rPr>
        <w:t>Prior to March 15, 2026, the Convertible Notes are convertible only upon the occurrence of certain events. On or after March 15, 2026 until the close of business on the second scheduled trading day immediately preceding the maturity date of the Convertible Notes, holders may convert the Convertible Notes at any time. Upon conversion of the Convertible Notes, we will pay or deliver, as the case may be, cash, shares of our common stock or a combination of cash and shares of common stock, at our election.</w:t>
      </w:r>
    </w:p>
    <w:p>
      <w:pPr>
        <w:spacing w:after="0" w:line="18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212529"/>
        </w:rPr>
        <w:t>Prior to September 20, 2023, we may not redeem the Convertible Notes. We may redeem for cash all or a portion of the Convertible Notes, at our option, on or after September 20, 2023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w:t>
      </w:r>
    </w:p>
    <w:p>
      <w:pPr>
        <w:spacing w:after="0" w:line="193" w:lineRule="exact"/>
        <w:rPr>
          <w:sz w:val="20"/>
          <w:szCs w:val="20"/>
          <w:color w:val="auto"/>
        </w:rPr>
      </w:pPr>
    </w:p>
    <w:p>
      <w:pPr>
        <w:ind w:right="500" w:firstLine="518"/>
        <w:spacing w:after="0" w:line="312" w:lineRule="auto"/>
        <w:rPr>
          <w:sz w:val="20"/>
          <w:szCs w:val="20"/>
          <w:color w:val="auto"/>
        </w:rPr>
      </w:pPr>
      <w:r>
        <w:rPr>
          <w:rFonts w:ascii="Arial" w:cs="Arial" w:eastAsia="Arial" w:hAnsi="Arial"/>
          <w:sz w:val="16"/>
          <w:szCs w:val="16"/>
          <w:color w:val="212529"/>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14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212529"/>
        </w:rPr>
        <w:t>The Indenture contains customary terms and covenants, including that upon certain events of default occurring and continuing, either the Trustee or the holders of at least 25% in principal amount of the outstanding Convertible Notes may declare 100% of the principal of, and accrued and unpaid interest, if any, on, all the Convertible Notes to be due and payable.</w:t>
      </w:r>
    </w:p>
    <w:p>
      <w:pPr>
        <w:spacing w:after="0" w:line="18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w:t>
      </w:r>
      <w:r>
        <w:rPr>
          <w:rFonts w:ascii="Arial" w:cs="Arial" w:eastAsia="Arial" w:hAnsi="Arial"/>
          <w:sz w:val="17"/>
          <w:szCs w:val="17"/>
          <w:color w:val="212529"/>
        </w:rPr>
        <w:t>n September 11, 2019, concurrently with the pricing of the Convertible Notes, we entered into capped call transactions with two counterparties. The</w:t>
      </w:r>
      <w:r>
        <w:rPr>
          <w:rFonts w:ascii="Arial" w:cs="Arial" w:eastAsia="Arial" w:hAnsi="Arial"/>
          <w:sz w:val="17"/>
          <w:szCs w:val="17"/>
          <w:color w:val="auto"/>
        </w:rPr>
        <w:t xml:space="preserve"> </w:t>
      </w:r>
      <w:r>
        <w:rPr>
          <w:rFonts w:ascii="Arial" w:cs="Arial" w:eastAsia="Arial" w:hAnsi="Arial"/>
          <w:sz w:val="17"/>
          <w:szCs w:val="17"/>
          <w:color w:val="212529"/>
        </w:rPr>
        <w:t>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the cap price of the capped call transactions, which is initially $63.14 per share, representing a premium of 100% above the last reported sale price of $31.57 per share of our common stock on The Nasdaq Global Select Market on September 11, 2019, there would nevertheless be dilution and/or there would not be an offset of such potential cash payments, in each case, to the extent that such market price exceeds the cap price of the capped call transactions.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2017, 2018 and 2019:</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62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3560" w:type="dxa"/>
            <w:vAlign w:val="bottom"/>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(46,595,073)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(131,240,797)</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(211,135,445)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(1,693,322)</w:t>
            </w: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197,375,114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131,903,360</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388,541,484</w:t>
            </w:r>
          </w:p>
        </w:tc>
        <w:tc>
          <w:tcPr>
            <w:tcW w:w="80" w:type="dxa"/>
            <w:vAlign w:val="bottom"/>
            <w:shd w:val="clear" w:color="auto" w:fill="CFF0FC"/>
          </w:tcPr>
          <w:p>
            <w:pPr>
              <w:spacing w:after="0"/>
              <w:rPr>
                <w:sz w:val="19"/>
                <w:szCs w:val="19"/>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w w:val="97"/>
              </w:rPr>
              <w:t>Effect of exchange rate changes on cash and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cash equivalents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(38,426)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0"/>
                <w:szCs w:val="20"/>
                <w:color w:val="auto"/>
              </w:rPr>
            </w:pPr>
          </w:p>
        </w:tc>
      </w:tr>
      <w:tr>
        <w:trPr>
          <w:trHeight w:val="209"/>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w:t>
            </w: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equivalents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150,780,041</w:t>
            </w:r>
          </w:p>
        </w:tc>
        <w:tc>
          <w:tcPr>
            <w:tcW w:w="1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624,137</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$ 175,717,419</w:t>
            </w:r>
          </w:p>
        </w:tc>
        <w:tc>
          <w:tcPr>
            <w:tcW w:w="80" w:type="dxa"/>
            <w:vAlign w:val="bottom"/>
            <w:shd w:val="clear" w:color="auto" w:fill="CFF0FC"/>
          </w:tcPr>
          <w:p>
            <w:pPr>
              <w:spacing w:after="0"/>
              <w:rPr>
                <w:sz w:val="20"/>
                <w:szCs w:val="20"/>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Net cash used in operating activities was $211.1 million for the year ended December 31, 2019 and consisted primarily of a net loss of $304.7 million adjusted for $40.4 million of non-cash items, including share-based compensation expense of $21.1 million, a loss from remeasurement of development derivative liability of $14.8 million, and a loss on early extinguishment of debt of $1.5 million, a net increase in accounts payable, accrued expenses and other liabilities of $48.7 million and a net decrease in operating assets of $4.5 million. The net increase in operating liabilities resulted primarily from an increase in accrued expenses of $50.5 million.</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Net cash used in operating activities was $131.2 million for the year ended December 31, 2018 and consisted primarily of a net loss of $127.5 million adjusted for non-cash items of $8.3 million, including share-based compensation expense of $7.7 million, and a net increase in operating assets of $12.0 million, which resulted primarily from an increase in prepaid assets of $19.3 million, offset by an increase in accounts payable of $6.6 million and an increase in accrued expenses of $2.2 million.</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cash used in operating activities was $46.6 million for the year ended December 31, 2017 and consisted primarily of a net loss of $51.0 million adjusted for non-cash items of $5.6 million, including share-based compensation expense of $5.4 million, and a net increase in operating assets of $1.2 million, which resulted primarily from an increase in prepaid assets of $3.9 million, offset by an increase in accrued expenses of $1.8 million and an increase in accounts payable of $0.9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investing activities during the year ended December 31, 2019 was $1.7 million due to the purchase of fixed assets for our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cash used in investing activities during the years ended December 31, 2018 and December 31, 2017.</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Net cash provided by financing activities was $388.5 million during the year ended December 31, 2019 and consisted primarily of proceeds from the issuance of the </w:t>
      </w:r>
      <w:r>
        <w:rPr>
          <w:rFonts w:ascii="Arial" w:cs="Arial" w:eastAsia="Arial" w:hAnsi="Arial"/>
          <w:sz w:val="18"/>
          <w:szCs w:val="18"/>
          <w:color w:val="212529"/>
        </w:rPr>
        <w:t>Convertible Notes</w:t>
      </w:r>
      <w:r>
        <w:rPr>
          <w:rFonts w:ascii="Arial" w:cs="Arial" w:eastAsia="Arial" w:hAnsi="Arial"/>
          <w:sz w:val="18"/>
          <w:szCs w:val="18"/>
          <w:color w:val="auto"/>
        </w:rPr>
        <w:t xml:space="preserve"> in September 2019 of $212.9 million, the issuance of common stock in our March follow-on offering of $109.6 million, the receipt of $120.0 million from the SFJ agreement and $3.1 million upon the exercise of stock options, offset by $28.7 million for the repayment of our term loan facility and promissory note, and $28.4 million for capped call premiums paid.</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Net cash provided by financing activities was $131.9 million during the year ended December 31, 2018 and consisted primarily of proceeds from the issuance of common stock in the follow-on public offering that we completed in April 2018.</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Net cash provided by financing activities was $197.4 million during the year ended December 31, 2017. The net cash provided by financing activities during the year ended December 31, 2017 consisted primarily of the net proceeds of $137.2 million from the issuance and sale of 10,714,000 shares of our common stock in November 2017 in our IPO as well as net proceeds of approximately $12.8 million from the issuance and sale of an additional 981,107 shares of our common stock pursuant to the underwriter’s partial exercise of their option to purchase additional shares of common stock after the IPO, and net proceeds of $19.7 million from the issuance and sale of 7,792,035 shares of series E convertible preferred stock in August 2017. In October 2017, we borrowed $20.0 million under the term loan facility with Silicon Valley Bank and issued and sold a promissory note in an original principal amount of $7.0 million to an affiliate of one of our stockholders. In October 2017, we received $0.5 million from the exercise of a warrant associated with the $7.0 million promissory note.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8" w:name="page99"/>
    <w:bookmarkEnd w:id="98"/>
    <w:p>
      <w:pPr>
        <w:ind w:left="2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9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believe that our cash and cash equivalents as of December 31, 2019, together with the net proceeds of its follow-on public offering of $381.4 million in January 2020 and the $20.0 million received from SFJ in January 2020 will enable us to fund our operating expenses and capital expenditure requirements at least into mid-2021. We have based this estimate on assumptions that may prove to be wrong, and we may use our available capital resources sooner than we currently expect. We do not expect our existing cash and cash equivalents will be sufficient to enable us to complete all of our ongoing and planned Phase 3 clinical trials of pegcetacoplan or to complete the development of pegcetacoplan or any of our other product candidates. Because of the numerous risks and uncertainties associated with the development of pegcetacoplan and other potential product candidates,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funding requirements will depend on many factors, including:</w:t>
      </w:r>
    </w:p>
    <w:p>
      <w:pPr>
        <w:spacing w:after="0" w:line="74" w:lineRule="exact"/>
        <w:rPr>
          <w:sz w:val="20"/>
          <w:szCs w:val="20"/>
          <w:color w:val="auto"/>
        </w:rPr>
      </w:pPr>
    </w:p>
    <w:p>
      <w:pPr>
        <w:ind w:left="10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pegcetacoplan, APL-9 and future product candidates;</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identify a collaborator for any of our product candidates and the terms and timing of any collaboration agreement that we may establish for the development and any commercialization of such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or other arrangements;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characteristics of future product candidates that we pursue and their development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timing and costs of clinical trials and of seeking regulatory approvals;</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receipt of marketing approval, revenue, if any, received from commercial sales of our current and future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40" w:right="4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adequate reimbursement for any product we commercialize;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We currently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9" w:name="page100"/>
    <w:bookmarkEnd w:id="99"/>
    <w:p>
      <w:pPr>
        <w:ind w:right="180" w:firstLine="518"/>
        <w:spacing w:after="0" w:line="25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significant contractual obligations as of payment due date by period at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0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199"/>
              <w:spacing w:after="0" w:line="147"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2"/>
                <w:szCs w:val="12"/>
                <w:color w:val="auto"/>
              </w:rPr>
            </w:pPr>
          </w:p>
        </w:tc>
      </w:tr>
      <w:tr>
        <w:trPr>
          <w:trHeight w:val="171"/>
        </w:trPr>
        <w:tc>
          <w:tcPr>
            <w:tcW w:w="1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5 Years</w:t>
            </w:r>
          </w:p>
        </w:tc>
      </w:tr>
      <w:tr>
        <w:trPr>
          <w:trHeight w:val="223"/>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Convertible Notes (1)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273,878,611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7,700,000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15,400,000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15,400,000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235,378,611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Non-cancellable purchase commitments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35,300,000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35,300,000</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17,679,804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3,679,786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6,605,527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6,090,976</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1,303,515</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326,858,415</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46,679,786</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22,005,527</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21,490,976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236,682,126</w:t>
            </w:r>
          </w:p>
        </w:tc>
        <w:tc>
          <w:tcPr>
            <w:tcW w:w="10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0" w:lineRule="exact"/>
        <w:rPr>
          <w:sz w:val="20"/>
          <w:szCs w:val="20"/>
          <w:color w:val="auto"/>
        </w:rPr>
      </w:pPr>
    </w:p>
    <w:p>
      <w:pPr>
        <w:ind w:left="520" w:right="340" w:hanging="512"/>
        <w:spacing w:after="0" w:line="27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include interest on long-term debt represents obligations under the debt outstanding as of December 31, 2019, applying contractual fixed interest rate and assuming scheduled payments are paid as contractually required through maturity.</w:t>
      </w:r>
    </w:p>
    <w:p>
      <w:pPr>
        <w:ind w:left="520" w:right="4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The minimum lease payments above do not include any related common area maintenance charges or real estate taxes.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February 28, 2019, we entered into the SFJ agreement. Under the SFJ agreement, following regulatory approval by the FDA or the EMA of the use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pegcetacoplan as a treatment for PNH, we will be obligated to pay SFJ an initial payment of up to $5.0 million (or a total of $10 million if regulatory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approval is granted by the FDA and the EMA) and then up to an additional $226.0 million in the aggregate (or $452.0 million if regulatory approval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granted by the FDA and the EMA) in six additional annual payments with the majority of the payments being made from the third anniversary to the sixth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regulatory approval. Such payments will be proportionately adjusted in the event that the actual funding from SFJ is lower or greater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 million (including as a result of the payment of the Additional SFJ Funding but excluding the $20.0 million funding made under the SFJ amendment).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likelihood of such payments are not currently known.</w:t>
      </w:r>
    </w:p>
    <w:p>
      <w:pPr>
        <w:spacing w:after="0" w:line="21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During the third quarter of 2019, we entered into contracts to conduct research and development activities with third parties which commit us to pay future milestone payments up to $15.0 million or to pay royalty fees ranging from 3-6% if any of the research results in regulatory approval or commercial revenue for a product. The scope of the services under the research and development contracts can be modified and the contracts cancelled by us upon written notice. In some instances, the contracts may be cancelled by the third party upon written notice. If we were to cancel these contracts, we would be required only to pay for activities incurred through termination date. We have not included any of these potential payments in the contractual obligations table above, as we cannot reasonably estimate whether, when and in what amount any of such payments shall be made.</w:t>
      </w:r>
    </w:p>
    <w:p>
      <w:pPr>
        <w:spacing w:after="0" w:line="16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party to two license agreements with Penn under which we license specified intellectual property from Penn. The patent rights licensed to us by Penn include patents with claims that recite a class of compounds generically covering pegcetacoplan. Each license agreement requires us to pay ongoing annual maintenance payments of $100,000 per year until the first commercial sale of a licensed product. With respect to the license for the nonophthalmic field of use, we have agreed to make milestone payments to Penn aggregating up to $1.7 million based on achieving specified development and regulatory approval milestones, and up to $2.5 million based on achieving specified annual sales milestones with respect to each of the first two licensed products. In 2018 we made one milestone payment of $0.4 million under the nonophthalmic license. With respect to the license for the ophthalmic field of use, we have agreed to make milestone payments to Penn aggregating up to $3.2 million based on achieving specified development and regulatory milestones, and up to $5.0 million based on achieving specified annual sales milestones. In 2018 we made one milestone payment, net of credits for the annual maintenance payment, of $0.7 million under the ophthalmic license. The license agreements also require that we pay low single-digit royalties to Penn based on net sales of each licensed product by us and our affiliates and sublicensees and specified minimum quarterly royalty thresholds. In addition, we are obligated to pay Penn a specified portion of income we receive from sublicensees. We have not included any of these potential payments in the contractual obligations table above, as we cannot reasonably estimate whether, when and in what amount any of such payments shall be made.</w:t>
      </w:r>
    </w:p>
    <w:p>
      <w:pPr>
        <w:spacing w:after="0" w:line="169"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either the contracts are cancelable at any time by us, generally upon 30 days prior written notice to the CRO, or the noncancelable minimum purchase commitments under such contracts have already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been satisfied, and therefore we believe that our non-cancelable obligations under these agreements are not material. Under these agreements, as of December 31, 2019, we are obligated to pay up to $1.8 million to these vendors.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are exposed to market risk related to changes in interest rates. As of December 31, 2019, we had cash and cash equivalents of $352.0 million, consisting primarily of money market funds.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1" w:name="page102"/>
    <w:bookmarkEnd w:id="10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Apellis Pharmaceuticals,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Apellis Pharmaceuticals, Inc. (the Company) as of December 31, 2018, the related consolidated statements of operations and comprehensive loss, changes in stockholders'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each of the two years in the period ended December 31, 2018,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2015 to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ind w:right="5240"/>
        <w:spacing w:after="0" w:line="48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Apellis Pharmaceuticals, Inc.</w:t>
      </w: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consolidated balance sheet of Apellis Pharmaceuticals, Inc. and subsidiaries (the "Company") as of December 31, 2019, the related consolidated statements of operations and comprehensive loss, stockholders' equity, and cash flows, for the year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ended December 31, 2019, in conformity with accounting principles generally accepted in the United States of America.</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2020 expressed an unqualified opinion on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Derivative Liability — Refer to Notes 5 and 9 to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28, 2019, the Company entered into a development funding agreement with SFJ Pharmaceuticals Group (“SFJ”) under which SFJ agreed to provide funding to the Company to support the development of one of the Company’s clinical trials (“SFJ Agreement”). The SFJ Agreement is presented as a derivative liability whose fair value is based on unobservable inputs. The liability is initially recorded at the value of the aggregate cash received pursuant to the contractual terms and is subsequently remeasured at each quarter with the change in fair value recorded in loss from remeasurement of development derivative liability on the income statement.</w:t>
      </w:r>
    </w:p>
    <w:p>
      <w:pPr>
        <w:spacing w:after="0" w:line="1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identified the valuation of the development derivative liability as a critical audit matter. The development derivative liability is valued using a scenario-based discounted cash flow method, whereby each scenario makes assumptions about the probability and timing of cash flows, and such cash flows are present valued using a risk-adjusted discount rate. This model includes unobservable inputs including the probability and timing of achieving U.S. Food and Drug Administration (FDA) and European Medicines Agency (EMA) approval. This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Our audit procedures related to the development derivative liability model and unobservable inputs used by management to estimate the fair value of the development derivative liability included the following, among others:</w:t>
      </w:r>
    </w:p>
    <w:p>
      <w:pPr>
        <w:spacing w:after="0" w:line="1" w:lineRule="exact"/>
        <w:rPr>
          <w:sz w:val="20"/>
          <w:szCs w:val="20"/>
          <w:color w:val="auto"/>
        </w:rPr>
      </w:pPr>
    </w:p>
    <w:p>
      <w:pPr>
        <w:ind w:left="380" w:right="400" w:hanging="372"/>
        <w:spacing w:after="0" w:line="261"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valuation of the development derivative liability, such as those related to management’s assumptions over the probability and timing of achieving FDA and EMA approval.</w:t>
      </w:r>
    </w:p>
    <w:p>
      <w:pPr>
        <w:spacing w:after="0" w:line="129"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evaluated the reasonableness of management’s assumptions over the probability and timing of achieving FDA and EMA approval by comparing the assumptions within the model to:</w:t>
      </w:r>
    </w:p>
    <w:p>
      <w:pPr>
        <w:spacing w:after="0" w:line="11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17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Information included in the Company’s press releases, as well as in analyst reports for the Company.</w:t>
      </w:r>
    </w:p>
    <w:p>
      <w:pPr>
        <w:spacing w:after="0" w:line="17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Inquiries with those responsible for clinical affairs regarding the progress of ongoing trials.</w:t>
      </w:r>
    </w:p>
    <w:p>
      <w:pPr>
        <w:spacing w:after="0" w:line="171"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by testing the source information and the mathematical accuracy of the calculation.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104" w:name="page105"/>
    <w:bookmarkEnd w:id="104"/>
    <w:p>
      <w:pPr>
        <w:ind w:left="4140"/>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176,267,666</w:t>
            </w:r>
          </w:p>
        </w:tc>
        <w:tc>
          <w:tcPr>
            <w:tcW w:w="3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351,985,085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24,333,851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19,802,008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1,837,704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202,439,221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373,094,684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14,110,209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977,918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203,533,559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389,244,980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10,254,938</w:t>
            </w:r>
          </w:p>
        </w:tc>
        <w:tc>
          <w:tcPr>
            <w:tcW w:w="300" w:type="dxa"/>
            <w:vAlign w:val="bottom"/>
          </w:tcPr>
          <w:p>
            <w:pPr>
              <w:spacing w:after="0"/>
              <w:rPr>
                <w:sz w:val="19"/>
                <w:szCs w:val="19"/>
                <w:color w:val="auto"/>
              </w:rPr>
            </w:pP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8,360,527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5,103,002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54,782,951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long-term-debt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1,666,667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17,024,607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65,752,819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Convertible Senior Notes</w:t>
            </w:r>
          </w:p>
        </w:tc>
        <w:tc>
          <w:tcPr>
            <w:tcW w:w="3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142,566,851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derivative liability</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Term loan facility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18,722,321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Promissory note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6,655,193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11,856,634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42,560,904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355,015,304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440"/>
              <w:spacing w:after="0"/>
              <w:rPr>
                <w:sz w:val="20"/>
                <w:szCs w:val="20"/>
                <w:color w:val="auto"/>
              </w:rPr>
            </w:pPr>
            <w:r>
              <w:rPr>
                <w:rFonts w:ascii="Arial" w:cs="Arial" w:eastAsia="Arial" w:hAnsi="Arial"/>
                <w:sz w:val="18"/>
                <w:szCs w:val="18"/>
                <w:color w:val="auto"/>
              </w:rPr>
              <w:t>zero shares issued and outstanding at December 31, 2018 and 2019</w:t>
            </w:r>
          </w:p>
        </w:tc>
        <w:tc>
          <w:tcPr>
            <w:tcW w:w="34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200,000,000 shares authorized and</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at December 31, 2018 and 2019; 56,279,307 and 63,938,003 shares issued</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and outstanding at December 31, 2018 and 2019, respectively</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5,628</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437,855,681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615,849,518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(122,807)</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(153,775)</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(276,765,847)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(581,472,460)</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160,972,655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34,229,676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203,533,559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389,244,980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40,303,878</w:t>
            </w:r>
          </w:p>
        </w:tc>
        <w:tc>
          <w:tcPr>
            <w:tcW w:w="100" w:type="dxa"/>
            <w:vAlign w:val="bottom"/>
          </w:tcPr>
          <w:p>
            <w:pPr>
              <w:spacing w:after="0"/>
              <w:rPr>
                <w:sz w:val="19"/>
                <w:szCs w:val="19"/>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105,285,576</w:t>
            </w:r>
          </w:p>
        </w:tc>
        <w:tc>
          <w:tcPr>
            <w:tcW w:w="18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220,968,770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10,463,151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22,639,184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67,046,483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(50,767,029)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9"/>
              </w:rPr>
              <w:t>(127,924,760)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9"/>
              </w:rPr>
              <w:t>(288,015,253)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(1,501,215)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Loss from remeasurement of development derivative liability</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(14,839,000)</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(374,749)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(2,512,956)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(5,284,610)</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2,960,771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5,108,779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(142,150)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(25,249)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(175,314)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(51,006,094)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(127,502,194)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(304,706,613)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Foreign currency loss</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(122,807)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(30,968)</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(122,807)</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 net of tax</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(51,006,094)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(127,625,001</w:t>
            </w:r>
          </w:p>
        </w:tc>
        <w:tc>
          <w:tcPr>
            <w:tcW w:w="180" w:type="dxa"/>
            <w:vAlign w:val="bottom"/>
            <w:tcBorders>
              <w:bottom w:val="single" w:sz="8" w:color="CFF0FC"/>
            </w:tcBorders>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(304,737,581</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Weighted-average number of common shares used in net</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loss per common share, basic and diluted</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54,396,483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62,228,601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3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6"/>
              </w:rPr>
              <w:t>Convertible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23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Preferred Stock</w:t>
            </w: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w w:val="96"/>
              </w:rPr>
              <w:t>Outstanding</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Outstanding</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Paid-In</w:t>
            </w:r>
          </w:p>
        </w:tc>
        <w:tc>
          <w:tcPr>
            <w:tcW w:w="1240" w:type="dxa"/>
            <w:vAlign w:val="bottom"/>
            <w:gridSpan w:val="4"/>
          </w:tcPr>
          <w:p>
            <w:pPr>
              <w:jc w:val="center"/>
              <w:ind w:left="42"/>
              <w:spacing w:after="0" w:line="147"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FF0FC"/>
            </w:tcBorders>
            <w:gridSpan w:val="2"/>
          </w:tcPr>
          <w:p>
            <w:pPr>
              <w:spacing w:after="0"/>
              <w:rPr>
                <w:sz w:val="14"/>
                <w:szCs w:val="14"/>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56,347,420</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92,054,926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8,428,366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3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29,996,110</w:t>
            </w:r>
          </w:p>
        </w:tc>
        <w:tc>
          <w:tcPr>
            <w:tcW w:w="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(98,257,559)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23,794,320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Issuance of Series 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40"/>
              <w:spacing w:after="0"/>
              <w:rPr>
                <w:sz w:val="20"/>
                <w:szCs w:val="20"/>
                <w:color w:val="auto"/>
              </w:rPr>
            </w:pPr>
            <w:r>
              <w:rPr>
                <w:rFonts w:ascii="Arial" w:cs="Arial" w:eastAsia="Arial" w:hAnsi="Arial"/>
                <w:sz w:val="16"/>
                <w:szCs w:val="16"/>
                <w:color w:val="auto"/>
              </w:rPr>
              <w:t>convertible preferred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net of issuance costs</w:t>
            </w:r>
          </w:p>
        </w:tc>
        <w:tc>
          <w:tcPr>
            <w:tcW w:w="900" w:type="dxa"/>
            <w:vAlign w:val="bottom"/>
          </w:tcPr>
          <w:p>
            <w:pPr>
              <w:jc w:val="right"/>
              <w:spacing w:after="0"/>
              <w:rPr>
                <w:sz w:val="20"/>
                <w:szCs w:val="20"/>
                <w:color w:val="auto"/>
              </w:rPr>
            </w:pPr>
            <w:r>
              <w:rPr>
                <w:rFonts w:ascii="Arial" w:cs="Arial" w:eastAsia="Arial" w:hAnsi="Arial"/>
                <w:sz w:val="16"/>
                <w:szCs w:val="16"/>
                <w:color w:val="auto"/>
              </w:rPr>
              <w:t>7,792,035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19,747,847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19,747,847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upon exercise of</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46,881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164,496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164,501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Issuance of warrants to an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6"/>
                <w:szCs w:val="16"/>
                <w:color w:val="auto"/>
              </w:rPr>
              <w:t>affiliate of stockholder</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430,160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upon exercise of warrants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93,764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514,191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514,200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Conversion of convertible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40"/>
              <w:spacing w:after="0"/>
              <w:rPr>
                <w:sz w:val="20"/>
                <w:szCs w:val="20"/>
                <w:color w:val="auto"/>
              </w:rPr>
            </w:pPr>
            <w:r>
              <w:rPr>
                <w:rFonts w:ascii="Arial" w:cs="Arial" w:eastAsia="Arial" w:hAnsi="Arial"/>
                <w:sz w:val="16"/>
                <w:szCs w:val="16"/>
                <w:color w:val="auto"/>
              </w:rPr>
              <w:t>preferred stock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(64,139,455)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(111,802,773)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30,070,034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3,007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111,799,766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 in</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initial public</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offering, net of issuance</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11,695,107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1,169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149,878,047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149,879,216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7"/>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6"/>
                <w:szCs w:val="16"/>
                <w:color w:val="auto"/>
              </w:rPr>
              <w:t>expense</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5,418,710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5,418,710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(51,006,094 )</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(51,006,094)</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2017</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4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50,334,152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5,033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298,201,480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(149,263,653)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148,942,860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 in</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follow-on offering,</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of offering costs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131,193,480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131,194,030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40"/>
              <w:spacing w:after="0"/>
              <w:rPr>
                <w:sz w:val="20"/>
                <w:szCs w:val="20"/>
                <w:color w:val="auto"/>
              </w:rPr>
            </w:pPr>
            <w:r>
              <w:rPr>
                <w:rFonts w:ascii="Arial" w:cs="Arial" w:eastAsia="Arial" w:hAnsi="Arial"/>
                <w:sz w:val="16"/>
                <w:szCs w:val="16"/>
                <w:color w:val="auto"/>
              </w:rPr>
              <w:t>upon exercise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445,155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727,465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Share-based compensation</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expense</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7,733,256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7,733,256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(127,502,194)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(127,502,194)</w:t>
            </w:r>
          </w:p>
        </w:tc>
        <w:tc>
          <w:tcPr>
            <w:tcW w:w="0" w:type="dxa"/>
            <w:vAlign w:val="bottom"/>
          </w:tcPr>
          <w:p>
            <w:pPr>
              <w:spacing w:after="0"/>
              <w:rPr>
                <w:sz w:val="1"/>
                <w:szCs w:val="1"/>
                <w:color w:val="auto"/>
              </w:rPr>
            </w:pPr>
          </w:p>
        </w:tc>
      </w:tr>
      <w:tr>
        <w:trPr>
          <w:trHeight w:val="21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currency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(122,807)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(122,807)</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2018</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4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56,279,307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5,628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437,855,681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(122,807)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(276,765,847)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160,972,655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 in</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follow-on offering,</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of offering costs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6,900,000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109,580,418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109,581,108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40"/>
              <w:spacing w:after="0"/>
              <w:rPr>
                <w:sz w:val="20"/>
                <w:szCs w:val="20"/>
                <w:color w:val="auto"/>
              </w:rPr>
            </w:pPr>
            <w:r>
              <w:rPr>
                <w:rFonts w:ascii="Arial" w:cs="Arial" w:eastAsia="Arial" w:hAnsi="Arial"/>
                <w:sz w:val="16"/>
                <w:szCs w:val="16"/>
                <w:color w:val="auto"/>
              </w:rPr>
              <w:t>upon exercise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stock options or warrants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758,696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3,129,355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3,129,430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Recognition of equity</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component of convertible</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notes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72,520,035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72,520,035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140"/>
              <w:spacing w:after="0"/>
              <w:rPr>
                <w:sz w:val="20"/>
                <w:szCs w:val="20"/>
                <w:color w:val="auto"/>
              </w:rPr>
            </w:pPr>
            <w:r>
              <w:rPr>
                <w:rFonts w:ascii="Arial" w:cs="Arial" w:eastAsia="Arial" w:hAnsi="Arial"/>
                <w:sz w:val="16"/>
                <w:szCs w:val="16"/>
                <w:color w:val="auto"/>
              </w:rPr>
              <w:t>Purchase of capped call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40"/>
              <w:spacing w:after="0"/>
              <w:rPr>
                <w:sz w:val="20"/>
                <w:szCs w:val="20"/>
                <w:color w:val="auto"/>
              </w:rPr>
            </w:pPr>
            <w:r>
              <w:rPr>
                <w:rFonts w:ascii="Arial" w:cs="Arial" w:eastAsia="Arial" w:hAnsi="Arial"/>
                <w:sz w:val="16"/>
                <w:szCs w:val="16"/>
                <w:color w:val="auto"/>
              </w:rPr>
              <w:t>transactions and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6"/>
                <w:szCs w:val="16"/>
                <w:color w:val="auto"/>
              </w:rPr>
              <w:t>associated costs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(28,380,000)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(28,380,000)</w:t>
            </w: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Share-based compensation</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expense</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21,144,029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21,144,029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(304,706,613)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(304,706,613)</w:t>
            </w:r>
          </w:p>
        </w:tc>
        <w:tc>
          <w:tcPr>
            <w:tcW w:w="0" w:type="dxa"/>
            <w:vAlign w:val="bottom"/>
          </w:tcPr>
          <w:p>
            <w:pPr>
              <w:spacing w:after="0"/>
              <w:rPr>
                <w:sz w:val="1"/>
                <w:szCs w:val="1"/>
                <w:color w:val="auto"/>
              </w:rPr>
            </w:pPr>
          </w:p>
        </w:tc>
      </w:tr>
      <w:tr>
        <w:trPr>
          <w:trHeight w:val="219"/>
        </w:trPr>
        <w:tc>
          <w:tcPr>
            <w:tcW w:w="2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currency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(30,968)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(30,968)</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2019</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4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63,938,003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6,393</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9"/>
              </w:rPr>
              <w:t>615,849,518</w:t>
            </w:r>
          </w:p>
        </w:tc>
        <w:tc>
          <w:tcPr>
            <w:tcW w:w="80" w:type="dxa"/>
            <w:vAlign w:val="bottom"/>
          </w:tcPr>
          <w:p>
            <w:pPr>
              <w:spacing w:after="0"/>
              <w:rPr>
                <w:sz w:val="17"/>
                <w:szCs w:val="17"/>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(153,775)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(581,472,460)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34,229,676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(51,006,094)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(127,502,194)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(304,706,613)</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5,418,710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7,733,256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21,144,029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early extinguishment of debt</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Loss from remeasurement of development derivative liability</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lease expense</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Amortization of discounts for promissory note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term loan facility discounts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Amortization of discounts for convertible notes, net of financing costs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740"/>
              <w:spacing w:after="0"/>
              <w:rPr>
                <w:sz w:val="20"/>
                <w:szCs w:val="20"/>
                <w:color w:val="auto"/>
              </w:rPr>
            </w:pPr>
            <w:r>
              <w:rPr>
                <w:rFonts w:ascii="Arial" w:cs="Arial" w:eastAsia="Arial" w:hAnsi="Arial"/>
                <w:sz w:val="18"/>
                <w:szCs w:val="18"/>
                <w:color w:val="auto"/>
              </w:rPr>
              <w:t>Prepaid assets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(3,927,155)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(299,006)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(19,275,118)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(309,361)</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(322,789)</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(51,622)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(978,188)</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(1,640,774)</w:t>
            </w:r>
          </w:p>
        </w:tc>
        <w:tc>
          <w:tcPr>
            <w:tcW w:w="0" w:type="dxa"/>
            <w:vAlign w:val="bottom"/>
          </w:tcPr>
          <w:p>
            <w:pPr>
              <w:spacing w:after="0"/>
              <w:rPr>
                <w:sz w:val="1"/>
                <w:szCs w:val="1"/>
                <w:color w:val="auto"/>
              </w:rPr>
            </w:pPr>
          </w:p>
        </w:tc>
      </w:tr>
      <w:tr>
        <w:trPr>
          <w:trHeight w:val="230"/>
        </w:trPr>
        <w:tc>
          <w:tcPr>
            <w:tcW w:w="616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6,587,469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50,453,518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1,952,671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2,148,511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(158,783)</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(46,595,073)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(131,240,797)</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(211,135,445)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(1,693,322)</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(1,693,322)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Series E convertible preferred stock, net of issuance costs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19,747,847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Deferred issuance costs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(18,180)</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term loan, net of issuance costs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19,795,007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issuance of promissory note, net of issuance costs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6,569,840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150,062,959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131,194,030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109,581,108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development derivative liability</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capped call transactions and associated costs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(28,380,000)</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issuance of convertible notes, net of issuance costs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212,912,238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stock options and warrants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 and warrants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727,510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3,129,430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promissory note</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Repayment of term loan facility</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(21,701,292)</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197,375,114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131,903,360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388,541,484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150,780,041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624,137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175,717,419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24,863,488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175,643,529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176,267,666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175,643,529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176,267,666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351,985,085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convertible preferred stock to common stock</w:t>
            </w:r>
          </w:p>
        </w:tc>
        <w:tc>
          <w:tcPr>
            <w:tcW w:w="8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111,802,773</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134,167</w:t>
            </w:r>
          </w:p>
        </w:tc>
        <w:tc>
          <w:tcPr>
            <w:tcW w:w="100" w:type="dxa"/>
            <w:vAlign w:val="bottom"/>
          </w:tcPr>
          <w:p>
            <w:pPr>
              <w:spacing w:after="0"/>
              <w:rPr>
                <w:sz w:val="19"/>
                <w:szCs w:val="19"/>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1,816,333</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987,377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component of convertible notes</w:t>
            </w:r>
          </w:p>
        </w:tc>
        <w:tc>
          <w:tcPr>
            <w:tcW w:w="8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72,520,035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Apellis Pharmaceuticals, Inc. (the “Company”) is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w:t>
      </w:r>
    </w:p>
    <w:p>
      <w:pPr>
        <w:spacing w:after="0" w:line="181"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Company was incorporated in September 2009 under the laws of the State of Delaware. The Company’s principal executive offices are located in Waltham, Massachusetts, effective January 1, 2020. Prior to that date, the Company’s principal offices were in Crestwood, Kentucky.</w:t>
      </w:r>
    </w:p>
    <w:p>
      <w:pPr>
        <w:spacing w:after="0" w:line="14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Company’s operations since inception have been limited to organizing and staffing the Company, acquiring rights to product candidates, business planning, raising capital and developing its product candidates.</w:t>
      </w:r>
    </w:p>
    <w:p>
      <w:pPr>
        <w:spacing w:after="0" w:line="170" w:lineRule="exact"/>
        <w:rPr>
          <w:sz w:val="20"/>
          <w:szCs w:val="20"/>
          <w:color w:val="auto"/>
        </w:rPr>
      </w:pPr>
    </w:p>
    <w:p>
      <w:pPr>
        <w:jc w:val="both"/>
        <w:ind w:right="340" w:firstLine="518"/>
        <w:spacing w:after="0" w:line="279" w:lineRule="auto"/>
        <w:rPr>
          <w:sz w:val="20"/>
          <w:szCs w:val="20"/>
          <w:color w:val="auto"/>
        </w:rPr>
      </w:pPr>
      <w:r>
        <w:rPr>
          <w:rFonts w:ascii="Arial" w:cs="Arial" w:eastAsia="Arial" w:hAnsi="Arial"/>
          <w:sz w:val="17"/>
          <w:szCs w:val="17"/>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Notes Offering</w:t>
      </w:r>
    </w:p>
    <w:p>
      <w:pPr>
        <w:spacing w:after="0" w:line="23" w:lineRule="exact"/>
        <w:rPr>
          <w:sz w:val="20"/>
          <w:szCs w:val="20"/>
          <w:color w:val="auto"/>
        </w:rPr>
      </w:pPr>
    </w:p>
    <w:p>
      <w:pPr>
        <w:ind w:right="100" w:firstLine="518"/>
        <w:spacing w:after="0" w:line="261" w:lineRule="auto"/>
        <w:rPr>
          <w:sz w:val="20"/>
          <w:szCs w:val="20"/>
          <w:color w:val="auto"/>
        </w:rPr>
      </w:pPr>
      <w:r>
        <w:rPr>
          <w:rFonts w:ascii="Arial" w:cs="Arial" w:eastAsia="Arial" w:hAnsi="Arial"/>
          <w:sz w:val="18"/>
          <w:szCs w:val="18"/>
          <w:color w:val="auto"/>
        </w:rPr>
        <w:t>On September 16, 2019, the Company completed a private offering of $220,000,000 aggregate principal amount of 3.5% convertible senior notes due 2026 (the “Convertible Notes”).</w:t>
      </w:r>
    </w:p>
    <w:p>
      <w:pPr>
        <w:spacing w:after="0" w:line="19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net proceeds from the sale of the Convertible Notes were approximately $212,912,000 after deducting the initial purchasers’ discounts and commissions of $6,600,000 and offering expenses of $487,763 paid by the Company. The Company used $28,380,000 of the net proceeds from the sale of the Convertible Notes to pay the cost of the capped call transactions described below in Note 7.</w:t>
      </w:r>
    </w:p>
    <w:p>
      <w:pPr>
        <w:spacing w:after="0" w:line="19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September 16, 2019, the Company entered into an indenture (the “Indenture”) with respect to the Convertible Notes with U.S. Bank National Association, as trustee (the “Trustee”).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 terms of the Convertible Notes. See Note 7 – Long-term Debt for additional information.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Development Derivative Liability</w:t>
      </w:r>
    </w:p>
    <w:p>
      <w:pPr>
        <w:spacing w:after="0" w:line="23"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On February 28, 2019, the Company entered into a development funding agreement with SFJ Pharmaceuticals Group (“SFJ”) under which SFJ agreed to provide funding to the Company to support the development of pegcetacoplan for the treatment of patients with paroxysmal nocturnal hemoglobinuria (“PNH”). Pursuant to the agreement, SFJ paid the Company $60,000,000 following the signing of the agreement, and agreed to pay the Company up to an additional $60,000,000 in the aggregate in three equal installments upon the achievement of specified development milestones with respect to the Company’s Phase 3 program for pegcetacoplan in PNH and subject to the Company having cash resources at the time sufficient to fund at least ten months of the Company’s operations. In addition, upon the mutual agreement of the Company and SFJ, at any time after the earlier of the date that the Company has reviewed the primary endpoint data from its PEGASUS Phase 3 trial of pegcetacoplan in patients with PNH and March 31, 2020, SFJ may fund an additional $50,000,000 of the Company’s development costs (the “Additional SFJ Funding”).</w:t>
      </w:r>
    </w:p>
    <w:p>
      <w:pPr>
        <w:spacing w:after="0" w:line="19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June 7, 2019, the Company and SFJ amended the development funding agreement (the “SFJ amendment”). Under the SFJ amendment, SFJ agreed to make an additional $20,000,000 funding payment to the Company to support the development of pegcetacoplan for the treatment of patients with PNH. This additional $20,000,000 payment is in addition to and not part of the Additional SFJ Funding.</w:t>
      </w:r>
    </w:p>
    <w:p>
      <w:pPr>
        <w:spacing w:after="0" w:line="19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June 27, 2019, the Company received $40,000,000 from SFJ, consisting of $20,000,000 as the first installment of the additional $60,000,000 upon the achievement of a milestone and the $20,000,000 payable under the SFJ amendment.</w:t>
      </w:r>
    </w:p>
    <w:p>
      <w:pPr>
        <w:spacing w:after="0" w:line="18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On September 23, 2019, the Company received $20,000,000 from SFJ as the second installment of the additional $60,000,000 upon the achievement of a milestone.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09" w:name="page110"/>
    <w:bookmarkEnd w:id="109"/>
    <w:p>
      <w:pPr>
        <w:ind w:right="200" w:firstLine="518"/>
        <w:spacing w:after="0" w:line="342" w:lineRule="auto"/>
        <w:rPr>
          <w:sz w:val="20"/>
          <w:szCs w:val="20"/>
          <w:color w:val="auto"/>
        </w:rPr>
      </w:pPr>
      <w:r>
        <w:rPr>
          <w:rFonts w:ascii="Arial" w:cs="Arial" w:eastAsia="Arial" w:hAnsi="Arial"/>
          <w:sz w:val="16"/>
          <w:szCs w:val="16"/>
          <w:color w:val="auto"/>
        </w:rPr>
        <w:t>The Company met the remaining development milestone under the SFJ agreement upon the Company’s announcement of the primary endpoint data from its PEGASUS Phase 3 trial on January 7, 2020 and the final installment of $20,000,000 of the additional $60,000,000 was paid on January 29, 2020.</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March 11, 2019, the Company issued and sold 6,900,000 shares of its common stock at a price per share of $17.00 in a follow-on public offering (“2019 follow-on offering”). The Company received net proceeds of approximately $109,581,000 after deducting underwriting discounts and commissions of approximately $7,038,000 and offering costs of $680,891.</w:t>
      </w:r>
    </w:p>
    <w:p>
      <w:pPr>
        <w:spacing w:after="0" w:line="7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On April 23, 2018, the Company issued and sold 5,500,000 shares of its common stock at a price per share of $25.50 in a follow-on public offering. The Company received net proceeds of $131,324,477 after deducting underwriting discounts and commissions of $8,415,000 and offering costs of $509,973.</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accompanying consolidated financial statements have been prepared on the basis of the realization of assets and the satisfaction of liabilities and commitments in the normal course of business. Subsequent to December 31, 2019, on January 13, 2020, the Company issued and sold 10,925,000 shares of its common stock at a price per share to the public of $37.00 in a follow-on public offering, including an additional 1,425,000 shares of its common stock that were sold at the follow-on public offering price of $37.00 per share pursuant to the underwriters’ in full exercise of their option to purchase additional shares of common stock. The Company received net proceeds of approximately $381,374,000 from the sale of shares in the follow on offering after deducting underwriting discounts and commissions of approximately $22,233,000 and offering costs of approximately $618,000. As of February 27, 2020, the date of issuance of these consolidated financial statements, the Company believes that its cash and cash equivalents as of December 31, 2019 of $351,985,085, together with the net proceeds of its follow-on offering of approximately $381,374,000 in January 2020 and the $20,000,000 received from SFJ in January 2020, will be sufficient to fund its operations and capital expenditures for at least the next twelve months from the date of issuance of these consolidated financial statements. The Company’s future viability beyond that point is dependent on its ability to raise additional capital to finance its operations.</w:t>
      </w:r>
    </w:p>
    <w:p>
      <w:pPr>
        <w:spacing w:after="0" w:line="16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risks common to other life science companies in the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FDA and other government regulations. If the Company does not successfully commercialize any of its product candidates, it will be unable to generate recurring product revenue or achieve profitability. Management’s plans in order to meet its short-term and longer-term operating cash flow requirements include obtaining additional funding.</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There are uncertainties associated with the Company’s ability to (1) obtain additional debt or equity financing on terms that are favorable to the Company, (2) enter into collaborative agreements with strategic partners, and (3) succeed in its future operations. If the Company is not able to obtain the required funding for its operations, or is not able to obtain funding on terms that are favorable to the Company, it could be forced to delay, reduce or eliminate its research and development programs or future commercialization efforts and its business could be materially harmed.</w:t>
      </w:r>
    </w:p>
    <w:p>
      <w:pPr>
        <w:spacing w:after="0" w:line="276" w:lineRule="exact"/>
        <w:rPr>
          <w:sz w:val="20"/>
          <w:szCs w:val="20"/>
          <w:color w:val="auto"/>
        </w:rPr>
      </w:pPr>
    </w:p>
    <w:p>
      <w:pPr>
        <w:ind w:left="520" w:right="7820" w:hanging="512"/>
        <w:spacing w:after="0" w:line="378" w:lineRule="auto"/>
        <w:tabs>
          <w:tab w:leader="none" w:pos="18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120" w:firstLine="518"/>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Apellis Australia Pty Ltd, Apellis Switzerland GmbH, Apellis Ireland Ltd., and Apellis MA Securities, Inc. All intercompany balances and transactions have been eliminated in consolidation. The consolidated financial statements have been prepared in conformity with accounting principles generally accepted in the United States of America (“U.S. GAAP”) and following the requirements of the Securities and Exchange Commission (the “SEC”).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0" w:name="page111"/>
    <w:bookmarkEnd w:id="110"/>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year amounts have been reclassified to conform to the 2019 presentation.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Offering costs represent underwriting, legal, accounting and other direct costs related to the Company’s follow-on offerings and filing of a registration statements on Form S-3 in 2018 and 2019, and related to the Company’s offering of Convertible Notes in 2019. Costs were deferred until completion of the follow-on offerings and offering of Convertible Notes, at which time they were reclassified to additional paid-in capital as a reduction of the proceeds. Deferred issuance costs related to the registration statement on Form S-3 that the Company filed in January 2020 have been capitalized and will be reclassified to additional paid-in capital as a reduction of the proceeds at the time when shares are issued. The Company does not consider these amounts material at December 31, 2019.</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firstLine="518"/>
        <w:spacing w:after="0" w:line="27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share-based compensation expense, fair value of common stock and preferred stock, development derivative liability, accrued expenses, prepaid expenses and convertible debt.</w:t>
      </w:r>
    </w:p>
    <w:p>
      <w:pPr>
        <w:spacing w:after="0" w:line="19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Historically for all periods prior to the IPO,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to estimate the retrospective fair value of its common stock during all periods presented. The methodologies include a probability analysis including both a potential public trading scenario and potential sale scenario. In both scenarios, value is estimated using the guideline public company method. The sale scenario includes an adjustment for a market participant acquisition premium. Value is allocated among the preferred and common shares according to the rights associated with each type of security. Valuation methodologies include estimates and assumptions that require the Company’s judgment. These estimates include assumptions regarding future performance. Significant changes to the key assumptions used in the valuations could result in different fair values of common stock and the associated fair value of stock options granted at each valuation date. Since the completion of the IPO, the Company’s board of directors determines the fair value of underlying common stock based upon the closing price of the Company’s common stock as reported on the date of grant.</w:t>
      </w:r>
    </w:p>
    <w:p>
      <w:pPr>
        <w:spacing w:after="0" w:line="3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11" w:name="page112"/>
    <w:bookmarkEnd w:id="111"/>
    <w:p>
      <w:pPr>
        <w:ind w:left="1440" w:right="80" w:hanging="831"/>
        <w:spacing w:after="0" w:line="277" w:lineRule="auto"/>
        <w:rPr>
          <w:sz w:val="20"/>
          <w:szCs w:val="20"/>
          <w:color w:val="auto"/>
        </w:rPr>
      </w:pPr>
      <w:r>
        <w:rPr>
          <w:rFonts w:ascii="Arial" w:cs="Arial" w:eastAsia="Arial" w:hAnsi="Arial"/>
          <w:sz w:val="18"/>
          <w:szCs w:val="18"/>
          <w:color w:val="auto"/>
        </w:rPr>
        <w:t>Level 3 – Unobservable inputs that reflect the Company’s own assumptions about the assumptions market participants would use in pricing the asset or liability.</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financial instruments, in addition to those presented in Note 7, Long-term Debt and Note 9, Fair Value Measurements, include cash and cash equivalents, the Australian research and development credit, accounts payable and accrued liabilities. Management believes that the carrying amounts of cash and cash equivalents, the Australian research and development credit, accounts payable and accrued expenses approximate the fair value due to the short-term nature of those instruments.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Cash and cash equivalents are defined as cash in banks and investment instruments having maturities of three months or less from their acquisition date. The carrying amounts reported in the consolidated balance sheets for cash and cash equivalents are valued at cost, which approximates the fair value. As of December 31, 2018 and 2019, the Company had assets consisting of cash and cash equivalents held in banks outside of the United States of approximately $121,600 and $1,598,300, respectively.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The financial position and results of operations of the Company's Australian and Swiss subsidiaries are measured using the foreign subsidiary's local currency. Revenues and expenses of the subsidiaries have been translated into U.S. dollars at average exchange rates prevailing during the period from January 1, 2019 through December 31, 2019. Assets and liabilities have been translated at the rates of exchange on the balance sheet date. The resulting translation gain and loss adjustments are recorded directly as a separate component of stockholders’ equity. Prior to August 1, 2018, when the functional currency of the Company’s Australian subsidiary was changed from the U.S. dollar to the Australian dollar, the transactions with the Australian subsidiary were recorded in U.S. dollars and were not translated.</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expenses include</w:t>
      </w:r>
    </w:p>
    <w:p>
      <w:pPr>
        <w:spacing w:after="0" w:line="35" w:lineRule="exact"/>
        <w:rPr>
          <w:sz w:val="20"/>
          <w:szCs w:val="20"/>
          <w:color w:val="auto"/>
        </w:rPr>
      </w:pPr>
    </w:p>
    <w:p>
      <w:pPr>
        <w:ind w:right="60" w:firstLine="8"/>
        <w:spacing w:after="0" w:line="254"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 (iv) costs associated with preclinical and clinical activities and regulatory operations.</w:t>
      </w:r>
    </w:p>
    <w:p>
      <w:pPr>
        <w:spacing w:after="0" w:line="190" w:lineRule="exact"/>
        <w:rPr>
          <w:sz w:val="20"/>
          <w:szCs w:val="20"/>
          <w:color w:val="auto"/>
        </w:rPr>
      </w:pPr>
    </w:p>
    <w:p>
      <w:pPr>
        <w:jc w:val="both"/>
        <w:ind w:right="80" w:firstLine="518"/>
        <w:spacing w:after="0" w:line="257" w:lineRule="auto"/>
        <w:rPr>
          <w:sz w:val="20"/>
          <w:szCs w:val="20"/>
          <w:color w:val="auto"/>
        </w:rPr>
      </w:pPr>
      <w:r>
        <w:rPr>
          <w:rFonts w:ascii="Arial" w:cs="Arial" w:eastAsia="Arial" w:hAnsi="Arial"/>
          <w:sz w:val="18"/>
          <w:szCs w:val="18"/>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w:t>
      </w:r>
    </w:p>
    <w:p>
      <w:pPr>
        <w:spacing w:after="0" w:line="18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66"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Included in research and development is a refundable Australian research and development credit. The credit is recognized as a reduction of clinical trial costs over the periods necessary to match the benefit of the credit with the costs for which it is intended to compensate.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in connection with the application for and issuance of patents are expensed as incurred.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12" w:name="page113"/>
    <w:bookmarkEnd w:id="112"/>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71" w:lineRule="exact"/>
        <w:rPr>
          <w:sz w:val="20"/>
          <w:szCs w:val="20"/>
          <w:color w:val="auto"/>
        </w:rPr>
      </w:pPr>
    </w:p>
    <w:p>
      <w:pPr>
        <w:jc w:val="both"/>
        <w:ind w:right="180" w:firstLine="518"/>
        <w:spacing w:after="0" w:line="279"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2018 and 2019, the Company did not have any significant uncertain tax positions.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The Company recognizes all share-based payments to employees, including grants of employee stock options, in the statements of operations and comprehensive loss based on their estimated fair values over the requisite service periods for each award. The Company remeasures the fair value of share-based awards to non-employees until a performance commitment is reached or counterparty performance is complete. The Company’s share-based compensation awards are comprised of stock options. The Company estimates the fair value of each stock option grant using the Monte Carlo simulation model (“Monte Carlo”) for grants made prior to June 30, 2015 and the Black-Scholes option pricing model (“Black-Scholes”) for grants made on or after July 1, 2015 through October 2017. After the Company’s IPO in November 2017, the Company’s board of directors determined the fair value of underlying common stock based upon the closing price of the Company’s common stock as reported on the date of the grant.</w:t>
      </w:r>
    </w:p>
    <w:p>
      <w:pPr>
        <w:spacing w:after="0" w:line="27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Both Monte Carlo and Black-Scholes for option pricing require the input of the six minimum considerations detailed in ASC 718, including (a) the expected stock price volatility, (b) the calculation of expected term of the award, (c) the risk-free interest rate and (d) expected dividends. Due to the lack of a public market for the trading of the Company’s common stock and a lack of company-specific historical and implied volatility data, the Company has based its estimate of expected volatility on the historical volatility of a group of comparable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Before the IPO, the Company calculated the expected term for options granted to employees based on a quarterly weighted average probability of exit analysis considering milestones that the Company had achieved and each of the potential exit scenarios available to the Company at that time. After the IPO, the Company calculates the expected term for options granted to employees based on the “simplified” method set forth in SEC Staff Accounting Bulletin 107, because it does not have sufficient historical exercise data to provide a reasonable basis upon which to estimate the expected term due to the limited period of time its equity shares have been publicly traded. Under the simplified method, the weighted average vesting period is averaged with the contractual term of the option being valued.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arrangement as the basis for the expected term assumption. The risk-free interest rate is based on a treasury instrument whose term is consistent with the expected life of the stock options. The expected dividend yield is assumed to be zero as the Company has never paid dividends and has no current plans to pay any dividends on its common stock.</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share-based awards are subject to service based vesting conditions. Compensation expense related to awards to employees with service based vesting conditions is recognized on a straight-line basis based on the grant date fair value over the associated service period of the award, which is generally the vesting term. Consistent with the guidance in ASC 505-50, compensation expense related to awards to non-employees with service based vesting conditions is recognized on a straight-line basis based on the then-current fair value at each financial reporting date prior to the measurement date over the associated service period of the award, which is generally the vesting term.</w:t>
      </w:r>
    </w:p>
    <w:p>
      <w:pPr>
        <w:spacing w:after="0" w:line="17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recognizes forfeitures for employee and non-employee grants at the time they occur. Share-based compensation expense recognized in the financial statements is based on awards that are ultimately expected to vest.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113" w:name="page114"/>
    <w:bookmarkEnd w:id="113"/>
    <w:p>
      <w:pPr>
        <w:ind w:left="5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Cash and cash equivalents are held at financial institutions in the United States, Australia and Switzerland. The Company is exposed to credit risk in the event of default by the financial institution to the extent that cash and cash equivalent balances recorded in the balance sheets are in excess of the amounts that are insured by the Federal Deposit Insurance Corporation. The Company has not experienced any losses on its deposits since inception, and management believes that minimal credit risk exists with respect to these financial institutions.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Basic net loss per common share is calculated by dividing net loss by the weighted-average shares outstanding during the period. For purposes of the diluted net loss per share calculation, convertible notes and common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components of comprehensive loss other than its net loss, are the foreign currency gains/losses recorded from the remeasurement of the long term intra-entity loan transaction to the Company’s wholly owned subsidiaries as well as the foreign currency gain/ loss from the translation of the Company’s wholly owned subsidiaries into U.S. dollars in 2018 and 2019. These components are a result of the change in the Australian subsidiary’s functional currency to Australian dollars effective August 1, 2018 and the creation of the Swiss subsidiary in 2019.</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standard will apply one comprehensive revenue recognition model across all contracts, entities and sectors. The core principle of the new standard is that revenue should be recognized to depict the transfer of promised goods or services to customers in an amount that reflects the consideration to which the entity expects to be entitled in exchange for those goods or services. ASU 2014-09 will replace most of the existing revenue recognition requirements in U.S. GAAP. The FASB also issued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which deferred the effective date of the standard for one year. As a result, the new standard was effective for annual reporting periods beginning after December 15, 2017, for public companies, including interim periods within that reporting period. As the Company does not currently have revenue, the adoption of the new standard had no impact on its consolidated financial statements.</w:t>
      </w:r>
    </w:p>
    <w:p>
      <w:pPr>
        <w:spacing w:after="0" w:line="84"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amending several elements surrounding the recognition and measurement of financial instruments and requiring equity investments (except those accounted for under the equity method of accounting or those that result in consolidation) to be measured at fair value with changes in fair value recognized in net income. Effective January 1, 2018, the Company adopted this ASU on a prospective basis. The adoption did not have a material impact on its consolidated financial statements and related disclosures.</w:t>
      </w:r>
    </w:p>
    <w:p>
      <w:pPr>
        <w:spacing w:after="0" w:line="39" w:lineRule="exact"/>
        <w:rPr>
          <w:sz w:val="20"/>
          <w:szCs w:val="20"/>
          <w:color w:val="auto"/>
        </w:rPr>
      </w:pPr>
    </w:p>
    <w:p>
      <w:pPr>
        <w:ind w:firstLine="518"/>
        <w:spacing w:after="0" w:line="31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establishes a right-of</w:t>
      </w:r>
      <w:r>
        <w:rPr>
          <w:rFonts w:ascii="Arial" w:cs="Arial" w:eastAsia="Arial" w:hAnsi="Arial"/>
          <w:sz w:val="19"/>
          <w:szCs w:val="19"/>
          <w:color w:val="auto"/>
        </w:rPr>
        <w:t>-</w:t>
      </w:r>
      <w:r>
        <w:rPr>
          <w:rFonts w:ascii="Arial" w:cs="Arial" w:eastAsia="Arial" w:hAnsi="Arial"/>
          <w:sz w:val="16"/>
          <w:szCs w:val="16"/>
          <w:color w:val="auto"/>
        </w:rPr>
        <w:t>use ("ROU") model that requires a lessee to record a ROU asset and a lease liability on the consolidated balance sheet for all leases with terms longer than twelve months. Leases will be either classified as finance or operating, with classification affecting the pattern of expense recognition in the income statement. ASU 2016-02 also requires significant additional disclosures about the amount, timing and uncertainty of cash flows from leases. The Company adopted ASU 2016-02 effective January 1, 2019 using a modified retrospective method and will not restate comparative periods. As permitted under the guidance, the Company carried forward the assessment of whether contracts contain or are leases, the classification of leases and remaining terms. The Company recognized $5,511,865 of ROU assets and operating lease liabilities, primarily relating to office space leases, on the consolidated balance sheet upon adoption. During 2019, the Company leased additional office space resulting in an initial recognition value of $9,838,982 of ROU assets and operating lease liabilities.</w:t>
      </w:r>
    </w:p>
    <w:p>
      <w:pPr>
        <w:spacing w:after="0" w:line="14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 Disclosure Framework</w:t>
      </w:r>
      <w:r>
        <w:rPr>
          <w:rFonts w:ascii="Arial" w:cs="Arial" w:eastAsia="Arial" w:hAnsi="Arial"/>
          <w:sz w:val="18"/>
          <w:szCs w:val="18"/>
          <w:color w:val="auto"/>
        </w:rPr>
        <w:t>, that modifies the disclosure requirements with respect to fair value measurements. Among the changes, entities will no longer be required to disclose the amount of and reasons for transfers between Levels 1 and 2 of the fair value hierarchy, but will be required to disclose the range and weighted average used to develop significant unobservable inputs for Level 3 fair value measurements. Effective January 1, 2018, the Company early adopted this ASU, which did not have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02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under 2010 Equity Incentive Plan</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5,817,844</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5,013,153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w w:val="87"/>
              </w:rPr>
              <w:t>Shares reserved under 2017</w:t>
            </w:r>
          </w:p>
        </w:tc>
        <w:tc>
          <w:tcPr>
            <w:tcW w:w="30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1,682,596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4,032,390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6,319,001</w:t>
            </w:r>
          </w:p>
        </w:tc>
        <w:tc>
          <w:tcPr>
            <w:tcW w:w="60" w:type="dxa"/>
            <w:vAlign w:val="bottom"/>
          </w:tcPr>
          <w:p>
            <w:pPr>
              <w:spacing w:after="0"/>
              <w:rPr>
                <w:sz w:val="19"/>
                <w:szCs w:val="19"/>
                <w:color w:val="auto"/>
              </w:rPr>
            </w:pP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w w:val="87"/>
              </w:rPr>
              <w:t>Shares reserved under 2017</w:t>
            </w:r>
          </w:p>
        </w:tc>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468,823</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972,164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972,164</w:t>
            </w:r>
          </w:p>
        </w:tc>
        <w:tc>
          <w:tcPr>
            <w:tcW w:w="60" w:type="dxa"/>
            <w:vAlign w:val="bottom"/>
            <w:shd w:val="clear" w:color="auto" w:fill="CFF0FC"/>
          </w:tcPr>
          <w:p>
            <w:pPr>
              <w:spacing w:after="0"/>
              <w:rPr>
                <w:sz w:val="19"/>
                <w:szCs w:val="19"/>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Common stock warrants</w:t>
            </w:r>
          </w:p>
        </w:tc>
        <w:tc>
          <w:tcPr>
            <w:tcW w:w="30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14,064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14,064</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7,983,327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10,031,771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7,291,165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Preferred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Authorized capital stock includes 10,000,000 shares of preferred stock at December 31, 2018 and 2019.</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E Convertible Preferred Stock</w:t>
      </w:r>
    </w:p>
    <w:p>
      <w:pPr>
        <w:spacing w:after="0" w:line="117" w:lineRule="exact"/>
        <w:rPr>
          <w:sz w:val="20"/>
          <w:szCs w:val="20"/>
          <w:color w:val="auto"/>
        </w:rPr>
      </w:pPr>
    </w:p>
    <w:p>
      <w:pPr>
        <w:ind w:right="860" w:firstLine="518"/>
        <w:spacing w:after="0" w:line="277" w:lineRule="auto"/>
        <w:rPr>
          <w:sz w:val="20"/>
          <w:szCs w:val="20"/>
          <w:color w:val="auto"/>
        </w:rPr>
      </w:pPr>
      <w:r>
        <w:rPr>
          <w:rFonts w:ascii="Arial" w:cs="Arial" w:eastAsia="Arial" w:hAnsi="Arial"/>
          <w:sz w:val="18"/>
          <w:szCs w:val="18"/>
          <w:color w:val="auto"/>
        </w:rPr>
        <w:t>In August 2017, the Company issued 7,792,035 shares of Series E convertible preferred stock at $2.571 per share for aggregate proceeds of $20,033,322, less issuance costs of $285,475.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Upon closing of the Company’s IPO on November 13, 2017, all shares of convertible preferred stock converted into shares of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Development Derivative Liability</w:t>
      </w:r>
    </w:p>
    <w:p>
      <w:pPr>
        <w:spacing w:after="0" w:line="337"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On February 28, 2019, the Company entered into the SFJ agreement under which SFJ agreed to provide funding to the Company to support the development of pegcetacoplan for the treatment of patients with PNH. Pursuant to the agreement, SFJ paid the Company $60,000,000 following the signing of the agreement, and agreed to pay the Company up to an additional $60,000,000 in the aggregate in three equal installments upon the achievement of specified development milestones with respect to the Company’s Phase 3 program for pegcetacoplan in PNH and subject to the Company having cash resources at the time sufficient to fund at least 10 months of the Company’s operations. In addition, upon the mutual agreement of the Company and SFJ, at any time after the earlier of the date that the Company has reviewed the primary endpoint data from its PEGASUS Phase 3 trial of pegcetacoplan in patients with PNH and March 31, 2020, SFJ may fund an additional $50,000,000 of the Company’s development costs.</w:t>
      </w:r>
    </w:p>
    <w:p>
      <w:pPr>
        <w:spacing w:after="0" w:line="18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On June 7, 2019, the Company and SFJ amended the development funding agreement. Under the SFJ amendment, SFJ agreed to make an additional $20,000,000 funding payment to the Company to support the development of pegcetacoplan for the treatment of patients with PNH. This additional $20,000,000 payment is in addition to and not part of the Additional SFJ Funding.</w:t>
      </w:r>
    </w:p>
    <w:p>
      <w:pPr>
        <w:spacing w:after="0" w:line="19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On June 27, 2019, the Company received $40,000,000 from SFJ, consisting of $20,000,000 as the first installment of the additional $60,000,000 upon the achievement of a milestone and the $20,000,000 payable under the SFJ amendment.</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On September 23, 2019, the Company received $20,000,000 from SFJ as the second installment of the additional $60,000,000 upon the achievement of a milestone.</w:t>
      </w:r>
    </w:p>
    <w:p>
      <w:pPr>
        <w:spacing w:after="0" w:line="184"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Company met the remaining development milestone under the SFJ agreement upon the Company’s announcement of the primary endpoint data from its PEGASUS Phase 3 trial on January 7, 2020 and the final installment of $20,000,000 of the additional $60,000,000 was paid on January 29, 2020.</w:t>
      </w:r>
    </w:p>
    <w:p>
      <w:pPr>
        <w:spacing w:after="0" w:line="12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Under the SFJ agreement following regulatory approval by the FDA or EMA for the use of pegcetacoplan as a treatment for PNH the Company will be obligated to pay SFJ an initial payment of up to $5,000,000 (or a total of $10,000,000 if regulatory approval is granted by the FDA and the EMA) and then up to an additional $226,000,000 in the aggregate (or up to $452,000,000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$120,000,000 (including as a result of the payment of the Additional SFJ Funding but excluding the $20,000,000 funding payment made under the SFJ amendment). Additionally, the Company granted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15" w:name="page116"/>
    <w:bookmarkEnd w:id="115"/>
    <w:p>
      <w:pPr>
        <w:ind w:right="20"/>
        <w:spacing w:after="0" w:line="264" w:lineRule="auto"/>
        <w:rPr>
          <w:sz w:val="20"/>
          <w:szCs w:val="20"/>
          <w:color w:val="auto"/>
        </w:rPr>
      </w:pPr>
      <w:r>
        <w:rPr>
          <w:rFonts w:ascii="Arial" w:cs="Arial" w:eastAsia="Arial" w:hAnsi="Arial"/>
          <w:sz w:val="18"/>
          <w:szCs w:val="18"/>
          <w:color w:val="auto"/>
        </w:rPr>
        <w:t>security interest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SFJ agreement is presented as a derivative liability on the consolidated balance sheet as of December 31, 2019. The liability was initially recorded at the value of the $60,000,000 aggregate cash received pursuant to the contractual terms, which was determined to have been fair value, measured as a level 3 derivative. During 2019, the Company received an additional $60,000,000 under the SFJ agreement and the Company met additional milestones in the agreement. The derivative liability was remeasured quarterly at fair value in 2019 and finally at December 31, 2019 as a level 3 derivative, with the total change in fair value of $14,839,000 recorded for the year ended December 31, 2019 in loss from remeasurement of development derivative liability on the consolidated income statement. The remeasurement of the development derivative liability at December 31, 2019 resulted in a remeasured fair value of $134,839,000 as of December 31, 2019 on the consolidated balance sheet.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rollforward of the liability:</w:t>
      </w:r>
    </w:p>
    <w:p>
      <w:pPr>
        <w:spacing w:after="0" w:line="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jc w:val="right"/>
              <w:ind w:right="319"/>
              <w:spacing w:after="0"/>
              <w:rPr>
                <w:sz w:val="20"/>
                <w:szCs w:val="20"/>
                <w:color w:val="auto"/>
              </w:rPr>
            </w:pPr>
            <w:r>
              <w:rPr>
                <w:rFonts w:ascii="Arial" w:cs="Arial" w:eastAsia="Arial" w:hAnsi="Arial"/>
                <w:sz w:val="14"/>
                <w:szCs w:val="14"/>
                <w:b w:val="1"/>
                <w:bCs w:val="1"/>
                <w:color w:val="auto"/>
              </w:rPr>
              <w:t>Development</w:t>
            </w:r>
          </w:p>
        </w:tc>
      </w:tr>
      <w:tr>
        <w:trPr>
          <w:trHeight w:val="171"/>
        </w:trPr>
        <w:tc>
          <w:tcPr>
            <w:tcW w:w="6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w w:val="96"/>
              </w:rPr>
              <w:t>Derivative Liability</w:t>
            </w: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Balance at fair market value, January 1, 2019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Amounts received under the SFJ agreement and SFJ amendment</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120,000,000</w:t>
            </w:r>
          </w:p>
        </w:tc>
      </w:tr>
      <w:tr>
        <w:trPr>
          <w:trHeight w:val="215"/>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Loss recorded in loss from remeasurement of development derivative</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30"/>
        </w:trPr>
        <w:tc>
          <w:tcPr>
            <w:tcW w:w="6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liability</w:t>
            </w: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14,839,000</w:t>
            </w:r>
          </w:p>
        </w:tc>
      </w:tr>
      <w:tr>
        <w:trPr>
          <w:trHeight w:val="263"/>
        </w:trPr>
        <w:tc>
          <w:tcPr>
            <w:tcW w:w="6460" w:type="dxa"/>
            <w:vAlign w:val="bottom"/>
          </w:tcPr>
          <w:p>
            <w:pPr>
              <w:spacing w:after="0"/>
              <w:rPr>
                <w:sz w:val="20"/>
                <w:szCs w:val="20"/>
                <w:color w:val="auto"/>
              </w:rPr>
            </w:pPr>
            <w:r>
              <w:rPr>
                <w:rFonts w:ascii="Arial" w:cs="Arial" w:eastAsia="Arial" w:hAnsi="Arial"/>
                <w:sz w:val="18"/>
                <w:szCs w:val="18"/>
                <w:color w:val="auto"/>
              </w:rPr>
              <w:t>Balance at fair market value,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134,839,000</w:t>
            </w:r>
          </w:p>
        </w:tc>
      </w:tr>
    </w:tbl>
    <w:p>
      <w:pPr>
        <w:spacing w:after="0" w:line="200" w:lineRule="exact"/>
        <w:rPr>
          <w:sz w:val="20"/>
          <w:szCs w:val="20"/>
          <w:color w:val="auto"/>
        </w:rPr>
      </w:pPr>
    </w:p>
    <w:p>
      <w:pPr>
        <w:spacing w:after="0" w:line="23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milestones to receive the next tranches of funding, (ii) the probability and timing of achieving FDA and EMA approval, (iii) SFJ’s cost of borrowing (8.0%), and (iv) the Company’s cost of borrowing (16.6%).</w:t>
      </w:r>
    </w:p>
    <w:p>
      <w:pPr>
        <w:spacing w:after="0" w:line="173"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SFJ’s implied cost of borrowing was 8.0% and the Company’s implied cost of borrowing was 16.6%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Prepaid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are as follows: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3,481,570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36,449,386</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payroll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269,046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11,442,889</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1,352,386</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6,890,676</w:t>
            </w:r>
          </w:p>
        </w:tc>
        <w:tc>
          <w:tcPr>
            <w:tcW w:w="6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5,103,002</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54,782,951</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Prepaid assets include $23,053,511 and $18,102,049 of prepaid research and development costs as of December 31, 2018 and 2019, respectively.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 w:lineRule="exact"/>
        <w:rPr>
          <w:sz w:val="20"/>
          <w:szCs w:val="20"/>
          <w:color w:val="auto"/>
        </w:rPr>
      </w:pPr>
    </w:p>
    <w:p>
      <w:pPr>
        <w:ind w:right="140" w:firstLine="518"/>
        <w:spacing w:after="0" w:line="261" w:lineRule="auto"/>
        <w:rPr>
          <w:sz w:val="20"/>
          <w:szCs w:val="20"/>
          <w:color w:val="auto"/>
        </w:rPr>
      </w:pPr>
      <w:r>
        <w:rPr>
          <w:rFonts w:ascii="Arial" w:cs="Arial" w:eastAsia="Arial" w:hAnsi="Arial"/>
          <w:sz w:val="18"/>
          <w:szCs w:val="18"/>
          <w:color w:val="auto"/>
        </w:rPr>
        <w:t>On September 16, 2019, the Company completed a private offering of Convertible Notes with an aggregate principal amount of $220,000,000 issued pursuant to an indenture (the “Indenture”) with U.S. Bank National Association, as trustee (the “Trustee”).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16" w:name="page117"/>
    <w:bookmarkEnd w:id="116"/>
    <w:p>
      <w:pPr>
        <w:ind w:right="20" w:firstLine="518"/>
        <w:spacing w:after="0" w:line="264" w:lineRule="auto"/>
        <w:rPr>
          <w:sz w:val="20"/>
          <w:szCs w:val="20"/>
          <w:color w:val="auto"/>
        </w:rPr>
      </w:pPr>
      <w:r>
        <w:rPr>
          <w:rFonts w:ascii="Arial" w:cs="Arial" w:eastAsia="Arial" w:hAnsi="Arial"/>
          <w:sz w:val="18"/>
          <w:szCs w:val="18"/>
          <w:color w:val="auto"/>
        </w:rPr>
        <w:t>The net proceeds from the sale of the Convertible Notes were approximately $212,912,000 after deducting the initial purchasers’ discounts and commissions of $6,600,000 and offering expenses of $487,763 paid by the Company. The Company used $28,380,000 of the net proceeds from the sale of the Convertible Notes to pay the cost of the capped call transactions described below.</w:t>
      </w:r>
    </w:p>
    <w:p>
      <w:pPr>
        <w:spacing w:after="0" w:line="195"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 terms of the Convertible Notes.</w:t>
      </w:r>
    </w:p>
    <w:p>
      <w:pPr>
        <w:spacing w:after="0" w:line="19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212529"/>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8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212529"/>
        </w:rPr>
        <w:t>Prior to March 15, 2026, the Convertible Notes are convertible only upon the occurrence of certain events. 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8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212529"/>
        </w:rPr>
        <w:t>Prior to September 20, 2023, the Company may not redeem the Convertible Notes. The Company may redeem for cash all or a portion of the Convertible Notes, at its option, on or after September 20, 2023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w:t>
      </w:r>
    </w:p>
    <w:p>
      <w:pPr>
        <w:spacing w:after="0" w:line="178"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212529"/>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6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212529"/>
        </w:rPr>
        <w:t xml:space="preserve">Pursuant to Accounting Standards Codification (“ASC”) Subtopic 470-20 </w:t>
      </w:r>
      <w:r>
        <w:rPr>
          <w:rFonts w:ascii="Arial" w:cs="Arial" w:eastAsia="Arial" w:hAnsi="Arial"/>
          <w:sz w:val="18"/>
          <w:szCs w:val="18"/>
          <w:i w:val="1"/>
          <w:iCs w:val="1"/>
          <w:color w:val="212529"/>
        </w:rPr>
        <w:t>Convertible Debt</w:t>
      </w:r>
      <w:r>
        <w:rPr>
          <w:rFonts w:ascii="Arial" w:cs="Arial" w:eastAsia="Arial" w:hAnsi="Arial"/>
          <w:sz w:val="18"/>
          <w:szCs w:val="18"/>
          <w:color w:val="212529"/>
        </w:rPr>
        <w:t>, the Company used an effective interest rate of 10.5% to determine the liability component of the Convertible Notes. This resulted in the recognition of $145,065,803 as the liability component of the Convertible Notes and the recognition of the residual amount of $74,934,197 as the debt discount with a corresponding increase to additional paid in capital for the equity component of the Convertible Notes. Aggregate debt issuance costs of $7,087,763 were allocated to the liability and equity components in the amounts of $4,673,600 and $2,414,162, respectively.</w:t>
      </w:r>
    </w:p>
    <w:p>
      <w:pPr>
        <w:spacing w:after="0" w:line="18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212529"/>
        </w:rPr>
        <w:t>Interest expense for the Convertible Notes was $4,399,093 from inception through December 31, 2019, which included amortization of the discount on the Convertible Notes of $2,089,368, accrued semi-annual coupon payable of $2,224,445 and amortization of debt issuance costs of $85,280. As of December 31, 2019, $4,588,320 of debt issuance costs was recorded on the consolidated balance sheet as a reduction to the carrying amount of the Convertible Notes.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The aggregate balance of the Convertible Notes, net of unamortized debt issuance costs, as of December 31, 2019 is $142,566,851.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7" w:name="page118"/>
    <w:bookmarkEnd w:id="117"/>
    <w:p>
      <w:pPr>
        <w:ind w:left="5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2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212529"/>
        </w:rPr>
        <w:t>On September 11, 2019, concurrently with the pricing of the Convertible Notes,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representing a premium of 100% above the last reported sale price of $31.57 per share of its common stock on The Nasdaq Global Select Market on September 11, 2019, there would nevertheless be dilution and/or there would not be an offset of such potential cash payments, in each case, to the extent that such market price exceeds the cap price of the capped call transactions.</w:t>
      </w:r>
    </w:p>
    <w:p>
      <w:pPr>
        <w:spacing w:after="0" w:line="169"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212529"/>
        </w:rPr>
        <w:t xml:space="preserve">Pursuant to ASC 815-40 </w:t>
      </w:r>
      <w:r>
        <w:rPr>
          <w:rFonts w:ascii="Arial" w:cs="Arial" w:eastAsia="Arial" w:hAnsi="Arial"/>
          <w:sz w:val="18"/>
          <w:szCs w:val="18"/>
          <w:i w:val="1"/>
          <w:iCs w:val="1"/>
          <w:color w:val="212529"/>
        </w:rPr>
        <w:t>Derivatives and Hedging</w:t>
      </w:r>
      <w:r>
        <w:rPr>
          <w:rFonts w:ascii="Arial" w:cs="Arial" w:eastAsia="Arial" w:hAnsi="Arial"/>
          <w:sz w:val="18"/>
          <w:szCs w:val="18"/>
          <w:color w:val="212529"/>
        </w:rPr>
        <w:t>, the Company determined that the capped call transactions should be classified as equity instruments and the capped call premium paid in the amount of $28,380,000 was recorded as a reduction to additional paid-in capital as of September 30, 2019.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October 20, 2017, the Company entered into a loan and security agreement with Silicon Valley Bank (“SVB”) to provide for a $20,000,000 term loan facility (the “term loan facility”). Borrowings under the term loan facility accrued interest at a floating rate per annum equal to the WSJ prime rate plus 1.50%. Under the agreement, the Company was required to make monthly interest-only payments through November 1, 2019 and to make 24 equal monthly payments of principal, plus accrued interest, thereafter from November 1, 2019 through October 1, 2021, when all unpaid principal and interest would become due and payable.</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March 26, 2019, the Company voluntarily repaid all outstanding amounts due and owed, including applicable termination fees, under the term loan facility. The final payment of $21,802,403 totaled per diem interest of $101,111 and $21,701,292 for the outstanding balance of the term loan facility which included (i) a final payment equal to 8% of the original principal amount of the term loan facility of $1,600,000, and (ii) a prepayment fee contractually owed of $100,000 plus other fees of $1,292 which resulted in a total loss on extinguishment of debt of $1,208,132.</w:t>
      </w:r>
    </w:p>
    <w:p>
      <w:pPr>
        <w:spacing w:after="0" w:line="17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connection with the Company’s entry into the term loan facility, the Company issued to SVB a warrant to purchase 14,064 shares of the Company’s common stock with an exercise price per share of $5.484. The warrant had a ten-year term and includes a put option pursuant to which, in the event of an acquisition, change in control or dissolution or winding up of the Company or the expiration of the warrant, SVB could require the Company to repurchase the warrant for a total aggregate purchase price of $250,000. The warrants were exercised in November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Related Party Promissory Note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October 19, 2017, the Company issued and sold an unsecured promissory note in the principal amount of $7,000,000 to Golda Darty Partners S.A.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(“GDP”), an affiliate of one of the Company’s stockholders. The promissory note accrued interest at a rate per annum of 8.0%, and was due and payable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quarterly in arrears on the 19th day of each April, July, October and January. The promissory note had a maturity date of October 19, 2022 when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$7,000,000 would be due and payable in its entirety. The promissory note was contractually subordinated to the Company’s obligations to SFJ under the SFJ</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September 16, 2019, the Company voluntarily repaid all outstanding amounts due and owed under the promissory note, except for a small amount of interest subsequently repaid. The payment of $7,118,904 reflected per diem interest of $118,904 and $7,000,000 for the outstanding principal balance of the promissory note.</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connection with the issuance and sale of the above promissory note, the Company issued to GDP a warrant to purchase 93,764 shares of the Company’s common stock at a price per share of $5.484, which was exercised in whole in October 2017. The Company recorded the fair value of the warrant in the aggregate amount of $430,160 as a discount to the promissory note. This amount was being accreted as additional interest expense over the term of the promissory note. Upon the repayment of the promissory note, the Company recorded a loss on extinguishment of debt of $293,083 due to the remaining discount.</w:t>
      </w:r>
    </w:p>
    <w:p>
      <w:pPr>
        <w:spacing w:after="0" w:line="188" w:lineRule="exact"/>
        <w:rPr>
          <w:sz w:val="20"/>
          <w:szCs w:val="20"/>
          <w:color w:val="auto"/>
        </w:rPr>
      </w:pPr>
    </w:p>
    <w:p>
      <w:pPr>
        <w:ind w:right="860" w:firstLine="518"/>
        <w:spacing w:after="0" w:line="277" w:lineRule="auto"/>
        <w:rPr>
          <w:sz w:val="20"/>
          <w:szCs w:val="20"/>
          <w:color w:val="auto"/>
        </w:rPr>
      </w:pPr>
      <w:r>
        <w:rPr>
          <w:rFonts w:ascii="Arial" w:cs="Arial" w:eastAsia="Arial" w:hAnsi="Arial"/>
          <w:sz w:val="18"/>
          <w:szCs w:val="18"/>
          <w:color w:val="auto"/>
        </w:rPr>
        <w:t>The contractual maturities of the Company’s long-term debt obligations due subsequent to December 31, 2019 consist of the $220,000,000 Convertible Senior Notes which mature in September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color w:val="auto"/>
        </w:rPr>
        <w:t>. Leases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On January 1, 2019,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using a modified retrospective method. The Company recognized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$5,511,865 of lease assets and liabilities. There was no impact to retained earnings upon adoption of Topic 842. The underlying assets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leases primarily relate to office space leases, but also include some equipment leases. The Company determines if an arrangement qualifies as a lease at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During 2019, the Company leased additional office space resulting in an initial recognition value of $9,838,982 of lease assets and liabilities.</w:t>
      </w:r>
    </w:p>
    <w:p>
      <w:pPr>
        <w:spacing w:after="0" w:line="22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 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w:t>
      </w:r>
    </w:p>
    <w:p>
      <w:pPr>
        <w:spacing w:after="0" w:line="193"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Company enters into lease agreements with terms generally ranging from 2-7 years. Some of the Company’s lease agreements include Company options to extend the lease on a month to month basis or for set periods for up to five years. Many leases also include options to terminate the leases within one year or per other contractual terms. Renewal and termination options were generally not included in the lease term for the Company’s existing operating leases.</w:t>
      </w:r>
    </w:p>
    <w:p>
      <w:pPr>
        <w:spacing w:after="0" w:line="187"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As of December 31, 2019, all leases were classified as operating lease assets and liabilities. Operating lease assets were $14,110,209 and operating lease liabilities were $14,465,975 at December 31, 2019. At December 31, 2019, the weighted average remaining lease term of operating leases was 5.01 years and the weighted average discount rate used to measure the outstanding operating lease liabilities leases was 8.19%.</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2019, the total lease cost for operating lease expense was approximately $2,369,000.</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operating leases for the year ended December 31, 2019 is as follows:</w:t>
      </w:r>
    </w:p>
    <w:p>
      <w:pPr>
        <w:spacing w:after="0" w:line="25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2,013,273</w:t>
            </w:r>
          </w:p>
        </w:tc>
      </w:tr>
      <w:tr>
        <w:trPr>
          <w:trHeight w:val="215"/>
        </w:trPr>
        <w:tc>
          <w:tcPr>
            <w:tcW w:w="12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Right of use assets obtained in exchange for</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lease obligations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10,201,170</w:t>
            </w:r>
          </w:p>
        </w:tc>
      </w:tr>
      <w:tr>
        <w:trPr>
          <w:trHeight w:val="446"/>
        </w:trPr>
        <w:tc>
          <w:tcPr>
            <w:tcW w:w="7340" w:type="dxa"/>
            <w:vAlign w:val="bottom"/>
            <w:gridSpan w:val="2"/>
          </w:tcPr>
          <w:p>
            <w:pPr>
              <w:spacing w:after="0"/>
              <w:rPr>
                <w:sz w:val="20"/>
                <w:szCs w:val="20"/>
                <w:color w:val="auto"/>
              </w:rPr>
            </w:pPr>
            <w:r>
              <w:rPr>
                <w:rFonts w:ascii="Arial" w:cs="Arial" w:eastAsia="Arial" w:hAnsi="Arial"/>
                <w:sz w:val="18"/>
                <w:szCs w:val="18"/>
                <w:color w:val="auto"/>
                <w:w w:val="94"/>
              </w:rPr>
              <w:t>The maturity of the Company’s operating lease liabilities as of December 31, 2019 are as follows: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340" w:type="dxa"/>
            <w:vAlign w:val="bottom"/>
            <w:gridSpan w:val="2"/>
          </w:tcPr>
          <w:p>
            <w:pPr>
              <w:ind w:left="1200"/>
              <w:spacing w:after="0"/>
              <w:rPr>
                <w:sz w:val="20"/>
                <w:szCs w:val="20"/>
                <w:color w:val="auto"/>
              </w:rPr>
            </w:pPr>
            <w:r>
              <w:rPr>
                <w:rFonts w:ascii="Arial" w:cs="Arial" w:eastAsia="Arial" w:hAnsi="Arial"/>
                <w:sz w:val="18"/>
                <w:szCs w:val="18"/>
                <w:color w:val="auto"/>
              </w:rPr>
              <w:t>2020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3,679,786</w:t>
            </w:r>
          </w:p>
        </w:tc>
      </w:tr>
      <w:tr>
        <w:trPr>
          <w:trHeight w:val="230"/>
        </w:trPr>
        <w:tc>
          <w:tcPr>
            <w:tcW w:w="12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3,336,325</w:t>
            </w:r>
          </w:p>
        </w:tc>
      </w:tr>
      <w:tr>
        <w:trPr>
          <w:trHeight w:val="230"/>
        </w:trPr>
        <w:tc>
          <w:tcPr>
            <w:tcW w:w="120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3,269,202</w:t>
            </w:r>
          </w:p>
        </w:tc>
      </w:tr>
      <w:tr>
        <w:trPr>
          <w:trHeight w:val="230"/>
        </w:trPr>
        <w:tc>
          <w:tcPr>
            <w:tcW w:w="12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3,287,748</w:t>
            </w:r>
          </w:p>
        </w:tc>
      </w:tr>
      <w:tr>
        <w:trPr>
          <w:trHeight w:val="230"/>
        </w:trPr>
        <w:tc>
          <w:tcPr>
            <w:tcW w:w="1200" w:type="dxa"/>
            <w:vAlign w:val="bottom"/>
          </w:tcPr>
          <w:p>
            <w:pPr>
              <w:spacing w:after="0"/>
              <w:rPr>
                <w:sz w:val="19"/>
                <w:szCs w:val="19"/>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4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4,106,743</w:t>
            </w:r>
          </w:p>
        </w:tc>
      </w:tr>
      <w:tr>
        <w:trPr>
          <w:trHeight w:val="223"/>
        </w:trPr>
        <w:tc>
          <w:tcPr>
            <w:tcW w:w="12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17,679,804</w:t>
            </w:r>
          </w:p>
        </w:tc>
      </w:tr>
      <w:tr>
        <w:trPr>
          <w:trHeight w:val="230"/>
        </w:trPr>
        <w:tc>
          <w:tcPr>
            <w:tcW w:w="1200" w:type="dxa"/>
            <w:vAlign w:val="bottom"/>
          </w:tcPr>
          <w:p>
            <w:pPr>
              <w:spacing w:after="0"/>
              <w:rPr>
                <w:sz w:val="19"/>
                <w:szCs w:val="19"/>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Less imputed interest</w:t>
            </w:r>
          </w:p>
        </w:tc>
        <w:tc>
          <w:tcPr>
            <w:tcW w:w="4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(3,213,829)</w:t>
            </w:r>
          </w:p>
        </w:tc>
      </w:tr>
      <w:tr>
        <w:trPr>
          <w:trHeight w:val="223"/>
        </w:trPr>
        <w:tc>
          <w:tcPr>
            <w:tcW w:w="7340" w:type="dxa"/>
            <w:vAlign w:val="bottom"/>
            <w:gridSpan w:val="2"/>
          </w:tcPr>
          <w:p>
            <w:pPr>
              <w:ind w:left="1200"/>
              <w:spacing w:after="0"/>
              <w:rPr>
                <w:sz w:val="20"/>
                <w:szCs w:val="20"/>
                <w:color w:val="auto"/>
              </w:rPr>
            </w:pPr>
            <w:r>
              <w:rPr>
                <w:rFonts w:ascii="Arial" w:cs="Arial" w:eastAsia="Arial" w:hAnsi="Arial"/>
                <w:sz w:val="18"/>
                <w:szCs w:val="18"/>
                <w:color w:val="auto"/>
              </w:rPr>
              <w:t>Total operating lease liabilities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14,465,975</w:t>
            </w:r>
          </w:p>
        </w:tc>
      </w:tr>
      <w:tr>
        <w:trPr>
          <w:trHeight w:val="20"/>
        </w:trPr>
        <w:tc>
          <w:tcPr>
            <w:tcW w:w="1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Rental expense under operating leases totaled $798,760 for the year ended December 31, 2018.</w:t>
      </w:r>
    </w:p>
    <w:p>
      <w:pPr>
        <w:spacing w:after="0" w:line="23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 xml:space="preserve">Under the previous lease accounting standard,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future minimum rental payments for lease obligations with initial terms in excess of one year as of December 31, 2018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2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2020</w:t>
            </w:r>
          </w:p>
        </w:tc>
        <w:tc>
          <w:tcPr>
            <w:tcW w:w="3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975,750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998,350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37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2,341,219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3780" w:type="dxa"/>
            <w:vAlign w:val="bottom"/>
          </w:tcPr>
          <w:p>
            <w:pPr>
              <w:spacing w:after="0"/>
              <w:rPr>
                <w:sz w:val="19"/>
                <w:szCs w:val="19"/>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6,859,064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780" w:type="dxa"/>
            <w:vAlign w:val="bottom"/>
            <w:vMerge w:val="restart"/>
          </w:tcPr>
          <w:p>
            <w:pPr>
              <w:jc w:val="right"/>
              <w:ind w:right="2210"/>
              <w:spacing w:after="0"/>
              <w:rPr>
                <w:sz w:val="20"/>
                <w:szCs w:val="20"/>
                <w:color w:val="auto"/>
              </w:rPr>
            </w:pPr>
            <w:r>
              <w:rPr>
                <w:rFonts w:ascii="Arial" w:cs="Arial" w:eastAsia="Arial" w:hAnsi="Arial"/>
                <w:sz w:val="18"/>
                <w:szCs w:val="18"/>
                <w:color w:val="auto"/>
              </w:rPr>
              <w:t>117</w:t>
            </w: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9. Fair Value Measurements</w:t>
      </w:r>
    </w:p>
    <w:p>
      <w:pPr>
        <w:spacing w:after="0" w:line="364"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right="120" w:firstLine="588"/>
        <w:spacing w:after="0" w:line="277" w:lineRule="auto"/>
        <w:rPr>
          <w:sz w:val="20"/>
          <w:szCs w:val="20"/>
          <w:color w:val="auto"/>
        </w:rPr>
      </w:pPr>
      <w:r>
        <w:rPr>
          <w:rFonts w:ascii="Arial" w:cs="Arial" w:eastAsia="Arial" w:hAnsi="Arial"/>
          <w:sz w:val="18"/>
          <w:szCs w:val="18"/>
          <w:color w:val="auto"/>
        </w:rPr>
        <w:t>Level 3 – Unobservable inputs that reflect the Company’s own assumptions about the assumptions market participants would use in pricing the asset or liability.</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following table presents the fair value of financial instruments recorded originally at amortized cost or fair value and not re-measured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1200" w:type="dxa"/>
            <w:vAlign w:val="bottom"/>
          </w:tcPr>
          <w:p>
            <w:pPr>
              <w:jc w:val="right"/>
              <w:ind w:right="497"/>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w w:val="88"/>
              </w:rPr>
              <w:t>Level 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73"/>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92,355,167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92,355,167</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92,355,167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92,355,167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facility</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18,722,321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18,722,321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Related party promissory note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7,401,203</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7,401,203</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26,123,524</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26,123,524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0" w:type="dxa"/>
            <w:vAlign w:val="bottom"/>
            <w:vMerge w:val="restart"/>
          </w:tcPr>
          <w:p>
            <w:pPr>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13"/>
                <w:szCs w:val="13"/>
                <w:color w:val="auto"/>
              </w:rPr>
            </w:pPr>
          </w:p>
        </w:tc>
        <w:tc>
          <w:tcPr>
            <w:tcW w:w="13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1200" w:type="dxa"/>
            <w:vAlign w:val="bottom"/>
          </w:tcPr>
          <w:p>
            <w:pPr>
              <w:jc w:val="right"/>
              <w:ind w:right="497"/>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w w:val="88"/>
              </w:rPr>
              <w:t>Level 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73"/>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281,314,069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281,314,069</w:t>
            </w:r>
          </w:p>
        </w:tc>
        <w:tc>
          <w:tcPr>
            <w:tcW w:w="0" w:type="dxa"/>
            <w:vAlign w:val="bottom"/>
          </w:tcPr>
          <w:p>
            <w:pPr>
              <w:spacing w:after="0"/>
              <w:rPr>
                <w:sz w:val="1"/>
                <w:szCs w:val="1"/>
                <w:color w:val="auto"/>
              </w:rPr>
            </w:pPr>
          </w:p>
        </w:tc>
      </w:tr>
      <w:tr>
        <w:trPr>
          <w:trHeight w:val="26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281,314,069</w:t>
            </w:r>
          </w:p>
        </w:tc>
        <w:tc>
          <w:tcPr>
            <w:tcW w:w="1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281,314,069</w:t>
            </w: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89"/>
              </w:rPr>
              <w:t>149,496,359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149,496,359</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9"/>
              </w:rPr>
              <w:t>149,496,359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149,496,359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260" w:hanging="734"/>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convertible notes were measured and recognized at fair value on the consolidated balance sheet at inception.</w:t>
      </w:r>
    </w:p>
    <w:p>
      <w:pPr>
        <w:spacing w:after="0" w:line="2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As of December 31, 2018, the fair value of the Company's promissory note was $7,401,203, based on discounted cash flows, market-based expectations for interest rates, credit risk and the contractual terms of the debt instrument. The Company paid interest on the term loan facility at a variable interest rate and accordingly the carrying amount approximated fair value at December 31, 2018.</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of December 31, 2019, the fair value of debt component of the Convertible Notes was $149,496,359, based on the discounted cash flows for comparable straight debt instrument. The Convertible Notes accrue a semi-annual coupon at an annual rate of 3.5%, which was included in accrued expenses in the consolidated balance sheet at December 31, 2019.</w:t>
      </w:r>
    </w:p>
    <w:p>
      <w:pPr>
        <w:spacing w:after="0" w:line="3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fair value of financial instruments recorded at fair value at inception and remeasured on a recurring basis: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w w:val="88"/>
              </w:rPr>
              <w:t>Level 3</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warrant liability</w:t>
            </w: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158,783</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158,783</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158,783</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158,783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w w:val="88"/>
              </w:rPr>
              <w:t>Level 3</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Development derivative liability</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89"/>
              </w:rPr>
              <w:t>134,839,000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134,839,000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Liabilities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89"/>
              </w:rPr>
              <w:t>134,839,000</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134,839,000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fair value of the SFJ agreement is presented as a derivative liability based on level 3 inputs. 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milestones to receive the next tranches of funding, (ii) the probability and timing of achieving FDA and EMA approval, (iii) SFJ’s cost of borrowing (8.0%), and (iv) the Company’s cost of borrowing (16.6%). A 10% change in the key inputs of i) the probability and timing of payment and ii) the discount rate utilized would result in a change in fair value of the development derivative liability of approximately 13.3% or $17,886,000.</w:t>
      </w:r>
    </w:p>
    <w:p>
      <w:pPr>
        <w:spacing w:after="0" w:line="191" w:lineRule="exact"/>
        <w:rPr>
          <w:sz w:val="20"/>
          <w:szCs w:val="20"/>
          <w:color w:val="auto"/>
        </w:rPr>
      </w:pPr>
    </w:p>
    <w:p>
      <w:pPr>
        <w:ind w:right="240" w:firstLine="518"/>
        <w:spacing w:after="0" w:line="258" w:lineRule="auto"/>
        <w:rPr>
          <w:sz w:val="20"/>
          <w:szCs w:val="20"/>
          <w:color w:val="auto"/>
        </w:rPr>
      </w:pPr>
      <w:r>
        <w:rPr>
          <w:rFonts w:ascii="Arial" w:cs="Arial" w:eastAsia="Arial" w:hAnsi="Arial"/>
          <w:sz w:val="18"/>
          <w:szCs w:val="18"/>
          <w:color w:val="auto"/>
        </w:rPr>
        <w:t>SFJ’s implied cost of borrowing was 8.0% and the Company’s implied cost of borrowing was 16.6% as of the reporting date. These implied costs of borrowing were determined assuming the SFJ agreement was initially executed with arm’s-length terms.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common stock warrant liability was valued based upon the underlying value of the Company’s common stock.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Agreements</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connection with its purchase of assets from Potentia in September 2014, the Company became party to a license agreement with the Trustees of the University of Pennsylvania (“Penn”) as a result of an agreement to purchase substantially all the assets of Potentia Pharmaceuticals, Inc, for an exclusive, worldwide license to specified patent rights. The Company is required to pay annual maintenance fees of $100,000 until the first sale of a licensed product. The Company is also required to make milestone payments aggregating up to $3,200,000 based upon the achievement of specified development and regulatory milestones and up to $5,000,000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78"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 addition, the Company is also party to a license agreement with Penn for an exclusive, worldwide license to specified patent rights for the development and commercialization of products in fields of use, as defined therein. The Company is required to pay annual maintenance fees of $100,000 until the first sale of a licensed product. The Company is required to make milestone payments aggregating up to $1,650,000, based upon the achievement of development and regulatory approval milestones, and up to $2,500,000,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w:t>
      </w:r>
    </w:p>
    <w:p>
      <w:pPr>
        <w:spacing w:after="0" w:line="16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2018, the Company made payments of $1,025,000, net of a credit for the annual license maintenance payment, for the achievement of milestones under these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Profit Sharing Plan and Trust</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July 2010, the Company adopted an employee profit-sharing plan (the “401(k) Plan”), qualified under Section 401(k) of the Internal Revenue Code (the “IRC”). All of the Company’s full-time employees who have attained the age of 21 are eligible to participate in the 401(k) Plan immediately upon employment. Pursuant to the 401(k) Plan, employees may elect to reduce their current compensation by up to the statutorily prescribed annual limit and have the amount of the reduction contributed to the 401(k) Plan. In 2017, 2018 and 2019 the Company recorded $123,624, $322,459 and $806,915 respectively, for employer contributions made to the 401(k)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12. Refundable Research and Development Credits and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earns non-income related refundable Australian research and development credits that are settled and paid to the Company annually.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associated income from the credits are an offset to research and development expenses.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loss from continuing operations before provision for income taxes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640" w:type="dxa"/>
            <w:vAlign w:val="bottom"/>
            <w:tcBorders>
              <w:bottom w:val="single" w:sz="8" w:color="auto"/>
            </w:tcBorders>
            <w:gridSpan w:val="5"/>
          </w:tcPr>
          <w:p>
            <w:pPr>
              <w:jc w:val="right"/>
              <w:ind w:right="97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43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(47,523,183)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 (122,900,285)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 (297,127,180)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Foreign</w:t>
            </w:r>
          </w:p>
        </w:tc>
        <w:tc>
          <w:tcPr>
            <w:tcW w:w="1080" w:type="dxa"/>
            <w:vAlign w:val="bottom"/>
          </w:tcPr>
          <w:p>
            <w:pPr>
              <w:jc w:val="right"/>
              <w:spacing w:after="0"/>
              <w:rPr>
                <w:sz w:val="20"/>
                <w:szCs w:val="20"/>
                <w:color w:val="auto"/>
              </w:rPr>
            </w:pPr>
            <w:r>
              <w:rPr>
                <w:rFonts w:ascii="Arial" w:cs="Arial" w:eastAsia="Arial" w:hAnsi="Arial"/>
                <w:sz w:val="18"/>
                <w:szCs w:val="18"/>
                <w:color w:val="auto"/>
              </w:rPr>
              <w:t>(3,482,911)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(4,601,909)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(7,579,433)</w:t>
            </w: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(51,006,094)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(127,502,194)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(304,706,613)</w:t>
            </w:r>
          </w:p>
        </w:tc>
      </w:tr>
      <w:tr>
        <w:trPr>
          <w:trHeight w:val="20"/>
        </w:trPr>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The Company’s income tax provision is computed based on the federal statutory rate and the average state statutory rates, net of the related federal benefit. For the years ended December 31, 2018 and 2019, there was no current or deferred income tax expense or benefit due to the Company’s net losses and increases in its deferred tax asset valuation allowance.</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effective income tax provision differs from the amount calculated using the statutory U.S. federal income tax rate, principally due to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665"/>
              <w:spacing w:after="0"/>
              <w:rPr>
                <w:sz w:val="20"/>
                <w:szCs w:val="20"/>
                <w:color w:val="auto"/>
              </w:rPr>
            </w:pPr>
            <w:r>
              <w:rPr>
                <w:rFonts w:ascii="Arial" w:cs="Arial" w:eastAsia="Arial" w:hAnsi="Arial"/>
                <w:sz w:val="14"/>
                <w:szCs w:val="14"/>
                <w:b w:val="1"/>
                <w:bCs w:val="1"/>
                <w:color w:val="auto"/>
              </w:rPr>
              <w:t>Year Ended December</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2"/>
                <w:szCs w:val="12"/>
                <w:color w:val="auto"/>
              </w:rPr>
            </w:pPr>
          </w:p>
        </w:tc>
        <w:tc>
          <w:tcPr>
            <w:tcW w:w="1260" w:type="dxa"/>
            <w:vAlign w:val="bottom"/>
            <w:gridSpan w:val="3"/>
          </w:tcPr>
          <w:p>
            <w:pPr>
              <w:jc w:val="center"/>
              <w:ind w:right="285"/>
              <w:spacing w:after="0" w:line="149" w:lineRule="exact"/>
              <w:rPr>
                <w:sz w:val="20"/>
                <w:szCs w:val="20"/>
                <w:color w:val="auto"/>
              </w:rPr>
            </w:pPr>
            <w:r>
              <w:rPr>
                <w:rFonts w:ascii="Arial" w:cs="Arial" w:eastAsia="Arial" w:hAnsi="Arial"/>
                <w:sz w:val="14"/>
                <w:szCs w:val="14"/>
                <w:b w:val="1"/>
                <w:bCs w:val="1"/>
                <w:color w:val="auto"/>
                <w:w w:val="89"/>
              </w:rPr>
              <w:t>income before</w:t>
            </w: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 before</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taxes</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income taxes</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income taxes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Statutory U.S. federal income tax</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(17,852,133)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(26,775,461)</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(63,988,409)</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(1,634,924)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(6,397,993)</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(16,423,857)</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11,176,291</w:t>
            </w:r>
          </w:p>
        </w:tc>
        <w:tc>
          <w:tcPr>
            <w:tcW w:w="2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38,156,506</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90,300,408</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Re-measurement of deferred taxes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15,659,916</w:t>
            </w:r>
          </w:p>
        </w:tc>
        <w:tc>
          <w:tcPr>
            <w:tcW w:w="20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(3,316,729)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(6,149,021)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(6,113,296)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Change in state apportionment, Kentucky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tax reform and other</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873,508</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(16,861)</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Permanent and other</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(4,032,421)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292,461</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(3,757,985)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8"/>
                <w:szCs w:val="18"/>
                <w:color w:val="auto"/>
              </w:rPr>
              <w:t>Effective income tax provision</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579"/>
              <w:spacing w:after="0"/>
              <w:rPr>
                <w:sz w:val="20"/>
                <w:szCs w:val="20"/>
                <w:color w:val="auto"/>
              </w:rPr>
            </w:pPr>
            <w:r>
              <w:rPr>
                <w:rFonts w:ascii="Arial" w:cs="Arial" w:eastAsia="Arial" w:hAnsi="Arial"/>
                <w:sz w:val="18"/>
                <w:szCs w:val="18"/>
                <w:color w:val="auto"/>
                <w:w w:val="79"/>
              </w:rPr>
              <w:t>120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22" w:name="page123"/>
    <w:bookmarkEnd w:id="122"/>
    <w:p>
      <w:pPr>
        <w:ind w:right="40" w:firstLine="518"/>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18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Intangible assets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19,616</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15,519</w:t>
            </w:r>
          </w:p>
        </w:tc>
        <w:tc>
          <w:tcPr>
            <w:tcW w:w="80" w:type="dxa"/>
            <w:vAlign w:val="bottom"/>
          </w:tcPr>
          <w:p>
            <w:pPr>
              <w:spacing w:after="0"/>
              <w:rPr>
                <w:sz w:val="19"/>
                <w:szCs w:val="19"/>
                <w:color w:val="auto"/>
              </w:rPr>
            </w:pP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2,914,583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6,624,638</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Deferred interest expense</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135,585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Contribution carryforwards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41,409</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Net operating loss carryforwards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64,296,165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102,623,330</w:t>
            </w:r>
          </w:p>
        </w:tc>
        <w:tc>
          <w:tcPr>
            <w:tcW w:w="80" w:type="dxa"/>
            <w:vAlign w:val="bottom"/>
          </w:tcPr>
          <w:p>
            <w:pPr>
              <w:spacing w:after="0"/>
              <w:rPr>
                <w:sz w:val="19"/>
                <w:szCs w:val="19"/>
                <w:color w:val="auto"/>
              </w:rPr>
            </w:pP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 credits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7,269,624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14,476,348</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Orphan drug credits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7,165,354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9,380,475</w:t>
            </w:r>
          </w:p>
        </w:tc>
        <w:tc>
          <w:tcPr>
            <w:tcW w:w="80" w:type="dxa"/>
            <w:vAlign w:val="bottom"/>
          </w:tcPr>
          <w:p>
            <w:pPr>
              <w:spacing w:after="0"/>
              <w:rPr>
                <w:sz w:val="19"/>
                <w:szCs w:val="19"/>
                <w:color w:val="auto"/>
              </w:rPr>
            </w:pP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Development derivative liability</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35,874,491</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Accruals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2,259,190</w:t>
            </w:r>
          </w:p>
        </w:tc>
        <w:tc>
          <w:tcPr>
            <w:tcW w:w="80" w:type="dxa"/>
            <w:vAlign w:val="bottom"/>
          </w:tcPr>
          <w:p>
            <w:pPr>
              <w:spacing w:after="0"/>
              <w:rPr>
                <w:sz w:val="19"/>
                <w:szCs w:val="19"/>
                <w:color w:val="auto"/>
              </w:rPr>
            </w:pP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80" w:type="dxa"/>
            <w:vAlign w:val="bottom"/>
            <w:shd w:val="clear" w:color="auto" w:fill="CFF0FC"/>
          </w:tcPr>
          <w:p>
            <w:pPr>
              <w:spacing w:after="0"/>
              <w:rPr>
                <w:sz w:val="19"/>
                <w:szCs w:val="19"/>
                <w:color w:val="auto"/>
              </w:rPr>
            </w:pPr>
          </w:p>
        </w:tc>
      </w:tr>
      <w:tr>
        <w:trPr>
          <w:trHeight w:val="223"/>
        </w:trPr>
        <w:tc>
          <w:tcPr>
            <w:tcW w:w="4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 tax assets</w:t>
            </w:r>
          </w:p>
        </w:tc>
        <w:tc>
          <w:tcPr>
            <w:tcW w:w="1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81,837,686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171,306,650</w:t>
            </w:r>
          </w:p>
        </w:tc>
        <w:tc>
          <w:tcPr>
            <w:tcW w:w="8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Accrual to cash adjustment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(2,463,715)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(12,094)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Convertible debt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(11,479,891)</w:t>
            </w: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481(a) adjustment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(2,891,490)</w:t>
            </w:r>
          </w:p>
        </w:tc>
      </w:tr>
      <w:tr>
        <w:trPr>
          <w:trHeight w:val="223"/>
        </w:trPr>
        <w:tc>
          <w:tcPr>
            <w:tcW w:w="4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 tax liabilities</w:t>
            </w:r>
          </w:p>
        </w:tc>
        <w:tc>
          <w:tcPr>
            <w:tcW w:w="1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(2,475,809)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(14,371,381</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 before allowance:</w:t>
            </w:r>
          </w:p>
        </w:tc>
        <w:tc>
          <w:tcPr>
            <w:tcW w:w="1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79,361,877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156,935,269</w:t>
            </w:r>
          </w:p>
        </w:tc>
        <w:tc>
          <w:tcPr>
            <w:tcW w:w="80" w:type="dxa"/>
            <w:vAlign w:val="bottom"/>
            <w:shd w:val="clear" w:color="auto" w:fill="CFF0FC"/>
          </w:tcPr>
          <w:p>
            <w:pPr>
              <w:spacing w:after="0"/>
              <w:rPr>
                <w:sz w:val="19"/>
                <w:szCs w:val="19"/>
                <w:color w:val="auto"/>
              </w:rPr>
            </w:pPr>
          </w:p>
        </w:tc>
      </w:tr>
      <w:tr>
        <w:trPr>
          <w:trHeight w:val="223"/>
        </w:trPr>
        <w:tc>
          <w:tcPr>
            <w:tcW w:w="4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Less valuation allowance</w:t>
            </w:r>
          </w:p>
        </w:tc>
        <w:tc>
          <w:tcPr>
            <w:tcW w:w="1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(79,361,877)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(156,935,269</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At December 31, 2018, the Company had approximately $251,388,000 and $254,631,000 of Federal and state net operating loss carryforward, respectively. At December 31, 2019, the Company had approximately $392,878,000 and $358,345,000 of Federal and state net operating loss carryforwards, respectively. The Company also had $24,163,000 of federal research and development tax credit carryforwards as of December 31, 2019. The net operating loss and research and development tax credit carryforwards begin to expire in 2024.</w:t>
      </w:r>
    </w:p>
    <w:p>
      <w:pPr>
        <w:spacing w:after="0" w:line="18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w:t>
      </w:r>
    </w:p>
    <w:p>
      <w:pPr>
        <w:spacing w:after="0" w:line="18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Company’s net operating loss carryforwards (“NOLs”) and other deferred tax assets can generally be used to offset future taxable income and therefore reduce federal income tax obligations. However, the Company's ability to use its NOLs would be limited if there was an “ownership change” as defined by Section 382. This would occur if shareholders owning (or deemed to own under the tax rules) 5% or more of the Company's common stock increase their aggregate ownership of the common stock of the Company by more than 50 percentage points over a defined period of time. The Company had an ownership change on September 8, 2015. As a result, a portion of the NOL and tax credit carryforwards are subject to an annual utilization limitation.</w:t>
      </w:r>
    </w:p>
    <w:p>
      <w:pPr>
        <w:spacing w:after="0" w:line="158"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The deferred tax asset includes approximately $99,955,000 of Federal and State NOLs and $24,163,000 of Federal and State research &amp; development tax credit carryforwards. Of the $99,955,000 of Federal and State NOLs, approximately $10,716,000 is limited under Section 382. Of the $24,163,000 of Federal and State tax credit carryforwards, approximately $1,892,000 is limited under Section 383. Subsequent ownership changes may further affect the limitation in future years.</w:t>
      </w:r>
    </w:p>
    <w:p>
      <w:pPr>
        <w:spacing w:after="0" w:line="2" w:lineRule="exact"/>
        <w:rPr>
          <w:sz w:val="20"/>
          <w:szCs w:val="20"/>
          <w:color w:val="auto"/>
        </w:rPr>
      </w:pPr>
    </w:p>
    <w:p>
      <w:pPr>
        <w:jc w:val="both"/>
        <w:ind w:right="460" w:firstLine="518"/>
        <w:spacing w:after="0" w:line="302" w:lineRule="auto"/>
        <w:rPr>
          <w:sz w:val="20"/>
          <w:szCs w:val="20"/>
          <w:color w:val="auto"/>
        </w:rPr>
      </w:pPr>
      <w:r>
        <w:rPr>
          <w:rFonts w:ascii="Arial" w:cs="Arial" w:eastAsia="Arial" w:hAnsi="Arial"/>
          <w:sz w:val="16"/>
          <w:szCs w:val="16"/>
          <w:color w:val="auto"/>
        </w:rPr>
        <w:t>The Company’s estimate of the realizability of the deferred tax asset is dependent on its estimate of projected future levels of taxable income. In analyzing future taxable income levels, the Company considered all evidence currently available, both positive and negative. Based on its analysis, the Company recorded a valuation allowance for deferred tax assets, net of deferred tax liabilities, as of December 31, 2018 and 2019.</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123" w:name="page124"/>
    <w:bookmarkEnd w:id="123"/>
    <w:p>
      <w:pPr>
        <w:ind w:left="520"/>
        <w:spacing w:after="0"/>
        <w:rPr>
          <w:sz w:val="20"/>
          <w:szCs w:val="20"/>
          <w:color w:val="auto"/>
        </w:rPr>
      </w:pPr>
      <w:r>
        <w:rPr>
          <w:rFonts w:ascii="Arial" w:cs="Arial" w:eastAsia="Arial" w:hAnsi="Arial"/>
          <w:sz w:val="18"/>
          <w:szCs w:val="18"/>
          <w:b w:val="1"/>
          <w:bCs w:val="1"/>
          <w:i w:val="1"/>
          <w:iCs w:val="1"/>
          <w:color w:val="auto"/>
        </w:rPr>
        <w:t>Tax Act Enactment</w:t>
      </w:r>
    </w:p>
    <w:p>
      <w:pPr>
        <w:spacing w:after="0" w:line="225"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On December 22, 2017, the U.S. government enacted comprehensive federal tax legislation commonly referred to as the Tax Cuts and Jobs Act of 2017 (the "Tax Act"). The Tax Act significantly modifies the U.S. corporate income tax system by, among other things, reducing the federal income tax rate from 35% to 21% beginning in 2018, imposing a mandatory one-time deemed repatriation tax on accumulated foreign earnings and creating a territorial tax system that changes the manner in which future foreign earnings are subject to U.S. tax. The Tax Act also provides that undistributed and previously untaxed post-1986 foreign earnings will be deemed distributed in 2017 and be subject to tax at reduced effective rates (the “Transition Tax”). The Company has a net cumulative deficit in earnings and profits from its foreign subsidiaries and, consequently, will not be subject to the Transition Tax. The company re-measured certain net deferred tax assets and liabilities based on the tax rates at which they are expected to reverse in the future. The total impact to the gross deferred tax asset balance (before valuation allowance) upon enactment of the Tax Act is $15,659,916. As there is a valuation allowance recorded for all deferred tax assets as of December 31, 2017, there was no impact to the net deferred tax assets balance. The Company has completed its assessment of the U.S. Tax Reform Act and has determined no additional impacts during 2018.</w:t>
      </w:r>
    </w:p>
    <w:p>
      <w:pPr>
        <w:spacing w:after="0" w:line="16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Company has generated research credits and orphan drug credits but has not conducted a detailed study to document its qualified activities. A detailed study could result in an adjustment to the Company’s research and development credit carryforwards; however, until such a study is completed and any adjustment is identified, no amounts are being presented as an uncertain tax position.</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does not have any unrecognized tax benefits during any periods presented and does not expect this to significantly change in the next twelve months.</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were no interest and penalties recorded in the statement of operations during any period and no amounts accrued for interest and penalties at December 31, 2018, or 2019.</w:t>
      </w:r>
    </w:p>
    <w:p>
      <w:pPr>
        <w:spacing w:after="0" w:line="170"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 Company files income tax returns in the U.S. federal jurisdiction, and applicable state jurisdictions and in Australia’s and Switzerland’s federal jurisdiction. The Company’s earliest tax years open and subject to examination by taxing authorities are 2016, for the U.S. federal jurisdiction, and 2015, for U.S. states’ and Australia’s federal jurisdiction. Federal and state net operating losses are subject to review by taxing authorities in the year utilized.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has entered into a leasing agreement for lab space in Watertown, Massachusetts with an estimated commencement date of June 2, 2020 (the “Lab Lease”). The Lab Lease has a term of 85 months and includes leasing 9,704 square feet of office space. The Lab Lease provides for initial monthly lease payments of $58,224 per month. The base rent payable over the lease period is $5,425,279.</w:t>
      </w:r>
    </w:p>
    <w:p>
      <w:pPr>
        <w:spacing w:after="0" w:line="23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contracts to conduct research and development activities with third parties. Certain of these contracts commit the Company to pay future milestone payments up to $15,000,000 or to pay royalty fees ranging from 3-6% if any of the research results in regulatory approval or commercial revenue for a product. The scope of the services under the research and development contracts can be modified and the contracts cancelled by the Company upon written notice. In some instances, the contracts may be cancelled by the third party upon written notice. If the Company were to cancel these contracts as of December 31, 2019, the Company would be required to pay certain termination costs and other fees of approximately $1,789,000 that would be incurred in future periods.</w:t>
      </w:r>
    </w:p>
    <w:p>
      <w:pPr>
        <w:spacing w:after="0" w:line="26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December 31, 2019, the Company has non-cancellable purchase commitments for 2020 with certain manufacturing vendors in the amount of approximately $35,300,000.</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certain payment and other obligations under the SFJ agreement, which are discussed above in Note 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—In the ordinary course of business, the Company enters into agreements that may include indemnification provisions.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4" w:name="page125"/>
    <w:bookmarkEnd w:id="124"/>
    <w:p>
      <w:pPr>
        <w:ind w:right="200" w:firstLine="518"/>
        <w:spacing w:after="0" w:line="277" w:lineRule="auto"/>
        <w:rPr>
          <w:sz w:val="20"/>
          <w:szCs w:val="20"/>
          <w:color w:val="auto"/>
        </w:rPr>
      </w:pPr>
      <w:r>
        <w:rPr>
          <w:rFonts w:ascii="Arial" w:cs="Arial" w:eastAsia="Arial" w:hAnsi="Arial"/>
          <w:sz w:val="18"/>
          <w:szCs w:val="18"/>
          <w:i w:val="1"/>
          <w:iCs w:val="1"/>
          <w:color w:val="auto"/>
        </w:rPr>
        <w:t>Legal</w:t>
      </w:r>
      <w:r>
        <w:rPr>
          <w:rFonts w:ascii="Arial" w:cs="Arial" w:eastAsia="Arial" w:hAnsi="Arial"/>
          <w:sz w:val="18"/>
          <w:szCs w:val="18"/>
          <w:color w:val="auto"/>
        </w:rPr>
        <w:t>—During the normal course of business, the Company may be a party to legal claims that may not be covered by insurance. Management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believe that any such claims would have a material impact on the Company’s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Incentive Plans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Company’s Board of Directors adopted, and its stockholders approved, an equity incentive plan in 2010 (as amended, the “2010 Plan”). The Board of Directors and stockholders amended the 2010 Plan in August 2017 to increase the number of shares of common stock reserved for issuance thereunder to 6,188,466. The 2010 Plan allowed for the grant of incentive stock options and non-qualified stock options to purchase common stock for employees, directors and consultants under terms and conditions established by the Board of Directors. Incentive stock options and nonqualified stock options were granted at exercise prices that were no less than 100% of the estimated fair value per share of the common stock on the date of grant. If an individual owns capital stock representing more than 10% of the voting shares, the price of each share was at least 110% of the fair value on the date of grant. The Board of Directors determined the fair value of common stock with the assistance of a third-party specialist. Options expire 10 years from the issuance date. Following the adoption of the 2017 Stock Incentive Plan, the Company no longer grants stock options or other awards under the 2010 Plan.</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October 2017, the Company’s Board of Directors adopted, and its stockholders approved, the 2017 Stock Incentive Plan (the “2017 Plan”), which became effective on November 8, 2017. The 2017 Plan provides for the grant of incentive stock options, non-statutory stock options, stock appreciation rights, awards of restricted stock, restricted stock units and other stock-based awards. The number of shares of common stock reserved for issuance under the 2017 plan is the sum of (i) 1,359,587 shares of common stock, plus (ii) an additional number of shares of common stock equal to the sum of (a) the number of shares of common stock reserved for issuance under the 2010 equity incentive plan that remained available for future issuance immediately prior to the effectiveness of the 2017 Plan, which was 299,568 shares, and (b) the number of shares of common stock subject to outstanding awards under the 2010 equity incentive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4,219,409 shares of common stock, 4.0% of the number of shares of common stock outstanding on the first day of the fiscal year and an amount determined by the board of directors.</w:t>
      </w:r>
    </w:p>
    <w:p>
      <w:pPr>
        <w:spacing w:after="0" w:line="183"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Additionally, during 2019 and thereafter, the Company has granted equity awards as equity inducement awards material to entry into employment with the Company to certain newly hired employees outside of the Company’s existing plans in accordance with Nasdaq listing rule 5635(c)(4).</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Options granted generally vest over 48 months. Options granted to employees on or after December 5, 2013 generally vest in</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of (i) 25% at the one year anniversary and (ii) in either 36 equal monthly or 12 equal quarterly installments beginning in the thirteenth month after the initial vesting commencement date (as defined) subject to the employee’s continuous service with the Company. Options granted before December 5, 2013 vest over four years in equal annual installments of 25% at each anniversary of the grant date.</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Under the Executive Separation Benefits and Retention Plan and by resolutions adopted by the Compensation Committee in October 2019, the stock options granted to the Company’s executives and employees will become fully vested upon the occurrence of a change in control, as defined in the Executive Separation Benefits and Retention Plan, if such executive or employee is terminated without cause or resigns for good reason within 12 months after such change in control.</w:t>
      </w:r>
    </w:p>
    <w:p>
      <w:pPr>
        <w:spacing w:after="0" w:line="18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Effective January 22, 2016, the Board of Directors approved a modification in the exercise price of stock options to purchase 93,762 shares of common stock that were granted under the 2010 Plan to reduce the exercise price per share to $3.76 per share, which was the estimated fair market value of the common stock on the effective date of the repricing. Other stock options granted under the 2010 Plan were excluded from this repricing and will maintain their original exercise prices. The stock options that were repriced had been granted with an exercise price greater than the estimated fair market value in July and September 2015 (i.e., exercise prices ranging from $6.81 to $6.89 per share). Because the exercise prices of these stock options exceeded the estimated fair market value of the Company’s common stock on the modification date, the Board of Directors determined that the retentive value of these awards had substantially diminished from the time they had been granted. The Board of Directors determined that this repricing was in the best interests of the Company and its stockholders to provide a continued incentive for highly qualified employees and consultants with substantial experience in the Company’s business to remain employed during a critical period for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 -</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 -</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 -</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Per Option</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6,355,581</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107,534,863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2,060,685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(468,263)</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(450,269)</w:t>
            </w:r>
          </w:p>
        </w:tc>
        <w:tc>
          <w:tcPr>
            <w:tcW w:w="102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7,497,734</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45,706,169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4,365,520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17.31</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(747,136)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15,659,119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(261,681)</w:t>
            </w:r>
          </w:p>
        </w:tc>
        <w:tc>
          <w:tcPr>
            <w:tcW w:w="102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10,854,437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185,847,165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Options exercisable, December 31, 2019</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9"/>
              </w:rPr>
              <w:t>113,868,890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4,808,730</w:t>
            </w:r>
          </w:p>
        </w:tc>
        <w:tc>
          <w:tcPr>
            <w:tcW w:w="24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 December 31, 2019</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6,045,707</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71,978,275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fair value of the common stock as of December 31, 2019. Estimated fair values of the common stock at the time of the grants between May 12, 2010 and the Company’s IPO in November 2017 were between $1.71 and $14.00. Actual fair market values of the Company’s common stock from the time of the IPO through December 31, 2019 were between $11.47 and $32.18. The fair market value of options vested during the years ended December 31, 2018 and 2019 were $5,062,428 and $12,906,436, respectively.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during the years ended was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7"/>
              </w:rPr>
              <w:t>2,678,956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3,559,047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10,682,553</w:t>
            </w:r>
          </w:p>
        </w:tc>
        <w:tc>
          <w:tcPr>
            <w:tcW w:w="6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7"/>
              </w:rPr>
              <w:t>2,739,754</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4,174,209</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10,461,476</w:t>
            </w:r>
          </w:p>
        </w:tc>
        <w:tc>
          <w:tcPr>
            <w:tcW w:w="6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5,418,710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9"/>
              </w:rPr>
              <w:t>7,733,256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21,144,029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At December 31, 2017, 2018 and 2019, unrecognized compensation expense related to unvested options, was $10,415,787, $27,266,206 and</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$79,291,036, respectively, which the Company expects to recognize over an estimated weighted-average period of 3.14, 2.99, and 3.24 years, respectively.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Monte Carlo and Black-Scholes models to estimate the grant date fair value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1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1420" w:type="dxa"/>
            <w:vAlign w:val="bottom"/>
            <w:gridSpan w:val="2"/>
          </w:tcPr>
          <w:p>
            <w:pPr>
              <w:jc w:val="center"/>
              <w:ind w:left="77"/>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1.21 - 2.30%</w:t>
            </w:r>
          </w:p>
        </w:tc>
        <w:tc>
          <w:tcPr>
            <w:tcW w:w="1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2.68 - 2.99%</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ind w:right="54"/>
              <w:spacing w:after="0"/>
              <w:rPr>
                <w:sz w:val="20"/>
                <w:szCs w:val="20"/>
                <w:color w:val="auto"/>
              </w:rPr>
            </w:pPr>
            <w:r>
              <w:rPr>
                <w:rFonts w:ascii="Arial" w:cs="Arial" w:eastAsia="Arial" w:hAnsi="Arial"/>
                <w:sz w:val="18"/>
                <w:szCs w:val="18"/>
                <w:color w:val="auto"/>
                <w:w w:val="92"/>
              </w:rPr>
              <w:t>1.42 - 2.56%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20" w:type="dxa"/>
            <w:vAlign w:val="bottom"/>
            <w:gridSpan w:val="2"/>
          </w:tcPr>
          <w:p>
            <w:pPr>
              <w:jc w:val="center"/>
              <w:ind w:left="57"/>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4"/>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51.6 - 55.8%</w:t>
            </w:r>
          </w:p>
        </w:tc>
        <w:tc>
          <w:tcPr>
            <w:tcW w:w="1420" w:type="dxa"/>
            <w:vAlign w:val="bottom"/>
            <w:gridSpan w:val="2"/>
            <w:shd w:val="clear" w:color="auto" w:fill="CFF0FC"/>
          </w:tcPr>
          <w:p>
            <w:pPr>
              <w:jc w:val="center"/>
              <w:ind w:left="77"/>
              <w:spacing w:after="0"/>
              <w:rPr>
                <w:sz w:val="20"/>
                <w:szCs w:val="20"/>
                <w:color w:val="auto"/>
              </w:rPr>
            </w:pPr>
            <w:r>
              <w:rPr>
                <w:rFonts w:ascii="Arial" w:cs="Arial" w:eastAsia="Arial" w:hAnsi="Arial"/>
                <w:sz w:val="18"/>
                <w:szCs w:val="18"/>
                <w:color w:val="auto"/>
                <w:w w:val="90"/>
              </w:rPr>
              <w:t>87.0 - 110.9%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54"/>
              <w:spacing w:after="0"/>
              <w:rPr>
                <w:sz w:val="20"/>
                <w:szCs w:val="20"/>
                <w:color w:val="auto"/>
              </w:rPr>
            </w:pPr>
            <w:r>
              <w:rPr>
                <w:rFonts w:ascii="Arial" w:cs="Arial" w:eastAsia="Arial" w:hAnsi="Arial"/>
                <w:sz w:val="18"/>
                <w:szCs w:val="18"/>
                <w:color w:val="auto"/>
                <w:w w:val="90"/>
              </w:rPr>
              <w:t>102.6 - 111.2%</w:t>
            </w:r>
          </w:p>
        </w:tc>
        <w:tc>
          <w:tcPr>
            <w:tcW w:w="8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terms (years)</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5.3 - 7.0</w:t>
            </w:r>
          </w:p>
        </w:tc>
        <w:tc>
          <w:tcPr>
            <w:tcW w:w="1420" w:type="dxa"/>
            <w:vAlign w:val="bottom"/>
            <w:gridSpan w:val="2"/>
          </w:tcPr>
          <w:p>
            <w:pPr>
              <w:jc w:val="center"/>
              <w:ind w:left="77"/>
              <w:spacing w:after="0"/>
              <w:rPr>
                <w:sz w:val="20"/>
                <w:szCs w:val="20"/>
                <w:color w:val="auto"/>
              </w:rPr>
            </w:pPr>
            <w:r>
              <w:rPr>
                <w:rFonts w:ascii="Arial" w:cs="Arial" w:eastAsia="Arial" w:hAnsi="Arial"/>
                <w:sz w:val="18"/>
                <w:szCs w:val="18"/>
                <w:color w:val="auto"/>
                <w:w w:val="90"/>
              </w:rPr>
              <w:t>5.94 - 6.25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4"/>
              <w:spacing w:after="0"/>
              <w:rPr>
                <w:sz w:val="20"/>
                <w:szCs w:val="20"/>
                <w:color w:val="auto"/>
              </w:rPr>
            </w:pPr>
            <w:r>
              <w:rPr>
                <w:rFonts w:ascii="Arial" w:cs="Arial" w:eastAsia="Arial" w:hAnsi="Arial"/>
                <w:sz w:val="18"/>
                <w:szCs w:val="18"/>
                <w:color w:val="auto"/>
                <w:w w:val="90"/>
              </w:rPr>
              <w:t>5.31 - 6.08</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 October 2017, the Company’s board of directors adopted and the Company’s stockholders approved the 2017 Employee Stock Purchase Plan (“ESPP”), which became effective upon the IPO and provides participating employees with the opportunity to purchase up to an aggregate of 468,823 shares of common stock. The number of shares of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common stock, (ii) 1.0% of the number of shares of common stock outstanding on the first day of the fiscal year and (iii) an amount determined by the board of directors. The board of directors initiated the first offering under the ESPP in October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15. Net Loss per Common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common share:</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(51,006,094)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(127,502,194)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(304,706,613)</w:t>
            </w: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3720" w:type="dxa"/>
            <w:vAlign w:val="bottom"/>
          </w:tcPr>
          <w:p>
            <w:pPr>
              <w:ind w:left="240"/>
              <w:spacing w:after="0"/>
              <w:rPr>
                <w:sz w:val="20"/>
                <w:szCs w:val="20"/>
                <w:color w:val="auto"/>
              </w:rPr>
            </w:pPr>
            <w:r>
              <w:rPr>
                <w:rFonts w:ascii="Arial" w:cs="Arial" w:eastAsia="Arial" w:hAnsi="Arial"/>
                <w:sz w:val="18"/>
                <w:szCs w:val="18"/>
                <w:color w:val="auto"/>
              </w:rPr>
              <w:t>Weighted-average number of common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tcPr>
          <w:p>
            <w:pPr>
              <w:ind w:left="380"/>
              <w:spacing w:after="0"/>
              <w:rPr>
                <w:sz w:val="20"/>
                <w:szCs w:val="20"/>
                <w:color w:val="auto"/>
              </w:rPr>
            </w:pPr>
            <w:r>
              <w:rPr>
                <w:rFonts w:ascii="Arial" w:cs="Arial" w:eastAsia="Arial" w:hAnsi="Arial"/>
                <w:sz w:val="18"/>
                <w:szCs w:val="18"/>
                <w:color w:val="auto"/>
              </w:rPr>
              <w:t>shares used in net loss per common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share -- basic and diluted</w:t>
            </w:r>
          </w:p>
        </w:tc>
        <w:tc>
          <w:tcPr>
            <w:tcW w:w="3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13,870,949</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54,396,483</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62,228,601</w:t>
            </w:r>
          </w:p>
        </w:tc>
        <w:tc>
          <w:tcPr>
            <w:tcW w:w="80" w:type="dxa"/>
            <w:vAlign w:val="bottom"/>
            <w:tcBorders>
              <w:bottom w:val="single" w:sz="8" w:color="CFF0FC"/>
            </w:tcBorders>
          </w:tcPr>
          <w:p>
            <w:pPr>
              <w:spacing w:after="0"/>
              <w:rPr>
                <w:sz w:val="20"/>
                <w:szCs w:val="20"/>
                <w:color w:val="auto"/>
              </w:rPr>
            </w:pPr>
          </w:p>
        </w:tc>
      </w:tr>
      <w:tr>
        <w:trPr>
          <w:trHeight w:val="209"/>
        </w:trPr>
        <w:tc>
          <w:tcPr>
            <w:tcW w:w="3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per common share -- basic and</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w:t>
            </w: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Shares outstanding presented below were excluded from the calculation of diluted net loss per share, prior to the use of the treasury stock method, as their effect is anti-dilutive:</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60" w:type="dxa"/>
            <w:vAlign w:val="bottom"/>
          </w:tcPr>
          <w:p>
            <w:pPr>
              <w:spacing w:after="0"/>
              <w:rPr>
                <w:sz w:val="13"/>
                <w:szCs w:val="13"/>
                <w:color w:val="auto"/>
              </w:rPr>
            </w:pPr>
          </w:p>
        </w:tc>
        <w:tc>
          <w:tcPr>
            <w:tcW w:w="112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under option</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6,355,581</w:t>
            </w:r>
          </w:p>
        </w:tc>
        <w:tc>
          <w:tcPr>
            <w:tcW w:w="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7,497,734</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10,854,437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120" w:type="dxa"/>
            <w:vAlign w:val="bottom"/>
          </w:tcPr>
          <w:p>
            <w:pPr>
              <w:jc w:val="right"/>
              <w:spacing w:after="0"/>
              <w:rPr>
                <w:sz w:val="20"/>
                <w:szCs w:val="20"/>
                <w:color w:val="auto"/>
              </w:rPr>
            </w:pPr>
            <w:r>
              <w:rPr>
                <w:rFonts w:ascii="Arial" w:cs="Arial" w:eastAsia="Arial" w:hAnsi="Arial"/>
                <w:sz w:val="14"/>
                <w:szCs w:val="14"/>
                <w:color w:val="auto"/>
              </w:rPr>
              <w:t>14,064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14,064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6,369,645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7,511,798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10,854,437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w:t>
      </w:r>
    </w:p>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Effective as of May 1, 2018, the Company entered into a subscription license agreement and a services agreement with Revon Systems, Inc. (“Revon”). Under the subscription license agreement, Revon granted the Company an exclusive license to use the Revon software platform and applications for any purpose with respect to the Company's programs in age-related macular degeneration, hemolytic diseases and complement-dependent nephropathies for an annual license fee of $175,000 and an option to obtain a perpetual, exclusive license thereafter for $350,000. Under the services agreement, Revon provided development services with respect to the Revon software to the Company for $250,000 during the first year. Prior to the acquisition of Revon by an unrelated third party in July 2019, the Company paid the remainder of the annual license fee due for the second year, exercised the option for the perpetual license and discontinued the services agreement. For the year ended December 31, 2019, the Company paid Revon a total of $691,667.</w:t>
      </w:r>
    </w:p>
    <w:p>
      <w:pPr>
        <w:spacing w:after="0" w:line="54"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Each of Cedric Francois, the Company’s chief executive officer, Pascal Deschatelets, the Company’s chief operating officer, and Alec Machiels, a member of the board of directors, was an affiliate of Revon. The Board approved the Revon agreements after review by a subcommittee of the disinterested members of the Board and determination by the full Board that the terms of the Revon agreements were fair, reasonable and in the best interests of the Company. The exercise of the option for the perpetual license was approved in accordance with the Company’s related party transaction policy.</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9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interim financial information presents the Company’s 2018 and 2019 results of operations on a quarterly basis:</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3280" w:type="dxa"/>
            <w:vAlign w:val="bottom"/>
          </w:tcPr>
          <w:p>
            <w:pPr>
              <w:spacing w:after="0"/>
              <w:rPr>
                <w:sz w:val="12"/>
                <w:szCs w:val="12"/>
                <w:color w:val="auto"/>
              </w:rPr>
            </w:pPr>
          </w:p>
        </w:tc>
        <w:tc>
          <w:tcPr>
            <w:tcW w:w="11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2"/>
                <w:szCs w:val="12"/>
                <w:color w:val="auto"/>
              </w:rPr>
            </w:pPr>
          </w:p>
        </w:tc>
        <w:tc>
          <w:tcPr>
            <w:tcW w:w="11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71"/>
        </w:trPr>
        <w:tc>
          <w:tcPr>
            <w:tcW w:w="3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(21,438,145)</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(33,485,442)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(35,804,581)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(37,196,592)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(21,736,304)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(33,334,300)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(35,972,115)</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(36,459,475)</w:t>
            </w: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basic and diluted (1)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(0.43)</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(0.61)</w:t>
            </w:r>
          </w:p>
        </w:tc>
        <w:tc>
          <w:tcPr>
            <w:tcW w:w="1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(0.65)</w:t>
            </w:r>
          </w:p>
        </w:tc>
      </w:tr>
      <w:tr>
        <w:trPr>
          <w:trHeight w:val="351"/>
        </w:trPr>
        <w:tc>
          <w:tcPr>
            <w:tcW w:w="32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3280" w:type="dxa"/>
            <w:vAlign w:val="bottom"/>
          </w:tcPr>
          <w:p>
            <w:pPr>
              <w:spacing w:after="0"/>
              <w:rPr>
                <w:sz w:val="12"/>
                <w:szCs w:val="12"/>
                <w:color w:val="auto"/>
              </w:rPr>
            </w:pPr>
          </w:p>
        </w:tc>
        <w:tc>
          <w:tcPr>
            <w:tcW w:w="11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2"/>
                <w:szCs w:val="12"/>
                <w:color w:val="auto"/>
              </w:rPr>
            </w:pPr>
          </w:p>
        </w:tc>
        <w:tc>
          <w:tcPr>
            <w:tcW w:w="11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71"/>
        </w:trPr>
        <w:tc>
          <w:tcPr>
            <w:tcW w:w="3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(48,650,570)</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(63,476,438)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(69,947,962)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(105,940,283)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(50,574,367)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(71,090,164)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(69,824,659)</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(113,217,423)</w:t>
            </w: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 and diluted (1)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(0.87)</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c>
          <w:tcPr>
            <w:tcW w:w="1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r>
    </w:tbl>
    <w:p>
      <w:pPr>
        <w:spacing w:after="0" w:line="40" w:lineRule="exact"/>
        <w:rPr>
          <w:sz w:val="20"/>
          <w:szCs w:val="20"/>
          <w:color w:val="auto"/>
        </w:rPr>
      </w:pPr>
    </w:p>
    <w:p>
      <w:pPr>
        <w:ind w:left="760" w:right="20" w:hanging="374"/>
        <w:spacing w:after="0" w:line="308" w:lineRule="auto"/>
        <w:tabs>
          <w:tab w:leader="none" w:pos="7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sum of the four quarters of earnings per share for 2018 and 2019 may not add to the full year earnings per share amount due to rounding and/or the use of quarter-to-date weighted average shares to calculate the earnings per share amount in each respective quarter.</w:t>
      </w:r>
    </w:p>
    <w:p>
      <w:pPr>
        <w:spacing w:after="0" w:line="237" w:lineRule="exact"/>
        <w:rPr>
          <w:rFonts w:ascii="Arial" w:cs="Arial" w:eastAsia="Arial" w:hAnsi="Arial"/>
          <w:sz w:val="17"/>
          <w:szCs w:val="17"/>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0" w:lineRule="exact"/>
        <w:rPr>
          <w:sz w:val="20"/>
          <w:szCs w:val="20"/>
          <w:color w:val="auto"/>
        </w:rPr>
      </w:pPr>
    </w:p>
    <w:p>
      <w:pPr>
        <w:spacing w:after="0" w:line="25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On January 13, 2020, the Company issued and sold 10,925,000 shares of its common stock at a price per share to the public of $37.00 in a follow-on public offering, including an additional 1,425,000 shares of its common stock that were sold at the follow-on public offering price of $37.00 per share pursuant to the underwriters’ in full exercise of their option to purchase additional shares of common stock. The Company received net proceeds of approximately $381,374,000 after deducting underwriting discounts and commissions of approximately $22,232,000 and offering costs of approximately $618,000 for these transactions.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received the final $20,000,000 from the SFJ development funding agreement on January 29, 2020.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as of December 31, 2019.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December 31, 2019, the Company’s chief executive officer and chief financial officer concluded that, as of such date, the Company’s disclosure controls and procedures were effective at the reasonable assurance level.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8" w:name="page129"/>
    <w:bookmarkEnd w:id="128"/>
    <w:p>
      <w:pPr>
        <w:ind w:right="60" w:firstLine="761"/>
        <w:spacing w:after="0" w:line="27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defined in Rule 13a-15(f) or 15d-15(f) under the Exchange Act. Our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520" w:right="80" w:hanging="378"/>
        <w:spacing w:after="0" w:line="277" w:lineRule="auto"/>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1520" w:hanging="378"/>
        <w:spacing w:after="0" w:line="264" w:lineRule="auto"/>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1520" w:right="80" w:hanging="378"/>
        <w:spacing w:after="0" w:line="277" w:lineRule="auto"/>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0" w:firstLine="76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761"/>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2019. In making this assessment, the Company’s management used the criteria set forth by the Committee of Sponsoring Organizations of the Treadway Commission in Internal Control-Integrated Framework (2013).</w:t>
      </w:r>
    </w:p>
    <w:p>
      <w:pPr>
        <w:spacing w:after="0" w:line="181" w:lineRule="exact"/>
        <w:rPr>
          <w:sz w:val="20"/>
          <w:szCs w:val="20"/>
          <w:color w:val="auto"/>
        </w:rPr>
      </w:pPr>
    </w:p>
    <w:p>
      <w:pPr>
        <w:ind w:right="580" w:firstLine="761"/>
        <w:spacing w:after="0" w:line="277" w:lineRule="auto"/>
        <w:rPr>
          <w:sz w:val="20"/>
          <w:szCs w:val="20"/>
          <w:color w:val="auto"/>
        </w:rPr>
      </w:pPr>
      <w:r>
        <w:rPr>
          <w:rFonts w:ascii="Arial" w:cs="Arial" w:eastAsia="Arial" w:hAnsi="Arial"/>
          <w:sz w:val="18"/>
          <w:szCs w:val="18"/>
          <w:color w:val="auto"/>
        </w:rPr>
        <w:t>Based on our assessment, management concluded that, as of December 31, 2019, the Company’s internal control over financial reporting is effective based on those criteria.</w:t>
      </w:r>
    </w:p>
    <w:p>
      <w:pPr>
        <w:spacing w:after="0" w:line="170" w:lineRule="exact"/>
        <w:rPr>
          <w:sz w:val="20"/>
          <w:szCs w:val="20"/>
          <w:color w:val="auto"/>
        </w:rPr>
      </w:pPr>
    </w:p>
    <w:p>
      <w:pPr>
        <w:ind w:right="80" w:firstLine="761"/>
        <w:spacing w:after="0" w:line="277" w:lineRule="auto"/>
        <w:rPr>
          <w:sz w:val="20"/>
          <w:szCs w:val="20"/>
          <w:color w:val="auto"/>
        </w:rPr>
      </w:pPr>
      <w:r>
        <w:rPr>
          <w:rFonts w:ascii="Arial" w:cs="Arial" w:eastAsia="Arial" w:hAnsi="Arial"/>
          <w:sz w:val="18"/>
          <w:szCs w:val="18"/>
          <w:color w:val="auto"/>
        </w:rPr>
        <w:t>Deloitte &amp; Touche LLP, the Company’s independent auditors have issued an audit report on our assessment of the company’s internal control over financial reporting, which is included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761"/>
        <w:spacing w:after="0" w:line="219" w:lineRule="exact"/>
        <w:rPr>
          <w:sz w:val="20"/>
          <w:szCs w:val="20"/>
          <w:color w:val="auto"/>
        </w:rPr>
      </w:pPr>
      <w:r>
        <w:rPr>
          <w:rFonts w:ascii="Arial" w:cs="Arial" w:eastAsia="Arial" w:hAnsi="Arial"/>
          <w:sz w:val="18"/>
          <w:szCs w:val="18"/>
          <w:color w:val="auto"/>
        </w:rPr>
        <w:t>As required by Rule 13a</w:t>
      </w:r>
      <w:r>
        <w:rPr>
          <w:rFonts w:ascii="MS PGothic" w:cs="MS PGothic" w:eastAsia="MS PGothic" w:hAnsi="MS PGothic"/>
          <w:sz w:val="18"/>
          <w:szCs w:val="18"/>
          <w:color w:val="auto"/>
        </w:rPr>
        <w:t>‑</w:t>
      </w:r>
      <w:r>
        <w:rPr>
          <w:rFonts w:ascii="Arial" w:cs="Arial" w:eastAsia="Arial" w:hAnsi="Arial"/>
          <w:sz w:val="18"/>
          <w:szCs w:val="18"/>
          <w:color w:val="auto"/>
        </w:rPr>
        <w:t>15(d) of the Exchange Act, our management, including our principal executive officer and our principal financial officer, conducted an evaluation of the internal control over financial reporting to determine whether any changes occurred during the year ended December 31, 2019 that have materially affected, or are reasonably likely to materially affect, our internal control over financial reporting. Based on that evaluation, our principal executive officer and principal financial officer concluded no such changes during the year ended December 31, 2019 materially affected, or were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580" w:firstLine="2624"/>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Apellis Pharmaceuticals,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have audited the internal control over financial reporting of Apellis Pharmaceuticals, Inc.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27, 2020, expressed an unqualified opinion on those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29" w:name="page130"/>
    <w:bookmarkEnd w:id="129"/>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preparation of financial statements for external purposes in accordance with generally accepted accounting principles. A company’s internal control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includes those policies and procedures that (1) pertain to the maintenance of records that, in reasonable detail, accurately and fairly reflect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transactions and dispositions of the assets of the company; (2) provide reasonable assurance that transactions are recorded as necessary to permit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preparation of financial statements in accordance with generally accepted accounting principles, and that receipts and expenditures of the company are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only in accordance with authorizations of management and directors of the company; and (3) provide reasonable assurance regarding prevention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timely detection of unauthorized acquisition, use, or disposition of the company’s assets that could have a material effect on the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effectiveness to future periods are subject to the risk that controls may become inadequate because of changes in conditions, or that the degree of compliance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policies or procedures may deteriorate.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588"/>
        <w:spacing w:after="0" w:line="302" w:lineRule="auto"/>
        <w:rPr>
          <w:sz w:val="20"/>
          <w:szCs w:val="20"/>
          <w:color w:val="auto"/>
        </w:rPr>
      </w:pPr>
      <w:r>
        <w:rPr>
          <w:rFonts w:ascii="Arial" w:cs="Arial" w:eastAsia="Arial" w:hAnsi="Arial"/>
          <w:sz w:val="16"/>
          <w:szCs w:val="16"/>
          <w:color w:val="auto"/>
        </w:rPr>
        <w:t>Information required by this item will be contained in our definitive proxy statement to be filed with the Securities and Exchange Commission on Schedule 14A in connection with our 2020 Annual Meeting of Stockholders, or the Proxy Statement, which we intend to file not later than 120 days after the end of our fiscal year ended December 31, 2019, under the headings “Information about our Executive Officers,” “Election of Directors,” “Corporate Governance,” and “ Section 16(a) Beneficial Ownership Reporting Compliance,” and is incorporated in this Annual Report on Form 10-K by reference.</w:t>
      </w:r>
    </w:p>
    <w:p>
      <w:pPr>
        <w:spacing w:after="0" w:line="154" w:lineRule="exact"/>
        <w:rPr>
          <w:sz w:val="20"/>
          <w:szCs w:val="20"/>
          <w:color w:val="auto"/>
        </w:rPr>
      </w:pPr>
    </w:p>
    <w:p>
      <w:pPr>
        <w:ind w:right="200" w:firstLine="588"/>
        <w:spacing w:after="0" w:line="255" w:lineRule="auto"/>
        <w:rPr>
          <w:sz w:val="20"/>
          <w:szCs w:val="20"/>
          <w:color w:val="auto"/>
        </w:rPr>
      </w:pPr>
      <w:r>
        <w:rPr>
          <w:rFonts w:ascii="Arial" w:cs="Arial" w:eastAsia="Arial" w:hAnsi="Arial"/>
          <w:sz w:val="18"/>
          <w:szCs w:val="18"/>
          <w:color w:val="auto"/>
        </w:rPr>
        <w:t>We have adopted a Code of Business Conduct and Ethics that applies to our officers, directors and employees, including our principal executive officer, principal financial officer, principal accounting officer or controller, or persons performing similar functions, which is available on our website at www.apellis.com. The Code of Business Conduct and Ethics is intended to qualify as a “code of ethics” within the meaning of Section 406 of the Sarbanes-Oxley Act of 2002 and Item 406 of Regulation S-K. In addition, we intend to promptly disclose the nature of any amendment to our Code of Business Conduct and Ethics or any waiver from our Code of Business Conduct and Ethics granted to any officer or director on our website or in a current report on Form 8-K.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ind w:right="680" w:firstLine="518"/>
        <w:spacing w:after="0" w:line="290" w:lineRule="auto"/>
        <w:rPr>
          <w:sz w:val="20"/>
          <w:szCs w:val="20"/>
          <w:color w:val="auto"/>
        </w:rPr>
      </w:pPr>
      <w:r>
        <w:rPr>
          <w:rFonts w:ascii="Arial" w:cs="Arial" w:eastAsia="Arial" w:hAnsi="Arial"/>
          <w:sz w:val="17"/>
          <w:szCs w:val="17"/>
          <w:color w:val="auto"/>
        </w:rPr>
        <w:t>The information required by this item regarding executive compensation will be set forth in the sections titled “Executive Compensation” and “Director Compensation” in our Proxy Statement and is incorporated in this Annual Report on Form 10-K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set forth in the sections titled “Security Ownership of Certain Beneficial Owners and Management” and “Equity Compensation Plan Information” in our Proxy Statement and is incorporated in this Annual Report on Form 10-K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set forth in the sections titled “Certain Relationships and Related Party Transactions,” “Election of Directors,” and “Corporate Governance,” respectively, in our Proxy Statement and is incorporated in this Annual Report on Form 10-K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information required by this item regarding principal accountant fees and services will be set forth in the section titled “Principal Accountant Fees and Services” in our Proxy Statement and is incorporated in this Annual Report on Form 10-K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10800" w:type="dxa"/>
            <w:vAlign w:val="bottom"/>
          </w:tcPr>
          <w:p>
            <w:pPr>
              <w:ind w:left="5360"/>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20"/>
                <w:szCs w:val="20"/>
                <w:color w:val="auto"/>
              </w:rPr>
            </w:pPr>
          </w:p>
        </w:tc>
      </w:tr>
      <w:tr>
        <w:trPr>
          <w:trHeight w:val="540"/>
        </w:trPr>
        <w:tc>
          <w:tcPr>
            <w:tcW w:w="1080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620" w:type="dxa"/>
            <w:vAlign w:val="bottom"/>
          </w:tcPr>
          <w:p>
            <w:pPr>
              <w:spacing w:after="0"/>
              <w:rPr>
                <w:sz w:val="24"/>
                <w:szCs w:val="24"/>
                <w:color w:val="auto"/>
              </w:rPr>
            </w:pPr>
          </w:p>
        </w:tc>
      </w:tr>
      <w:tr>
        <w:trPr>
          <w:trHeight w:val="324"/>
        </w:trPr>
        <w:tc>
          <w:tcPr>
            <w:tcW w:w="10800" w:type="dxa"/>
            <w:vAlign w:val="bottom"/>
          </w:tcPr>
          <w:p>
            <w:pPr>
              <w:spacing w:after="0"/>
              <w:rPr>
                <w:sz w:val="20"/>
                <w:szCs w:val="20"/>
                <w:color w:val="auto"/>
              </w:rPr>
            </w:pPr>
            <w:r>
              <w:rPr>
                <w:rFonts w:ascii="Arial" w:cs="Arial" w:eastAsia="Arial" w:hAnsi="Arial"/>
                <w:sz w:val="18"/>
                <w:szCs w:val="18"/>
                <w:b w:val="1"/>
                <w:bCs w:val="1"/>
                <w:color w:val="auto"/>
              </w:rPr>
              <w:t>(a) Documents filed as a part of this Report:</w:t>
            </w:r>
          </w:p>
        </w:tc>
        <w:tc>
          <w:tcPr>
            <w:tcW w:w="620" w:type="dxa"/>
            <w:vAlign w:val="bottom"/>
          </w:tcPr>
          <w:p>
            <w:pPr>
              <w:spacing w:after="0"/>
              <w:rPr>
                <w:sz w:val="24"/>
                <w:szCs w:val="24"/>
                <w:color w:val="auto"/>
              </w:rPr>
            </w:pPr>
          </w:p>
        </w:tc>
      </w:tr>
      <w:tr>
        <w:trPr>
          <w:trHeight w:val="324"/>
        </w:trPr>
        <w:tc>
          <w:tcPr>
            <w:tcW w:w="10800" w:type="dxa"/>
            <w:vAlign w:val="bottom"/>
          </w:tcPr>
          <w:p>
            <w:pPr>
              <w:spacing w:after="0"/>
              <w:rPr>
                <w:sz w:val="20"/>
                <w:szCs w:val="20"/>
                <w:color w:val="auto"/>
              </w:rPr>
            </w:pPr>
            <w:r>
              <w:rPr>
                <w:rFonts w:ascii="Arial" w:cs="Arial" w:eastAsia="Arial" w:hAnsi="Arial"/>
                <w:sz w:val="18"/>
                <w:szCs w:val="18"/>
                <w:b w:val="1"/>
                <w:bCs w:val="1"/>
                <w:color w:val="auto"/>
              </w:rPr>
              <w:t>(1) Financial Statements</w:t>
            </w:r>
            <w:r>
              <w:rPr>
                <w:rFonts w:ascii="Arial" w:cs="Arial" w:eastAsia="Arial" w:hAnsi="Arial"/>
                <w:sz w:val="18"/>
                <w:szCs w:val="18"/>
                <w:color w:val="auto"/>
              </w:rPr>
              <w:t>—Included in Item 8 of this Annual Report on Form 10-K.</w:t>
            </w:r>
          </w:p>
        </w:tc>
        <w:tc>
          <w:tcPr>
            <w:tcW w:w="620" w:type="dxa"/>
            <w:vAlign w:val="bottom"/>
          </w:tcPr>
          <w:p>
            <w:pPr>
              <w:spacing w:after="0"/>
              <w:rPr>
                <w:sz w:val="24"/>
                <w:szCs w:val="24"/>
                <w:color w:val="auto"/>
              </w:rPr>
            </w:pPr>
          </w:p>
        </w:tc>
      </w:tr>
      <w:tr>
        <w:trPr>
          <w:trHeight w:val="418"/>
        </w:trPr>
        <w:tc>
          <w:tcPr>
            <w:tcW w:w="108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w w:val="92"/>
              </w:rPr>
              <w:t>Consolidated Financial Statements as of and for the years ended December 31, 2018 and 2019 and for each of the three years in the period ended</w:t>
            </w:r>
          </w:p>
        </w:tc>
        <w:tc>
          <w:tcPr>
            <w:tcW w:w="620" w:type="dxa"/>
            <w:vAlign w:val="bottom"/>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December 31, 2019:</w:t>
            </w:r>
          </w:p>
        </w:tc>
        <w:tc>
          <w:tcPr>
            <w:tcW w:w="620" w:type="dxa"/>
            <w:vAlign w:val="bottom"/>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2019</w:t>
            </w: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Consolidated Statements of Operations and Comprehensive Loss for the years ended December 31, 2017, 2018 and 2019</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 for the period from January 1, 2017 to December 31, 2019</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2017, 2018 and 2019</w:t>
            </w: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08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the required information is otherwise included in our consolidated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Index to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40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Description of Exhibit</w:t>
            </w:r>
          </w:p>
        </w:tc>
        <w:tc>
          <w:tcPr>
            <w:tcW w:w="1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Incorporated by Reference</w:t>
            </w:r>
          </w:p>
        </w:tc>
        <w:tc>
          <w:tcPr>
            <w:tcW w:w="1000" w:type="dxa"/>
            <w:vAlign w:val="bottom"/>
            <w:tcBorders>
              <w:bottom w:val="single" w:sz="8" w:color="auto"/>
            </w:tcBorders>
          </w:tcPr>
          <w:p>
            <w:pPr>
              <w:spacing w:after="0"/>
              <w:rPr>
                <w:sz w:val="20"/>
                <w:szCs w:val="20"/>
                <w:color w:val="auto"/>
              </w:rPr>
            </w:pPr>
          </w:p>
        </w:tc>
        <w:tc>
          <w:tcPr>
            <w:tcW w:w="94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 Number</w:t>
            </w:r>
          </w:p>
        </w:tc>
        <w:tc>
          <w:tcPr>
            <w:tcW w:w="146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Form</w:t>
            </w:r>
          </w:p>
        </w:tc>
        <w:tc>
          <w:tcPr>
            <w:tcW w:w="24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File Number Date of Filing</w:t>
            </w:r>
          </w:p>
        </w:tc>
        <w:tc>
          <w:tcPr>
            <w:tcW w:w="10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Exhibit</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32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10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9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4"/>
              </w:rPr>
              <w:t>Herewtih</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60" w:top="364" w:right="459" w:bottom="1440" w:gutter="0" w:footer="0" w:header="0"/>
        </w:sectPr>
      </w:pPr>
    </w:p>
    <w:p>
      <w:pPr>
        <w:spacing w:after="0" w:line="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3.2</w:t>
      </w:r>
    </w:p>
    <w:p>
      <w:pPr>
        <w:spacing w:after="0" w:line="13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4.1</w:t>
      </w:r>
    </w:p>
    <w:p>
      <w:pPr>
        <w:spacing w:after="0" w:line="23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4.2</w:t>
      </w:r>
    </w:p>
    <w:p>
      <w:pPr>
        <w:spacing w:after="0" w:line="34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4.3</w:t>
      </w:r>
    </w:p>
    <w:p>
      <w:pPr>
        <w:spacing w:after="0" w:line="34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4.4</w:t>
      </w:r>
    </w:p>
    <w:p>
      <w:pPr>
        <w:spacing w:after="0" w:line="13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10.1+</w:t>
      </w:r>
    </w:p>
    <w:p>
      <w:pPr>
        <w:spacing w:after="0" w:line="13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10.2+</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10.3+</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10.4+</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10.5+</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10.6+</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10.7+</w:t>
      </w:r>
    </w:p>
    <w:p>
      <w:pPr>
        <w:spacing w:after="0" w:line="23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10.10†</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10.11</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10.12</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10.13+</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10.14+</w:t>
      </w:r>
    </w:p>
    <w:p>
      <w:pPr>
        <w:spacing w:after="0" w:line="262"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10.15+</w:t>
      </w:r>
    </w:p>
    <w:p>
      <w:pPr>
        <w:spacing w:after="0" w:line="26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10.16</w:t>
      </w:r>
    </w:p>
    <w:p>
      <w:pPr>
        <w:spacing w:after="0" w:line="23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10.17</w:t>
      </w:r>
    </w:p>
    <w:p>
      <w:pPr>
        <w:spacing w:after="0" w:line="34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10.18</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Asset Purchase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Restated Certificate of Incorporation of the Registrant</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Amended and Restated By-Laws of the Registrant</w:t>
        </w:r>
      </w:hyperlink>
    </w:p>
    <w:p>
      <w:pPr>
        <w:spacing w:after="0" w:line="23" w:lineRule="exact"/>
        <w:rPr>
          <w:sz w:val="20"/>
          <w:szCs w:val="20"/>
          <w:color w:val="auto"/>
        </w:rPr>
      </w:pPr>
    </w:p>
    <w:p>
      <w:pPr>
        <w:spacing w:after="0"/>
        <w:rPr>
          <w:rFonts w:ascii="Arial" w:cs="Arial" w:eastAsia="Arial" w:hAnsi="Arial"/>
          <w:sz w:val="16"/>
          <w:szCs w:val="16"/>
          <w:u w:val="single" w:color="auto"/>
          <w:color w:val="0000EE"/>
        </w:rPr>
      </w:pPr>
      <w:hyperlink r:id="rId163">
        <w:r>
          <w:rPr>
            <w:rFonts w:ascii="Arial" w:cs="Arial" w:eastAsia="Arial" w:hAnsi="Arial"/>
            <w:sz w:val="16"/>
            <w:szCs w:val="16"/>
            <w:u w:val="single" w:color="auto"/>
            <w:color w:val="0000EE"/>
          </w:rPr>
          <w:t>Specimen Stock Certificate evidencing the shares of common</w:t>
        </w:r>
      </w:hyperlink>
    </w:p>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Investors’ Rights Agreement dated as of August 7, 2017,</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among the Registrant and the other parties thereto</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Indenture (including form of Note), dated as of September 16,</w:t>
        </w:r>
      </w:hyperlink>
    </w:p>
    <w:p>
      <w:pPr>
        <w:spacing w:after="0" w:line="46" w:lineRule="exact"/>
        <w:rPr>
          <w:sz w:val="20"/>
          <w:szCs w:val="20"/>
          <w:color w:val="auto"/>
        </w:rPr>
      </w:pPr>
    </w:p>
    <w:p>
      <w:pPr>
        <w:spacing w:after="0"/>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2019, by and between Apellis Pharmaceuticals, Inc. and U.S.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Bank National Association, as trustee</w:t>
        </w:r>
      </w:hyperlink>
    </w:p>
    <w:p>
      <w:pPr>
        <w:spacing w:after="0" w:line="9" w:lineRule="exact"/>
        <w:rPr>
          <w:sz w:val="20"/>
          <w:szCs w:val="20"/>
          <w:color w:val="auto"/>
        </w:rPr>
      </w:pPr>
    </w:p>
    <w:p>
      <w:pPr>
        <w:ind w:right="220"/>
        <w:spacing w:after="0" w:line="258" w:lineRule="auto"/>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Description of Securities Registered Under Section 12 of the</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Exchange Act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2010 Equity Incentive Plan, as amended</w:t>
        </w:r>
      </w:hyperlink>
    </w:p>
    <w:p>
      <w:pPr>
        <w:spacing w:after="0" w:line="23" w:lineRule="exact"/>
        <w:rPr>
          <w:sz w:val="20"/>
          <w:szCs w:val="20"/>
          <w:color w:val="auto"/>
        </w:rPr>
      </w:pPr>
    </w:p>
    <w:p>
      <w:pPr>
        <w:ind w:right="160"/>
        <w:spacing w:after="0" w:line="258" w:lineRule="auto"/>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Form of Incentive Stock Option Grant Notice and Agreement</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under 2010 Equity Incentive Plan</w:t>
        </w:r>
      </w:hyperlink>
    </w:p>
    <w:p>
      <w:pPr>
        <w:spacing w:after="0" w:line="1" w:lineRule="exact"/>
        <w:rPr>
          <w:sz w:val="20"/>
          <w:szCs w:val="20"/>
          <w:color w:val="auto"/>
        </w:rPr>
      </w:pPr>
    </w:p>
    <w:p>
      <w:pPr>
        <w:ind w:right="740"/>
        <w:spacing w:after="0" w:line="273" w:lineRule="auto"/>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Form of Nonstatutory Stock Option Grant Notice and</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Agreement under 2010 Equity Incentive Plan</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2017 Stock Incentive Plan</w:t>
        </w:r>
      </w:hyperlink>
    </w:p>
    <w:p>
      <w:pPr>
        <w:spacing w:after="0" w:line="23" w:lineRule="exact"/>
        <w:rPr>
          <w:sz w:val="20"/>
          <w:szCs w:val="20"/>
          <w:color w:val="auto"/>
        </w:rPr>
      </w:pPr>
    </w:p>
    <w:p>
      <w:pPr>
        <w:ind w:right="120"/>
        <w:spacing w:after="0" w:line="258" w:lineRule="auto"/>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Form of Incentive Stock Option Agreement under 2017 Stock</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Incentive Plan</w:t>
        </w:r>
      </w:hyperlink>
    </w:p>
    <w:p>
      <w:pPr>
        <w:spacing w:after="0" w:line="1" w:lineRule="exact"/>
        <w:rPr>
          <w:sz w:val="20"/>
          <w:szCs w:val="20"/>
          <w:color w:val="auto"/>
        </w:rPr>
      </w:pPr>
    </w:p>
    <w:p>
      <w:pPr>
        <w:ind w:right="320"/>
        <w:spacing w:after="0" w:line="258" w:lineRule="auto"/>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Form of Nonstatutory Stock Option Agreement under 2017</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Stock Incentive Plan</w:t>
        </w:r>
      </w:hyperlink>
    </w:p>
    <w:p>
      <w:pPr>
        <w:spacing w:after="0" w:line="1" w:lineRule="exact"/>
        <w:rPr>
          <w:sz w:val="20"/>
          <w:szCs w:val="20"/>
          <w:color w:val="auto"/>
        </w:rPr>
      </w:pPr>
    </w:p>
    <w:p>
      <w:pPr>
        <w:ind w:right="60"/>
        <w:spacing w:after="0" w:line="273" w:lineRule="auto"/>
        <w:rPr>
          <w:rFonts w:ascii="Arial" w:cs="Arial" w:eastAsia="Arial" w:hAnsi="Arial"/>
          <w:sz w:val="17"/>
          <w:szCs w:val="17"/>
          <w:u w:val="single" w:color="auto"/>
          <w:color w:val="0000EE"/>
        </w:rPr>
      </w:pPr>
      <w:hyperlink r:id="rId172">
        <w:r>
          <w:rPr>
            <w:rFonts w:ascii="Arial" w:cs="Arial" w:eastAsia="Arial" w:hAnsi="Arial"/>
            <w:sz w:val="17"/>
            <w:szCs w:val="17"/>
            <w:u w:val="single" w:color="auto"/>
            <w:color w:val="0000EE"/>
          </w:rPr>
          <w:t>Form of Director and Officer Indemnification Agreement</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Patent License Agreement, dated as of March 28, 2008, by and</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between Apellis AG and The Trustees of the University of</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Pennsylvania, as assigned to the Registrant</w:t>
        </w:r>
      </w:hyperlink>
    </w:p>
    <w:p>
      <w:pPr>
        <w:spacing w:after="0" w:line="2" w:lineRule="exact"/>
        <w:rPr>
          <w:rFonts w:ascii="Arial" w:cs="Arial" w:eastAsia="Arial" w:hAnsi="Arial"/>
          <w:sz w:val="17"/>
          <w:szCs w:val="17"/>
          <w:u w:val="single" w:color="auto"/>
          <w:color w:val="0000EE"/>
        </w:rPr>
      </w:pPr>
    </w:p>
    <w:p>
      <w:pPr>
        <w:spacing w:after="0" w:line="268" w:lineRule="auto"/>
        <w:rPr>
          <w:rFonts w:ascii="Arial" w:cs="Arial" w:eastAsia="Arial" w:hAnsi="Arial"/>
          <w:sz w:val="17"/>
          <w:szCs w:val="17"/>
          <w:u w:val="single" w:color="auto"/>
          <w:color w:val="0000EE"/>
        </w:rPr>
      </w:pPr>
      <w:hyperlink r:id="rId174">
        <w:r>
          <w:rPr>
            <w:rFonts w:ascii="Arial" w:cs="Arial" w:eastAsia="Arial" w:hAnsi="Arial"/>
            <w:sz w:val="17"/>
            <w:szCs w:val="17"/>
            <w:u w:val="single" w:color="auto"/>
            <w:color w:val="0000EE"/>
          </w:rPr>
          <w:t>Amended and Restated Patent License Agreement, dated as of</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March 28, 2008, by and between Potentia Pharmaceuticals, Inc.</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and The Trustees of the University of Pennsylvania, as</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amended by the First Amendment to the Amended and</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Restated Patent License Agreement, dated as of October 14,</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2009 and as assigned to the Registrant</w:t>
        </w:r>
      </w:hyperlink>
    </w:p>
    <w:p>
      <w:pPr>
        <w:ind w:right="60"/>
        <w:spacing w:after="0" w:line="292" w:lineRule="auto"/>
        <w:rPr>
          <w:rFonts w:ascii="Arial" w:cs="Arial" w:eastAsia="Arial" w:hAnsi="Arial"/>
          <w:sz w:val="16"/>
          <w:szCs w:val="16"/>
          <w:u w:val="single" w:color="auto"/>
          <w:color w:val="0000EE"/>
        </w:rPr>
      </w:pPr>
      <w:hyperlink r:id="rId175">
        <w:r>
          <w:rPr>
            <w:rFonts w:ascii="Arial" w:cs="Arial" w:eastAsia="Arial" w:hAnsi="Arial"/>
            <w:sz w:val="16"/>
            <w:szCs w:val="16"/>
            <w:u w:val="single" w:color="auto"/>
            <w:color w:val="0000EE"/>
          </w:rPr>
          <w:t>Office Lease Agreement, dated as of October 21, 2010, by and</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between the Registrant and DHB Properties, LLC, as amended</w:t>
        </w:r>
      </w:hyperlink>
      <w:r>
        <w:rPr>
          <w:rFonts w:ascii="Arial" w:cs="Arial" w:eastAsia="Arial" w:hAnsi="Arial"/>
          <w:sz w:val="16"/>
          <w:szCs w:val="16"/>
          <w:u w:val="single" w:color="auto"/>
          <w:color w:val="0000EE"/>
        </w:rPr>
        <w:t xml:space="preserve"> </w:t>
      </w:r>
      <w:hyperlink r:id="rId176">
        <w:r>
          <w:rPr>
            <w:rFonts w:ascii="Arial" w:cs="Arial" w:eastAsia="Arial" w:hAnsi="Arial"/>
            <w:sz w:val="16"/>
            <w:szCs w:val="16"/>
            <w:u w:val="single" w:color="auto"/>
            <w:color w:val="0000EE"/>
          </w:rPr>
          <w:t>Summary of Non-Employee Director Compensation Program</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Lease, dated as of April 27, 2017, by and between the</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Registrant and NWALP PHOP Property Owner, LLC</w:t>
        </w:r>
      </w:hyperlink>
    </w:p>
    <w:p>
      <w:pPr>
        <w:spacing w:after="0" w:line="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2017 Employee Stock Purchase Plan</w:t>
        </w:r>
      </w:hyperlink>
    </w:p>
    <w:p>
      <w:pPr>
        <w:spacing w:after="0" w:line="23" w:lineRule="exact"/>
        <w:rPr>
          <w:rFonts w:ascii="Arial" w:cs="Arial" w:eastAsia="Arial" w:hAnsi="Arial"/>
          <w:sz w:val="16"/>
          <w:szCs w:val="16"/>
          <w:u w:val="single" w:color="auto"/>
          <w:color w:val="0000EE"/>
        </w:rPr>
      </w:pPr>
    </w:p>
    <w:p>
      <w:pPr>
        <w:ind w:right="180"/>
        <w:spacing w:after="0" w:line="258"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Offer Letter, dated as of October 9, 2017, by and between the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Registrant and Timothy Sullivan</w:t>
        </w:r>
      </w:hyperlink>
    </w:p>
    <w:p>
      <w:pPr>
        <w:spacing w:after="0" w:line="1" w:lineRule="exact"/>
        <w:rPr>
          <w:sz w:val="20"/>
          <w:szCs w:val="20"/>
          <w:color w:val="auto"/>
        </w:rPr>
      </w:pPr>
    </w:p>
    <w:p>
      <w:pPr>
        <w:ind w:right="180"/>
        <w:spacing w:after="0" w:line="258" w:lineRule="auto"/>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Warrant to purchase shares of common stock issued to Golda</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Darty Partners S.A.</w:t>
        </w:r>
      </w:hyperlink>
    </w:p>
    <w:p>
      <w:pPr>
        <w:spacing w:after="0" w:line="1" w:lineRule="exact"/>
        <w:rPr>
          <w:sz w:val="20"/>
          <w:szCs w:val="20"/>
          <w:color w:val="auto"/>
        </w:rPr>
      </w:pPr>
    </w:p>
    <w:p>
      <w:pPr>
        <w:ind w:right="120"/>
        <w:spacing w:after="0" w:line="258"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Warrant to purchase shares of common stock issued to Silicon</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Valley Bank</w:t>
        </w:r>
      </w:hyperlink>
    </w:p>
    <w:p>
      <w:pPr>
        <w:spacing w:after="0" w:line="1" w:lineRule="exact"/>
        <w:rPr>
          <w:sz w:val="20"/>
          <w:szCs w:val="20"/>
          <w:color w:val="auto"/>
        </w:rPr>
      </w:pPr>
    </w:p>
    <w:p>
      <w:pPr>
        <w:ind w:right="200"/>
        <w:spacing w:after="0" w:line="258" w:lineRule="auto"/>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Loan and Security Agreement, dated as of October 20, 2017,</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between the Registrant and Silicon Valley Bank</w:t>
        </w:r>
      </w:hyperlink>
    </w:p>
    <w:p>
      <w:pPr>
        <w:spacing w:after="0" w:line="1" w:lineRule="exact"/>
        <w:rPr>
          <w:sz w:val="20"/>
          <w:szCs w:val="20"/>
          <w:color w:val="auto"/>
        </w:rPr>
      </w:pPr>
    </w:p>
    <w:p>
      <w:pPr>
        <w:ind w:right="60"/>
        <w:spacing w:after="0" w:line="263"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Fourth Addendum to Office Lease Agreement, dated as of July</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2, 2018, by and between Registrant and Westwind Way</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Properties, LLC.</w:t>
        </w:r>
      </w:hyperlink>
    </w:p>
    <w:p>
      <w:pPr>
        <w:spacing w:after="0" w:line="183" w:lineRule="exact"/>
        <w:rPr>
          <w:rFonts w:ascii="Arial" w:cs="Arial" w:eastAsia="Arial" w:hAnsi="Arial"/>
          <w:sz w:val="18"/>
          <w:szCs w:val="18"/>
          <w:u w:val="single" w:color="auto"/>
          <w:color w:val="0000EE"/>
        </w:rPr>
      </w:pPr>
    </w:p>
    <w:p>
      <w:pPr>
        <w:ind w:left="4240"/>
        <w:spacing w:after="0"/>
        <w:rPr>
          <w:sz w:val="20"/>
          <w:szCs w:val="20"/>
          <w:color w:val="auto"/>
        </w:rPr>
      </w:pPr>
      <w:r>
        <w:rPr>
          <w:rFonts w:ascii="Arial" w:cs="Arial" w:eastAsia="Arial" w:hAnsi="Arial"/>
          <w:sz w:val="18"/>
          <w:szCs w:val="18"/>
          <w:color w:val="auto"/>
        </w:rPr>
        <w:t>131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-857885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sz w:val="20"/>
          <w:szCs w:val="20"/>
          <w:color w:val="auto"/>
        </w:rPr>
      </w:pPr>
      <w:r>
        <w:rPr>
          <w:rFonts w:ascii="Arial" w:cs="Arial" w:eastAsia="Arial" w:hAnsi="Arial"/>
          <w:sz w:val="18"/>
          <w:szCs w:val="18"/>
          <w:color w:val="auto"/>
        </w:rPr>
        <w:t>S-1</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8-K</w:t>
      </w:r>
    </w:p>
    <w:p>
      <w:pPr>
        <w:spacing w:after="0" w:line="13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S-1</w:t>
      </w:r>
    </w:p>
    <w:p>
      <w:pPr>
        <w:spacing w:after="0" w:line="34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8-K</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S-1</w:t>
      </w:r>
    </w:p>
    <w:p>
      <w:pPr>
        <w:spacing w:after="0" w:line="13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S-1</w:t>
      </w:r>
    </w:p>
    <w:p>
      <w:pPr>
        <w:spacing w:after="0" w:line="23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S-1</w:t>
      </w:r>
    </w:p>
    <w:p>
      <w:pPr>
        <w:spacing w:after="0" w:line="13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15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15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9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15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15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15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15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2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S-1/A</w:t>
      </w:r>
    </w:p>
    <w:p>
      <w:pPr>
        <w:spacing w:after="0" w:line="37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10-Q</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2.1</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001-38276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11/13/2017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3.1</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001-38276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11/13/2017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3.2</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10/27/2017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4.1</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4.2</w:t>
            </w:r>
          </w:p>
        </w:tc>
      </w:tr>
      <w:tr>
        <w:trPr>
          <w:trHeight w:val="554"/>
        </w:trPr>
        <w:tc>
          <w:tcPr>
            <w:tcW w:w="1160" w:type="dxa"/>
            <w:vAlign w:val="bottom"/>
          </w:tcPr>
          <w:p>
            <w:pPr>
              <w:spacing w:after="0"/>
              <w:rPr>
                <w:sz w:val="20"/>
                <w:szCs w:val="20"/>
                <w:color w:val="auto"/>
              </w:rPr>
            </w:pPr>
            <w:r>
              <w:rPr>
                <w:rFonts w:ascii="Arial" w:cs="Arial" w:eastAsia="Arial" w:hAnsi="Arial"/>
                <w:sz w:val="18"/>
                <w:szCs w:val="18"/>
                <w:color w:val="auto"/>
              </w:rPr>
              <w:t>001-38276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9/16/2019</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4.1</w:t>
            </w:r>
          </w:p>
        </w:tc>
      </w:tr>
      <w:tr>
        <w:trPr>
          <w:trHeight w:val="554"/>
        </w:trPr>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10.2</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10.3</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10/30/2017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10.4</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10/27/2017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10.5</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10/27/2017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10.6</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10/27/2017</w:t>
            </w:r>
          </w:p>
        </w:tc>
        <w:tc>
          <w:tcPr>
            <w:tcW w:w="1420" w:type="dxa"/>
            <w:vAlign w:val="bottom"/>
          </w:tcPr>
          <w:p>
            <w:pPr>
              <w:spacing w:after="0"/>
              <w:rPr>
                <w:sz w:val="24"/>
                <w:szCs w:val="24"/>
                <w:color w:val="auto"/>
              </w:rPr>
            </w:pP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10.8</w:t>
            </w:r>
          </w:p>
        </w:tc>
      </w:tr>
      <w:tr>
        <w:trPr>
          <w:trHeight w:val="98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10.9</w:t>
            </w:r>
          </w:p>
        </w:tc>
      </w:tr>
      <w:tr>
        <w:trPr>
          <w:trHeight w:val="87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10/30/2017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10.11</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10/13/2017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10.13</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10/30/2017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10.15</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10.16</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10.17</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10.18</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333-220941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10/20/2017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10.19</w:t>
            </w:r>
          </w:p>
        </w:tc>
      </w:tr>
      <w:tr>
        <w:trPr>
          <w:trHeight w:val="554"/>
        </w:trPr>
        <w:tc>
          <w:tcPr>
            <w:tcW w:w="1160" w:type="dxa"/>
            <w:vAlign w:val="bottom"/>
          </w:tcPr>
          <w:p>
            <w:pPr>
              <w:spacing w:after="0"/>
              <w:rPr>
                <w:sz w:val="20"/>
                <w:szCs w:val="20"/>
                <w:color w:val="auto"/>
              </w:rPr>
            </w:pPr>
            <w:r>
              <w:rPr>
                <w:rFonts w:ascii="Arial" w:cs="Arial" w:eastAsia="Arial" w:hAnsi="Arial"/>
                <w:sz w:val="18"/>
                <w:szCs w:val="18"/>
                <w:color w:val="auto"/>
              </w:rPr>
              <w:t>001-38276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7/31/2018</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4">
            <w:col w:w="900" w:space="420"/>
            <w:col w:w="4580" w:space="20"/>
            <w:col w:w="420" w:space="520"/>
            <w:col w:w="4320"/>
          </w:cols>
          <w:pgMar w:left="260" w:top="364" w:right="459" w:bottom="1440" w:gutter="0" w:footer="0" w:header="0"/>
          <w:type w:val="continuous"/>
        </w:sectPr>
      </w:pPr>
    </w:p>
    <w:bookmarkStart w:id="133" w:name="page134"/>
    <w:bookmarkEnd w:id="133"/>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10.19</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10.20</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10.21</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10.22</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10.23</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10.25</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10.26</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10.27</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10.28†</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23.2</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31.1</w:t>
      </w:r>
      <w:r>
        <w:rPr>
          <w:rFonts w:ascii="Arial" w:cs="Arial" w:eastAsia="Arial" w:hAnsi="Arial"/>
          <w:sz w:val="18"/>
          <w:szCs w:val="18"/>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31.2</w:t>
      </w:r>
      <w:r>
        <w:rPr>
          <w:rFonts w:ascii="Arial" w:cs="Arial" w:eastAsia="Arial" w:hAnsi="Arial"/>
          <w:sz w:val="18"/>
          <w:szCs w:val="18"/>
          <w:color w:val="auto"/>
          <w:strike w:val="1"/>
        </w:rPr>
        <w:t>*</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32.1</w:t>
      </w:r>
      <w:r>
        <w:rPr>
          <w:rFonts w:ascii="Arial" w:cs="Arial" w:eastAsia="Arial" w:hAnsi="Arial"/>
          <w:sz w:val="18"/>
          <w:szCs w:val="18"/>
          <w:color w:val="auto"/>
          <w:strike w:val="1"/>
        </w:rPr>
        <w:t>*</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32.2</w:t>
      </w:r>
      <w:r>
        <w:rPr>
          <w:rFonts w:ascii="Arial" w:cs="Arial" w:eastAsia="Arial" w:hAnsi="Arial"/>
          <w:sz w:val="18"/>
          <w:szCs w:val="18"/>
          <w:color w:val="auto"/>
          <w:strike w:val="1"/>
        </w:rPr>
        <w:t>*</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Borders>
              <w:bottom w:val="single" w:sz="8" w:color="0000EE"/>
            </w:tcBorders>
            <w:gridSpan w:val="13"/>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First Amendment to Lease, dated July 25, 2018, by and between</w:t>
              </w:r>
            </w:hyperlink>
          </w:p>
        </w:tc>
        <w:tc>
          <w:tcPr>
            <w:tcW w:w="180" w:type="dxa"/>
            <w:vAlign w:val="bottom"/>
            <w:gridSpan w:val="4"/>
          </w:tcPr>
          <w:p>
            <w:pPr>
              <w:spacing w:after="0"/>
              <w:rPr>
                <w:sz w:val="17"/>
                <w:szCs w:val="17"/>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29"/>
        </w:trPr>
        <w:tc>
          <w:tcPr>
            <w:tcW w:w="4820" w:type="dxa"/>
            <w:vAlign w:val="bottom"/>
            <w:gridSpan w:val="17"/>
            <w:vMerge w:val="restart"/>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Registrant and NWALP PHOP Property Owner LLC.</w:t>
              </w:r>
            </w:hyperlink>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20" w:type="dxa"/>
            <w:vAlign w:val="bottom"/>
            <w:gridSpan w:val="17"/>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86">
              <w:r>
                <w:rPr>
                  <w:rFonts w:ascii="Arial" w:cs="Arial" w:eastAsia="Arial" w:hAnsi="Arial"/>
                  <w:sz w:val="18"/>
                  <w:szCs w:val="18"/>
                  <w:color w:val="0000EE"/>
                  <w:w w:val="88"/>
                </w:rPr>
                <w:t>Second Amendment to Lease, dated June 5, 2019, by and between</w:t>
              </w:r>
            </w:hyperlink>
          </w:p>
        </w:tc>
        <w:tc>
          <w:tcPr>
            <w:tcW w:w="40" w:type="dxa"/>
            <w:vAlign w:val="bottom"/>
          </w:tcPr>
          <w:p>
            <w:pPr>
              <w:spacing w:after="0"/>
              <w:rPr>
                <w:sz w:val="18"/>
                <w:szCs w:val="18"/>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29"/>
        </w:trPr>
        <w:tc>
          <w:tcPr>
            <w:tcW w:w="4820" w:type="dxa"/>
            <w:vAlign w:val="bottom"/>
            <w:gridSpan w:val="17"/>
            <w:vMerge w:val="restart"/>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Registrant and NWALP PHOP Property Owner LLC.</w:t>
              </w:r>
            </w:hyperlink>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20" w:type="dxa"/>
            <w:vAlign w:val="bottom"/>
            <w:gridSpan w:val="17"/>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17"/>
          </w:tcPr>
          <w:p>
            <w:pPr>
              <w:spacing w:after="0"/>
              <w:rPr>
                <w:rFonts w:ascii="Arial" w:cs="Arial" w:eastAsia="Arial" w:hAnsi="Arial"/>
                <w:sz w:val="18"/>
                <w:szCs w:val="18"/>
                <w:color w:val="0000EE"/>
                <w:w w:val="95"/>
              </w:rPr>
            </w:pPr>
            <w:hyperlink r:id="rId187">
              <w:r>
                <w:rPr>
                  <w:rFonts w:ascii="Arial" w:cs="Arial" w:eastAsia="Arial" w:hAnsi="Arial"/>
                  <w:sz w:val="18"/>
                  <w:szCs w:val="18"/>
                  <w:color w:val="0000EE"/>
                  <w:w w:val="95"/>
                </w:rPr>
                <w:t>Third Amendment to Lease, dated September 25, 2019, by and</w:t>
              </w:r>
            </w:hyperlink>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29"/>
        </w:trPr>
        <w:tc>
          <w:tcPr>
            <w:tcW w:w="4520" w:type="dxa"/>
            <w:vAlign w:val="bottom"/>
            <w:tcBorders>
              <w:top w:val="single" w:sz="8" w:color="0000EE"/>
            </w:tcBorders>
            <w:gridSpan w:val="11"/>
            <w:vMerge w:val="restart"/>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between Registrant and NWALP PHOP Property Owner LLC.</w:t>
              </w:r>
            </w:hyperlink>
          </w:p>
        </w:tc>
        <w:tc>
          <w:tcPr>
            <w:tcW w:w="300" w:type="dxa"/>
            <w:vAlign w:val="bottom"/>
            <w:gridSpan w:val="6"/>
            <w:vMerge w:val="restart"/>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520" w:type="dxa"/>
            <w:vAlign w:val="bottom"/>
            <w:gridSpan w:val="11"/>
            <w:vMerge w:val="continue"/>
          </w:tcPr>
          <w:p>
            <w:pPr>
              <w:spacing w:after="0"/>
              <w:rPr>
                <w:sz w:val="5"/>
                <w:szCs w:val="5"/>
                <w:color w:val="auto"/>
              </w:rPr>
            </w:pPr>
          </w:p>
        </w:tc>
        <w:tc>
          <w:tcPr>
            <w:tcW w:w="300" w:type="dxa"/>
            <w:vAlign w:val="bottom"/>
            <w:gridSpan w:val="6"/>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Equity Distribution Agreement, dated December 28, 2018, by and</w:t>
              </w:r>
            </w:hyperlink>
          </w:p>
        </w:tc>
        <w:tc>
          <w:tcPr>
            <w:tcW w:w="60" w:type="dxa"/>
            <w:vAlign w:val="bottom"/>
            <w:gridSpan w:val="2"/>
          </w:tcPr>
          <w:p>
            <w:pPr>
              <w:spacing w:after="0"/>
              <w:rPr>
                <w:sz w:val="18"/>
                <w:szCs w:val="18"/>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29"/>
        </w:trPr>
        <w:tc>
          <w:tcPr>
            <w:tcW w:w="4260" w:type="dxa"/>
            <w:vAlign w:val="bottom"/>
            <w:gridSpan w:val="8"/>
            <w:vMerge w:val="restart"/>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between the Registrant and Citigroup Capital Markets, Inc.</w:t>
              </w:r>
            </w:hyperlink>
          </w:p>
        </w:tc>
        <w:tc>
          <w:tcPr>
            <w:tcW w:w="560" w:type="dxa"/>
            <w:vAlign w:val="bottom"/>
            <w:gridSpan w:val="9"/>
            <w:vMerge w:val="restart"/>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260" w:type="dxa"/>
            <w:vAlign w:val="bottom"/>
            <w:tcBorders>
              <w:bottom w:val="single" w:sz="8" w:color="0000EE"/>
            </w:tcBorders>
            <w:gridSpan w:val="8"/>
            <w:vMerge w:val="continue"/>
          </w:tcPr>
          <w:p>
            <w:pPr>
              <w:spacing w:after="0"/>
              <w:rPr>
                <w:sz w:val="5"/>
                <w:szCs w:val="5"/>
                <w:color w:val="auto"/>
              </w:rPr>
            </w:pPr>
          </w:p>
        </w:tc>
        <w:tc>
          <w:tcPr>
            <w:tcW w:w="560" w:type="dxa"/>
            <w:vAlign w:val="bottom"/>
            <w:gridSpan w:val="9"/>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Development Funding Agreement, dated as of February 28, 2019,</w:t>
              </w:r>
            </w:hyperlink>
          </w:p>
        </w:tc>
        <w:tc>
          <w:tcPr>
            <w:tcW w:w="80" w:type="dxa"/>
            <w:vAlign w:val="bottom"/>
            <w:gridSpan w:val="3"/>
          </w:tcPr>
          <w:p>
            <w:pPr>
              <w:spacing w:after="0"/>
              <w:rPr>
                <w:sz w:val="18"/>
                <w:szCs w:val="18"/>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29"/>
        </w:trPr>
        <w:tc>
          <w:tcPr>
            <w:tcW w:w="4820" w:type="dxa"/>
            <w:vAlign w:val="bottom"/>
            <w:gridSpan w:val="17"/>
            <w:vMerge w:val="restart"/>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by and between the Registrant and SFJ Pharmaceuticals XI, L.P.</w:t>
              </w:r>
            </w:hyperlink>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20" w:type="dxa"/>
            <w:vAlign w:val="bottom"/>
            <w:gridSpan w:val="17"/>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190">
              <w:r>
                <w:rPr>
                  <w:rFonts w:ascii="Arial" w:cs="Arial" w:eastAsia="Arial" w:hAnsi="Arial"/>
                  <w:sz w:val="18"/>
                  <w:szCs w:val="18"/>
                  <w:color w:val="0000EE"/>
                  <w:w w:val="89"/>
                </w:rPr>
                <w:t>Amendment, dated as of June 7, 2019, to the Development</w:t>
              </w:r>
            </w:hyperlink>
          </w:p>
        </w:tc>
        <w:tc>
          <w:tcPr>
            <w:tcW w:w="380" w:type="dxa"/>
            <w:vAlign w:val="bottom"/>
            <w:tcBorders>
              <w:top w:val="single" w:sz="8" w:color="0000EE"/>
            </w:tcBorders>
            <w:gridSpan w:val="5"/>
          </w:tcPr>
          <w:p>
            <w:pPr>
              <w:spacing w:after="0"/>
              <w:rPr>
                <w:sz w:val="18"/>
                <w:szCs w:val="18"/>
                <w:color w:val="auto"/>
              </w:rPr>
            </w:pPr>
          </w:p>
        </w:tc>
        <w:tc>
          <w:tcPr>
            <w:tcW w:w="20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Funding Agreement, dated as of February 28, 2019 by and</w:t>
              </w:r>
            </w:hyperlink>
          </w:p>
        </w:tc>
        <w:tc>
          <w:tcPr>
            <w:tcW w:w="600" w:type="dxa"/>
            <w:vAlign w:val="bottom"/>
            <w:gridSpan w:val="11"/>
          </w:tcPr>
          <w:p>
            <w:pPr>
              <w:spacing w:after="0"/>
              <w:rPr>
                <w:sz w:val="17"/>
                <w:szCs w:val="17"/>
                <w:color w:val="auto"/>
              </w:rPr>
            </w:pPr>
          </w:p>
        </w:tc>
        <w:tc>
          <w:tcPr>
            <w:tcW w:w="400" w:type="dxa"/>
            <w:vAlign w:val="bottom"/>
          </w:tcPr>
          <w:p>
            <w:pPr>
              <w:ind w:left="20"/>
              <w:spacing w:after="0" w:line="196" w:lineRule="exact"/>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between the Registrant and SFJ Pharmaceuticals XI, L.P.</w:t>
              </w:r>
            </w:hyperlink>
          </w:p>
        </w:tc>
        <w:tc>
          <w:tcPr>
            <w:tcW w:w="720" w:type="dxa"/>
            <w:vAlign w:val="bottom"/>
            <w:gridSpan w:val="1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gridSpan w:val="17"/>
          </w:tcPr>
          <w:p>
            <w:pPr>
              <w:spacing w:after="0"/>
              <w:rPr>
                <w:rFonts w:ascii="Arial" w:cs="Arial" w:eastAsia="Arial" w:hAnsi="Arial"/>
                <w:sz w:val="18"/>
                <w:szCs w:val="18"/>
                <w:color w:val="0000EE"/>
              </w:rPr>
            </w:pPr>
            <w:hyperlink r:id="rId191">
              <w:r>
                <w:rPr>
                  <w:rFonts w:ascii="Arial" w:cs="Arial" w:eastAsia="Arial" w:hAnsi="Arial"/>
                  <w:sz w:val="18"/>
                  <w:szCs w:val="18"/>
                  <w:color w:val="0000EE"/>
                </w:rPr>
                <w:t>Standard Office Lease, dated as of March 29, 2019, by and</w:t>
              </w:r>
            </w:hyperlink>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17"/>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between the Registrant and Geary-Market Investment Company,</w:t>
              </w:r>
            </w:hyperlink>
          </w:p>
        </w:tc>
        <w:tc>
          <w:tcPr>
            <w:tcW w:w="400" w:type="dxa"/>
            <w:vAlign w:val="bottom"/>
          </w:tcPr>
          <w:p>
            <w:pPr>
              <w:ind w:left="20"/>
              <w:spacing w:after="0" w:line="196" w:lineRule="exact"/>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Ltd</w:t>
              </w:r>
              <w:r>
                <w:rPr>
                  <w:rFonts w:ascii="Arial" w:cs="Arial" w:eastAsia="Arial" w:hAnsi="Arial"/>
                  <w:sz w:val="18"/>
                  <w:szCs w:val="18"/>
                  <w:color w:val="000000"/>
                </w:rPr>
                <w:t>.</w:t>
              </w:r>
            </w:hyperlink>
          </w:p>
        </w:tc>
        <w:tc>
          <w:tcPr>
            <w:tcW w:w="1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17"/>
          </w:tcPr>
          <w:p>
            <w:pPr>
              <w:spacing w:after="0"/>
              <w:rPr>
                <w:rFonts w:ascii="Arial" w:cs="Arial" w:eastAsia="Arial" w:hAnsi="Arial"/>
                <w:sz w:val="18"/>
                <w:szCs w:val="18"/>
                <w:color w:val="0000EE"/>
              </w:rPr>
            </w:pPr>
            <w:hyperlink r:id="rId192">
              <w:r>
                <w:rPr>
                  <w:rFonts w:ascii="Arial" w:cs="Arial" w:eastAsia="Arial" w:hAnsi="Arial"/>
                  <w:sz w:val="18"/>
                  <w:szCs w:val="18"/>
                  <w:color w:val="0000EE"/>
                </w:rPr>
                <w:t>Offer Letter, dated as of April 13, 2018, by and between the</w:t>
              </w:r>
            </w:hyperlink>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129"/>
        </w:trPr>
        <w:tc>
          <w:tcPr>
            <w:tcW w:w="226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Registrant and Lukas Scheibler</w:t>
              </w:r>
            </w:hyperlink>
          </w:p>
        </w:tc>
        <w:tc>
          <w:tcPr>
            <w:tcW w:w="2040" w:type="dxa"/>
            <w:vAlign w:val="bottom"/>
            <w:tcBorders>
              <w:top w:val="single" w:sz="8" w:color="0000EE"/>
            </w:tcBorders>
            <w:gridSpan w:val="7"/>
            <w:vMerge w:val="restart"/>
          </w:tcPr>
          <w:p>
            <w:pPr>
              <w:spacing w:after="0"/>
              <w:rPr>
                <w:sz w:val="11"/>
                <w:szCs w:val="11"/>
                <w:color w:val="auto"/>
              </w:rPr>
            </w:pPr>
          </w:p>
        </w:tc>
        <w:tc>
          <w:tcPr>
            <w:tcW w:w="520" w:type="dxa"/>
            <w:vAlign w:val="bottom"/>
            <w:gridSpan w:val="8"/>
            <w:vMerge w:val="restart"/>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260" w:type="dxa"/>
            <w:vAlign w:val="bottom"/>
            <w:tcBorders>
              <w:bottom w:val="single" w:sz="8" w:color="0000EE"/>
            </w:tcBorders>
            <w:gridSpan w:val="2"/>
            <w:vMerge w:val="continue"/>
          </w:tcPr>
          <w:p>
            <w:pPr>
              <w:spacing w:after="0"/>
              <w:rPr>
                <w:sz w:val="5"/>
                <w:szCs w:val="5"/>
                <w:color w:val="auto"/>
              </w:rPr>
            </w:pPr>
          </w:p>
        </w:tc>
        <w:tc>
          <w:tcPr>
            <w:tcW w:w="2040" w:type="dxa"/>
            <w:vAlign w:val="bottom"/>
            <w:gridSpan w:val="7"/>
            <w:vMerge w:val="continue"/>
          </w:tcPr>
          <w:p>
            <w:pPr>
              <w:spacing w:after="0"/>
              <w:rPr>
                <w:sz w:val="5"/>
                <w:szCs w:val="5"/>
                <w:color w:val="auto"/>
              </w:rPr>
            </w:pPr>
          </w:p>
        </w:tc>
        <w:tc>
          <w:tcPr>
            <w:tcW w:w="520" w:type="dxa"/>
            <w:vAlign w:val="bottom"/>
            <w:gridSpan w:val="8"/>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820" w:type="dxa"/>
            <w:vAlign w:val="bottom"/>
            <w:gridSpan w:val="17"/>
          </w:tcPr>
          <w:p>
            <w:pPr>
              <w:spacing w:after="0"/>
              <w:rPr>
                <w:rFonts w:ascii="Arial" w:cs="Arial" w:eastAsia="Arial" w:hAnsi="Arial"/>
                <w:sz w:val="18"/>
                <w:szCs w:val="18"/>
                <w:color w:val="0000EE"/>
              </w:rPr>
            </w:pPr>
            <w:hyperlink r:id="rId193">
              <w:r>
                <w:rPr>
                  <w:rFonts w:ascii="Arial" w:cs="Arial" w:eastAsia="Arial" w:hAnsi="Arial"/>
                  <w:sz w:val="18"/>
                  <w:szCs w:val="18"/>
                  <w:color w:val="0000EE"/>
                </w:rPr>
                <w:t>Form of Capped Call Transaction Confirmation</w:t>
              </w:r>
            </w:hyperlink>
          </w:p>
        </w:tc>
        <w:tc>
          <w:tcPr>
            <w:tcW w:w="4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Borders>
              <w:bottom w:val="single" w:sz="8" w:color="0000EE"/>
            </w:tcBorders>
            <w:gridSpan w:val="8"/>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Apellis Pharmaceuticals, Inc. Executive Separation Benefits and</w:t>
              </w:r>
            </w:hyperlink>
          </w:p>
        </w:tc>
        <w:tc>
          <w:tcPr>
            <w:tcW w:w="200" w:type="dxa"/>
            <w:vAlign w:val="bottom"/>
            <w:gridSpan w:val="4"/>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w w:val="92"/>
              </w:rPr>
              <w:t>8-K</w:t>
            </w:r>
          </w:p>
        </w:tc>
        <w:tc>
          <w:tcPr>
            <w:tcW w:w="0" w:type="dxa"/>
            <w:vAlign w:val="bottom"/>
          </w:tcPr>
          <w:p>
            <w:pPr>
              <w:spacing w:after="0"/>
              <w:rPr>
                <w:sz w:val="1"/>
                <w:szCs w:val="1"/>
                <w:color w:val="auto"/>
              </w:rPr>
            </w:pPr>
          </w:p>
        </w:tc>
      </w:tr>
      <w:tr>
        <w:trPr>
          <w:trHeight w:val="129"/>
        </w:trPr>
        <w:tc>
          <w:tcPr>
            <w:tcW w:w="4840" w:type="dxa"/>
            <w:vAlign w:val="bottom"/>
            <w:gridSpan w:val="12"/>
            <w:vMerge w:val="restart"/>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Retention Plan</w:t>
              </w:r>
            </w:hyperlink>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40" w:type="dxa"/>
            <w:vAlign w:val="bottom"/>
            <w:gridSpan w:val="12"/>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1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Subsidiaries of the Registrant</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40">
              <w:r>
                <w:rPr>
                  <w:rFonts w:ascii="Arial" w:cs="Arial" w:eastAsia="Arial" w:hAnsi="Arial"/>
                  <w:sz w:val="18"/>
                  <w:szCs w:val="18"/>
                  <w:color w:val="0000EE"/>
                  <w:w w:val="92"/>
                </w:rPr>
                <w:t>Consent of Deloitte &amp; Touche LLP</w:t>
              </w:r>
            </w:hyperlink>
          </w:p>
        </w:tc>
        <w:tc>
          <w:tcPr>
            <w:tcW w:w="2300" w:type="dxa"/>
            <w:vAlign w:val="bottom"/>
            <w:gridSpan w:val="6"/>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Consent of Ernst &amp; Young LLP</w:t>
              </w:r>
            </w:hyperlink>
          </w:p>
        </w:tc>
        <w:tc>
          <w:tcPr>
            <w:tcW w:w="2560" w:type="dxa"/>
            <w:vAlign w:val="bottom"/>
            <w:gridSpan w:val="7"/>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12"/>
          </w:tcPr>
          <w:p>
            <w:pPr>
              <w:spacing w:after="0"/>
              <w:rPr>
                <w:rFonts w:ascii="Arial" w:cs="Arial" w:eastAsia="Arial" w:hAnsi="Arial"/>
                <w:sz w:val="18"/>
                <w:szCs w:val="18"/>
                <w:color w:val="0000EE"/>
                <w:w w:val="92"/>
              </w:rPr>
            </w:pPr>
            <w:hyperlink w:anchor="page142">
              <w:r>
                <w:rPr>
                  <w:rFonts w:ascii="Arial" w:cs="Arial" w:eastAsia="Arial" w:hAnsi="Arial"/>
                  <w:sz w:val="18"/>
                  <w:szCs w:val="18"/>
                  <w:color w:val="0000EE"/>
                  <w:w w:val="92"/>
                </w:rPr>
                <w:t>Certification of Principal Executive Officer Pursuant to Rules 13a-</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14(a) and 15d-14(a) under the Securities Exchange Act of 1934, as</w:t>
              </w:r>
            </w:hyperlink>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12"/>
          </w:tcPr>
          <w:p>
            <w:pPr>
              <w:spacing w:after="0" w:line="19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Adopted Pursuant to Section 302 of the Sarbanes-Oxley Act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2">
              <w:r>
                <w:rPr>
                  <w:rFonts w:ascii="Arial" w:cs="Arial" w:eastAsia="Arial" w:hAnsi="Arial"/>
                  <w:sz w:val="18"/>
                  <w:szCs w:val="18"/>
                  <w:color w:val="0000EE"/>
                  <w:w w:val="84"/>
                </w:rPr>
                <w:t>2002.</w:t>
              </w:r>
            </w:hyperlink>
          </w:p>
        </w:tc>
        <w:tc>
          <w:tcPr>
            <w:tcW w:w="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44">
              <w:r>
                <w:rPr>
                  <w:rFonts w:ascii="Arial" w:cs="Arial" w:eastAsia="Arial" w:hAnsi="Arial"/>
                  <w:sz w:val="18"/>
                  <w:szCs w:val="18"/>
                  <w:color w:val="0000EE"/>
                  <w:w w:val="92"/>
                </w:rPr>
                <w:t>Certification of Principal Financial Officer Pursuant to Rules 13a-</w:t>
              </w:r>
            </w:hyperlink>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14(a) and 15d-14(a) under the Securities Exchange Act of 1934, as</w:t>
              </w:r>
            </w:hyperlink>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12"/>
          </w:tcPr>
          <w:p>
            <w:pPr>
              <w:spacing w:after="0" w:line="196" w:lineRule="exact"/>
              <w:rPr>
                <w:rFonts w:ascii="Arial" w:cs="Arial" w:eastAsia="Arial" w:hAnsi="Arial"/>
                <w:sz w:val="18"/>
                <w:szCs w:val="18"/>
                <w:color w:val="0000EE"/>
                <w:w w:val="96"/>
              </w:rPr>
            </w:pPr>
            <w:hyperlink w:anchor="page144">
              <w:r>
                <w:rPr>
                  <w:rFonts w:ascii="Arial" w:cs="Arial" w:eastAsia="Arial" w:hAnsi="Arial"/>
                  <w:sz w:val="18"/>
                  <w:szCs w:val="18"/>
                  <w:color w:val="0000EE"/>
                  <w:w w:val="96"/>
                </w:rPr>
                <w:t>Adopted Pursuant to Section 302 of the Sarbanes-Oxley Act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4">
              <w:r>
                <w:rPr>
                  <w:rFonts w:ascii="Arial" w:cs="Arial" w:eastAsia="Arial" w:hAnsi="Arial"/>
                  <w:sz w:val="18"/>
                  <w:szCs w:val="18"/>
                  <w:color w:val="0000EE"/>
                  <w:w w:val="84"/>
                </w:rPr>
                <w:t>2002.</w:t>
              </w:r>
            </w:hyperlink>
          </w:p>
        </w:tc>
        <w:tc>
          <w:tcPr>
            <w:tcW w:w="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gridSpan w:val="12"/>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Certification of Principal Executive Officer Pursuant to 18 U.S.C.</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33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12"/>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Section 1350, as Adopted Pursuant to Section 906 of the Sarbanes-</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Oxley Act of 2002.</w:t>
              </w:r>
            </w:hyperlink>
          </w:p>
        </w:tc>
        <w:tc>
          <w:tcPr>
            <w:tcW w:w="34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47">
              <w:r>
                <w:rPr>
                  <w:rFonts w:ascii="Arial" w:cs="Arial" w:eastAsia="Arial" w:hAnsi="Arial"/>
                  <w:sz w:val="18"/>
                  <w:szCs w:val="18"/>
                  <w:color w:val="0000EE"/>
                  <w:w w:val="93"/>
                </w:rPr>
                <w:t>Certification of Principal Financial Officer Pursuant to 18 U.S.C.</w:t>
              </w:r>
            </w:hyperlink>
          </w:p>
        </w:tc>
        <w:tc>
          <w:tcPr>
            <w:tcW w:w="1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gridSpan w:val="12"/>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Section 1350, as Adopted Pursuant to Section 906 of the Sarbanes-</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Oxley Act of 2002.</w:t>
              </w:r>
            </w:hyperlink>
          </w:p>
        </w:tc>
        <w:tc>
          <w:tcPr>
            <w:tcW w:w="34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40" w:type="dxa"/>
            <w:vAlign w:val="bottom"/>
            <w:gridSpan w:val="12"/>
          </w:tcPr>
          <w:p>
            <w:pPr>
              <w:spacing w:after="0"/>
              <w:rPr>
                <w:sz w:val="20"/>
                <w:szCs w:val="20"/>
                <w:color w:val="auto"/>
              </w:rPr>
            </w:pPr>
            <w:r>
              <w:rPr>
                <w:rFonts w:ascii="Arial" w:cs="Arial" w:eastAsia="Arial" w:hAnsi="Arial"/>
                <w:sz w:val="18"/>
                <w:szCs w:val="18"/>
                <w:color w:val="auto"/>
                <w:w w:val="91"/>
              </w:rPr>
              <w:t>Inline XBRL Instance Document - the instance document does not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gridSpan w:val="12"/>
          </w:tcPr>
          <w:p>
            <w:pPr>
              <w:spacing w:after="0"/>
              <w:rPr>
                <w:sz w:val="20"/>
                <w:szCs w:val="20"/>
                <w:color w:val="auto"/>
              </w:rPr>
            </w:pPr>
            <w:r>
              <w:rPr>
                <w:rFonts w:ascii="Arial" w:cs="Arial" w:eastAsia="Arial" w:hAnsi="Arial"/>
                <w:sz w:val="18"/>
                <w:szCs w:val="18"/>
                <w:color w:val="auto"/>
                <w:w w:val="98"/>
              </w:rPr>
              <w:t>appear in the Interactive Data File because its XBRL tags are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12"/>
          </w:tcPr>
          <w:p>
            <w:pPr>
              <w:spacing w:after="0"/>
              <w:rPr>
                <w:sz w:val="20"/>
                <w:szCs w:val="20"/>
                <w:color w:val="auto"/>
              </w:rPr>
            </w:pPr>
            <w:r>
              <w:rPr>
                <w:rFonts w:ascii="Arial" w:cs="Arial" w:eastAsia="Arial" w:hAnsi="Arial"/>
                <w:sz w:val="18"/>
                <w:szCs w:val="18"/>
                <w:color w:val="auto"/>
                <w:w w:val="94"/>
              </w:rPr>
              <w:t>Inline XBRL Taxonomy Extension Definition Linkbase Document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gridSpan w:val="13"/>
          </w:tcPr>
          <w:p>
            <w:pPr>
              <w:ind w:left="46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55880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7/31/2018</w:t>
      </w:r>
      <w:r>
        <w:rPr>
          <w:sz w:val="20"/>
          <w:szCs w:val="20"/>
          <w:color w:val="auto"/>
        </w:rPr>
        <w:tab/>
      </w:r>
      <w:r>
        <w:rPr>
          <w:rFonts w:ascii="Arial" w:cs="Arial" w:eastAsia="Arial" w:hAnsi="Arial"/>
          <w:sz w:val="16"/>
          <w:szCs w:val="16"/>
          <w:color w:val="auto"/>
        </w:rPr>
        <w:t>10.2</w:t>
      </w:r>
    </w:p>
    <w:p>
      <w:pPr>
        <w:spacing w:after="0" w:line="239"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7/31/2019</w:t>
      </w:r>
      <w:r>
        <w:rPr>
          <w:sz w:val="20"/>
          <w:szCs w:val="20"/>
          <w:color w:val="auto"/>
        </w:rPr>
        <w:tab/>
      </w:r>
      <w:r>
        <w:rPr>
          <w:rFonts w:ascii="Arial" w:cs="Arial" w:eastAsia="Arial" w:hAnsi="Arial"/>
          <w:sz w:val="16"/>
          <w:szCs w:val="16"/>
          <w:color w:val="auto"/>
        </w:rPr>
        <w:t>10.2</w:t>
      </w:r>
    </w:p>
    <w:p>
      <w:pPr>
        <w:spacing w:after="0" w:line="239"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11/5/2019</w:t>
      </w:r>
      <w:r>
        <w:rPr>
          <w:sz w:val="20"/>
          <w:szCs w:val="20"/>
          <w:color w:val="auto"/>
        </w:rPr>
        <w:tab/>
      </w:r>
      <w:r>
        <w:rPr>
          <w:rFonts w:ascii="Arial" w:cs="Arial" w:eastAsia="Arial" w:hAnsi="Arial"/>
          <w:sz w:val="16"/>
          <w:szCs w:val="16"/>
          <w:color w:val="auto"/>
        </w:rPr>
        <w:t>10.1</w:t>
      </w:r>
    </w:p>
    <w:p>
      <w:pPr>
        <w:spacing w:after="0" w:line="239" w:lineRule="exact"/>
        <w:rPr>
          <w:sz w:val="20"/>
          <w:szCs w:val="20"/>
          <w:color w:val="auto"/>
        </w:rPr>
      </w:pPr>
    </w:p>
    <w:p>
      <w:pPr>
        <w:spacing w:after="0"/>
        <w:tabs>
          <w:tab w:leader="none" w:pos="1440" w:val="left"/>
          <w:tab w:leader="none" w:pos="3160" w:val="left"/>
        </w:tabs>
        <w:rPr>
          <w:sz w:val="20"/>
          <w:szCs w:val="20"/>
          <w:color w:val="auto"/>
        </w:rPr>
      </w:pPr>
      <w:r>
        <w:rPr>
          <w:rFonts w:ascii="Arial" w:cs="Arial" w:eastAsia="Arial" w:hAnsi="Arial"/>
          <w:sz w:val="18"/>
          <w:szCs w:val="18"/>
          <w:color w:val="auto"/>
        </w:rPr>
        <w:t>333-299091</w:t>
      </w:r>
      <w:r>
        <w:rPr>
          <w:sz w:val="20"/>
          <w:szCs w:val="20"/>
          <w:color w:val="auto"/>
        </w:rPr>
        <w:tab/>
      </w:r>
      <w:r>
        <w:rPr>
          <w:rFonts w:ascii="Arial" w:cs="Arial" w:eastAsia="Arial" w:hAnsi="Arial"/>
          <w:sz w:val="18"/>
          <w:szCs w:val="18"/>
          <w:color w:val="auto"/>
        </w:rPr>
        <w:t>12/28/2018</w:t>
      </w:r>
      <w:r>
        <w:rPr>
          <w:sz w:val="20"/>
          <w:szCs w:val="20"/>
          <w:color w:val="auto"/>
        </w:rPr>
        <w:tab/>
      </w:r>
      <w:r>
        <w:rPr>
          <w:rFonts w:ascii="Arial" w:cs="Arial" w:eastAsia="Arial" w:hAnsi="Arial"/>
          <w:sz w:val="15"/>
          <w:szCs w:val="15"/>
          <w:color w:val="auto"/>
        </w:rPr>
        <w:t>1.2</w:t>
      </w:r>
    </w:p>
    <w:p>
      <w:pPr>
        <w:spacing w:after="0" w:line="239" w:lineRule="exact"/>
        <w:rPr>
          <w:sz w:val="20"/>
          <w:szCs w:val="20"/>
          <w:color w:val="auto"/>
        </w:rPr>
      </w:pPr>
    </w:p>
    <w:p>
      <w:pPr>
        <w:spacing w:after="0"/>
        <w:tabs>
          <w:tab w:leader="none" w:pos="16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5/7/2019</w:t>
      </w:r>
      <w:r>
        <w:rPr>
          <w:sz w:val="20"/>
          <w:szCs w:val="20"/>
          <w:color w:val="auto"/>
        </w:rPr>
        <w:tab/>
      </w:r>
      <w:r>
        <w:rPr>
          <w:rFonts w:ascii="Arial" w:cs="Arial" w:eastAsia="Arial" w:hAnsi="Arial"/>
          <w:sz w:val="16"/>
          <w:szCs w:val="16"/>
          <w:color w:val="auto"/>
        </w:rPr>
        <w:t>10.1</w:t>
      </w:r>
    </w:p>
    <w:p>
      <w:pPr>
        <w:spacing w:after="0" w:line="347"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7/31/2019</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55" w:lineRule="exact"/>
        <w:rPr>
          <w:sz w:val="20"/>
          <w:szCs w:val="20"/>
          <w:color w:val="auto"/>
        </w:rPr>
      </w:pPr>
    </w:p>
    <w:p>
      <w:pPr>
        <w:spacing w:after="0"/>
        <w:tabs>
          <w:tab w:leader="none" w:pos="16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5/7/2019</w:t>
      </w:r>
      <w:r>
        <w:rPr>
          <w:sz w:val="20"/>
          <w:szCs w:val="20"/>
          <w:color w:val="auto"/>
        </w:rPr>
        <w:tab/>
      </w:r>
      <w:r>
        <w:rPr>
          <w:rFonts w:ascii="Arial" w:cs="Arial" w:eastAsia="Arial" w:hAnsi="Arial"/>
          <w:sz w:val="16"/>
          <w:szCs w:val="16"/>
          <w:color w:val="auto"/>
        </w:rPr>
        <w:t>10.2</w:t>
      </w:r>
    </w:p>
    <w:p>
      <w:pPr>
        <w:spacing w:after="0" w:line="347" w:lineRule="exact"/>
        <w:rPr>
          <w:sz w:val="20"/>
          <w:szCs w:val="20"/>
          <w:color w:val="auto"/>
        </w:rPr>
      </w:pPr>
    </w:p>
    <w:p>
      <w:pPr>
        <w:spacing w:after="0"/>
        <w:tabs>
          <w:tab w:leader="none" w:pos="16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5/7/2019</w:t>
      </w:r>
      <w:r>
        <w:rPr>
          <w:sz w:val="20"/>
          <w:szCs w:val="20"/>
          <w:color w:val="auto"/>
        </w:rPr>
        <w:tab/>
      </w:r>
      <w:r>
        <w:rPr>
          <w:rFonts w:ascii="Arial" w:cs="Arial" w:eastAsia="Arial" w:hAnsi="Arial"/>
          <w:sz w:val="16"/>
          <w:szCs w:val="16"/>
          <w:color w:val="auto"/>
        </w:rPr>
        <w:t>10.3</w:t>
      </w:r>
    </w:p>
    <w:p>
      <w:pPr>
        <w:spacing w:after="0" w:line="131"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9/16/2019</w:t>
      </w:r>
      <w:r>
        <w:rPr>
          <w:sz w:val="20"/>
          <w:szCs w:val="20"/>
          <w:color w:val="auto"/>
        </w:rPr>
        <w:tab/>
      </w:r>
      <w:r>
        <w:rPr>
          <w:rFonts w:ascii="Arial" w:cs="Arial" w:eastAsia="Arial" w:hAnsi="Arial"/>
          <w:sz w:val="16"/>
          <w:szCs w:val="16"/>
          <w:color w:val="auto"/>
        </w:rPr>
        <w:t>10.1</w:t>
      </w:r>
    </w:p>
    <w:p>
      <w:pPr>
        <w:spacing w:after="0" w:line="131"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8"/>
          <w:szCs w:val="18"/>
          <w:color w:val="auto"/>
        </w:rPr>
        <w:t>001-38276</w:t>
      </w:r>
      <w:r>
        <w:rPr>
          <w:sz w:val="20"/>
          <w:szCs w:val="20"/>
          <w:color w:val="auto"/>
        </w:rPr>
        <w:tab/>
      </w:r>
      <w:r>
        <w:rPr>
          <w:rFonts w:ascii="Arial" w:cs="Arial" w:eastAsia="Arial" w:hAnsi="Arial"/>
          <w:sz w:val="18"/>
          <w:szCs w:val="18"/>
          <w:color w:val="auto"/>
        </w:rPr>
        <w:t>10/7/2019</w:t>
      </w:r>
      <w:r>
        <w:rPr>
          <w:sz w:val="20"/>
          <w:szCs w:val="20"/>
          <w:color w:val="auto"/>
        </w:rPr>
        <w:tab/>
      </w:r>
      <w:r>
        <w:rPr>
          <w:rFonts w:ascii="Arial" w:cs="Arial" w:eastAsia="Arial" w:hAnsi="Arial"/>
          <w:sz w:val="16"/>
          <w:szCs w:val="16"/>
          <w:color w:val="auto"/>
        </w:rPr>
        <w:t>10.1</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60" w:space="160"/>
            <w:col w:w="5220" w:space="600"/>
            <w:col w:w="4080"/>
          </w:cols>
          <w:pgMar w:left="400" w:top="351" w:right="779" w:bottom="1440" w:gutter="0" w:footer="0" w:header="0"/>
        </w:sectPr>
      </w:pPr>
    </w:p>
    <w:bookmarkStart w:id="134" w:name="page135"/>
    <w:bookmarkEnd w:id="134"/>
    <w:p>
      <w:pPr>
        <w:ind w:left="980" w:right="5400" w:hanging="628"/>
        <w:spacing w:after="0" w:line="182" w:lineRule="auto"/>
        <w:tabs>
          <w:tab w:leader="none" w:pos="980" w:val="left"/>
        </w:tabs>
        <w:numPr>
          <w:ilvl w:val="1"/>
          <w:numId w:val="58"/>
        </w:numPr>
        <w:rPr>
          <w:rFonts w:ascii="Arial" w:cs="Arial" w:eastAsia="Arial" w:hAnsi="Arial"/>
          <w:sz w:val="34"/>
          <w:szCs w:val="34"/>
          <w:color w:val="auto"/>
          <w:vertAlign w:val="subscript"/>
        </w:rPr>
      </w:pPr>
      <w:r>
        <w:rPr>
          <w:rFonts w:ascii="Arial" w:cs="Arial" w:eastAsia="Arial" w:hAnsi="Arial"/>
          <w:sz w:val="17"/>
          <w:szCs w:val="17"/>
          <w:color w:val="auto"/>
        </w:rPr>
        <w:t>Cover Page Interactive Data File (formatted as Inline XBRL and contained in Exhibit 101)</w:t>
      </w:r>
    </w:p>
    <w:p>
      <w:pPr>
        <w:spacing w:after="0" w:line="365" w:lineRule="exact"/>
        <w:rPr>
          <w:rFonts w:ascii="Arial" w:cs="Arial" w:eastAsia="Arial" w:hAnsi="Arial"/>
          <w:sz w:val="34"/>
          <w:szCs w:val="34"/>
          <w:color w:val="auto"/>
          <w:vertAlign w:val="subscript"/>
        </w:rPr>
      </w:pPr>
    </w:p>
    <w:p>
      <w:pPr>
        <w:spacing w:after="0" w:line="258" w:lineRule="auto"/>
        <w:rPr>
          <w:rFonts w:ascii="Arial" w:cs="Arial" w:eastAsia="Arial" w:hAnsi="Arial"/>
          <w:sz w:val="34"/>
          <w:szCs w:val="34"/>
          <w:color w:val="auto"/>
          <w:vertAlign w:val="subscript"/>
        </w:rPr>
      </w:pPr>
      <w:r>
        <w:rPr>
          <w:rFonts w:ascii="Arial" w:cs="Arial" w:eastAsia="Arial" w:hAnsi="Arial"/>
          <w:sz w:val="18"/>
          <w:szCs w:val="18"/>
          <w:color w:val="auto"/>
        </w:rPr>
        <w:t>* Pursuant to Item 601(b)(2) of Regulation S-K, the Registrant agrees to furnish supplementally a copy of any omitted schedule or exhibit to the Asset Purchase Agreement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2090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right="200" w:firstLine="8"/>
        <w:spacing w:after="0" w:line="250" w:lineRule="auto"/>
        <w:tabs>
          <w:tab w:leader="none" w:pos="7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1" w:lineRule="exact"/>
        <w:rPr>
          <w:sz w:val="20"/>
          <w:szCs w:val="20"/>
          <w:color w:val="auto"/>
        </w:rPr>
      </w:pPr>
    </w:p>
    <w:p>
      <w:pPr>
        <w:ind w:left="40" w:right="5920" w:hanging="32"/>
        <w:spacing w:after="0" w:line="386" w:lineRule="auto"/>
        <w:tabs>
          <w:tab w:leader="none" w:pos="7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368" w:right="6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Apellis Pharmaceuticals, Inc.</w:t>
      </w:r>
    </w:p>
    <w:p>
      <w:pPr>
        <w:spacing w:after="0" w:line="252" w:lineRule="exact"/>
        <w:rPr>
          <w:sz w:val="20"/>
          <w:szCs w:val="20"/>
          <w:color w:val="auto"/>
        </w:rPr>
      </w:pPr>
    </w:p>
    <w:p>
      <w:pPr>
        <w:spacing w:after="0"/>
        <w:tabs>
          <w:tab w:leader="none" w:pos="6380" w:val="left"/>
          <w:tab w:leader="none" w:pos="850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2"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Cedric Francois</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94"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9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19"/>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460" w:type="dxa"/>
            <w:vAlign w:val="bottom"/>
          </w:tcPr>
          <w:p>
            <w:pPr>
              <w:spacing w:after="0"/>
              <w:rPr>
                <w:sz w:val="24"/>
                <w:szCs w:val="24"/>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Cedric Francois</w:t>
            </w:r>
          </w:p>
        </w:tc>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(Principal Executive Officer and Duly Authorized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Cedric Francois</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656"/>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460" w:type="dxa"/>
            <w:vAlign w:val="bottom"/>
          </w:tcPr>
          <w:p>
            <w:pPr>
              <w:spacing w:after="0"/>
              <w:rPr>
                <w:sz w:val="24"/>
                <w:szCs w:val="24"/>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Timothy E. Sullivan</w:t>
            </w:r>
          </w:p>
        </w:tc>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(Principal Financial Officer and Duly Authorized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2"/>
              </w:rPr>
              <w:t>Timothy E. Sullivan</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40"/>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Vice President, Finance</w:t>
            </w:r>
          </w:p>
        </w:tc>
        <w:tc>
          <w:tcPr>
            <w:tcW w:w="2460" w:type="dxa"/>
            <w:vAlign w:val="bottom"/>
          </w:tcPr>
          <w:p>
            <w:pPr>
              <w:spacing w:after="0"/>
              <w:rPr>
                <w:sz w:val="24"/>
                <w:szCs w:val="24"/>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Nicole D. Perry</w:t>
            </w:r>
          </w:p>
        </w:tc>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2"/>
              </w:rPr>
              <w:t>Nicole D. Perry</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5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Gerald Chan</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3"/>
              </w:rPr>
              <w:t>Gerald Chan</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5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 Sinclair Dunlop</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2"/>
              </w:rPr>
              <w:t>A. Sinclair Dunlop</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5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Alec Machiels</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0"/>
              </w:rPr>
              <w:t>Alec Machiels</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5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Stephanie M. O’Brien</w:t>
            </w:r>
          </w:p>
        </w:tc>
        <w:tc>
          <w:tcPr>
            <w:tcW w:w="1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3"/>
              </w:rPr>
              <w:t>Stephanie M. O’Brien</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751"/>
        </w:trPr>
        <w:tc>
          <w:tcPr>
            <w:tcW w:w="3780" w:type="dxa"/>
            <w:vAlign w:val="bottom"/>
          </w:tcPr>
          <w:p>
            <w:pPr>
              <w:spacing w:after="0"/>
              <w:rPr>
                <w:sz w:val="24"/>
                <w:szCs w:val="24"/>
                <w:color w:val="auto"/>
              </w:rPr>
            </w:pPr>
          </w:p>
        </w:tc>
        <w:tc>
          <w:tcPr>
            <w:tcW w:w="5060" w:type="dxa"/>
            <w:vAlign w:val="bottom"/>
            <w:gridSpan w:val="2"/>
          </w:tcPr>
          <w:p>
            <w:pPr>
              <w:jc w:val="right"/>
              <w:ind w:right="29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136" w:name="page137"/>
    <w:bookmarkEnd w:id="136"/>
    <w:p>
      <w:pPr>
        <w:ind w:left="10580"/>
        <w:spacing w:after="0"/>
        <w:rPr>
          <w:sz w:val="20"/>
          <w:szCs w:val="20"/>
          <w:color w:val="auto"/>
        </w:rPr>
      </w:pPr>
      <w:r>
        <w:rPr>
          <w:rFonts w:ascii="Arial" w:cs="Arial" w:eastAsia="Arial" w:hAnsi="Arial"/>
          <w:sz w:val="16"/>
          <w:szCs w:val="16"/>
          <w:b w:val="1"/>
          <w:bCs w:val="1"/>
          <w:color w:val="auto"/>
        </w:rPr>
        <w:t>Exhibit 4.4</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DESCRIPTION OF SECURITIES REGISTERED UNDER SECTION 12 OF THE SECURITIES EXCHANGE ACT OF 1934</w:t>
      </w:r>
    </w:p>
    <w:p>
      <w:pPr>
        <w:spacing w:after="0" w:line="189" w:lineRule="exact"/>
        <w:rPr>
          <w:sz w:val="20"/>
          <w:szCs w:val="20"/>
          <w:color w:val="auto"/>
        </w:rPr>
      </w:pPr>
    </w:p>
    <w:p>
      <w:pPr>
        <w:ind w:right="100" w:firstLine="533"/>
        <w:spacing w:after="0" w:line="276" w:lineRule="auto"/>
        <w:rPr>
          <w:sz w:val="20"/>
          <w:szCs w:val="20"/>
          <w:color w:val="auto"/>
        </w:rPr>
      </w:pPr>
      <w:r>
        <w:rPr>
          <w:rFonts w:ascii="Arial" w:cs="Arial" w:eastAsia="Arial" w:hAnsi="Arial"/>
          <w:sz w:val="17"/>
          <w:szCs w:val="17"/>
          <w:color w:val="auto"/>
        </w:rPr>
        <w:t>The following description of the common stock, par value $0.0001 per share (the “Common Stock”), of Apellis Pharmaceuticals, Inc. (“us,” “our,” “we” or the “Company”), which is the only security of the Company registered under Section 12 of the Securities Exchange Act of 1934, as amended (the “Exchange Act”), summarizes certain information regarding the Common Stock in our restated certificate of incorporation, our amended and restated bylaws and applicable provisions of Delaware corporate law, and is qualified by reference to our restated certificate of incorporation and amended and restated bylaws, which are incorporated by reference as Exhibit 3.1 and Exhibit 3.2, respectively, to the Annual Report on Form 10-K.</w:t>
      </w:r>
    </w:p>
    <w:p>
      <w:pPr>
        <w:spacing w:after="0" w:line="146" w:lineRule="exact"/>
        <w:rPr>
          <w:sz w:val="20"/>
          <w:szCs w:val="20"/>
          <w:color w:val="auto"/>
        </w:rPr>
      </w:pPr>
    </w:p>
    <w:p>
      <w:pPr>
        <w:ind w:right="140" w:firstLine="533"/>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$0.0001 per share, and 10,000,000 shares of preferred stock, par value $0.0001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 submitted to a vote of stockholders and do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cumulative voting rights. An election of directors by our stockholders will be determined by a plurality of the votes cast by the stockholders entitled to vote on the election. Any matter other than the election of directors to be voted upon by the stockholders at such meeting will be decided by the affirmative vote of our stockholders having a majority in voting power of the votes cast by the stockholders present or represented and voting on such matter, except when a different vote is required by law, our certificate of incorporation or our bylaws.</w:t>
      </w:r>
    </w:p>
    <w:p>
      <w:pPr>
        <w:spacing w:after="0" w:line="173" w:lineRule="exact"/>
        <w:rPr>
          <w:sz w:val="20"/>
          <w:szCs w:val="20"/>
          <w:color w:val="auto"/>
        </w:rPr>
      </w:pPr>
    </w:p>
    <w:p>
      <w:pPr>
        <w:jc w:val="both"/>
        <w:ind w:right="180" w:firstLine="533"/>
        <w:spacing w:after="0" w:line="264"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proportionately any dividends as may be declared and paid on the Common Stock from</w:t>
      </w:r>
      <w:r>
        <w:rPr>
          <w:rFonts w:ascii="Arial" w:cs="Arial" w:eastAsia="Arial" w:hAnsi="Arial"/>
          <w:sz w:val="18"/>
          <w:szCs w:val="18"/>
          <w:i w:val="1"/>
          <w:iCs w:val="1"/>
          <w:color w:val="auto"/>
        </w:rPr>
        <w:t xml:space="preserve"> </w:t>
      </w:r>
      <w:r>
        <w:rPr>
          <w:rFonts w:ascii="Arial" w:cs="Arial" w:eastAsia="Arial" w:hAnsi="Arial"/>
          <w:sz w:val="18"/>
          <w:szCs w:val="18"/>
          <w:color w:val="auto"/>
        </w:rPr>
        <w:t>funds lawfully available therefor as and when determined by our board of directors, subject to any preferential dividend rights of any outstanding preferred stock.</w:t>
      </w:r>
    </w:p>
    <w:p>
      <w:pPr>
        <w:spacing w:after="0" w:line="154" w:lineRule="exact"/>
        <w:rPr>
          <w:sz w:val="20"/>
          <w:szCs w:val="20"/>
          <w:color w:val="auto"/>
        </w:rPr>
      </w:pPr>
    </w:p>
    <w:p>
      <w:pPr>
        <w:ind w:right="20" w:firstLine="533"/>
        <w:spacing w:after="0" w:line="264"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or dissolution, whether voluntary or involuntary, the holders of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proportionately all assets available for distribution to stockholders after the payment of all debts and other liabilities and subject to the prior rights of any outstanding preferred stock.</w:t>
      </w:r>
    </w:p>
    <w:p>
      <w:pPr>
        <w:spacing w:after="0" w:line="141" w:lineRule="exact"/>
        <w:rPr>
          <w:sz w:val="20"/>
          <w:szCs w:val="20"/>
          <w:color w:val="auto"/>
        </w:rPr>
      </w:pPr>
    </w:p>
    <w:p>
      <w:pPr>
        <w:ind w:right="100" w:firstLine="533"/>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Common Stock have no preemptive, subscription, redemption or conversion rights. The rights, preferences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are subject to and may be adversely affected by the rights of the holders of shares of any series of preferred stock that we may designate and issue in the future. Outstanding shares of our Common Stock are non-assessable. Holders of our Common Stock are not, and will not be, subject to any liability as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02" w:lineRule="exact"/>
        <w:rPr>
          <w:sz w:val="20"/>
          <w:szCs w:val="20"/>
          <w:color w:val="auto"/>
        </w:rPr>
      </w:pPr>
    </w:p>
    <w:p>
      <w:pPr>
        <w:ind w:right="120" w:firstLine="533"/>
        <w:spacing w:after="0" w:line="259" w:lineRule="auto"/>
        <w:rPr>
          <w:sz w:val="20"/>
          <w:szCs w:val="20"/>
          <w:color w:val="auto"/>
        </w:rPr>
      </w:pPr>
      <w:r>
        <w:rPr>
          <w:rFonts w:ascii="Arial" w:cs="Arial" w:eastAsia="Arial" w:hAnsi="Arial"/>
          <w:sz w:val="18"/>
          <w:szCs w:val="18"/>
          <w:color w:val="auto"/>
        </w:rPr>
        <w:t>Delaware law contains,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46" w:lineRule="exact"/>
        <w:rPr>
          <w:sz w:val="20"/>
          <w:szCs w:val="20"/>
          <w:color w:val="auto"/>
        </w:rPr>
      </w:pPr>
    </w:p>
    <w:p>
      <w:pPr>
        <w:ind w:right="100" w:firstLine="533"/>
        <w:spacing w:after="0" w:line="255" w:lineRule="auto"/>
        <w:rPr>
          <w:sz w:val="20"/>
          <w:szCs w:val="20"/>
          <w:color w:val="auto"/>
        </w:rPr>
      </w:pPr>
      <w:r>
        <w:rPr>
          <w:rFonts w:ascii="Arial" w:cs="Arial" w:eastAsia="Arial" w:hAnsi="Arial"/>
          <w:sz w:val="18"/>
          <w:szCs w:val="18"/>
          <w:i w:val="1"/>
          <w:iCs w:val="1"/>
          <w:color w:val="auto"/>
        </w:rPr>
        <w:t>Staggered Board; Removal of Directors</w:t>
      </w:r>
      <w:r>
        <w:rPr>
          <w:rFonts w:ascii="Arial" w:cs="Arial" w:eastAsia="Arial" w:hAnsi="Arial"/>
          <w:sz w:val="18"/>
          <w:szCs w:val="18"/>
          <w:color w:val="auto"/>
        </w:rPr>
        <w:t>. Our restated certificate of incorporation and amended and restated bylaws divide our board of directors into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us.</w:t>
      </w:r>
    </w:p>
    <w:p>
      <w:pPr>
        <w:spacing w:after="0" w:line="153" w:lineRule="exact"/>
        <w:rPr>
          <w:sz w:val="20"/>
          <w:szCs w:val="20"/>
          <w:color w:val="auto"/>
        </w:rPr>
      </w:pPr>
    </w:p>
    <w:p>
      <w:pPr>
        <w:ind w:right="40" w:firstLine="533"/>
        <w:spacing w:after="0" w:line="279" w:lineRule="auto"/>
        <w:rPr>
          <w:sz w:val="20"/>
          <w:szCs w:val="20"/>
          <w:color w:val="auto"/>
        </w:rPr>
      </w:pPr>
      <w:r>
        <w:rPr>
          <w:rFonts w:ascii="Arial" w:cs="Arial" w:eastAsia="Arial" w:hAnsi="Arial"/>
          <w:sz w:val="17"/>
          <w:szCs w:val="17"/>
          <w:i w:val="1"/>
          <w:iCs w:val="1"/>
          <w:color w:val="auto"/>
        </w:rPr>
        <w:t xml:space="preserve">Stockholder Action by Written Consent; Special Meetings. </w:t>
      </w:r>
      <w:r>
        <w:rPr>
          <w:rFonts w:ascii="Arial" w:cs="Arial" w:eastAsia="Arial" w:hAnsi="Arial"/>
          <w:sz w:val="17"/>
          <w:szCs w:val="17"/>
          <w:color w:val="auto"/>
        </w:rPr>
        <w:t>Our restated certificate of incorporation provides that any action required or permitted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taken by our stockholders must be effected at a duly called annual or special meeting of such holders and may not be effected by any consent in writing by such holders. Our restated certificate of incorporation and amended and restated bylaws also provide that, except as otherwise required by law, special meetings of our stockholders can only be called by our chairman of the board, our chief executive officer or our board of directors.</w:t>
      </w:r>
    </w:p>
    <w:p>
      <w:pPr>
        <w:spacing w:after="0" w:line="144" w:lineRule="exact"/>
        <w:rPr>
          <w:sz w:val="20"/>
          <w:szCs w:val="20"/>
          <w:color w:val="auto"/>
        </w:rPr>
      </w:pPr>
    </w:p>
    <w:p>
      <w:pPr>
        <w:ind w:right="340" w:firstLine="533"/>
        <w:spacing w:after="0" w:line="259" w:lineRule="auto"/>
        <w:rPr>
          <w:sz w:val="20"/>
          <w:szCs w:val="20"/>
          <w:color w:val="auto"/>
        </w:rPr>
      </w:pPr>
      <w:r>
        <w:rPr>
          <w:rFonts w:ascii="Arial" w:cs="Arial" w:eastAsia="Arial" w:hAnsi="Arial"/>
          <w:sz w:val="18"/>
          <w:szCs w:val="18"/>
          <w:i w:val="1"/>
          <w:iCs w:val="1"/>
          <w:color w:val="auto"/>
        </w:rPr>
        <w:t>Advance Notice Requirements for Stockholder Proposals</w:t>
      </w:r>
      <w:r>
        <w:rPr>
          <w:rFonts w:ascii="Arial" w:cs="Arial" w:eastAsia="Arial" w:hAnsi="Arial"/>
          <w:sz w:val="18"/>
          <w:szCs w:val="18"/>
          <w:color w:val="auto"/>
        </w:rPr>
        <w:t>. Our amended and restated bylaws establish an advance notice procedure for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to be brought before an annual meeting of stockholders, including proposed nominations of persons for election to our board of directors. Stockholders at an annual meeting may consider proposals or nominations specified in the notice of meeting or brought before the meeting by or at the direction of our board of directors or by a stockholder of record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7" w:name="page138"/>
    <w:bookmarkEnd w:id="137"/>
    <w:p>
      <w:pPr>
        <w:ind w:right="500"/>
        <w:spacing w:after="0" w:line="264" w:lineRule="auto"/>
        <w:rPr>
          <w:sz w:val="20"/>
          <w:szCs w:val="20"/>
          <w:color w:val="auto"/>
        </w:rPr>
      </w:pPr>
      <w:r>
        <w:rPr>
          <w:rFonts w:ascii="Arial" w:cs="Arial" w:eastAsia="Arial" w:hAnsi="Arial"/>
          <w:sz w:val="18"/>
          <w:szCs w:val="18"/>
          <w:color w:val="auto"/>
        </w:rPr>
        <w:t>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41" w:lineRule="exact"/>
        <w:rPr>
          <w:sz w:val="20"/>
          <w:szCs w:val="20"/>
          <w:color w:val="auto"/>
        </w:rPr>
      </w:pPr>
    </w:p>
    <w:p>
      <w:pPr>
        <w:ind w:right="160" w:firstLine="533"/>
        <w:spacing w:after="0" w:line="259" w:lineRule="auto"/>
        <w:rPr>
          <w:sz w:val="20"/>
          <w:szCs w:val="20"/>
          <w:color w:val="auto"/>
        </w:rPr>
      </w:pPr>
      <w:r>
        <w:rPr>
          <w:rFonts w:ascii="Arial" w:cs="Arial" w:eastAsia="Arial" w:hAnsi="Arial"/>
          <w:sz w:val="18"/>
          <w:szCs w:val="18"/>
          <w:i w:val="1"/>
          <w:iCs w:val="1"/>
          <w:color w:val="auto"/>
        </w:rPr>
        <w:t>Issuance of Preferred Stock</w:t>
      </w:r>
      <w:r>
        <w:rPr>
          <w:rFonts w:ascii="Arial" w:cs="Arial" w:eastAsia="Arial" w:hAnsi="Arial"/>
          <w:sz w:val="18"/>
          <w:szCs w:val="18"/>
          <w:color w:val="auto"/>
        </w:rPr>
        <w:t>. Our board of directors is authorized, without further action by our stockholders, to issue up to 10,000,000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160" w:lineRule="exact"/>
        <w:rPr>
          <w:sz w:val="20"/>
          <w:szCs w:val="20"/>
          <w:color w:val="auto"/>
        </w:rPr>
      </w:pPr>
    </w:p>
    <w:p>
      <w:pPr>
        <w:ind w:right="20" w:firstLine="533"/>
        <w:spacing w:after="0" w:line="293" w:lineRule="auto"/>
        <w:rPr>
          <w:sz w:val="20"/>
          <w:szCs w:val="20"/>
          <w:color w:val="auto"/>
        </w:rPr>
      </w:pPr>
      <w:r>
        <w:rPr>
          <w:rFonts w:ascii="Arial" w:cs="Arial" w:eastAsia="Arial" w:hAnsi="Arial"/>
          <w:sz w:val="16"/>
          <w:szCs w:val="16"/>
          <w:i w:val="1"/>
          <w:iCs w:val="1"/>
          <w:color w:val="auto"/>
        </w:rPr>
        <w:t xml:space="preserve">Delaware Business Combination Statute. </w:t>
      </w:r>
      <w:r>
        <w:rPr>
          <w:rFonts w:ascii="Arial" w:cs="Arial" w:eastAsia="Arial" w:hAnsi="Arial"/>
          <w:sz w:val="16"/>
          <w:szCs w:val="16"/>
          <w:color w:val="auto"/>
        </w:rPr>
        <w:t>We are subject to Section 203 of the General Corporation Law of the State of Delaware.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Section 203 prevents us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4" w:lineRule="exact"/>
        <w:rPr>
          <w:sz w:val="20"/>
          <w:szCs w:val="20"/>
          <w:color w:val="auto"/>
        </w:rPr>
      </w:pPr>
    </w:p>
    <w:p>
      <w:pPr>
        <w:ind w:firstLine="533"/>
        <w:spacing w:after="0" w:line="254" w:lineRule="auto"/>
        <w:rPr>
          <w:sz w:val="20"/>
          <w:szCs w:val="20"/>
          <w:color w:val="auto"/>
        </w:rPr>
      </w:pPr>
      <w:r>
        <w:rPr>
          <w:rFonts w:ascii="Arial" w:cs="Arial" w:eastAsia="Arial" w:hAnsi="Arial"/>
          <w:sz w:val="18"/>
          <w:szCs w:val="18"/>
          <w:i w:val="1"/>
          <w:iCs w:val="1"/>
          <w:color w:val="auto"/>
        </w:rPr>
        <w:t>Amendment of Certificate of Incorporation and Bylaws</w:t>
      </w:r>
      <w:r>
        <w:rPr>
          <w:rFonts w:ascii="Arial" w:cs="Arial" w:eastAsia="Arial" w:hAnsi="Arial"/>
          <w:sz w:val="18"/>
          <w:szCs w:val="18"/>
          <w:color w:val="auto"/>
        </w:rPr>
        <w:t>. The General Corporation Law of the State of Delaware provides generally that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“—Staggered Board; Removal of Directors” and “—Stockholder Action by Written Consent; Special Meetings.”</w:t>
      </w:r>
    </w:p>
    <w:p>
      <w:pPr>
        <w:spacing w:after="0" w:line="152" w:lineRule="exact"/>
        <w:rPr>
          <w:sz w:val="20"/>
          <w:szCs w:val="20"/>
          <w:color w:val="auto"/>
        </w:rPr>
      </w:pPr>
    </w:p>
    <w:p>
      <w:pPr>
        <w:ind w:firstLine="533"/>
        <w:spacing w:after="0" w:line="272" w:lineRule="auto"/>
        <w:rPr>
          <w:sz w:val="20"/>
          <w:szCs w:val="20"/>
          <w:color w:val="auto"/>
        </w:rPr>
      </w:pPr>
      <w:r>
        <w:rPr>
          <w:rFonts w:ascii="Arial" w:cs="Arial" w:eastAsia="Arial" w:hAnsi="Arial"/>
          <w:sz w:val="17"/>
          <w:szCs w:val="17"/>
          <w:i w:val="1"/>
          <w:iCs w:val="1"/>
          <w:color w:val="auto"/>
        </w:rPr>
        <w:t>Exclusive Forum Selection</w:t>
      </w:r>
      <w:r>
        <w:rPr>
          <w:rFonts w:ascii="Arial" w:cs="Arial" w:eastAsia="Arial" w:hAnsi="Arial"/>
          <w:sz w:val="17"/>
          <w:szCs w:val="17"/>
          <w:color w:val="auto"/>
        </w:rPr>
        <w:t>. Our restated certificate of incorporation provides that, unless we consent in writing to the selection of an alternative forum,</w:t>
      </w:r>
      <w:r>
        <w:rPr>
          <w:rFonts w:ascii="Arial" w:cs="Arial" w:eastAsia="Arial" w:hAnsi="Arial"/>
          <w:sz w:val="17"/>
          <w:szCs w:val="17"/>
          <w:i w:val="1"/>
          <w:iCs w:val="1"/>
          <w:color w:val="auto"/>
        </w:rPr>
        <w:t xml:space="preserve"> </w:t>
      </w:r>
      <w:r>
        <w:rPr>
          <w:rFonts w:ascii="Arial" w:cs="Arial" w:eastAsia="Arial" w:hAnsi="Arial"/>
          <w:sz w:val="17"/>
          <w:szCs w:val="17"/>
          <w:color w:val="auto"/>
        </w:rPr>
        <w:t>the Court of Chancery of the State of Delaware shall be the sole and exclusive forum for (1) any derivative action or proceeding brought on behalf of the Company, (2) any action asserting a claim of breach of a fiduciary duty owed by any of our directors, officers, employees or stockholders to the Company or our stockholders, (3) any action asserting a claim against the Company arising pursuant to any provision of the General Corporation Law of the State of Delaware or our restated certificate of incorporation or amended and restated bylaws, or (4) any action asserting a claim against the Company governed by the internal affairs doctrine. Although our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SUBSIDIARIES OF APELLIS PHARMACEUTICALS, INC.</w:t>
      </w:r>
    </w:p>
    <w:p>
      <w:pPr>
        <w:spacing w:after="0" w:line="200" w:lineRule="exact"/>
        <w:rPr>
          <w:sz w:val="20"/>
          <w:szCs w:val="20"/>
          <w:color w:val="auto"/>
        </w:rPr>
      </w:pP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660" w:type="dxa"/>
            <w:vAlign w:val="bottom"/>
          </w:tcPr>
          <w:p>
            <w:pPr>
              <w:spacing w:after="0"/>
              <w:rPr>
                <w:sz w:val="16"/>
                <w:szCs w:val="16"/>
                <w:color w:val="auto"/>
              </w:rPr>
            </w:pPr>
          </w:p>
        </w:tc>
        <w:tc>
          <w:tcPr>
            <w:tcW w:w="3820" w:type="dxa"/>
            <w:vAlign w:val="bottom"/>
          </w:tcPr>
          <w:p>
            <w:pPr>
              <w:ind w:left="50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5"/>
        </w:trPr>
        <w:tc>
          <w:tcPr>
            <w:tcW w:w="2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Apellis Australia Pty Ltd.</w:t>
            </w:r>
          </w:p>
        </w:tc>
        <w:tc>
          <w:tcPr>
            <w:tcW w:w="66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Australia</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Apellis Ireland Ltd.</w:t>
            </w:r>
          </w:p>
        </w:tc>
        <w:tc>
          <w:tcPr>
            <w:tcW w:w="4480" w:type="dxa"/>
            <w:vAlign w:val="bottom"/>
            <w:gridSpan w:val="2"/>
          </w:tcPr>
          <w:p>
            <w:pPr>
              <w:ind w:left="640"/>
              <w:spacing w:after="0"/>
              <w:rPr>
                <w:sz w:val="20"/>
                <w:szCs w:val="20"/>
                <w:color w:val="auto"/>
              </w:rPr>
            </w:pPr>
            <w:r>
              <w:rPr>
                <w:rFonts w:ascii="Arial" w:cs="Arial" w:eastAsia="Arial" w:hAnsi="Arial"/>
                <w:sz w:val="18"/>
                <w:szCs w:val="18"/>
                <w:color w:val="auto"/>
              </w:rPr>
              <w:t>Ireland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Apellis Switzerland GmbH</w:t>
            </w:r>
          </w:p>
        </w:tc>
        <w:tc>
          <w:tcPr>
            <w:tcW w:w="4480" w:type="dxa"/>
            <w:vAlign w:val="bottom"/>
            <w:gridSpan w:val="2"/>
          </w:tcPr>
          <w:p>
            <w:pPr>
              <w:ind w:left="640"/>
              <w:spacing w:after="0"/>
              <w:rPr>
                <w:sz w:val="20"/>
                <w:szCs w:val="20"/>
                <w:color w:val="auto"/>
              </w:rPr>
            </w:pPr>
            <w:r>
              <w:rPr>
                <w:rFonts w:ascii="Arial" w:cs="Arial" w:eastAsia="Arial" w:hAnsi="Arial"/>
                <w:sz w:val="18"/>
                <w:szCs w:val="18"/>
                <w:color w:val="auto"/>
              </w:rPr>
              <w:t>Switzerland</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Apellis MA Securities Inc.</w:t>
            </w:r>
          </w:p>
        </w:tc>
        <w:tc>
          <w:tcPr>
            <w:tcW w:w="4480" w:type="dxa"/>
            <w:vAlign w:val="bottom"/>
            <w:gridSpan w:val="2"/>
          </w:tcPr>
          <w:p>
            <w:pPr>
              <w:ind w:left="64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220"/>
          </w:cols>
          <w:pgMar w:left="1440" w:top="36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333-235830 and 333-229091 on Form S-3 and Registration Statement No. 333-229876 and 333-221528 on Form S-8 of our reports dated February 27, 2020, relating to the financial statements of Apellis Pharmaceuticals, Inc. and its subsidiaries and the effectiveness of Apellis Pharmaceuticals, Inc. and its subsidiaries’ internal control over financial reporting appearing in the Annual Report on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80" w:hanging="440"/>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S-3 No. 333-235830) of Apellis Pharmaceuticals, Inc., and</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S-3 No. 333-229091) of Apellis Pharmaceuticals, Inc., and</w:t>
      </w:r>
    </w:p>
    <w:p>
      <w:pPr>
        <w:spacing w:after="0" w:line="9" w:lineRule="exact"/>
        <w:rPr>
          <w:rFonts w:ascii="Arial" w:cs="Arial" w:eastAsia="Arial" w:hAnsi="Arial"/>
          <w:sz w:val="18"/>
          <w:szCs w:val="18"/>
          <w:color w:val="auto"/>
        </w:rPr>
      </w:pPr>
    </w:p>
    <w:p>
      <w:pPr>
        <w:ind w:left="880" w:hanging="440"/>
        <w:spacing w:after="0" w:line="250"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333-229876) pertaining to the 2017 Stock Incentive Plan, Inducement Stock Option Award, and 2017 Employee Stock Purchase Plan of Apellis Pharmaceuticals, Inc., and</w:t>
      </w:r>
    </w:p>
    <w:p>
      <w:pPr>
        <w:ind w:left="880" w:right="20" w:hanging="440"/>
        <w:spacing w:after="0" w:line="26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333-221528) pertaining to the 2010 Equity Incentive Plan, 2017 Stock Incentive Plan, and 2017 Employee Stock Purchase Plan of Apellis Pharmaceuticals, Inc.;</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February 26, 2019, with respect to the consolidated financial statements of Apellis Pharmaceuticals, Inc. included in this Annual Report (Form 10-K) of Apellis Pharmaceuticals, Inc.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Cedric Francois, certify that:</w:t>
      </w:r>
    </w:p>
    <w:p>
      <w:pPr>
        <w:spacing w:after="0" w:line="225" w:lineRule="exact"/>
        <w:rPr>
          <w:sz w:val="20"/>
          <w:szCs w:val="20"/>
          <w:color w:val="auto"/>
        </w:rPr>
      </w:pPr>
    </w:p>
    <w:p>
      <w:pPr>
        <w:ind w:left="600" w:hanging="592"/>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Apellis Pharmaceuticals,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00" w:right="340" w:hanging="592"/>
        <w:spacing w:after="0" w:line="264"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260" w:hanging="592"/>
        <w:spacing w:after="0" w:line="308"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27, 2020</w:t>
            </w:r>
          </w:p>
        </w:tc>
        <w:tc>
          <w:tcPr>
            <w:tcW w:w="2300" w:type="dxa"/>
            <w:vAlign w:val="bottom"/>
          </w:tcPr>
          <w:p>
            <w:pPr>
              <w:ind w:left="196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Cedric Francois</w:t>
            </w:r>
          </w:p>
        </w:tc>
      </w:tr>
      <w:tr>
        <w:trPr>
          <w:trHeight w:val="218"/>
        </w:trPr>
        <w:tc>
          <w:tcPr>
            <w:tcW w:w="3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1"/>
              </w:rPr>
              <w:t>Cedric Francois</w:t>
            </w:r>
          </w:p>
        </w:tc>
      </w:tr>
      <w:tr>
        <w:trPr>
          <w:trHeight w:val="234"/>
        </w:trPr>
        <w:tc>
          <w:tcPr>
            <w:tcW w:w="3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Chief Executive Officer and President</w:t>
            </w:r>
          </w:p>
        </w:tc>
      </w:tr>
    </w:tbl>
    <w:p>
      <w:pPr>
        <w:sectPr>
          <w:pgSz w:w="11900" w:h="16838" w:orient="portrait"/>
          <w:cols w:equalWidth="0" w:num="1">
            <w:col w:w="11420"/>
          </w:cols>
          <w:pgMar w:left="240" w:top="13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E. Sullivan, certify that:</w:t>
      </w:r>
    </w:p>
    <w:p>
      <w:pPr>
        <w:spacing w:after="0" w:line="225"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Apellis Pharmaceuticals,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00" w:right="340" w:hanging="592"/>
        <w:spacing w:after="0" w:line="264"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260" w:hanging="592"/>
        <w:spacing w:after="0" w:line="308"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February 27, 2020</w:t>
            </w:r>
          </w:p>
        </w:tc>
        <w:tc>
          <w:tcPr>
            <w:tcW w:w="2320" w:type="dxa"/>
            <w:vAlign w:val="bottom"/>
          </w:tcPr>
          <w:p>
            <w:pPr>
              <w:ind w:left="19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Timothy E. Sullivan</w:t>
            </w:r>
          </w:p>
        </w:tc>
      </w:tr>
      <w:tr>
        <w:trPr>
          <w:trHeight w:val="218"/>
        </w:trPr>
        <w:tc>
          <w:tcPr>
            <w:tcW w:w="3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Timothy E. Sullivan</w:t>
            </w:r>
          </w:p>
        </w:tc>
      </w:tr>
      <w:tr>
        <w:trPr>
          <w:trHeight w:val="234"/>
        </w:trPr>
        <w:tc>
          <w:tcPr>
            <w:tcW w:w="3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and Treasurer</w:t>
            </w:r>
          </w:p>
        </w:tc>
      </w:tr>
    </w:tbl>
    <w:p>
      <w:pPr>
        <w:sectPr>
          <w:pgSz w:w="11900" w:h="16838" w:orient="portrait"/>
          <w:cols w:equalWidth="0" w:num="1">
            <w:col w:w="11420"/>
          </w:cols>
          <w:pgMar w:left="240" w:top="139"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In connection with the Annual Report of Apellis Pharmaceuticals, Inc. (the “Company”) on Form 10-K for the year ending December 31, 2019 as filed with the Securities and Exchange Commission on the date hereof (the “Report”), the undersigned, Cedric Francois, the Chief Executive Officer and President of the Company, hereby certifies, pursuant to 18 U.S.C. § 1350, as adopted pursuant to § 906 of the Sarbanes-Oxley Act of 2002, that, to the best of his knowledge:</w:t>
      </w:r>
    </w:p>
    <w:p>
      <w:pPr>
        <w:spacing w:after="0" w:line="187" w:lineRule="exact"/>
        <w:rPr>
          <w:sz w:val="20"/>
          <w:szCs w:val="20"/>
          <w:color w:val="auto"/>
        </w:rPr>
      </w:pPr>
    </w:p>
    <w:p>
      <w:pPr>
        <w:ind w:left="1200" w:hanging="598"/>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Cedric Francois</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Executive Officer and President</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Annual Report of Apellis Pharmaceuticals, Inc. (the “Company”) on Form 10-K for the year ending December 31, 2019 as filed with the Securities and Exchange Commission on the date hereof (the “Report”), the undersigned, Timothy Sullivan, Chief Financial Officer and Treasurer of the Company, hereby certifies, pursuant to 18 U.S.C. § 1350, as adopted pursuant to § 906 of the Sarbanes-Oxley Act of 2002, that, to the best of his knowledge:</w:t>
      </w:r>
    </w:p>
    <w:p>
      <w:pPr>
        <w:spacing w:after="0" w:line="187" w:lineRule="exact"/>
        <w:rPr>
          <w:sz w:val="20"/>
          <w:szCs w:val="20"/>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760" w:val="left"/>
          <w:tab w:leader="none" w:pos="790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Timothy E. Sullivan</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lowerRoman"/>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2"/>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2"/>
    </w:lvl>
  </w:abstractNum>
  <w:abstractNum w:abstractNumId="52">
    <w:nsid w:val="354FE9F9"/>
    <w:multiLevelType w:val="hybridMultilevel"/>
    <w:lvl w:ilvl="0">
      <w:lvlJc w:val="left"/>
      <w:lvlText w:val="(%1)"/>
      <w:numFmt w:val="lowerRoman"/>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lvl w:ilvl="1">
      <w:lvlJc w:val="left"/>
      <w:lvlText w:val="(%2)"/>
      <w:numFmt w:val="decimal"/>
      <w:start w:val="1"/>
    </w:lvl>
  </w:abstractNum>
  <w:abstractNum w:abstractNumId="55">
    <w:nsid w:val="D34B6A8"/>
    <w:multiLevelType w:val="hybridMultilevel"/>
    <w:lvl w:ilvl="0">
      <w:lvlJc w:val="left"/>
      <w:lvlText w:val="%1."/>
      <w:numFmt w:val="decimal"/>
      <w:start w:val="18"/>
    </w:lvl>
    <w:lvl w:ilvl="1">
      <w:lvlJc w:val="left"/>
      <w:lvlText w:val="%2"/>
      <w:numFmt w:val="decimal"/>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lvl w:ilvl="1">
      <w:lvlJc w:val="left"/>
      <w:lvlText w:val="%2"/>
      <w:numFmt w:val="decimal"/>
      <w:start w:val="104"/>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8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160" Type="http://schemas.openxmlformats.org/officeDocument/2006/relationships/hyperlink" Target="http://www.sec.gov/Archives/edgar/data/0001492422/000119312517309813/d445089dex21.htm" TargetMode="External"/><Relationship Id="rId161" Type="http://schemas.openxmlformats.org/officeDocument/2006/relationships/hyperlink" Target="http://www.sec.gov/Archives/edgar/data/0001492422/000119312517340923/d493537dex31.htm" TargetMode="External"/><Relationship Id="rId162" Type="http://schemas.openxmlformats.org/officeDocument/2006/relationships/hyperlink" Target="http://www.sec.gov/Archives/edgar/data/0001492422/000119312517340923/d493537dex32.htm" TargetMode="External"/><Relationship Id="rId163" Type="http://schemas.openxmlformats.org/officeDocument/2006/relationships/hyperlink" Target="http://www.sec.gov/Archives/edgar/data/0001492422/000119312517323102/d445089dex41.htm" TargetMode="External"/><Relationship Id="rId164" Type="http://schemas.openxmlformats.org/officeDocument/2006/relationships/hyperlink" Target="http://www.sec.gov/Archives/edgar/data/0001492422/000119312517309813/d445089dex42.htm" TargetMode="External"/><Relationship Id="rId165" Type="http://schemas.openxmlformats.org/officeDocument/2006/relationships/hyperlink" Target="http://www.sec.gov/Archives/edgar/data/0001492422/000119312519245912/d802733dex41.htm" TargetMode="External"/><Relationship Id="rId166" Type="http://schemas.openxmlformats.org/officeDocument/2006/relationships/hyperlink" Target="http://www.sec.gov/Archives/edgar/data/0001492422/000119312517309813/d445089dex101.htm" TargetMode="External"/><Relationship Id="rId167" Type="http://schemas.openxmlformats.org/officeDocument/2006/relationships/hyperlink" Target="http://www.sec.gov/Archives/edgar/data/0001492422/000119312517309813/d445089dex102.htm" TargetMode="External"/><Relationship Id="rId168" Type="http://schemas.openxmlformats.org/officeDocument/2006/relationships/hyperlink" Target="http://www.sec.gov/Archives/edgar/data/0001492422/000119312517309813/d445089dex103.htm" TargetMode="External"/><Relationship Id="rId169" Type="http://schemas.openxmlformats.org/officeDocument/2006/relationships/hyperlink" Target="http://www.sec.gov/Archives/edgar/data/0001492422/000119312517324222/d445089dex104.htm" TargetMode="External"/><Relationship Id="rId170" Type="http://schemas.openxmlformats.org/officeDocument/2006/relationships/hyperlink" Target="http://www.sec.gov/Archives/edgar/data/0001492422/000119312517323102/d445089dex105.htm" TargetMode="External"/><Relationship Id="rId171" Type="http://schemas.openxmlformats.org/officeDocument/2006/relationships/hyperlink" Target="http://www.sec.gov/Archives/edgar/data/0001492422/000119312517323102/d445089dex106.htm" TargetMode="External"/><Relationship Id="rId172" Type="http://schemas.openxmlformats.org/officeDocument/2006/relationships/hyperlink" Target="http://www.sec.gov/Archives/edgar/data/0001492422/000119312517323102/d445089dex107.htm" TargetMode="External"/><Relationship Id="rId173" Type="http://schemas.openxmlformats.org/officeDocument/2006/relationships/hyperlink" Target="http://www.sec.gov/Archives/edgar/data/1492422/000095012317008317/filename10.htm" TargetMode="External"/><Relationship Id="rId174" Type="http://schemas.openxmlformats.org/officeDocument/2006/relationships/hyperlink" Target="http://www.sec.gov/Archives/edgar/data/0001492422/000119312517309813/d445089dex109.htm" TargetMode="External"/><Relationship Id="rId175" Type="http://schemas.openxmlformats.org/officeDocument/2006/relationships/hyperlink" Target="http://www.sec.gov/Archives/edgar/data/0001492422/000119312517309813/d445089dex1010.htm" TargetMode="External"/><Relationship Id="rId176" Type="http://schemas.openxmlformats.org/officeDocument/2006/relationships/hyperlink" Target="http://www.sec.gov/Archives/edgar/data/0001492422/000119312517324222/d445089dex1011.htm" TargetMode="External"/><Relationship Id="rId177" Type="http://schemas.openxmlformats.org/officeDocument/2006/relationships/hyperlink" Target="http://www.sec.gov/Archives/edgar/data/0001492422/000119312517309813/d445089dex1013.htm" TargetMode="External"/><Relationship Id="rId178" Type="http://schemas.openxmlformats.org/officeDocument/2006/relationships/hyperlink" Target="http://www.sec.gov/Archives/edgar/data/0001492422/000119312517324222/d445089dex1015.htm" TargetMode="External"/><Relationship Id="rId179" Type="http://schemas.openxmlformats.org/officeDocument/2006/relationships/hyperlink" Target="http://www.sec.gov/Archives/edgar/data/0001492422/000119312517315537/d445089dex1016.htm" TargetMode="External"/><Relationship Id="rId180" Type="http://schemas.openxmlformats.org/officeDocument/2006/relationships/hyperlink" Target="http://www.sec.gov/Archives/edgar/data/0001492422/000119312517315537/d445089dex1017.htm" TargetMode="External"/><Relationship Id="rId181" Type="http://schemas.openxmlformats.org/officeDocument/2006/relationships/hyperlink" Target="http://www.sec.gov/Archives/edgar/data/0001492422/000119312517315537/d445089dex1018.htm" TargetMode="External"/><Relationship Id="rId182" Type="http://schemas.openxmlformats.org/officeDocument/2006/relationships/hyperlink" Target="http://www.sec.gov/Archives/edgar/data/0001492422/000119312517315537/d445089dex1019.htm" TargetMode="External"/><Relationship Id="rId183" Type="http://schemas.openxmlformats.org/officeDocument/2006/relationships/hyperlink" Target="http://www.sec.gov/Archives/edgar/data/0001492422/000156459018018096/apls-ex101_42.htm" TargetMode="External"/><Relationship Id="rId185" Type="http://schemas.openxmlformats.org/officeDocument/2006/relationships/hyperlink" Target="http://www.sec.gov/Archives/edgar/data/0001492422/000156459018018096/apls-ex102_41.htm" TargetMode="External"/><Relationship Id="rId186" Type="http://schemas.openxmlformats.org/officeDocument/2006/relationships/hyperlink" Target="http://www.sec.gov/Archives/edgar/data/0001492422/000156459019027462/apls-ex102_184.htm" TargetMode="External"/><Relationship Id="rId187" Type="http://schemas.openxmlformats.org/officeDocument/2006/relationships/hyperlink" Target="http://www.sec.gov/Archives/edgar/data/0001492422/000156459019040063/apls-ex101_36.htm" TargetMode="External"/><Relationship Id="rId188" Type="http://schemas.openxmlformats.org/officeDocument/2006/relationships/hyperlink" Target="http://www.sec.gov/Archives/edgar/data/0001492422/000119312518361002/d665419dex12.htm" TargetMode="External"/><Relationship Id="rId189" Type="http://schemas.openxmlformats.org/officeDocument/2006/relationships/hyperlink" Target="http://www.sec.gov/Archives/edgar/data/0001492422/000156459019016638/apls-ex101_221.htm" TargetMode="External"/><Relationship Id="rId190" Type="http://schemas.openxmlformats.org/officeDocument/2006/relationships/hyperlink" Target="http://www.sec.gov/Archives/edgar/data/0001492422/000156459019027462/apls-ex101_11.htm" TargetMode="External"/><Relationship Id="rId191" Type="http://schemas.openxmlformats.org/officeDocument/2006/relationships/hyperlink" Target="http://www.sec.gov/Archives/edgar/data/0001492422/000156459019016638/apls-ex102_113.htm" TargetMode="External"/><Relationship Id="rId192" Type="http://schemas.openxmlformats.org/officeDocument/2006/relationships/hyperlink" Target="http://www.sec.gov/Archives/edgar/data/0001492422/000156459019016638/apls-ex103_168.htm" TargetMode="External"/><Relationship Id="rId193" Type="http://schemas.openxmlformats.org/officeDocument/2006/relationships/hyperlink" Target="http://www.sec.gov/Archives/edgar/data/0001492422/000119312519245912/d802733dex101.htm" TargetMode="External"/><Relationship Id="rId194" Type="http://schemas.openxmlformats.org/officeDocument/2006/relationships/hyperlink" Target="http://www.sec.gov/Archives/edgar/data/0001492422/000119312519263749/d81424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2020-02-27T16:24:58Z</dcterms:created>
  <dcterms:modified xsi:type="dcterms:W3CDTF">2020-02-27T16:24:58Z</dcterms:modified>
</cp:coreProperties>
</file>