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7338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338060"/>
                    </a:xfrm>
                    <a:prstGeom prst="rect">
                      <a:avLst/>
                    </a:prstGeom>
                    <a:noFill/>
                  </pic:spPr>
                </pic:pic>
              </a:graphicData>
            </a:graphic>
          </wp:anchor>
        </w:drawing>
      </w:r>
    </w:p>
    <w:p>
      <w:pPr>
        <w:spacing w:after="0" w:line="1244" w:lineRule="exact"/>
        <w:rPr>
          <w:sz w:val="24"/>
          <w:szCs w:val="24"/>
          <w:color w:val="auto"/>
        </w:rPr>
      </w:pPr>
    </w:p>
    <w:p>
      <w:pPr>
        <w:sectPr>
          <w:pgSz w:w="11900" w:h="16871"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Baumal Caroline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APELLIS PHARMACEUTICALS,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FIFTH AVENUE,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Apellis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APLS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96" w:lineRule="exact"/>
        <w:rPr>
          <w:sz w:val="24"/>
          <w:szCs w:val="24"/>
          <w:color w:val="auto"/>
        </w:rPr>
      </w:pPr>
    </w:p>
    <w:p>
      <w:pPr>
        <w:sectPr>
          <w:pgSz w:w="11900" w:h="16871" w:orient="portrait"/>
          <w:cols w:equalWidth="0" w:num="3">
            <w:col w:w="3220" w:space="680"/>
            <w:col w:w="3120" w:space="703"/>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3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920" w:type="dxa"/>
            <w:vAlign w:val="bottom"/>
            <w:gridSpan w:val="5"/>
          </w:tcPr>
          <w:p>
            <w:pPr>
              <w:ind w:left="16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left="567"/>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05/14/2026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780" w:type="dxa"/>
            <w:vAlign w:val="bottom"/>
            <w:tcBorders>
              <w:bottom w:val="single" w:sz="8" w:color="2C2C2C"/>
            </w:tcBorders>
            <w:gridSpan w:val="2"/>
          </w:tcPr>
          <w:p>
            <w:pPr>
              <w:jc w:val="center"/>
              <w:ind w:left="171"/>
              <w:spacing w:after="0"/>
              <w:rPr>
                <w:sz w:val="20"/>
                <w:szCs w:val="20"/>
                <w:color w:val="auto"/>
              </w:rPr>
            </w:pPr>
            <w:r>
              <w:rPr>
                <w:rFonts w:ascii="Times New Roman" w:cs="Times New Roman" w:eastAsia="Times New Roman" w:hAnsi="Times New Roman"/>
                <w:sz w:val="17"/>
                <w:szCs w:val="17"/>
                <w:color w:val="0000FF"/>
                <w:w w:val="98"/>
              </w:rPr>
              <w:t>86,525</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159"/>
              <w:spacing w:after="0"/>
              <w:rPr>
                <w:sz w:val="20"/>
                <w:szCs w:val="20"/>
                <w:color w:val="auto"/>
              </w:rPr>
            </w:pPr>
            <w:r>
              <w:rPr>
                <w:rFonts w:ascii="Times New Roman" w:cs="Times New Roman" w:eastAsia="Times New Roman" w:hAnsi="Times New Roman"/>
                <w:sz w:val="11"/>
                <w:szCs w:val="11"/>
                <w:color w:val="008000"/>
              </w:rPr>
              <w:t>(1)(2)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5"/>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05/14/2026</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gridSpan w:val="2"/>
          </w:tcPr>
          <w:p>
            <w:pPr>
              <w:jc w:val="center"/>
              <w:ind w:left="171"/>
              <w:spacing w:after="0"/>
              <w:rPr>
                <w:sz w:val="20"/>
                <w:szCs w:val="20"/>
                <w:color w:val="auto"/>
              </w:rPr>
            </w:pPr>
            <w:r>
              <w:rPr>
                <w:rFonts w:ascii="Times New Roman" w:cs="Times New Roman" w:eastAsia="Times New Roman" w:hAnsi="Times New Roman"/>
                <w:sz w:val="17"/>
                <w:szCs w:val="17"/>
                <w:color w:val="0000FF"/>
                <w:w w:val="98"/>
              </w:rPr>
              <w:t>41,250</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59"/>
              <w:spacing w:after="0"/>
              <w:rPr>
                <w:sz w:val="20"/>
                <w:szCs w:val="20"/>
                <w:color w:val="auto"/>
              </w:rPr>
            </w:pPr>
            <w:r>
              <w:rPr>
                <w:rFonts w:ascii="Times New Roman" w:cs="Times New Roman" w:eastAsia="Times New Roman" w:hAnsi="Times New Roman"/>
                <w:sz w:val="11"/>
                <w:szCs w:val="11"/>
                <w:color w:val="008000"/>
              </w:rPr>
              <w:t>(3)(4)</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41,250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05/14/2026</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gridSpan w:val="2"/>
          </w:tcPr>
          <w:p>
            <w:pPr>
              <w:jc w:val="center"/>
              <w:ind w:left="171"/>
              <w:spacing w:after="0"/>
              <w:rPr>
                <w:sz w:val="20"/>
                <w:szCs w:val="20"/>
                <w:color w:val="auto"/>
              </w:rPr>
            </w:pPr>
            <w:r>
              <w:rPr>
                <w:rFonts w:ascii="Times New Roman" w:cs="Times New Roman" w:eastAsia="Times New Roman" w:hAnsi="Times New Roman"/>
                <w:sz w:val="17"/>
                <w:szCs w:val="17"/>
                <w:color w:val="0000FF"/>
                <w:w w:val="98"/>
              </w:rPr>
              <w:t>41,250</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center"/>
              <w:ind w:left="159"/>
              <w:spacing w:after="0"/>
              <w:rPr>
                <w:sz w:val="20"/>
                <w:szCs w:val="20"/>
                <w:color w:val="auto"/>
              </w:rPr>
            </w:pPr>
            <w:r>
              <w:rPr>
                <w:rFonts w:ascii="Times New Roman" w:cs="Times New Roman" w:eastAsia="Times New Roman" w:hAnsi="Times New Roman"/>
                <w:sz w:val="11"/>
                <w:szCs w:val="11"/>
                <w:color w:val="008000"/>
              </w:rPr>
              <w:t>(3)(4)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jc w:val="center"/>
              <w:ind w:right="475"/>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05/14/2026</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gridSpan w:val="2"/>
          </w:tcPr>
          <w:p>
            <w:pPr>
              <w:jc w:val="center"/>
              <w:ind w:left="171"/>
              <w:spacing w:after="0"/>
              <w:rPr>
                <w:sz w:val="20"/>
                <w:szCs w:val="20"/>
                <w:color w:val="auto"/>
              </w:rPr>
            </w:pPr>
            <w:r>
              <w:rPr>
                <w:rFonts w:ascii="Times New Roman" w:cs="Times New Roman" w:eastAsia="Times New Roman" w:hAnsi="Times New Roman"/>
                <w:sz w:val="17"/>
                <w:szCs w:val="17"/>
                <w:color w:val="0000FF"/>
                <w:w w:val="98"/>
              </w:rPr>
              <w:t>26,396</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center"/>
              <w:ind w:left="99"/>
              <w:spacing w:after="0"/>
              <w:rPr>
                <w:sz w:val="20"/>
                <w:szCs w:val="20"/>
                <w:color w:val="auto"/>
              </w:rPr>
            </w:pPr>
            <w:r>
              <w:rPr>
                <w:rFonts w:ascii="Times New Roman" w:cs="Times New Roman" w:eastAsia="Times New Roman" w:hAnsi="Times New Roman"/>
                <w:sz w:val="11"/>
                <w:szCs w:val="11"/>
                <w:color w:val="008000"/>
                <w:w w:val="98"/>
              </w:rPr>
              <w:t>(5)(6)(7)</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26,396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05/14/2026</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gridSpan w:val="2"/>
          </w:tcPr>
          <w:p>
            <w:pPr>
              <w:jc w:val="center"/>
              <w:ind w:left="171"/>
              <w:spacing w:after="0"/>
              <w:rPr>
                <w:sz w:val="20"/>
                <w:szCs w:val="20"/>
                <w:color w:val="auto"/>
              </w:rPr>
            </w:pPr>
            <w:r>
              <w:rPr>
                <w:rFonts w:ascii="Times New Roman" w:cs="Times New Roman" w:eastAsia="Times New Roman" w:hAnsi="Times New Roman"/>
                <w:sz w:val="17"/>
                <w:szCs w:val="17"/>
                <w:color w:val="0000FF"/>
                <w:w w:val="98"/>
              </w:rPr>
              <w:t>26,396</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99"/>
              <w:spacing w:after="0"/>
              <w:rPr>
                <w:sz w:val="20"/>
                <w:szCs w:val="20"/>
                <w:color w:val="auto"/>
              </w:rPr>
            </w:pPr>
            <w:r>
              <w:rPr>
                <w:rFonts w:ascii="Times New Roman" w:cs="Times New Roman" w:eastAsia="Times New Roman" w:hAnsi="Times New Roman"/>
                <w:sz w:val="11"/>
                <w:szCs w:val="11"/>
                <w:color w:val="008000"/>
                <w:w w:val="98"/>
              </w:rPr>
              <w:t>(5)(6)(7)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jc w:val="center"/>
              <w:ind w:right="475"/>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05/14/2026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jc w:val="center"/>
              <w:ind w:left="251"/>
              <w:spacing w:after="0"/>
              <w:rPr>
                <w:sz w:val="20"/>
                <w:szCs w:val="20"/>
                <w:color w:val="auto"/>
              </w:rPr>
            </w:pPr>
            <w:r>
              <w:rPr>
                <w:rFonts w:ascii="Times New Roman" w:cs="Times New Roman" w:eastAsia="Times New Roman" w:hAnsi="Times New Roman"/>
                <w:sz w:val="17"/>
                <w:szCs w:val="17"/>
                <w:color w:val="0000FF"/>
                <w:w w:val="99"/>
              </w:rPr>
              <w:t>8,888</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159"/>
              <w:spacing w:after="0"/>
              <w:rPr>
                <w:sz w:val="20"/>
                <w:szCs w:val="20"/>
                <w:color w:val="auto"/>
              </w:rPr>
            </w:pPr>
            <w:r>
              <w:rPr>
                <w:rFonts w:ascii="Times New Roman" w:cs="Times New Roman" w:eastAsia="Times New Roman" w:hAnsi="Times New Roman"/>
                <w:sz w:val="11"/>
                <w:szCs w:val="11"/>
                <w:color w:val="008000"/>
              </w:rPr>
              <w:t>(8)(9)</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0</w:t>
            </w:r>
            <w:r>
              <w:rPr>
                <w:rFonts w:ascii="Times New Roman" w:cs="Times New Roman" w:eastAsia="Times New Roman" w:hAnsi="Times New Roman"/>
                <w:sz w:val="11"/>
                <w:szCs w:val="11"/>
                <w:color w:val="008000"/>
                <w:w w:val="87"/>
              </w:rPr>
              <w:t>(8)(9)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05/14/2026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Borders>
              <w:bottom w:val="single" w:sz="8" w:color="2C2C2C"/>
            </w:tcBorders>
            <w:gridSpan w:val="2"/>
          </w:tcPr>
          <w:p>
            <w:pPr>
              <w:jc w:val="center"/>
              <w:ind w:left="171"/>
              <w:spacing w:after="0"/>
              <w:rPr>
                <w:sz w:val="20"/>
                <w:szCs w:val="20"/>
                <w:color w:val="auto"/>
              </w:rPr>
            </w:pPr>
            <w:r>
              <w:rPr>
                <w:rFonts w:ascii="Times New Roman" w:cs="Times New Roman" w:eastAsia="Times New Roman" w:hAnsi="Times New Roman"/>
                <w:sz w:val="17"/>
                <w:szCs w:val="17"/>
                <w:color w:val="0000FF"/>
                <w:w w:val="98"/>
              </w:rPr>
              <w:t>12,723</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159"/>
              <w:spacing w:after="0"/>
              <w:rPr>
                <w:sz w:val="20"/>
                <w:szCs w:val="20"/>
                <w:color w:val="auto"/>
              </w:rPr>
            </w:pPr>
            <w:r>
              <w:rPr>
                <w:rFonts w:ascii="Times New Roman" w:cs="Times New Roman" w:eastAsia="Times New Roman" w:hAnsi="Times New Roman"/>
                <w:sz w:val="11"/>
                <w:szCs w:val="11"/>
                <w:color w:val="008000"/>
              </w:rPr>
              <w:t>(8)(9)</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0</w:t>
            </w:r>
            <w:r>
              <w:rPr>
                <w:rFonts w:ascii="Times New Roman" w:cs="Times New Roman" w:eastAsia="Times New Roman" w:hAnsi="Times New Roman"/>
                <w:sz w:val="11"/>
                <w:szCs w:val="11"/>
                <w:color w:val="008000"/>
                <w:w w:val="87"/>
              </w:rPr>
              <w:t>(8)(9)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05/14/2026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Borders>
              <w:bottom w:val="single" w:sz="8" w:color="2C2C2C"/>
            </w:tcBorders>
            <w:gridSpan w:val="2"/>
          </w:tcPr>
          <w:p>
            <w:pPr>
              <w:jc w:val="center"/>
              <w:ind w:left="171"/>
              <w:spacing w:after="0"/>
              <w:rPr>
                <w:sz w:val="20"/>
                <w:szCs w:val="20"/>
                <w:color w:val="auto"/>
              </w:rPr>
            </w:pPr>
            <w:r>
              <w:rPr>
                <w:rFonts w:ascii="Times New Roman" w:cs="Times New Roman" w:eastAsia="Times New Roman" w:hAnsi="Times New Roman"/>
                <w:sz w:val="17"/>
                <w:szCs w:val="17"/>
                <w:color w:val="0000FF"/>
                <w:w w:val="98"/>
              </w:rPr>
              <w:t>29,696</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159"/>
              <w:spacing w:after="0"/>
              <w:rPr>
                <w:sz w:val="20"/>
                <w:szCs w:val="20"/>
                <w:color w:val="auto"/>
              </w:rPr>
            </w:pPr>
            <w:r>
              <w:rPr>
                <w:rFonts w:ascii="Times New Roman" w:cs="Times New Roman" w:eastAsia="Times New Roman" w:hAnsi="Times New Roman"/>
                <w:sz w:val="11"/>
                <w:szCs w:val="11"/>
                <w:color w:val="008000"/>
              </w:rPr>
              <w:t>(8)(9)</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0</w:t>
            </w:r>
            <w:r>
              <w:rPr>
                <w:rFonts w:ascii="Times New Roman" w:cs="Times New Roman" w:eastAsia="Times New Roman" w:hAnsi="Times New Roman"/>
                <w:sz w:val="11"/>
                <w:szCs w:val="11"/>
                <w:color w:val="008000"/>
                <w:w w:val="87"/>
              </w:rPr>
              <w:t>(8)(9)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00" w:type="dxa"/>
            <w:vAlign w:val="bottom"/>
            <w:tcBorders>
              <w:top w:val="single" w:sz="8" w:color="2C2C2C"/>
            </w:tcBorders>
            <w:gridSpan w:val="13"/>
          </w:tcPr>
          <w:p>
            <w:pPr>
              <w:jc w:val="center"/>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67"/>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jc w:val="center"/>
              <w:ind w:right="415"/>
              <w:spacing w:after="0"/>
              <w:rPr>
                <w:sz w:val="20"/>
                <w:szCs w:val="20"/>
                <w:color w:val="auto"/>
              </w:rPr>
            </w:pPr>
            <w:r>
              <w:rPr>
                <w:rFonts w:ascii="Arial" w:cs="Arial" w:eastAsia="Arial" w:hAnsi="Arial"/>
                <w:sz w:val="12"/>
                <w:szCs w:val="12"/>
                <w:b w:val="1"/>
                <w:bCs w:val="1"/>
                <w:color w:val="auto"/>
                <w:w w:val="99"/>
              </w:rPr>
              <w:t>4.</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0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jc w:val="center"/>
              <w:ind w:right="415"/>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19.39</w:t>
            </w:r>
          </w:p>
        </w:tc>
        <w:tc>
          <w:tcPr>
            <w:tcW w:w="1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96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82,500</w:t>
            </w: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(10)</w:t>
            </w:r>
          </w:p>
        </w:tc>
        <w:tc>
          <w:tcPr>
            <w:tcW w:w="700" w:type="dxa"/>
            <w:vAlign w:val="bottom"/>
          </w:tcPr>
          <w:p>
            <w:pPr>
              <w:ind w:left="220"/>
              <w:spacing w:after="0"/>
              <w:rPr>
                <w:sz w:val="20"/>
                <w:szCs w:val="20"/>
                <w:color w:val="auto"/>
              </w:rPr>
            </w:pPr>
            <w:r>
              <w:rPr>
                <w:rFonts w:ascii="Times New Roman" w:cs="Times New Roman" w:eastAsia="Times New Roman" w:hAnsi="Times New Roman"/>
                <w:sz w:val="11"/>
                <w:szCs w:val="11"/>
                <w:color w:val="008000"/>
              </w:rPr>
              <w:t>(10)</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82,500</w:t>
            </w:r>
          </w:p>
        </w:tc>
        <w:tc>
          <w:tcPr>
            <w:tcW w:w="60" w:type="dxa"/>
            <w:vAlign w:val="bottom"/>
          </w:tcPr>
          <w:p>
            <w:pPr>
              <w:spacing w:after="0"/>
              <w:rPr>
                <w:sz w:val="17"/>
                <w:szCs w:val="17"/>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ind w:left="4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50.28</w:t>
            </w:r>
          </w:p>
        </w:tc>
        <w:tc>
          <w:tcPr>
            <w:tcW w:w="1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96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49,000</w:t>
            </w: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(11)</w:t>
            </w:r>
          </w:p>
        </w:tc>
        <w:tc>
          <w:tcPr>
            <w:tcW w:w="700" w:type="dxa"/>
            <w:vAlign w:val="bottom"/>
          </w:tcPr>
          <w:p>
            <w:pPr>
              <w:ind w:left="220"/>
              <w:spacing w:after="0"/>
              <w:rPr>
                <w:sz w:val="20"/>
                <w:szCs w:val="20"/>
                <w:color w:val="auto"/>
              </w:rPr>
            </w:pPr>
            <w:r>
              <w:rPr>
                <w:rFonts w:ascii="Times New Roman" w:cs="Times New Roman" w:eastAsia="Times New Roman" w:hAnsi="Times New Roman"/>
                <w:sz w:val="11"/>
                <w:szCs w:val="11"/>
                <w:color w:val="008000"/>
              </w:rPr>
              <w:t>(11)</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49,000</w:t>
            </w:r>
          </w:p>
        </w:tc>
        <w:tc>
          <w:tcPr>
            <w:tcW w:w="60" w:type="dxa"/>
            <w:vAlign w:val="bottom"/>
          </w:tcPr>
          <w:p>
            <w:pPr>
              <w:spacing w:after="0"/>
              <w:rPr>
                <w:sz w:val="17"/>
                <w:szCs w:val="17"/>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70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ind w:left="4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66.3</w:t>
            </w:r>
          </w:p>
        </w:tc>
        <w:tc>
          <w:tcPr>
            <w:tcW w:w="1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96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37,000</w:t>
            </w: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(11)</w:t>
            </w:r>
          </w:p>
        </w:tc>
        <w:tc>
          <w:tcPr>
            <w:tcW w:w="700" w:type="dxa"/>
            <w:vAlign w:val="bottom"/>
          </w:tcPr>
          <w:p>
            <w:pPr>
              <w:ind w:left="220"/>
              <w:spacing w:after="0"/>
              <w:rPr>
                <w:sz w:val="20"/>
                <w:szCs w:val="20"/>
                <w:color w:val="auto"/>
              </w:rPr>
            </w:pPr>
            <w:r>
              <w:rPr>
                <w:rFonts w:ascii="Times New Roman" w:cs="Times New Roman" w:eastAsia="Times New Roman" w:hAnsi="Times New Roman"/>
                <w:sz w:val="11"/>
                <w:szCs w:val="11"/>
                <w:color w:val="008000"/>
              </w:rPr>
              <w:t>(11)</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37,000</w:t>
            </w:r>
          </w:p>
        </w:tc>
        <w:tc>
          <w:tcPr>
            <w:tcW w:w="60" w:type="dxa"/>
            <w:vAlign w:val="bottom"/>
          </w:tcPr>
          <w:p>
            <w:pPr>
              <w:spacing w:after="0"/>
              <w:rPr>
                <w:sz w:val="17"/>
                <w:szCs w:val="17"/>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70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ind w:left="4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that certain Agreement and Plan of Merger (the "Merger Agreement"), by and among Apellis Pharmaceuticals, Inc. (the "Issuer"), Biogen Inc. ("Parent") and Parent's direct wholly-owned subsidiary, Aspen Purchaser Sub, Inc. ("Purchaser"), dated as of March 31, 2026, the shares of common stock, par value $0.0001 per share, of the Issuer (the "Common Stock") that were tendered to Purchaser prior to the expiration time of the tender offer were exchanged for: (i) $41.00 per share of Common Stock, net to the seller in cash, without interest and subject to reduction for any applicable tax withholding (the "Cash Amount"), plus (ii) one contractual, non-transferable contingent value right per share of Common Stock (each, a "CVR"), which entitles the holder to receive potential payments of up to an aggregate of $4.00 in cash, without interest and subject to reduction for any applicable tax withholding,</w:t>
      </w:r>
    </w:p>
    <w:p>
      <w:pPr>
        <w:spacing w:after="0" w:line="26" w:lineRule="exact"/>
        <w:rPr>
          <w:rFonts w:ascii="Times New Roman" w:cs="Times New Roman" w:eastAsia="Times New Roman" w:hAnsi="Times New Roman"/>
          <w:sz w:val="13"/>
          <w:szCs w:val="13"/>
          <w:color w:val="008000"/>
        </w:rPr>
      </w:pPr>
    </w:p>
    <w:p>
      <w:pPr>
        <w:ind w:left="40" w:right="16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upon the achievement of certain specified milestones in accordance with the terms and conditions of a contingent value rights agreement (the "CVR Agreement" and the Cash Amount plus one CVR, together, the "Offer Price"). After completion of the tender offer, pursuant to the terms of the Merger Agreement, Purchaser merged with and into the Issuer (the "Merger"), effective as of the filing and acceptance of the certificate of merger relating thereto on May 14, 2026 (the "Effective Time"), with the Issuer continuing as the surviving corporation (the "Surviving Corporation") and a wholly owned subsidiary of Parent. In the Merger, each share of Common Stock issued and outstanding immediately prior to the Effective Time, subject to certain exceptions, was automatically converted into the right to receive the Offer Price from Purchaser, without interest and subject to reduction for any applicable withholding taxes.</w:t>
      </w:r>
    </w:p>
    <w:p>
      <w:pPr>
        <w:spacing w:after="0" w:line="26" w:lineRule="exact"/>
        <w:rPr>
          <w:rFonts w:ascii="Times New Roman" w:cs="Times New Roman" w:eastAsia="Times New Roman" w:hAnsi="Times New Roman"/>
          <w:sz w:val="13"/>
          <w:szCs w:val="13"/>
          <w:color w:val="008000"/>
        </w:rPr>
      </w:pPr>
    </w:p>
    <w:p>
      <w:pPr>
        <w:ind w:left="40" w:right="180" w:firstLine="2"/>
        <w:spacing w:after="0" w:line="297"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Merger Agreement, effective as of immediately prior to the Effective Time, each outstanding RSU that was not a Cash-Out RSU Award (each, a "Converted RSU Award") that was subject to both a time-based and a performance-based vesting schedule (other than RSUs granted in January 2026 and for which performance-based vesting schedule was based on total shareholder return), was</w:t>
      </w:r>
    </w:p>
    <w:p>
      <w:pPr>
        <w:sectPr>
          <w:pgSz w:w="11900" w:h="16871" w:orient="portrait"/>
          <w:cols w:equalWidth="0" w:num="1">
            <w:col w:w="11080"/>
          </w:cols>
          <w:pgMar w:left="460" w:top="217" w:right="359" w:bottom="0" w:gutter="0" w:footer="0" w:header="0"/>
          <w:type w:val="continuous"/>
        </w:sectPr>
      </w:pPr>
    </w:p>
    <w:bookmarkStart w:id="1" w:name="page2"/>
    <w:bookmarkEnd w:id="1"/>
    <w:p>
      <w:pPr>
        <w:ind w:right="300"/>
        <w:spacing w:after="0" w:line="242" w:lineRule="auto"/>
        <w:rPr>
          <w:sz w:val="20"/>
          <w:szCs w:val="20"/>
          <w:color w:val="auto"/>
        </w:rPr>
      </w:pPr>
      <w:r>
        <w:rPr>
          <w:rFonts w:ascii="Times New Roman" w:cs="Times New Roman" w:eastAsia="Times New Roman" w:hAnsi="Times New Roman"/>
          <w:sz w:val="13"/>
          <w:szCs w:val="13"/>
          <w:color w:val="008000"/>
        </w:rPr>
        <w:t>automatically cancelled and converted into the contingent right to receive (i) an amount of cash, without interest and less applicable tax withholding, equal to the product of (x) the total number of shares of Common Stock underlying such Converted RSU Award, as determined based on the target level of performance, multiplied by (y) the Cash Amount and (ii) one CVR for each share of Common Stock underlying such Converted RSU Award.</w:t>
      </w:r>
    </w:p>
    <w:p>
      <w:pPr>
        <w:spacing w:after="0" w:line="25" w:lineRule="exact"/>
        <w:rPr>
          <w:sz w:val="20"/>
          <w:szCs w:val="20"/>
          <w:color w:val="auto"/>
        </w:rPr>
      </w:pPr>
    </w:p>
    <w:p>
      <w:pPr>
        <w:ind w:right="80" w:firstLine="2"/>
        <w:spacing w:after="0" w:line="236"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3) Subject to the holder's continued service through the vesting dates applicable to the Converted RSU Award under its terms as in effect immediately prior to the Effective Time, all payments in respect of such Converted RSU Award pursuant to the Merger Agreement will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 as extended as provided by the Merger Agreement) as were applicable to the underlying RSU immediately prior to the Effective Time and the terms of the CVR Agreement, provided that such payments will no longer be subject to performance-based vesting.</w:t>
      </w:r>
    </w:p>
    <w:p>
      <w:pPr>
        <w:spacing w:after="0" w:line="26" w:lineRule="exact"/>
        <w:rPr>
          <w:rFonts w:ascii="Times New Roman" w:cs="Times New Roman" w:eastAsia="Times New Roman" w:hAnsi="Times New Roman"/>
          <w:sz w:val="13"/>
          <w:szCs w:val="13"/>
          <w:color w:val="008000"/>
        </w:rPr>
      </w:pPr>
    </w:p>
    <w:p>
      <w:pPr>
        <w:ind w:right="20" w:firstLine="2"/>
        <w:spacing w:after="0" w:line="236"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Converted RSU Award that was granted in January 2026 subject to both a time-based and a performance-based vesting schedule, with the performance-based vesting schedule based on performance with respect to total shareholder return ("TSR") relative to the TSR of the group of companies in the Nasdaq Biotechnology Index ("Relative TSR"), was automatically cancelled and converted into the contingent right to receive (i) an amount of cash, without interest and less applicable tax withholding, equal to the product of (x) the total number of shares of Common Stock underlying such Converted RSU Award, as determined based on the actual performance determined by the compensation committee of the Issuer's board of directors as of May 8, 2026 (which is the latest practicable date prior to the Effective Time),</w:t>
      </w:r>
    </w:p>
    <w:p>
      <w:pPr>
        <w:spacing w:after="0" w:line="26" w:lineRule="exact"/>
        <w:rPr>
          <w:rFonts w:ascii="Times New Roman" w:cs="Times New Roman" w:eastAsia="Times New Roman" w:hAnsi="Times New Roman"/>
          <w:sz w:val="13"/>
          <w:szCs w:val="13"/>
          <w:color w:val="008000"/>
        </w:rPr>
      </w:pPr>
    </w:p>
    <w:p>
      <w:pPr>
        <w:ind w:right="200" w:firstLine="2"/>
        <w:spacing w:after="0" w:line="259" w:lineRule="auto"/>
        <w:tabs>
          <w:tab w:leader="none" w:pos="129"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5) multiplied by (y) the Cash Amount and (ii) one CVR for each share of Common Stock underlying such Converted RSU Award. On May 11, 2026, the compensation committee certified that the Relative TSR as of May 8, 2026 was at the 93.3rd percentile, which resulted in a payout percentage of 200% of target for each such Converted RSU Award, as reported in the table above. Subject to the holder's continued service through the vesting dates applicable to the Converted RSU Award under its terms as in effect immediately prior to the Effective Time, all payments in respect of such Converted RSU Award pursuant to the Merger Agreement will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w:t>
      </w:r>
    </w:p>
    <w:p>
      <w:pPr>
        <w:spacing w:after="0" w:line="17" w:lineRule="exact"/>
        <w:rPr>
          <w:rFonts w:ascii="Times New Roman" w:cs="Times New Roman" w:eastAsia="Times New Roman" w:hAnsi="Times New Roman"/>
          <w:sz w:val="12"/>
          <w:szCs w:val="12"/>
          <w:color w:val="008000"/>
        </w:rPr>
      </w:pPr>
    </w:p>
    <w:p>
      <w:pPr>
        <w:ind w:right="340" w:firstLine="2"/>
        <w:spacing w:after="0" w:line="256"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6 ) as extended as provided by the Merger Agreement) as were applicable to the underlying RSU immediately prior to the Effective Time and the terms of the CVR Agreement, provided that such payments will no longer be subject to performance-based vesting.</w:t>
      </w:r>
    </w:p>
    <w:p>
      <w:pPr>
        <w:spacing w:after="0" w:line="16" w:lineRule="exact"/>
        <w:rPr>
          <w:rFonts w:ascii="Times New Roman" w:cs="Times New Roman" w:eastAsia="Times New Roman" w:hAnsi="Times New Roman"/>
          <w:sz w:val="13"/>
          <w:szCs w:val="13"/>
          <w:color w:val="008000"/>
        </w:rPr>
      </w:pPr>
    </w:p>
    <w:p>
      <w:pPr>
        <w:jc w:val="both"/>
        <w:ind w:firstLine="2"/>
        <w:spacing w:after="0" w:line="255" w:lineRule="auto"/>
        <w:tabs>
          <w:tab w:leader="none" w:pos="129"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Merger Agreement, effective as of immediately prior to the Effective Time, each Converted RSU Award that was subject solely to a time-based vesting schedule (including, for the avoidance of doubt, any Converted RSU Award for which the performance period of any applicable performance metric had already ended) was automatically cancelled and converted into the contingent right to receive (i) an amount of cash, without interest and less applicable tax withholding, equal to the product of (x) the total number of shares of Common Stock underlying such Converted RSU Award multiplied by</w:t>
      </w:r>
    </w:p>
    <w:p>
      <w:pPr>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(y) the Cash Amount and (ii) one CVR for each share of Common Stock underlying such Converted RSU Award.</w:t>
      </w:r>
    </w:p>
    <w:p>
      <w:pPr>
        <w:spacing w:after="0" w:line="30" w:lineRule="exact"/>
        <w:rPr>
          <w:rFonts w:ascii="Times New Roman" w:cs="Times New Roman" w:eastAsia="Times New Roman" w:hAnsi="Times New Roman"/>
          <w:sz w:val="12"/>
          <w:szCs w:val="12"/>
          <w:color w:val="008000"/>
        </w:rPr>
      </w:pPr>
    </w:p>
    <w:p>
      <w:pPr>
        <w:ind w:right="80" w:firstLine="2"/>
        <w:spacing w:after="0" w:line="263" w:lineRule="auto"/>
        <w:tabs>
          <w:tab w:leader="none" w:pos="129"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8) Subject to the holder's continued service through the vesting dates applicable to the Converted RSU Award under its terms as in effect immediately prior to the Effective Time, all payments in respect of such Converted RSU Award pursuant to the Merger Agreement will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 as extended as provided by the Merger Agreement) as were applicable to the underlying RSU immediately prior to the Effective Time and the terms of the CVR Agreement.</w:t>
      </w:r>
    </w:p>
    <w:p>
      <w:pPr>
        <w:spacing w:after="0" w:line="14" w:lineRule="exact"/>
        <w:rPr>
          <w:rFonts w:ascii="Times New Roman" w:cs="Times New Roman" w:eastAsia="Times New Roman" w:hAnsi="Times New Roman"/>
          <w:sz w:val="12"/>
          <w:szCs w:val="12"/>
          <w:color w:val="008000"/>
        </w:rPr>
      </w:pPr>
    </w:p>
    <w:p>
      <w:pPr>
        <w:ind w:firstLine="2"/>
        <w:spacing w:after="0" w:line="236" w:lineRule="auto"/>
        <w:tabs>
          <w:tab w:leader="none" w:pos="194"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outstanding and unexercised option to purchase shares of Common Stock that was vested pursuant to its existing terms or that vested as a result of the transactions contemplated by the Merger Agreement (each, a "Cash-Out Option") and had an exercise price per share that was less than $41.00 (the Cash Amount) was automatically cancelled and converted into the right to receive (i) an amount of cash, without interest and less applicable tax withholding, equal to the product of (x) the total number of shares of Common Stock underlying such option, multiplied by (y) the excess of the Cash Amount over the exercise price per share of such option and (ii) one CVR for each share of Common Stock underlying such option.</w:t>
      </w:r>
    </w:p>
    <w:p>
      <w:pPr>
        <w:spacing w:after="0" w:line="26"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vested or unvested option with an exercise price per share that was equal to or greater than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$45.00 (the Aggregate Amount) was cancelled without consideration and will have no further force or effect.</w:t>
      </w:r>
    </w:p>
    <w:p>
      <w:pPr>
        <w:spacing w:after="0" w:line="21"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Watson, attorney-in-</w:t>
            </w:r>
          </w:p>
        </w:tc>
        <w:tc>
          <w:tcPr>
            <w:tcW w:w="18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05/14/2026</w:t>
            </w:r>
          </w:p>
        </w:tc>
        <w:tc>
          <w:tcPr>
            <w:tcW w:w="0" w:type="dxa"/>
            <w:vAlign w:val="bottom"/>
          </w:tcPr>
          <w:p>
            <w:pPr>
              <w:spacing w:after="0"/>
              <w:rPr>
                <w:sz w:val="1"/>
                <w:szCs w:val="1"/>
                <w:color w:val="auto"/>
              </w:rPr>
            </w:pPr>
          </w:p>
        </w:tc>
      </w:tr>
      <w:tr>
        <w:trPr>
          <w:trHeight w:val="88"/>
        </w:trPr>
        <w:tc>
          <w:tcPr>
            <w:tcW w:w="16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fact for Caroline Baumal</w:t>
            </w:r>
          </w:p>
        </w:tc>
        <w:tc>
          <w:tcPr>
            <w:tcW w:w="5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80" w:type="dxa"/>
            <w:vAlign w:val="bottom"/>
            <w:tcBorders>
              <w:bottom w:val="single" w:sz="8" w:color="auto"/>
            </w:tcBorders>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61100"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2026-05-14T18:17:50Z</dcterms:created>
  <dcterms:modified xsi:type="dcterms:W3CDTF">2026-05-14T18:17:50Z</dcterms:modified>
</cp:coreProperties>
</file>