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676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676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Watson David 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APELLIS PHARMACEUTICALS, INC 100 FIFTH AVENUE,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Apellis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09/10/2025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60" w:lineRule="exact"/>
        <w:rPr>
          <w:sz w:val="24"/>
          <w:szCs w:val="24"/>
          <w:color w:val="auto"/>
        </w:rPr>
      </w:pPr>
    </w:p>
    <w:p>
      <w:pPr>
        <w:sectPr>
          <w:pgSz w:w="11900" w:h="16838" w:orient="portrait"/>
          <w:cols w:equalWidth="0" w:num="3">
            <w:col w:w="3280" w:space="640"/>
            <w:col w:w="3220" w:space="595"/>
            <w:col w:w="3265"/>
          </w:cols>
          <w:pgMar w:left="460" w:top="219" w:right="439" w:bottom="73"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3540" w:type="dxa"/>
            <w:vAlign w:val="bottom"/>
            <w:gridSpan w:val="5"/>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6"/>
          </w:tcPr>
          <w:p>
            <w:pPr>
              <w:ind w:left="44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Arial" w:cs="Arial" w:eastAsia="Arial" w:hAnsi="Arial"/>
                <w:sz w:val="13"/>
                <w:szCs w:val="13"/>
                <w:color w:val="auto"/>
                <w:w w:val="96"/>
              </w:rPr>
              <w:t>Line)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02451</w:t>
            </w: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6"/>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0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 David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2040" w:type="dxa"/>
            <w:vAlign w:val="bottom"/>
            <w:gridSpan w:val="2"/>
          </w:tcPr>
          <w:p>
            <w:pPr>
              <w:ind w:left="1100"/>
              <w:spacing w:after="0"/>
              <w:rPr>
                <w:sz w:val="20"/>
                <w:szCs w:val="20"/>
                <w:color w:val="auto"/>
              </w:rPr>
            </w:pPr>
            <w:r>
              <w:rPr>
                <w:rFonts w:ascii="Times New Roman" w:cs="Times New Roman" w:eastAsia="Times New Roman" w:hAnsi="Times New Roman"/>
                <w:sz w:val="17"/>
                <w:szCs w:val="17"/>
                <w:color w:val="0000FF"/>
              </w:rPr>
              <w:t>09/10/2025</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20,000</w:t>
            </w:r>
          </w:p>
        </w:tc>
        <w:tc>
          <w:tcPr>
            <w:tcW w:w="6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Pr>
          <w:p>
            <w:pPr>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26.17</w:t>
            </w:r>
            <w:r>
              <w:rPr>
                <w:rFonts w:ascii="Times New Roman" w:cs="Times New Roman" w:eastAsia="Times New Roman" w:hAnsi="Times New Roman"/>
                <w:sz w:val="22"/>
                <w:szCs w:val="22"/>
                <w:color w:val="008000"/>
                <w:vertAlign w:val="superscript"/>
              </w:rPr>
              <w:t>(1)</w:t>
            </w: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50,136</w:t>
            </w:r>
          </w:p>
        </w:tc>
        <w:tc>
          <w:tcPr>
            <w:tcW w:w="90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 Watson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123,730</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10,000</w:t>
            </w:r>
          </w:p>
        </w:tc>
        <w:tc>
          <w:tcPr>
            <w:tcW w:w="900" w:type="dxa"/>
            <w:vAlign w:val="bottom"/>
          </w:tcPr>
          <w:p>
            <w:pPr>
              <w:jc w:val="center"/>
              <w:spacing w:after="0" w:line="233" w:lineRule="exact"/>
              <w:rPr>
                <w:sz w:val="20"/>
                <w:szCs w:val="20"/>
                <w:color w:val="auto"/>
              </w:rPr>
            </w:pPr>
            <w:r>
              <w:rPr>
                <w:rFonts w:ascii="Times New Roman" w:cs="Times New Roman" w:eastAsia="Times New Roman" w:hAnsi="Times New Roman"/>
                <w:sz w:val="27"/>
                <w:szCs w:val="27"/>
                <w:color w:val="0000FF"/>
                <w:vertAlign w:val="subscript"/>
              </w:rPr>
              <w:t>I</w:t>
            </w:r>
            <w:r>
              <w:rPr>
                <w:rFonts w:ascii="Times New Roman" w:cs="Times New Roman" w:eastAsia="Times New Roman" w:hAnsi="Times New Roman"/>
                <w:sz w:val="10"/>
                <w:szCs w:val="10"/>
                <w:color w:val="008000"/>
              </w:rPr>
              <w:t>(3)</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(Custodial</w:t>
            </w: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Account</w:t>
      </w:r>
    </w:p>
    <w:p>
      <w:pPr>
        <w:spacing w:after="0" w:line="11"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for minor</w:t>
      </w:r>
    </w:p>
    <w:p>
      <w:pPr>
        <w:spacing w:after="0" w:line="18"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children)</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$26.15 to $26.20, inclusive. The reporting person hereby undertakes to provide, upon request, to the staff of the Securities and Exchange Commission, the issuer or a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David O. Watson Irrevocable Trust of 2023. William Zorn is the trustee of The David O. Watson Irrevocable Trust of 2023. The reporting person disclaims beneficial ownership over the shares held by The David O. Watson Irrevocable Trust of 2023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represents a custodial account held by the reporting person for the sole benefit of his minor children.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David Watson</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09/12/2025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57719"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2025-09-12T15:09:11Z</dcterms:created>
  <dcterms:modified xsi:type="dcterms:W3CDTF">2025-09-12T15:09:11Z</dcterms:modified>
</cp:coreProperties>
</file>