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333-220941</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3069590</wp:posOffset>
            </wp:positionH>
            <wp:positionV relativeFrom="paragraph">
              <wp:posOffset>168275</wp:posOffset>
            </wp:positionV>
            <wp:extent cx="1126490" cy="363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6490" cy="363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10,714,000 Shares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53"/>
          <w:szCs w:val="53"/>
          <w:b w:val="1"/>
          <w:bCs w:val="1"/>
          <w:color w:val="auto"/>
        </w:rPr>
        <w:t>Apellis Pharmaceuticals, Inc.</w:t>
      </w:r>
    </w:p>
    <w:p>
      <w:pPr>
        <w:spacing w:after="0" w:line="233"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Common Stock</w:t>
      </w:r>
    </w:p>
    <w:p>
      <w:pPr>
        <w:spacing w:after="0" w:line="205" w:lineRule="exact"/>
        <w:rPr>
          <w:sz w:val="24"/>
          <w:szCs w:val="24"/>
          <w:color w:val="auto"/>
        </w:rPr>
      </w:pPr>
    </w:p>
    <w:p>
      <w:pPr>
        <w:ind w:left="4600"/>
        <w:spacing w:after="0"/>
        <w:rPr>
          <w:sz w:val="20"/>
          <w:szCs w:val="20"/>
          <w:color w:val="auto"/>
        </w:rPr>
      </w:pPr>
      <w:r>
        <w:rPr>
          <w:rFonts w:ascii="Arial" w:cs="Arial" w:eastAsia="Arial" w:hAnsi="Arial"/>
          <w:sz w:val="32"/>
          <w:szCs w:val="32"/>
          <w:b w:val="1"/>
          <w:bCs w:val="1"/>
          <w:color w:val="auto"/>
        </w:rPr>
        <w:t>$14.00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241300</wp:posOffset>
            </wp:positionV>
            <wp:extent cx="10839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60" w:firstLine="457"/>
        <w:spacing w:after="0" w:line="267" w:lineRule="auto"/>
        <w:rPr>
          <w:sz w:val="20"/>
          <w:szCs w:val="20"/>
          <w:color w:val="auto"/>
        </w:rPr>
      </w:pPr>
      <w:r>
        <w:rPr>
          <w:rFonts w:ascii="Arial" w:cs="Arial" w:eastAsia="Arial" w:hAnsi="Arial"/>
          <w:sz w:val="18"/>
          <w:szCs w:val="18"/>
          <w:color w:val="auto"/>
        </w:rPr>
        <w:t>This is the initial public offering of our common stock. We are selling 10,714,000 shares of common stock in this offering. The initial public offering price is $14.00 per share of common stock.</w:t>
      </w:r>
    </w:p>
    <w:p>
      <w:pPr>
        <w:spacing w:after="0" w:line="18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have granted the underwriters an option to purchase up to 1,607,100 additional shares of common stock to cover over-allotments.</w:t>
      </w:r>
    </w:p>
    <w:p>
      <w:pPr>
        <w:spacing w:after="0" w:line="22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“APLS.”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231775</wp:posOffset>
            </wp:positionV>
            <wp:extent cx="1083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1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10.</w:t>
      </w:r>
    </w:p>
    <w:p>
      <w:pPr>
        <w:spacing w:after="0" w:line="227" w:lineRule="exact"/>
        <w:rPr>
          <w:sz w:val="24"/>
          <w:szCs w:val="24"/>
          <w:color w:val="auto"/>
        </w:rPr>
      </w:pPr>
    </w:p>
    <w:p>
      <w:pPr>
        <w:ind w:right="340" w:firstLine="457"/>
        <w:spacing w:after="0" w:line="267" w:lineRule="auto"/>
        <w:rPr>
          <w:sz w:val="20"/>
          <w:szCs w:val="20"/>
          <w:color w:val="auto"/>
        </w:rPr>
      </w:pPr>
      <w:r>
        <w:rPr>
          <w:rFonts w:ascii="Arial" w:cs="Arial" w:eastAsia="Arial" w:hAnsi="Arial"/>
          <w:sz w:val="18"/>
          <w:szCs w:val="18"/>
          <w:color w:val="auto"/>
        </w:rPr>
        <w:t>We are an “emerging growth company” under applicable Securities and Exchange Commission rules and will be eligible for reduced public company disclosure requirements. See “Summary—Implications of Being an Emerging Growth Company.”</w:t>
      </w:r>
    </w:p>
    <w:p>
      <w:pPr>
        <w:spacing w:after="0" w:line="180" w:lineRule="exact"/>
        <w:rPr>
          <w:sz w:val="24"/>
          <w:szCs w:val="24"/>
          <w:color w:val="auto"/>
        </w:rPr>
      </w:pPr>
    </w:p>
    <w:p>
      <w:pPr>
        <w:ind w:right="80" w:firstLine="457"/>
        <w:spacing w:after="0" w:line="26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206375</wp:posOffset>
            </wp:positionV>
            <wp:extent cx="1083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90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7"/>
        </w:trPr>
        <w:tc>
          <w:tcPr>
            <w:tcW w:w="90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Public Offering Price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14.00</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149,996,000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9040" w:type="dxa"/>
            <w:vAlign w:val="bottom"/>
          </w:tcPr>
          <w:p>
            <w:pPr>
              <w:spacing w:after="0"/>
              <w:rPr>
                <w:sz w:val="20"/>
                <w:szCs w:val="20"/>
                <w:color w:val="auto"/>
              </w:rPr>
            </w:pPr>
            <w:r>
              <w:rPr>
                <w:rFonts w:ascii="Arial" w:cs="Arial" w:eastAsia="Arial" w:hAnsi="Arial"/>
                <w:sz w:val="18"/>
                <w:szCs w:val="18"/>
                <w:color w:val="auto"/>
              </w:rPr>
              <w:t>Underwriting Discount(1)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0.98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10,499,720</w:t>
            </w:r>
          </w:p>
        </w:tc>
      </w:tr>
      <w:tr>
        <w:trPr>
          <w:trHeight w:val="213"/>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13.02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139,496,280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8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1" w:lineRule="exact"/>
        <w:rPr>
          <w:sz w:val="24"/>
          <w:szCs w:val="24"/>
          <w:color w:val="auto"/>
        </w:rPr>
      </w:pPr>
    </w:p>
    <w:p>
      <w:pPr>
        <w:ind w:left="440" w:hanging="433"/>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“Underwriting” beginning on page 164 for additional information regarding underwriter compensation.</w:t>
      </w:r>
    </w:p>
    <w:p>
      <w:pPr>
        <w:spacing w:after="0" w:line="220" w:lineRule="exact"/>
        <w:rPr>
          <w:sz w:val="24"/>
          <w:szCs w:val="24"/>
          <w:color w:val="auto"/>
        </w:rPr>
      </w:pPr>
    </w:p>
    <w:p>
      <w:pPr>
        <w:ind w:right="240" w:firstLine="457"/>
        <w:spacing w:after="0" w:line="270"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an aggregate of approximately $70.0 million in shares of our common stock in this offering at the initial public offering price.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to purchasers on or about November 13,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231775</wp:posOffset>
            </wp:positionV>
            <wp:extent cx="1083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spacing w:after="0"/>
        <w:tabs>
          <w:tab w:leader="none" w:pos="4940" w:val="left"/>
          <w:tab w:leader="none" w:pos="9660" w:val="left"/>
        </w:tabs>
        <w:rPr>
          <w:sz w:val="20"/>
          <w:szCs w:val="20"/>
          <w:color w:val="auto"/>
        </w:rPr>
      </w:pP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0"/>
          <w:szCs w:val="30"/>
          <w:b w:val="1"/>
          <w:bCs w:val="1"/>
          <w:color w:val="auto"/>
        </w:rPr>
        <w:t>Evercore ISI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241300</wp:posOffset>
            </wp:positionV>
            <wp:extent cx="1083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Arial" w:cs="Arial" w:eastAsia="Arial" w:hAnsi="Arial"/>
          <w:sz w:val="16"/>
          <w:szCs w:val="16"/>
          <w:color w:val="auto"/>
        </w:rPr>
        <w:t>November 8, 2017</w:t>
      </w:r>
    </w:p>
    <w:p>
      <w:pPr>
        <w:sectPr>
          <w:pgSz w:w="11900" w:h="16838" w:orient="portrait"/>
          <w:cols w:equalWidth="0" w:num="1">
            <w:col w:w="11420"/>
          </w:cols>
          <w:pgMar w:left="240" w:top="228"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269240</wp:posOffset>
            </wp:positionV>
            <wp:extent cx="1083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0" w:type="dxa"/>
            <w:vAlign w:val="bottom"/>
            <w:gridSpan w:val="4"/>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Summary</w:t>
              </w:r>
            </w:hyperlink>
          </w:p>
        </w:tc>
        <w:tc>
          <w:tcPr>
            <w:tcW w:w="10340" w:type="dxa"/>
            <w:vAlign w:val="bottom"/>
            <w:gridSpan w:val="18"/>
            <w:vMerge w:val="restart"/>
          </w:tcPr>
          <w:p>
            <w:pPr>
              <w:spacing w:after="0"/>
              <w:rPr>
                <w:sz w:val="14"/>
                <w:szCs w:val="1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8"/>
        </w:trPr>
        <w:tc>
          <w:tcPr>
            <w:tcW w:w="700" w:type="dxa"/>
            <w:vAlign w:val="bottom"/>
            <w:tcBorders>
              <w:bottom w:val="single" w:sz="8" w:color="0000EE"/>
            </w:tcBorders>
            <w:gridSpan w:val="4"/>
            <w:vMerge w:val="continue"/>
          </w:tcPr>
          <w:p>
            <w:pPr>
              <w:spacing w:after="0"/>
              <w:rPr>
                <w:sz w:val="13"/>
                <w:szCs w:val="13"/>
                <w:color w:val="auto"/>
              </w:rPr>
            </w:pPr>
          </w:p>
        </w:tc>
        <w:tc>
          <w:tcPr>
            <w:tcW w:w="10340" w:type="dxa"/>
            <w:vAlign w:val="bottom"/>
            <w:gridSpan w:val="18"/>
            <w:vMerge w:val="continue"/>
          </w:tcPr>
          <w:p>
            <w:pPr>
              <w:spacing w:after="0"/>
              <w:rPr>
                <w:sz w:val="13"/>
                <w:szCs w:val="13"/>
                <w:color w:val="auto"/>
              </w:rPr>
            </w:pPr>
          </w:p>
        </w:tc>
        <w:tc>
          <w:tcPr>
            <w:tcW w:w="320" w:type="dxa"/>
            <w:vAlign w:val="bottom"/>
            <w:tcBorders>
              <w:top w:val="single" w:sz="8" w:color="auto"/>
            </w:tcBorders>
          </w:tcPr>
          <w:p>
            <w:pPr>
              <w:jc w:val="right"/>
              <w:spacing w:after="0" w:line="140"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1040" w:type="dxa"/>
            <w:vAlign w:val="bottom"/>
            <w:gridSpan w:val="2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tcBorders>
              <w:bottom w:val="single" w:sz="8" w:color="0000EE"/>
            </w:tcBorders>
            <w:gridSpan w:val="19"/>
          </w:tcPr>
          <w:p>
            <w:pPr>
              <w:spacing w:after="0" w:line="194"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Special Note Regarding Forward-Looking Statements and Industry Data</w:t>
              </w:r>
            </w:hyperlink>
          </w:p>
        </w:tc>
        <w:tc>
          <w:tcPr>
            <w:tcW w:w="5880" w:type="dxa"/>
            <w:vAlign w:val="bottom"/>
            <w:gridSpan w:val="3"/>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61">
              <w:r>
                <w:rPr>
                  <w:rFonts w:ascii="Arial" w:cs="Arial" w:eastAsia="Arial" w:hAnsi="Arial"/>
                  <w:sz w:val="18"/>
                  <w:szCs w:val="18"/>
                  <w:color w:val="0000EE"/>
                </w:rPr>
                <w:t>Use of Proceeds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62">
              <w:r>
                <w:rPr>
                  <w:rFonts w:ascii="Arial" w:cs="Arial" w:eastAsia="Arial" w:hAnsi="Arial"/>
                  <w:sz w:val="18"/>
                  <w:szCs w:val="18"/>
                  <w:color w:val="0000EE"/>
                </w:rPr>
                <w:t>Dividend Policy</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3"/>
        </w:trPr>
        <w:tc>
          <w:tcPr>
            <w:tcW w:w="1020" w:type="dxa"/>
            <w:vAlign w:val="bottom"/>
            <w:tcBorders>
              <w:top w:val="single" w:sz="8" w:color="0000EE"/>
              <w:bottom w:val="single" w:sz="8" w:color="0000EE"/>
            </w:tcBorders>
            <w:gridSpan w:val="9"/>
          </w:tcPr>
          <w:p>
            <w:pPr>
              <w:spacing w:after="0" w:line="194"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9880" w:type="dxa"/>
            <w:vAlign w:val="bottom"/>
            <w:gridSpan w:val="1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3"/>
        </w:trPr>
        <w:tc>
          <w:tcPr>
            <w:tcW w:w="600" w:type="dxa"/>
            <w:vAlign w:val="bottom"/>
            <w:tcBorders>
              <w:bottom w:val="single" w:sz="8" w:color="0000EE"/>
            </w:tcBorders>
            <w:gridSpan w:val="2"/>
          </w:tcPr>
          <w:p>
            <w:pPr>
              <w:spacing w:after="0" w:line="194"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Dilution</w:t>
              </w:r>
            </w:hyperlink>
          </w:p>
        </w:tc>
        <w:tc>
          <w:tcPr>
            <w:tcW w:w="10440" w:type="dxa"/>
            <w:vAlign w:val="bottom"/>
            <w:gridSpan w:val="20"/>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3"/>
        </w:trPr>
        <w:tc>
          <w:tcPr>
            <w:tcW w:w="2680" w:type="dxa"/>
            <w:vAlign w:val="bottom"/>
            <w:tcBorders>
              <w:bottom w:val="single" w:sz="8" w:color="0000EE"/>
            </w:tcBorders>
            <w:gridSpan w:val="16"/>
          </w:tcPr>
          <w:p>
            <w:pPr>
              <w:spacing w:after="0" w:line="194"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Selected Consolidated Financial Data</w:t>
              </w:r>
            </w:hyperlink>
          </w:p>
        </w:tc>
        <w:tc>
          <w:tcPr>
            <w:tcW w:w="8360" w:type="dxa"/>
            <w:vAlign w:val="bottom"/>
            <w:gridSpan w:val="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3"/>
        </w:trPr>
        <w:tc>
          <w:tcPr>
            <w:tcW w:w="64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4"/>
              </w:rPr>
            </w:pPr>
            <w:hyperlink w:anchor="page85">
              <w:r>
                <w:rPr>
                  <w:rFonts w:ascii="Arial" w:cs="Arial" w:eastAsia="Arial" w:hAnsi="Arial"/>
                  <w:sz w:val="18"/>
                  <w:szCs w:val="18"/>
                  <w:color w:val="0000EE"/>
                  <w:w w:val="84"/>
                </w:rPr>
                <w:t>Business</w:t>
              </w:r>
            </w:hyperlink>
          </w:p>
        </w:tc>
        <w:tc>
          <w:tcPr>
            <w:tcW w:w="5740" w:type="dxa"/>
            <w:vAlign w:val="bottom"/>
            <w:tcBorders>
              <w:top w:val="single" w:sz="8" w:color="0000EE"/>
            </w:tcBorders>
            <w:gridSpan w:val="17"/>
          </w:tcPr>
          <w:p>
            <w:pPr>
              <w:spacing w:after="0"/>
              <w:rPr>
                <w:sz w:val="16"/>
                <w:szCs w:val="16"/>
                <w:color w:val="auto"/>
              </w:rPr>
            </w:pPr>
          </w:p>
        </w:tc>
        <w:tc>
          <w:tcPr>
            <w:tcW w:w="4660" w:type="dxa"/>
            <w:vAlign w:val="bottom"/>
            <w:gridSpan w:val="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3"/>
        </w:trPr>
        <w:tc>
          <w:tcPr>
            <w:tcW w:w="940" w:type="dxa"/>
            <w:vAlign w:val="bottom"/>
            <w:tcBorders>
              <w:bottom w:val="single" w:sz="8" w:color="0000EE"/>
            </w:tcBorders>
            <w:gridSpan w:val="6"/>
          </w:tcPr>
          <w:p>
            <w:pPr>
              <w:spacing w:after="0" w:line="194" w:lineRule="exact"/>
              <w:rPr>
                <w:rFonts w:ascii="Arial" w:cs="Arial" w:eastAsia="Arial" w:hAnsi="Arial"/>
                <w:sz w:val="18"/>
                <w:szCs w:val="18"/>
                <w:color w:val="0000EE"/>
                <w:w w:val="87"/>
              </w:rPr>
            </w:pPr>
            <w:hyperlink w:anchor="page127">
              <w:r>
                <w:rPr>
                  <w:rFonts w:ascii="Arial" w:cs="Arial" w:eastAsia="Arial" w:hAnsi="Arial"/>
                  <w:sz w:val="18"/>
                  <w:szCs w:val="18"/>
                  <w:color w:val="0000EE"/>
                  <w:w w:val="87"/>
                </w:rPr>
                <w:t>Management</w:t>
              </w:r>
            </w:hyperlink>
          </w:p>
        </w:tc>
        <w:tc>
          <w:tcPr>
            <w:tcW w:w="10100" w:type="dxa"/>
            <w:vAlign w:val="bottom"/>
            <w:gridSpan w:val="16"/>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134">
              <w:r>
                <w:rPr>
                  <w:rFonts w:ascii="Arial" w:cs="Arial" w:eastAsia="Arial" w:hAnsi="Arial"/>
                  <w:sz w:val="18"/>
                  <w:szCs w:val="18"/>
                  <w:color w:val="0000EE"/>
                </w:rPr>
                <w:t>Executive Compensation</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60" w:type="dxa"/>
            <w:vAlign w:val="bottom"/>
            <w:tcBorders>
              <w:bottom w:val="single" w:sz="8" w:color="0000EE"/>
            </w:tcBorders>
            <w:gridSpan w:val="15"/>
          </w:tcPr>
          <w:p>
            <w:pPr>
              <w:spacing w:after="0" w:line="194" w:lineRule="exact"/>
              <w:rPr>
                <w:rFonts w:ascii="Arial" w:cs="Arial" w:eastAsia="Arial" w:hAnsi="Arial"/>
                <w:sz w:val="18"/>
                <w:szCs w:val="18"/>
                <w:color w:val="0000EE"/>
                <w:w w:val="87"/>
              </w:rPr>
            </w:pPr>
            <w:hyperlink w:anchor="page145">
              <w:r>
                <w:rPr>
                  <w:rFonts w:ascii="Arial" w:cs="Arial" w:eastAsia="Arial" w:hAnsi="Arial"/>
                  <w:sz w:val="18"/>
                  <w:szCs w:val="18"/>
                  <w:color w:val="0000EE"/>
                  <w:w w:val="87"/>
                </w:rPr>
                <w:t>Transactions with Related Persons</w:t>
              </w:r>
            </w:hyperlink>
          </w:p>
        </w:tc>
        <w:tc>
          <w:tcPr>
            <w:tcW w:w="8580" w:type="dxa"/>
            <w:vAlign w:val="bottom"/>
            <w:gridSpan w:val="7"/>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150">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40" w:type="dxa"/>
            <w:vAlign w:val="bottom"/>
            <w:tcBorders>
              <w:bottom w:val="single" w:sz="8" w:color="0000EE"/>
            </w:tcBorders>
            <w:gridSpan w:val="13"/>
          </w:tcPr>
          <w:p>
            <w:pPr>
              <w:spacing w:after="0" w:line="194"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Description of Capital Stock</w:t>
              </w:r>
            </w:hyperlink>
          </w:p>
        </w:tc>
        <w:tc>
          <w:tcPr>
            <w:tcW w:w="9000" w:type="dxa"/>
            <w:vAlign w:val="bottom"/>
            <w:gridSpan w:val="9"/>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3"/>
        </w:trPr>
        <w:tc>
          <w:tcPr>
            <w:tcW w:w="2200" w:type="dxa"/>
            <w:vAlign w:val="bottom"/>
            <w:tcBorders>
              <w:bottom w:val="single" w:sz="8" w:color="0000EE"/>
            </w:tcBorders>
            <w:gridSpan w:val="14"/>
          </w:tcPr>
          <w:p>
            <w:pPr>
              <w:spacing w:after="0" w:line="194"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Shares Eligible for Future Sale</w:t>
              </w:r>
            </w:hyperlink>
          </w:p>
        </w:tc>
        <w:tc>
          <w:tcPr>
            <w:tcW w:w="8840" w:type="dxa"/>
            <w:vAlign w:val="bottom"/>
            <w:gridSpan w:val="8"/>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3"/>
        </w:trPr>
        <w:tc>
          <w:tcPr>
            <w:tcW w:w="7260" w:type="dxa"/>
            <w:vAlign w:val="bottom"/>
            <w:tcBorders>
              <w:bottom w:val="single" w:sz="8" w:color="0000EE"/>
            </w:tcBorders>
            <w:gridSpan w:val="21"/>
          </w:tcPr>
          <w:p>
            <w:pPr>
              <w:spacing w:after="0" w:line="194"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Material U.S. Federal Income and Estate Tax Considerations for Non-U.S. Holders of Common Stock</w:t>
              </w:r>
            </w:hyperlink>
          </w:p>
        </w:tc>
        <w:tc>
          <w:tcPr>
            <w:tcW w:w="3780" w:type="dxa"/>
            <w:vAlign w:val="bottom"/>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166">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00" w:type="dxa"/>
            <w:vAlign w:val="bottom"/>
            <w:tcBorders>
              <w:bottom w:val="single" w:sz="8" w:color="0000EE"/>
            </w:tcBorders>
            <w:gridSpan w:val="8"/>
          </w:tcPr>
          <w:p>
            <w:pPr>
              <w:spacing w:after="0" w:line="194"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Legal Matters</w:t>
              </w:r>
            </w:hyperlink>
          </w:p>
        </w:tc>
        <w:tc>
          <w:tcPr>
            <w:tcW w:w="10040" w:type="dxa"/>
            <w:vAlign w:val="bottom"/>
            <w:gridSpan w:val="14"/>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173">
              <w:r>
                <w:rPr>
                  <w:rFonts w:ascii="Arial" w:cs="Arial" w:eastAsia="Arial" w:hAnsi="Arial"/>
                  <w:sz w:val="18"/>
                  <w:szCs w:val="18"/>
                  <w:color w:val="0000EE"/>
                </w:rPr>
                <w:t>Experts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00" w:type="dxa"/>
            <w:vAlign w:val="bottom"/>
            <w:gridSpan w:val="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40" w:type="dxa"/>
            <w:vAlign w:val="bottom"/>
            <w:tcBorders>
              <w:bottom w:val="single" w:sz="8" w:color="0000EE"/>
            </w:tcBorders>
            <w:gridSpan w:val="17"/>
          </w:tcPr>
          <w:p>
            <w:pPr>
              <w:spacing w:after="0" w:line="194" w:lineRule="exact"/>
              <w:rPr>
                <w:rFonts w:ascii="Arial" w:cs="Arial" w:eastAsia="Arial" w:hAnsi="Arial"/>
                <w:sz w:val="18"/>
                <w:szCs w:val="18"/>
                <w:color w:val="0000EE"/>
                <w:w w:val="91"/>
              </w:rPr>
            </w:pPr>
            <w:hyperlink w:anchor="page173">
              <w:r>
                <w:rPr>
                  <w:rFonts w:ascii="Arial" w:cs="Arial" w:eastAsia="Arial" w:hAnsi="Arial"/>
                  <w:sz w:val="18"/>
                  <w:szCs w:val="18"/>
                  <w:color w:val="0000EE"/>
                  <w:w w:val="91"/>
                </w:rPr>
                <w:t>Where You Can Find More Information</w:t>
              </w:r>
            </w:hyperlink>
          </w:p>
        </w:tc>
        <w:tc>
          <w:tcPr>
            <w:tcW w:w="8200" w:type="dxa"/>
            <w:vAlign w:val="bottom"/>
            <w:gridSpan w:val="5"/>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3"/>
        </w:trPr>
        <w:tc>
          <w:tcPr>
            <w:tcW w:w="11040" w:type="dxa"/>
            <w:vAlign w:val="bottom"/>
            <w:gridSpan w:val="22"/>
          </w:tcPr>
          <w:p>
            <w:pPr>
              <w:spacing w:after="0" w:line="194" w:lineRule="exact"/>
              <w:rPr>
                <w:rFonts w:ascii="Arial" w:cs="Arial" w:eastAsia="Arial" w:hAnsi="Arial"/>
                <w:sz w:val="18"/>
                <w:szCs w:val="18"/>
                <w:color w:val="0000EE"/>
              </w:rPr>
            </w:pPr>
            <w:hyperlink w:anchor="page174">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60" w:firstLine="457"/>
        <w:spacing w:after="0" w:line="276" w:lineRule="auto"/>
        <w:rPr>
          <w:sz w:val="20"/>
          <w:szCs w:val="20"/>
          <w:color w:val="auto"/>
        </w:rPr>
      </w:pPr>
      <w:r>
        <w:rPr>
          <w:rFonts w:ascii="Arial" w:cs="Arial" w:eastAsia="Arial" w:hAnsi="Arial"/>
          <w:sz w:val="17"/>
          <w:szCs w:val="17"/>
          <w:b w:val="1"/>
          <w:bCs w:val="1"/>
          <w:color w:val="auto"/>
        </w:rPr>
        <w:t>We have not authorized anyone to provide you with different information, and we take no responsibility for any other information others may give you.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in this prospectus is accurate as of any date other than the date on the front of this prospectus.</w:t>
      </w:r>
    </w:p>
    <w:p>
      <w:pPr>
        <w:spacing w:after="0" w:line="168" w:lineRule="exact"/>
        <w:rPr>
          <w:sz w:val="20"/>
          <w:szCs w:val="20"/>
          <w:color w:val="auto"/>
        </w:rPr>
      </w:pPr>
    </w:p>
    <w:p>
      <w:pPr>
        <w:ind w:right="200" w:firstLine="457"/>
        <w:spacing w:after="0" w:line="256"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6092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60921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26" w:lineRule="exact"/>
        <w:rPr>
          <w:sz w:val="20"/>
          <w:szCs w:val="20"/>
          <w:color w:val="auto"/>
        </w:rPr>
      </w:pPr>
    </w:p>
    <w:p>
      <w:pPr>
        <w:ind w:left="200" w:right="40" w:firstLine="442"/>
        <w:spacing w:after="0" w:line="254"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consolidated financial statements included elsewhere in this prospectus. This summary does not contain all of the information that may be important to you. You should read and carefully consider the entire prospectus, especially our consolidated financial statements and the related notes thereto appearing at the end of this prospectus and the “Risk Factors” section of this prospectus, before deciding to invest in our common stock.</w:t>
      </w: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02" w:lineRule="exact"/>
        <w:rPr>
          <w:sz w:val="20"/>
          <w:szCs w:val="20"/>
          <w:color w:val="auto"/>
        </w:rPr>
      </w:pPr>
    </w:p>
    <w:p>
      <w:pPr>
        <w:ind w:left="200" w:right="360" w:firstLine="442"/>
        <w:spacing w:after="0" w:line="273" w:lineRule="auto"/>
        <w:rPr>
          <w:sz w:val="20"/>
          <w:szCs w:val="20"/>
          <w:color w:val="auto"/>
        </w:rPr>
      </w:pPr>
      <w:r>
        <w:rPr>
          <w:rFonts w:ascii="Arial" w:cs="Arial" w:eastAsia="Arial" w:hAnsi="Arial"/>
          <w:sz w:val="17"/>
          <w:szCs w:val="17"/>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77" w:lineRule="exact"/>
        <w:rPr>
          <w:sz w:val="20"/>
          <w:szCs w:val="20"/>
          <w:color w:val="auto"/>
        </w:rPr>
      </w:pPr>
    </w:p>
    <w:p>
      <w:pPr>
        <w:ind w:left="200" w:firstLine="442"/>
        <w:spacing w:after="0" w:line="267" w:lineRule="auto"/>
        <w:rPr>
          <w:sz w:val="20"/>
          <w:szCs w:val="20"/>
          <w:color w:val="auto"/>
        </w:rPr>
      </w:pPr>
      <w:r>
        <w:rPr>
          <w:rFonts w:ascii="Arial" w:cs="Arial" w:eastAsia="Arial" w:hAnsi="Arial"/>
          <w:sz w:val="17"/>
          <w:szCs w:val="17"/>
          <w:color w:val="auto"/>
        </w:rPr>
        <w:t>We have the most advanced clinical program targeting C3. We believe that our lead product candidate, APL-2, has the potential to be a best-in-class treatment that may address the limitations of existing treatment options or provide a treatment option where there currently is none. APL-2 has already shown activity that we believe is clinically meaningful in clinical trials for two distinct medical conditions—geographic atrophy in age-related macular degeneration, or GA, and paroxysmal nocturnal hemoglobinuria, or PNH—and we plan to conduct clinical trials in additional complement-dependent diseases. In our ongoing Phase 2 trial of APL-2 in patients with GA, treatment with APL-2 resulted in a significant reduction in the rate of GA lesion growth over 12 months, and in our two ongoing Phase 1b trials in PNH, APL-2 achieved improvements in transfusion dependency, hemoglobin levels and other hematological indicators that we believe are clinically meaningful. We are also developing other novel compounds targeting C3. We hold worldwide commercialization rights to APL-2 and these other novel compounds targeting C3.</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Programs</w:t>
      </w:r>
    </w:p>
    <w:p>
      <w:pPr>
        <w:spacing w:after="0" w:line="119" w:lineRule="exact"/>
        <w:rPr>
          <w:sz w:val="20"/>
          <w:szCs w:val="20"/>
          <w:color w:val="auto"/>
        </w:rPr>
      </w:pPr>
    </w:p>
    <w:p>
      <w:pPr>
        <w:jc w:val="both"/>
        <w:ind w:left="200" w:right="360" w:firstLine="442"/>
        <w:spacing w:after="0" w:line="331" w:lineRule="auto"/>
        <w:rPr>
          <w:sz w:val="20"/>
          <w:szCs w:val="20"/>
          <w:color w:val="auto"/>
        </w:rPr>
      </w:pPr>
      <w:r>
        <w:rPr>
          <w:rFonts w:ascii="Arial" w:cs="Arial" w:eastAsia="Arial" w:hAnsi="Arial"/>
          <w:sz w:val="16"/>
          <w:szCs w:val="16"/>
          <w:color w:val="auto"/>
        </w:rPr>
        <w:t>Our lead product candidate, APL-2, is a C3 inhibitor. APL-2 is a conjugate of a compstatin analogue, formulated both for intravitreal injection, which is an injection directly into the eye, and systemic administration by subcutaneous injection, which is an injection into the tissue under the skin.</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key information about our clinical program for APL-2: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5"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5584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55841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Atrophy</w:t>
      </w:r>
    </w:p>
    <w:p>
      <w:pPr>
        <w:spacing w:after="0" w:line="113" w:lineRule="exact"/>
        <w:rPr>
          <w:sz w:val="20"/>
          <w:szCs w:val="20"/>
          <w:color w:val="auto"/>
        </w:rPr>
      </w:pPr>
    </w:p>
    <w:p>
      <w:pPr>
        <w:ind w:left="200" w:right="80" w:firstLine="442"/>
        <w:spacing w:after="0" w:line="269" w:lineRule="auto"/>
        <w:rPr>
          <w:sz w:val="20"/>
          <w:szCs w:val="20"/>
          <w:color w:val="auto"/>
        </w:rPr>
      </w:pPr>
      <w:r>
        <w:rPr>
          <w:rFonts w:ascii="Arial" w:cs="Arial" w:eastAsia="Arial" w:hAnsi="Arial"/>
          <w:sz w:val="17"/>
          <w:szCs w:val="17"/>
          <w:color w:val="auto"/>
        </w:rPr>
        <w:t>In GA, we are developing APL-2 to be injected intravitreally as a monotherapy. GA is an advanced form of age-related macular degeneration, or AMD, which is a disorder of the central portion of the retina characterized by progressive retinal cell death that ultimately leads to blindness. GA is a disease with significant unmet need and no FDA-approved therapies that affects approximately one million patients in the United States. In August 2017, we completed the primary endpoint analysis for the 12-month treatment period in our Phase 2 clinical trial in 246 patients with GA. Patients are being monitored for six months following the treatment period. In the trial, APL-2 achieved the primary endpoint of reduction in the rate of GA lesion growth at 12 months. We plan to announce 18-month results in the first half of 2018.</w:t>
      </w:r>
    </w:p>
    <w:p>
      <w:pPr>
        <w:spacing w:after="0" w:line="179" w:lineRule="exact"/>
        <w:rPr>
          <w:sz w:val="20"/>
          <w:szCs w:val="20"/>
          <w:color w:val="auto"/>
        </w:rPr>
      </w:pPr>
    </w:p>
    <w:p>
      <w:pPr>
        <w:ind w:left="200" w:right="60" w:firstLine="442"/>
        <w:spacing w:after="0" w:line="288" w:lineRule="auto"/>
        <w:rPr>
          <w:sz w:val="20"/>
          <w:szCs w:val="20"/>
          <w:color w:val="auto"/>
        </w:rPr>
      </w:pPr>
      <w:r>
        <w:rPr>
          <w:rFonts w:ascii="Arial" w:cs="Arial" w:eastAsia="Arial" w:hAnsi="Arial"/>
          <w:sz w:val="16"/>
          <w:szCs w:val="16"/>
          <w:color w:val="auto"/>
        </w:rPr>
        <w:t>Patients treated monthly with APL-2 showed a 29% reduction in the rate of GA lesion growth compared to sham, with a p-value of 0.008, and patients treated with APL-2 every other month showed a 20% reduction, with a p-value of 0.067. P-value is a conventional statistical method for measuring the statistical significance of clinical results. In our Phase 2 trial, we set statistical significance as a p-value of 0.1 or less, meaning that there is a 1-in-10 or less statistical probability that the observed results occurred by chance rather than as a result of a treatment effect. Because the p-value of these results was less than 0.1, they are statistically significant. We expect that in our planned Phase 3 clinical trials of APL-2 in GA, we will set statistical significance at a p-value of 0.05 or less, meaning that there is a 1-in-20 or less statistical probability that the observed results occur by chance.</w:t>
      </w:r>
    </w:p>
    <w:p>
      <w:pPr>
        <w:spacing w:after="0" w:line="169" w:lineRule="exact"/>
        <w:rPr>
          <w:sz w:val="20"/>
          <w:szCs w:val="20"/>
          <w:color w:val="auto"/>
        </w:rPr>
      </w:pPr>
    </w:p>
    <w:p>
      <w:pPr>
        <w:ind w:left="200" w:right="40" w:firstLine="442"/>
        <w:spacing w:after="0" w:line="269" w:lineRule="auto"/>
        <w:rPr>
          <w:sz w:val="20"/>
          <w:szCs w:val="20"/>
          <w:color w:val="auto"/>
        </w:rPr>
      </w:pPr>
      <w:r>
        <w:rPr>
          <w:rFonts w:ascii="Arial" w:cs="Arial" w:eastAsia="Arial" w:hAnsi="Arial"/>
          <w:sz w:val="17"/>
          <w:szCs w:val="17"/>
          <w:color w:val="auto"/>
        </w:rPr>
        <w:t xml:space="preserve">Additionally, in a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of the Phase 2 trial, a greater effect was observed during the second six months of the treatment period compared to the first six months. During the second six months, we observed a reduction in the rate of GA lesion growth of 47% with monthly administration compared to sham, with a p-value of less than 0.001, and a reduction of 33% with administration every other month compared to sham, with a p-value of 0.01. These results are also statistically significant. We believe that this increased effect during the second six months may be due to immune regulation, which takes time to manifest itself. Immune regulation is the correction of the immunological dysfunction that underlies GA by enabling the natural regulatory mechanisms of immunity to normalize the immune response.</w:t>
      </w:r>
    </w:p>
    <w:p>
      <w:pPr>
        <w:spacing w:after="0" w:line="179" w:lineRule="exact"/>
        <w:rPr>
          <w:sz w:val="20"/>
          <w:szCs w:val="20"/>
          <w:color w:val="auto"/>
        </w:rPr>
      </w:pPr>
    </w:p>
    <w:p>
      <w:pPr>
        <w:ind w:left="200" w:firstLine="442"/>
        <w:spacing w:after="0" w:line="266" w:lineRule="auto"/>
        <w:rPr>
          <w:sz w:val="20"/>
          <w:szCs w:val="20"/>
          <w:color w:val="auto"/>
        </w:rPr>
      </w:pPr>
      <w:r>
        <w:rPr>
          <w:rFonts w:ascii="Arial" w:cs="Arial" w:eastAsia="Arial" w:hAnsi="Arial"/>
          <w:sz w:val="17"/>
          <w:szCs w:val="17"/>
          <w:color w:val="auto"/>
        </w:rPr>
        <w:t>The most frequently reported adverse events in the trial were associated with the injection procedure and are common for intravitreal injections. In addition, during the trial, we observed a higher incidence of wet AMD in the study eyes treated with APL-2, predominantly in patients with a history of wet AMD in the non-study eye, or fellow eye. Specifically, we observed that as of August 24, 2017, 18% of patients receiving administration of APL-2 every month and 8% of patients receiving administration of APL-2 every other month showed signs of fluid leakage in the retina, or exudation, of the study eye, which is a sign of wet AMD. We submitted a safety report to the FDA in April 2017 regarding these events, and the FDA has not communicated any concern or requested additional information with regards to these findings. Patients who experienced exudation in the study eye were discontinued from treatment with APL-2 and were treated with standard-of-care therapies that inhibit vascular endothelial growth factor, or VEGF, a naturally occurring protein in the body that causes the growth of abnormal blood vessels and leakage in the eye. There was no observed negative impact on visual acuity resulting from the exudation.</w:t>
      </w:r>
    </w:p>
    <w:p>
      <w:pPr>
        <w:spacing w:after="0" w:line="184" w:lineRule="exact"/>
        <w:rPr>
          <w:sz w:val="20"/>
          <w:szCs w:val="20"/>
          <w:color w:val="auto"/>
        </w:rPr>
      </w:pPr>
    </w:p>
    <w:p>
      <w:pPr>
        <w:ind w:left="200" w:right="60" w:firstLine="442"/>
        <w:spacing w:after="0" w:line="273" w:lineRule="auto"/>
        <w:rPr>
          <w:sz w:val="20"/>
          <w:szCs w:val="20"/>
          <w:color w:val="auto"/>
        </w:rPr>
      </w:pPr>
      <w:r>
        <w:rPr>
          <w:rFonts w:ascii="Arial" w:cs="Arial" w:eastAsia="Arial" w:hAnsi="Arial"/>
          <w:sz w:val="17"/>
          <w:szCs w:val="17"/>
          <w:color w:val="auto"/>
        </w:rPr>
        <w:t>We plan to discuss our Phase 3 program in GA with the U.S. Food and Drug Administration, or FDA, and to initiate Phase 3 clinical trials of APL-2 in GA in the second half of 2018. If wet AMD is deemed to be a safety concern, we believe that we could address the concern by excluding patients with wet AMD in the fellow eye from our planned Phase 3 trials. If our clinical development of APL-2 for GA is successful, we believe that APL-2 could be a best-in-class therapy for GA, differentiated by mechanism, that could delay or prevent blindness for millions of patients.</w:t>
      </w:r>
    </w:p>
    <w:p>
      <w:pPr>
        <w:spacing w:after="0" w:line="177" w:lineRule="exact"/>
        <w:rPr>
          <w:sz w:val="20"/>
          <w:szCs w:val="20"/>
          <w:color w:val="auto"/>
        </w:rPr>
      </w:pPr>
    </w:p>
    <w:p>
      <w:pPr>
        <w:ind w:left="200" w:right="100" w:firstLine="442"/>
        <w:spacing w:after="0" w:line="267" w:lineRule="auto"/>
        <w:rPr>
          <w:sz w:val="20"/>
          <w:szCs w:val="20"/>
          <w:color w:val="auto"/>
        </w:rPr>
      </w:pPr>
      <w:r>
        <w:rPr>
          <w:rFonts w:ascii="Arial" w:cs="Arial" w:eastAsia="Arial" w:hAnsi="Arial"/>
          <w:sz w:val="18"/>
          <w:szCs w:val="18"/>
          <w:color w:val="auto"/>
        </w:rPr>
        <w:t>We also plan to initiate a Phase 2 proof-of-concept trial of APL-2 in patients with wet AMD in the first half of 2018 to evaluate the safety of APL-2 when administered with anti-VEGF treatments and then to evaluate whether</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5"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551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55168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treatment with APL-2 may allow wet AMD patients to reduce their dependence on anti-VEGF treatments. We believe that intravitreal administration of APL-2 in the presence of GA induces immunological changes in the retina that cause neovascularization and wet AMD as part of a healing response before returning to a quiescent state. We believe that intravitreal administration of APL-2 in patients with wet AMD in the absence of GA could also allow the retinal environment to return to its quiescent state, possibly slowing or halting the formation of new blood vessels and reducing exudation. Accordingly, we plan to conduct this proof-of-concept trial to explore whether the administration of APL-2 in patients with wet AMD can cause the retinal environment to return to its quiescent state and alleviate the need for anti-VEGF treatment. We believe that the data from this trial may also support the use of APL-2 in eyes afflicted with both wet AMD and GA.</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Paroxysmal Nocturnal Hemoglobinuria</w:t>
      </w:r>
    </w:p>
    <w:p>
      <w:pPr>
        <w:spacing w:after="0" w:line="113" w:lineRule="exact"/>
        <w:rPr>
          <w:sz w:val="20"/>
          <w:szCs w:val="20"/>
          <w:color w:val="auto"/>
        </w:rPr>
      </w:pPr>
    </w:p>
    <w:p>
      <w:pPr>
        <w:ind w:left="200" w:right="260" w:firstLine="442"/>
        <w:spacing w:after="0" w:line="287" w:lineRule="auto"/>
        <w:rPr>
          <w:sz w:val="20"/>
          <w:szCs w:val="20"/>
          <w:color w:val="auto"/>
        </w:rPr>
      </w:pPr>
      <w:r>
        <w:rPr>
          <w:rFonts w:ascii="Arial" w:cs="Arial" w:eastAsia="Arial" w:hAnsi="Arial"/>
          <w:sz w:val="16"/>
          <w:szCs w:val="16"/>
          <w:color w:val="auto"/>
        </w:rPr>
        <w:t>In PNH, we are developing APL-2 to be injected subcutaneously as a monotherapy. PNH is a rare, life-threatening, chronic, debilitating blood disorder characterized by the absence of certain proteins that normally regulate complement activity on the surface of blood cells. As a consequence, patients with PNH suffer from significant and chronic red blood cell loss, or hemolysis. The only therapy currently approved for the treatment of PNH, eculizumab (Soliris), inhibits the complement system by targeting C5, a protein that is downstream from C3 in the complement cascade. Inhibitors that target C5 are limited to addressing only one of the two mechanisms of hemolysis in PNH. Consequently, many patients with PNH who are on treatment with eculizumab remain anemic and continue to require frequent transfusions, conditions associated with a poor quality of life. By contrast, APL-2, because it targets C3, addresses both mechanisms of hemolysis and, we believe, may therefore significantly ameliorate these conditions.</w:t>
      </w:r>
    </w:p>
    <w:p>
      <w:pPr>
        <w:spacing w:after="0" w:line="167" w:lineRule="exact"/>
        <w:rPr>
          <w:sz w:val="20"/>
          <w:szCs w:val="20"/>
          <w:color w:val="auto"/>
        </w:rPr>
      </w:pPr>
    </w:p>
    <w:p>
      <w:pPr>
        <w:ind w:left="200" w:right="20" w:firstLine="442"/>
        <w:spacing w:after="0" w:line="251" w:lineRule="auto"/>
        <w:rPr>
          <w:sz w:val="20"/>
          <w:szCs w:val="20"/>
          <w:color w:val="auto"/>
        </w:rPr>
      </w:pPr>
      <w:r>
        <w:rPr>
          <w:rFonts w:ascii="Arial" w:cs="Arial" w:eastAsia="Arial" w:hAnsi="Arial"/>
          <w:sz w:val="18"/>
          <w:szCs w:val="18"/>
          <w:color w:val="auto"/>
        </w:rPr>
        <w:t>In our ongoing Phase 1b trials of APL-2 for the treatment of PNH, in which APL-2 was administered to 14 patients, treatment with APL-2 was associated with improvements in transfusion dependency, levels of hemoglobin—the protein that carries oxygen from the lungs to the tissues of the body —and other hematological indicators that we believe are clinically meaningful. We made these observations both in patients who had not been treated with eculizumab, who we refer to as treatment-naïve patients, and in patients being treated with eculizumab who remained anemic and required frequent blood transfusions. In these trials, APL-2 has been generally well tolerated, and, as of August 30, 2017, six patients in the trials had been treated with APL-2 for more than 300 days.</w:t>
      </w:r>
    </w:p>
    <w:p>
      <w:pPr>
        <w:spacing w:after="0" w:line="195" w:lineRule="exact"/>
        <w:rPr>
          <w:sz w:val="20"/>
          <w:szCs w:val="20"/>
          <w:color w:val="auto"/>
        </w:rPr>
      </w:pPr>
    </w:p>
    <w:p>
      <w:pPr>
        <w:ind w:left="200" w:right="40" w:firstLine="442"/>
        <w:spacing w:after="0" w:line="285" w:lineRule="auto"/>
        <w:rPr>
          <w:sz w:val="20"/>
          <w:szCs w:val="20"/>
          <w:color w:val="auto"/>
        </w:rPr>
      </w:pPr>
      <w:r>
        <w:rPr>
          <w:rFonts w:ascii="Arial" w:cs="Arial" w:eastAsia="Arial" w:hAnsi="Arial"/>
          <w:sz w:val="16"/>
          <w:szCs w:val="16"/>
          <w:color w:val="auto"/>
        </w:rPr>
        <w:t>We plan to discuss our Phase 3 program in PNH with the FDA and to initiate in the second half of 2018 a Phase 3 clinical trial in patients with PNH comparing treatment with APL-2 to treatment with eculizumab as a monotherapy. Based on our discussions with the FDA to date, we believe that we can initiate Phase 3 trials in PNH as pivotal trials without having to conduct Phase 2 trials. Our ability to forgo a Phase 2 trial reflects that the design of our Phase 1b trials is comparable to the design of a Phase 2 trial, that the dosing and efficacy data to be generated from the Phase 1b trials are comparable to the data that would be generated from a Phase 2 trial and that there is a limited PNH patient population. In April 2014, we received orphan drug designation from the FDA for APL-2 for PNH, and in December 2016 we received fast track designation from the FDA for APL-2 for PNH. If our clinical development of APL-2 for PNH is successful, we believe that APL-2 could be a best-in-class therapy for PNH, differentiated by mechanism, and has the potential to significantly increase the quality of life of patients with PNH as compared to the current standard of care.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Indications</w:t>
      </w:r>
    </w:p>
    <w:p>
      <w:pPr>
        <w:spacing w:after="0" w:line="113" w:lineRule="exact"/>
        <w:rPr>
          <w:sz w:val="20"/>
          <w:szCs w:val="20"/>
          <w:color w:val="auto"/>
        </w:rPr>
      </w:pPr>
    </w:p>
    <w:p>
      <w:pPr>
        <w:ind w:left="200" w:right="120" w:firstLine="442"/>
        <w:spacing w:after="0" w:line="257" w:lineRule="auto"/>
        <w:rPr>
          <w:sz w:val="20"/>
          <w:szCs w:val="20"/>
          <w:color w:val="auto"/>
        </w:rPr>
      </w:pPr>
      <w:r>
        <w:rPr>
          <w:rFonts w:ascii="Arial" w:cs="Arial" w:eastAsia="Arial" w:hAnsi="Arial"/>
          <w:sz w:val="18"/>
          <w:szCs w:val="18"/>
          <w:color w:val="auto"/>
        </w:rPr>
        <w:t>By combining our core expertise in C3 inhibition with our deep understanding of complement immunology, we intend to expand our pipeline of potential treatment areas with APL-2 and with additional new product candidates. We plan to initiate clinical trials of APL-2 in patients with autoimmune hemolytic anemia, or AIHA, and in patients with complement-dependent kidney diseases, or nephropathies.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5"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6346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63461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119" w:lineRule="exact"/>
        <w:rPr>
          <w:sz w:val="20"/>
          <w:szCs w:val="20"/>
          <w:color w:val="auto"/>
        </w:rPr>
      </w:pPr>
    </w:p>
    <w:p>
      <w:pPr>
        <w:ind w:left="200" w:right="340" w:firstLine="442"/>
        <w:spacing w:after="0" w:line="331" w:lineRule="auto"/>
        <w:rPr>
          <w:sz w:val="20"/>
          <w:szCs w:val="20"/>
          <w:color w:val="auto"/>
        </w:rPr>
      </w:pPr>
      <w:r>
        <w:rPr>
          <w:rFonts w:ascii="Arial" w:cs="Arial" w:eastAsia="Arial" w:hAnsi="Arial"/>
          <w:sz w:val="16"/>
          <w:szCs w:val="16"/>
          <w:color w:val="auto"/>
        </w:rPr>
        <w:t>We aim to become a leading biopharmaceutical company focused on the discovery, development and commercialization of therapeutics to treat autoimmune and inflammatory diseases through complement inhibition. To achieve this goal, we are pursuing the following strategies:</w:t>
      </w:r>
    </w:p>
    <w:p>
      <w:pPr>
        <w:spacing w:after="0" w:line="159" w:lineRule="exact"/>
        <w:rPr>
          <w:sz w:val="20"/>
          <w:szCs w:val="20"/>
          <w:color w:val="auto"/>
        </w:rPr>
      </w:pPr>
    </w:p>
    <w:p>
      <w:pPr>
        <w:ind w:left="840" w:hanging="205"/>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advance APL-2 (intravitreal administration) into Phase 3 clinical development in GA and initiate Phase 2 clinical development in wet AMD;</w:t>
      </w:r>
    </w:p>
    <w:p>
      <w:pPr>
        <w:spacing w:after="0" w:line="269" w:lineRule="exact"/>
        <w:rPr>
          <w:rFonts w:ascii="Arial" w:cs="Arial" w:eastAsia="Arial" w:hAnsi="Arial"/>
          <w:sz w:val="16"/>
          <w:szCs w:val="16"/>
          <w:color w:val="auto"/>
        </w:rPr>
      </w:pPr>
    </w:p>
    <w:p>
      <w:pPr>
        <w:ind w:left="840" w:hanging="2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 APL-2 (systemic administration) into Phase 3 clinical development in PNH;</w:t>
      </w:r>
    </w:p>
    <w:p>
      <w:pPr>
        <w:spacing w:after="0" w:line="246" w:lineRule="exact"/>
        <w:rPr>
          <w:rFonts w:ascii="Arial" w:cs="Arial" w:eastAsia="Arial" w:hAnsi="Arial"/>
          <w:sz w:val="18"/>
          <w:szCs w:val="18"/>
          <w:color w:val="auto"/>
        </w:rPr>
      </w:pPr>
    </w:p>
    <w:p>
      <w:pPr>
        <w:ind w:left="840" w:hanging="2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APL-2 (systemic administration) into new indications with demonstrated complement involvement;</w:t>
      </w:r>
    </w:p>
    <w:p>
      <w:pPr>
        <w:spacing w:after="0" w:line="246" w:lineRule="exact"/>
        <w:rPr>
          <w:rFonts w:ascii="Arial" w:cs="Arial" w:eastAsia="Arial" w:hAnsi="Arial"/>
          <w:sz w:val="18"/>
          <w:szCs w:val="18"/>
          <w:color w:val="auto"/>
        </w:rPr>
      </w:pPr>
    </w:p>
    <w:p>
      <w:pPr>
        <w:ind w:left="840" w:hanging="2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 our pipeline by developing new compounds and programs for other complement-dependent diseases;</w:t>
      </w:r>
    </w:p>
    <w:p>
      <w:pPr>
        <w:spacing w:after="0" w:line="246" w:lineRule="exact"/>
        <w:rPr>
          <w:rFonts w:ascii="Arial" w:cs="Arial" w:eastAsia="Arial" w:hAnsi="Arial"/>
          <w:sz w:val="18"/>
          <w:szCs w:val="18"/>
          <w:color w:val="auto"/>
        </w:rPr>
      </w:pPr>
    </w:p>
    <w:p>
      <w:pPr>
        <w:ind w:left="840" w:hanging="205"/>
        <w:spacing w:after="0" w:line="267"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 custom, on-body drug delivery system that would enable patients to self-administer APL-2 through subcutaneous injection more easily than with currently available off-the shelf, FDA-approved or FDA-cleared devices; and</w:t>
      </w:r>
    </w:p>
    <w:p>
      <w:pPr>
        <w:spacing w:after="0" w:line="206" w:lineRule="exact"/>
        <w:rPr>
          <w:rFonts w:ascii="Arial" w:cs="Arial" w:eastAsia="Arial" w:hAnsi="Arial"/>
          <w:sz w:val="18"/>
          <w:szCs w:val="18"/>
          <w:color w:val="auto"/>
        </w:rPr>
      </w:pPr>
    </w:p>
    <w:p>
      <w:pPr>
        <w:ind w:left="840" w:hanging="205"/>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for commercialization of APL-2.</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19" w:lineRule="exact"/>
        <w:rPr>
          <w:sz w:val="20"/>
          <w:szCs w:val="20"/>
          <w:color w:val="auto"/>
        </w:rPr>
      </w:pPr>
    </w:p>
    <w:p>
      <w:pPr>
        <w:ind w:left="200" w:right="200" w:firstLine="442"/>
        <w:spacing w:after="0" w:line="331"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59" w:lineRule="exact"/>
        <w:rPr>
          <w:sz w:val="20"/>
          <w:szCs w:val="20"/>
          <w:color w:val="auto"/>
        </w:rPr>
      </w:pPr>
    </w:p>
    <w:p>
      <w:pPr>
        <w:ind w:left="840" w:right="120" w:hanging="205"/>
        <w:spacing w:after="0" w:line="26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expect to incur significant and increasing losses for at least the next several years, and may never achieve or maintain profitability.</w:t>
      </w:r>
    </w:p>
    <w:p>
      <w:pPr>
        <w:spacing w:after="0" w:line="206" w:lineRule="exact"/>
        <w:rPr>
          <w:rFonts w:ascii="Arial" w:cs="Arial" w:eastAsia="Arial" w:hAnsi="Arial"/>
          <w:sz w:val="18"/>
          <w:szCs w:val="18"/>
          <w:color w:val="auto"/>
        </w:rPr>
      </w:pPr>
    </w:p>
    <w:p>
      <w:pPr>
        <w:ind w:left="840" w:right="180" w:hanging="205"/>
        <w:spacing w:after="0" w:line="297"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including to complete our planned Phase 3 trials for APL-2. If we are unable to raise capital when needed, we could be forced to delay, reduce or eliminate our product development programs or commercialization efforts.</w:t>
      </w:r>
    </w:p>
    <w:p>
      <w:pPr>
        <w:spacing w:after="0" w:line="182" w:lineRule="exact"/>
        <w:rPr>
          <w:rFonts w:ascii="Arial" w:cs="Arial" w:eastAsia="Arial" w:hAnsi="Arial"/>
          <w:sz w:val="17"/>
          <w:szCs w:val="17"/>
          <w:color w:val="auto"/>
        </w:rPr>
      </w:pPr>
    </w:p>
    <w:p>
      <w:pPr>
        <w:ind w:left="840" w:right="300" w:hanging="205"/>
        <w:spacing w:after="0" w:line="26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no approved therapies that act by inhibiting C3 and we may not be able to successfully develop and commercialize APL-2 or other product candidates.</w:t>
      </w:r>
    </w:p>
    <w:p>
      <w:pPr>
        <w:spacing w:after="0" w:line="206" w:lineRule="exact"/>
        <w:rPr>
          <w:rFonts w:ascii="Arial" w:cs="Arial" w:eastAsia="Arial" w:hAnsi="Arial"/>
          <w:sz w:val="18"/>
          <w:szCs w:val="18"/>
          <w:color w:val="auto"/>
        </w:rPr>
      </w:pPr>
    </w:p>
    <w:p>
      <w:pPr>
        <w:ind w:left="840" w:hanging="205"/>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successful development and commercialization of APL-2.</w:t>
      </w:r>
    </w:p>
    <w:p>
      <w:pPr>
        <w:spacing w:after="0" w:line="246" w:lineRule="exact"/>
        <w:rPr>
          <w:rFonts w:ascii="Arial" w:cs="Arial" w:eastAsia="Arial" w:hAnsi="Arial"/>
          <w:sz w:val="18"/>
          <w:szCs w:val="18"/>
          <w:color w:val="auto"/>
        </w:rPr>
      </w:pPr>
    </w:p>
    <w:p>
      <w:pPr>
        <w:ind w:left="840" w:right="40" w:hanging="205"/>
        <w:spacing w:after="0" w:line="25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clinical trials of our product candidates fail to satisfactorily demonstrate safety and efficacy to the FDA and other regulators, we, or any future collaborators, may incur additional costs, experience delays or be unable to complete the development and commercialization of these product candidates.</w:t>
      </w:r>
    </w:p>
    <w:p>
      <w:pPr>
        <w:spacing w:after="0" w:line="215" w:lineRule="exact"/>
        <w:rPr>
          <w:rFonts w:ascii="Arial" w:cs="Arial" w:eastAsia="Arial" w:hAnsi="Arial"/>
          <w:sz w:val="18"/>
          <w:szCs w:val="18"/>
          <w:color w:val="auto"/>
        </w:rPr>
      </w:pPr>
    </w:p>
    <w:p>
      <w:pPr>
        <w:ind w:left="840" w:right="60" w:hanging="205"/>
        <w:spacing w:after="0" w:line="25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significant number of patients develop wet AMD in our clinical trials of APL-2 in GA, we may need to limit the development of intravitreal APL-2 to certain uses or subpopulations in which the undesirable side effects or other characteristics are less prevalent, less severe or more acceptable from a risk-benefit perspective.</w:t>
      </w:r>
    </w:p>
    <w:p>
      <w:pPr>
        <w:spacing w:after="0" w:line="215" w:lineRule="exact"/>
        <w:rPr>
          <w:rFonts w:ascii="Arial" w:cs="Arial" w:eastAsia="Arial" w:hAnsi="Arial"/>
          <w:sz w:val="18"/>
          <w:szCs w:val="18"/>
          <w:color w:val="auto"/>
        </w:rPr>
      </w:pPr>
    </w:p>
    <w:p>
      <w:pPr>
        <w:ind w:left="840" w:right="100" w:hanging="205"/>
        <w:spacing w:after="0" w:line="267"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Given the severe and life-threatening nature of PNH, that many patients are on treatment with eculizumab and that patients and their physicians may be reluctant to forgo, discontinue or otherwise alter their</w:t>
      </w: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5"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5990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59905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40" w:right="260"/>
        <w:spacing w:after="0" w:line="254" w:lineRule="auto"/>
        <w:rPr>
          <w:sz w:val="20"/>
          <w:szCs w:val="20"/>
          <w:color w:val="auto"/>
        </w:rPr>
      </w:pPr>
      <w:r>
        <w:rPr>
          <w:rFonts w:ascii="Arial" w:cs="Arial" w:eastAsia="Arial" w:hAnsi="Arial"/>
          <w:sz w:val="18"/>
          <w:szCs w:val="18"/>
          <w:color w:val="auto"/>
        </w:rPr>
        <w:t>existing therapy, we may encounter difficulty in recruiting a sufficient number of patients for our PNH trials. The small population of patients, competition for these patients, including with other companies conducting clinical trials of therapies for PNH, the nature of the disease and limited trial sites that support PNH treatment may make it difficult for us to enroll enough patients to complete our clinical trials of APL-2 in PNH in a timely and cost-effective manner.</w:t>
      </w:r>
    </w:p>
    <w:p>
      <w:pPr>
        <w:spacing w:after="0" w:line="217" w:lineRule="exact"/>
        <w:rPr>
          <w:sz w:val="20"/>
          <w:szCs w:val="20"/>
          <w:color w:val="auto"/>
        </w:rPr>
      </w:pPr>
    </w:p>
    <w:p>
      <w:pPr>
        <w:ind w:left="840" w:right="60" w:hanging="205"/>
        <w:spacing w:after="0" w:line="26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to manufacture and distribute our product candidates for our clinical trials. If these third parties do not perform satisfactorily, our development or commercialization efforts could be delayed or impaired.</w:t>
      </w:r>
    </w:p>
    <w:p>
      <w:pPr>
        <w:spacing w:after="0" w:line="206" w:lineRule="exact"/>
        <w:rPr>
          <w:rFonts w:ascii="Arial" w:cs="Arial" w:eastAsia="Arial" w:hAnsi="Arial"/>
          <w:sz w:val="18"/>
          <w:szCs w:val="18"/>
          <w:color w:val="auto"/>
        </w:rPr>
      </w:pPr>
    </w:p>
    <w:p>
      <w:pPr>
        <w:ind w:left="840" w:right="100" w:hanging="205"/>
        <w:spacing w:after="0" w:line="26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seek to establish collaborations and, if we are not able to establish or maintain them on commercially reasonable terms, we may have to alter our development and commercialization plans.</w:t>
      </w:r>
    </w:p>
    <w:p>
      <w:pPr>
        <w:spacing w:after="0" w:line="206" w:lineRule="exact"/>
        <w:rPr>
          <w:rFonts w:ascii="Arial" w:cs="Arial" w:eastAsia="Arial" w:hAnsi="Arial"/>
          <w:sz w:val="18"/>
          <w:szCs w:val="18"/>
          <w:color w:val="auto"/>
        </w:rPr>
      </w:pPr>
    </w:p>
    <w:p>
      <w:pPr>
        <w:ind w:left="840" w:right="700" w:hanging="205"/>
        <w:spacing w:after="0" w:line="29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comply with our obligations under our license agreements with the Trustees of the University of Pennsylvania or any future intellectual property licenses with third parties, we could lose license rights that are important to our business.</w:t>
      </w:r>
    </w:p>
    <w:p>
      <w:pPr>
        <w:spacing w:after="0" w:line="182" w:lineRule="exact"/>
        <w:rPr>
          <w:rFonts w:ascii="Arial" w:cs="Arial" w:eastAsia="Arial" w:hAnsi="Arial"/>
          <w:sz w:val="17"/>
          <w:szCs w:val="17"/>
          <w:color w:val="auto"/>
        </w:rPr>
      </w:pPr>
    </w:p>
    <w:p>
      <w:pPr>
        <w:jc w:val="both"/>
        <w:ind w:left="840" w:right="540" w:hanging="205"/>
        <w:spacing w:after="0" w:line="25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we complete the necessary preclinical studies and clinical trials, the marketing approval process is expensive, time consuming and uncertain and may prevent us or any future collaborators from obtaining approvals for the commercialization of some or all of our product candidates.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19" w:lineRule="exact"/>
        <w:rPr>
          <w:sz w:val="20"/>
          <w:szCs w:val="20"/>
          <w:color w:val="auto"/>
        </w:rPr>
      </w:pPr>
    </w:p>
    <w:p>
      <w:pPr>
        <w:ind w:left="200" w:right="80" w:firstLine="442"/>
        <w:spacing w:after="0" w:line="254" w:lineRule="auto"/>
        <w:rPr>
          <w:sz w:val="20"/>
          <w:szCs w:val="20"/>
          <w:color w:val="auto"/>
        </w:rPr>
      </w:pPr>
      <w:r>
        <w:rPr>
          <w:rFonts w:ascii="Arial" w:cs="Arial" w:eastAsia="Arial" w:hAnsi="Arial"/>
          <w:sz w:val="18"/>
          <w:szCs w:val="18"/>
          <w:color w:val="auto"/>
        </w:rPr>
        <w:t>We were incorporated under the laws of the State of Delaware on September 25, 2009 under the name Apellis Pharmaceuticals, Inc. Our principal executive offices are located at 6400 Westwind Way, Suite A, Crestwood, Kentucky 40014, and our telephone number is (502) 241-4114. Our website address is www.apellis.com.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00" w:right="100" w:firstLine="442"/>
        <w:spacing w:after="0" w:line="267" w:lineRule="auto"/>
        <w:rPr>
          <w:sz w:val="20"/>
          <w:szCs w:val="20"/>
          <w:color w:val="auto"/>
        </w:rPr>
      </w:pPr>
      <w:r>
        <w:rPr>
          <w:rFonts w:ascii="Arial" w:cs="Arial" w:eastAsia="Arial" w:hAnsi="Arial"/>
          <w:sz w:val="18"/>
          <w:szCs w:val="18"/>
          <w:color w:val="auto"/>
        </w:rPr>
        <w:t>Except as otherwise indicated herein or as the context otherwise requires, references in this prospectus to “Apellis,” “the company,” “we,” “us” and “our” refer to Apellis Pharmaceuticals, Inc. and our wholly-owned subsidiary Apellis Australia Pty Ltd.</w:t>
      </w:r>
    </w:p>
    <w:p>
      <w:pPr>
        <w:spacing w:after="0" w:line="180" w:lineRule="exact"/>
        <w:rPr>
          <w:sz w:val="20"/>
          <w:szCs w:val="20"/>
          <w:color w:val="auto"/>
        </w:rPr>
      </w:pPr>
    </w:p>
    <w:p>
      <w:pPr>
        <w:ind w:left="200" w:right="540" w:firstLine="442"/>
        <w:spacing w:after="0" w:line="267" w:lineRule="auto"/>
        <w:rPr>
          <w:sz w:val="20"/>
          <w:szCs w:val="20"/>
          <w:color w:val="auto"/>
        </w:rPr>
      </w:pPr>
      <w:r>
        <w:rPr>
          <w:rFonts w:ascii="Arial" w:cs="Arial" w:eastAsia="Arial" w:hAnsi="Arial"/>
          <w:sz w:val="18"/>
          <w:szCs w:val="18"/>
          <w:color w:val="auto"/>
        </w:rPr>
        <w:t>The Apellis logo is our trademark. The other trademarks, trade names and service marks appearing in this prospectus are the property of their respective owners.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9" w:lineRule="exact"/>
        <w:rPr>
          <w:sz w:val="20"/>
          <w:szCs w:val="20"/>
          <w:color w:val="auto"/>
        </w:rPr>
      </w:pPr>
    </w:p>
    <w:p>
      <w:pPr>
        <w:ind w:left="200" w:firstLine="442"/>
        <w:spacing w:after="0" w:line="284" w:lineRule="auto"/>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 Jumpstart Our Business Startups Act of 2012, or the JOBS Act.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other public companies that are not emerging growth companies. In particular, in this prospectus, we have provided only two years of audited consolidated financial statements, along with unaudited interim financial statements, with correspondingly reduced “Management’s Discussion and Analysis of Financial Condition and Results of Operations” disclosure, and we have not included all of the executive compensation-related information that would be required if we were not an emerging growth company. Accordingly, the information contained herein may be different than the information you receive from other public companies in which you hold stock.</w:t>
      </w: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6439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335" cy="64395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00"/>
          </w:cols>
          <w:pgMar w:left="240" w:top="455" w:right="4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10,714,000 shares</w:t>
      </w:r>
    </w:p>
    <w:p>
      <w:pPr>
        <w:spacing w:after="0" w:line="222" w:lineRule="exact"/>
        <w:rPr>
          <w:sz w:val="20"/>
          <w:szCs w:val="20"/>
          <w:color w:val="auto"/>
        </w:rPr>
      </w:pPr>
    </w:p>
    <w:p>
      <w:pPr>
        <w:sectPr>
          <w:pgSz w:w="11900" w:h="16838" w:orient="portrait"/>
          <w:cols w:equalWidth="0" w:num="2">
            <w:col w:w="3660" w:space="720"/>
            <w:col w:w="6820"/>
          </w:cols>
          <w:pgMar w:left="240" w:top="455" w:right="459" w:bottom="1440" w:gutter="0" w:footer="0" w:header="0"/>
          <w:type w:val="continuous"/>
        </w:sectPr>
      </w:pPr>
    </w:p>
    <w:p>
      <w:pPr>
        <w:spacing w:after="0" w:line="83" w:lineRule="exact"/>
        <w:rPr>
          <w:sz w:val="20"/>
          <w:szCs w:val="20"/>
          <w:color w:val="auto"/>
        </w:rPr>
      </w:pPr>
    </w:p>
    <w:p>
      <w:pPr>
        <w:ind w:left="280" w:hanging="81"/>
        <w:spacing w:after="0" w:line="267" w:lineRule="auto"/>
        <w:rPr>
          <w:sz w:val="20"/>
          <w:szCs w:val="20"/>
          <w:color w:val="auto"/>
        </w:rPr>
      </w:pPr>
      <w:r>
        <w:rPr>
          <w:rFonts w:ascii="Arial" w:cs="Arial" w:eastAsia="Arial" w:hAnsi="Arial"/>
          <w:sz w:val="18"/>
          <w:szCs w:val="18"/>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49,256,937 shares</w:t>
      </w:r>
    </w:p>
    <w:p>
      <w:pPr>
        <w:spacing w:after="0" w:line="499" w:lineRule="exact"/>
        <w:rPr>
          <w:sz w:val="20"/>
          <w:szCs w:val="20"/>
          <w:color w:val="auto"/>
        </w:rPr>
      </w:pPr>
    </w:p>
    <w:p>
      <w:pPr>
        <w:sectPr>
          <w:pgSz w:w="11900" w:h="16838" w:orient="portrait"/>
          <w:cols w:equalWidth="0" w:num="2">
            <w:col w:w="4220" w:space="160"/>
            <w:col w:w="6820"/>
          </w:cols>
          <w:pgMar w:left="240" w:top="455" w:right="45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1,607,100 shares</w:t>
      </w:r>
    </w:p>
    <w:p>
      <w:pPr>
        <w:spacing w:after="0" w:line="222" w:lineRule="exact"/>
        <w:rPr>
          <w:sz w:val="20"/>
          <w:szCs w:val="20"/>
          <w:color w:val="auto"/>
        </w:rPr>
      </w:pPr>
    </w:p>
    <w:p>
      <w:pPr>
        <w:sectPr>
          <w:pgSz w:w="11900" w:h="16838" w:orient="portrait"/>
          <w:cols w:equalWidth="0" w:num="2">
            <w:col w:w="3660" w:space="720"/>
            <w:col w:w="6820"/>
          </w:cols>
          <w:pgMar w:left="240" w:top="455" w:right="459" w:bottom="1440" w:gutter="0" w:footer="0" w:header="0"/>
          <w:type w:val="continuous"/>
        </w:sectPr>
      </w:pPr>
    </w:p>
    <w:p>
      <w:pPr>
        <w:spacing w:after="0" w:line="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clinical development of APL-2 and to conduct research activities. The remainder will be used for working capital and other general corporate purposes. See the “Use of Proceeds” section in this prospectus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3660" w:space="720"/>
            <w:col w:w="6820"/>
          </w:cols>
          <w:pgMar w:left="240" w:top="455" w:right="45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0"/>
        <w:spacing w:after="0" w:line="297"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shares of our common stock.</w:t>
      </w:r>
    </w:p>
    <w:p>
      <w:pPr>
        <w:spacing w:after="0" w:line="183" w:lineRule="exact"/>
        <w:rPr>
          <w:sz w:val="20"/>
          <w:szCs w:val="20"/>
          <w:color w:val="auto"/>
        </w:rPr>
      </w:pPr>
    </w:p>
    <w:p>
      <w:pPr>
        <w:sectPr>
          <w:pgSz w:w="11900" w:h="16838" w:orient="portrait"/>
          <w:cols w:equalWidth="0" w:num="2">
            <w:col w:w="3660" w:space="720"/>
            <w:col w:w="6820"/>
          </w:cols>
          <w:pgMar w:left="240" w:top="455"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“APLS”</w:t>
      </w:r>
    </w:p>
    <w:p>
      <w:pPr>
        <w:spacing w:after="0" w:line="200" w:lineRule="exact"/>
        <w:rPr>
          <w:sz w:val="20"/>
          <w:szCs w:val="20"/>
          <w:color w:val="auto"/>
        </w:rPr>
      </w:pPr>
    </w:p>
    <w:p>
      <w:pPr>
        <w:sectPr>
          <w:pgSz w:w="11900" w:h="16838" w:orient="portrait"/>
          <w:cols w:equalWidth="0" w:num="2">
            <w:col w:w="3660" w:space="720"/>
            <w:col w:w="6820"/>
          </w:cols>
          <w:pgMar w:left="240" w:top="455" w:right="459" w:bottom="1440" w:gutter="0" w:footer="0" w:header="0"/>
          <w:type w:val="continuous"/>
        </w:sectPr>
      </w:pPr>
    </w:p>
    <w:p>
      <w:pPr>
        <w:spacing w:after="0" w:line="393" w:lineRule="exact"/>
        <w:rPr>
          <w:sz w:val="20"/>
          <w:szCs w:val="20"/>
          <w:color w:val="auto"/>
        </w:rPr>
      </w:pPr>
    </w:p>
    <w:p>
      <w:pPr>
        <w:ind w:left="200" w:firstLine="442"/>
        <w:spacing w:after="0" w:line="257" w:lineRule="auto"/>
        <w:rPr>
          <w:sz w:val="20"/>
          <w:szCs w:val="20"/>
          <w:color w:val="auto"/>
        </w:rPr>
      </w:pPr>
      <w:r>
        <w:rPr>
          <w:rFonts w:ascii="Arial" w:cs="Arial" w:eastAsia="Arial" w:hAnsi="Arial"/>
          <w:sz w:val="18"/>
          <w:szCs w:val="18"/>
          <w:color w:val="auto"/>
        </w:rPr>
        <w:t>The number of shares of our common stock to be outstanding after this offering is based on 8,472,903 shares of our common stock outstanding as of September 30, 2017 and 30,070,034 additional shares of our common stock issuable upon the automatic conversion of all outstanding shares of our preferred stock upon the closing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246" w:lineRule="exact"/>
        <w:rPr>
          <w:sz w:val="20"/>
          <w:szCs w:val="20"/>
          <w:color w:val="auto"/>
        </w:rPr>
      </w:pPr>
    </w:p>
    <w:p>
      <w:pPr>
        <w:ind w:left="840" w:right="140" w:hanging="205"/>
        <w:spacing w:after="0" w:line="26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5,152,119 shares of our common stock issuable upon the exercise of stock options outstanding as of September 30, 2017, at a weighted-average exercise price of $3.03 per share;</w:t>
      </w:r>
    </w:p>
    <w:p>
      <w:pPr>
        <w:spacing w:after="0" w:line="206" w:lineRule="exact"/>
        <w:rPr>
          <w:rFonts w:ascii="Arial" w:cs="Arial" w:eastAsia="Arial" w:hAnsi="Arial"/>
          <w:sz w:val="18"/>
          <w:szCs w:val="18"/>
          <w:color w:val="auto"/>
        </w:rPr>
      </w:pPr>
    </w:p>
    <w:p>
      <w:pPr>
        <w:ind w:left="840" w:right="580" w:hanging="205"/>
        <w:spacing w:after="0" w:line="26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738,392 shares of our common stock issuable upon the exercise of stock options granted after September 30, 2017, at a weighted average exercise price of $10.03 per share;</w:t>
      </w:r>
    </w:p>
    <w:p>
      <w:pPr>
        <w:spacing w:after="0" w:line="206" w:lineRule="exact"/>
        <w:rPr>
          <w:rFonts w:ascii="Arial" w:cs="Arial" w:eastAsia="Arial" w:hAnsi="Arial"/>
          <w:sz w:val="18"/>
          <w:szCs w:val="18"/>
          <w:color w:val="auto"/>
        </w:rPr>
      </w:pPr>
    </w:p>
    <w:p>
      <w:pPr>
        <w:ind w:left="840" w:right="280" w:hanging="205"/>
        <w:spacing w:after="0" w:line="25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1,659,154 and 468,823 additional shares of our common stock available for future issuance under our 2017 stock incentive plan and our 2017 employee stock purchase plan, respectively, as well as any automatic increases in the number of shares of common stock reserved for future issuance under these plans; and</w:t>
      </w:r>
    </w:p>
    <w:p>
      <w:pPr>
        <w:spacing w:after="0" w:line="215" w:lineRule="exact"/>
        <w:rPr>
          <w:rFonts w:ascii="Arial" w:cs="Arial" w:eastAsia="Arial" w:hAnsi="Arial"/>
          <w:sz w:val="18"/>
          <w:szCs w:val="18"/>
          <w:color w:val="auto"/>
        </w:rPr>
      </w:pPr>
    </w:p>
    <w:p>
      <w:pPr>
        <w:ind w:left="840" w:right="240" w:hanging="205"/>
        <w:spacing w:after="0" w:line="29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107,828 shares of our common stock issuable upon the exercise of warrants issued after September 30, 2017 at an exercise price of $5.484 per share, of which warrants exercisable for 93,764 shares of our common stock were exercised after September 30, 2017.</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46" w:lineRule="exact"/>
        <w:rPr>
          <w:sz w:val="20"/>
          <w:szCs w:val="20"/>
          <w:color w:val="auto"/>
        </w:rPr>
      </w:pPr>
    </w:p>
    <w:p>
      <w:pPr>
        <w:ind w:left="64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no exercise of the outstanding options or warrants described above;</w:t>
      </w: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5"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1892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335" cy="18923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840" w:hanging="205"/>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additional shares of our common stock to cover over-allotments;</w:t>
      </w:r>
    </w:p>
    <w:p>
      <w:pPr>
        <w:spacing w:after="0" w:line="246" w:lineRule="exact"/>
        <w:rPr>
          <w:rFonts w:ascii="Arial" w:cs="Arial" w:eastAsia="Arial" w:hAnsi="Arial"/>
          <w:sz w:val="18"/>
          <w:szCs w:val="18"/>
          <w:color w:val="auto"/>
        </w:rPr>
      </w:pPr>
    </w:p>
    <w:p>
      <w:pPr>
        <w:ind w:left="840" w:right="160" w:hanging="205"/>
        <w:spacing w:after="0" w:line="26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30,070,034 shares of our common stock upon the closing of this offering; and</w:t>
      </w:r>
    </w:p>
    <w:p>
      <w:pPr>
        <w:spacing w:after="0" w:line="206" w:lineRule="exact"/>
        <w:rPr>
          <w:rFonts w:ascii="Arial" w:cs="Arial" w:eastAsia="Arial" w:hAnsi="Arial"/>
          <w:sz w:val="18"/>
          <w:szCs w:val="18"/>
          <w:color w:val="auto"/>
        </w:rPr>
      </w:pPr>
    </w:p>
    <w:p>
      <w:pPr>
        <w:ind w:left="840" w:hanging="205"/>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one-for-2.133 reverse stock split of our common stock that was effected on October 27, 2017.</w:t>
      </w:r>
    </w:p>
    <w:p>
      <w:pPr>
        <w:spacing w:after="0" w:line="220" w:lineRule="exact"/>
        <w:rPr>
          <w:sz w:val="20"/>
          <w:szCs w:val="20"/>
          <w:color w:val="auto"/>
        </w:rPr>
      </w:pPr>
    </w:p>
    <w:p>
      <w:pPr>
        <w:ind w:left="200" w:firstLine="442"/>
        <w:spacing w:after="0" w:line="270"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an aggregate of approximately $70.0 million in shares of our common stock in this offering at the initial public offering price. Based on these indications of interest, these potential purchasers would purchase an aggregate of approximately 5,000,000 of the 10,714,000 shares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5"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48475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19" w:lineRule="exact"/>
        <w:rPr>
          <w:sz w:val="20"/>
          <w:szCs w:val="20"/>
          <w:color w:val="auto"/>
        </w:rPr>
      </w:pPr>
    </w:p>
    <w:p>
      <w:pPr>
        <w:ind w:left="200" w:right="360" w:firstLine="442"/>
        <w:spacing w:after="0" w:line="283" w:lineRule="auto"/>
        <w:rPr>
          <w:sz w:val="20"/>
          <w:szCs w:val="20"/>
          <w:color w:val="auto"/>
        </w:rPr>
      </w:pPr>
      <w:r>
        <w:rPr>
          <w:rFonts w:ascii="Arial" w:cs="Arial" w:eastAsia="Arial" w:hAnsi="Arial"/>
          <w:sz w:val="16"/>
          <w:szCs w:val="16"/>
          <w:i w:val="1"/>
          <w:iCs w:val="1"/>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statement of operations data for the years ended December 31,</w:t>
      </w:r>
    </w:p>
    <w:p>
      <w:pPr>
        <w:ind w:left="200"/>
        <w:spacing w:after="0" w:line="248" w:lineRule="auto"/>
        <w:rPr>
          <w:sz w:val="20"/>
          <w:szCs w:val="20"/>
          <w:color w:val="auto"/>
        </w:rPr>
      </w:pPr>
      <w:r>
        <w:rPr>
          <w:rFonts w:ascii="Arial" w:cs="Arial" w:eastAsia="Arial" w:hAnsi="Arial"/>
          <w:sz w:val="18"/>
          <w:szCs w:val="18"/>
          <w:i w:val="1"/>
          <w:iCs w:val="1"/>
          <w:color w:val="auto"/>
        </w:rPr>
        <w:t>2015 and 2016 from our audited consolidated financial statements appearing at the end of this prospectus. The statement of operations data for the six months ended June 30, 2016 and 2017 and the balance sheet data as of June 30, 2017 have been derived from our unaudited condensed consolidated financial statements appearing at the end of this prospectus and have been prepared on the same basis as the audited consolidated financial statements. In the opinion of management, the unaudited condensed consolidated financial data reflects all adjustments, consisting only of normal recurring adjustments, necessary for a fair presentation of the financial information as of and for the periods presented. Our historical results are not necessarily indicative of results that should be expected in any future period, and our results for any interim period are not necessarily indicative of results that should be expected for any full year.</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0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0"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0"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6"/>
              <w:spacing w:after="0" w:line="14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60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 Data:</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13,730,311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22,978,599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11,152,969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17,653,143</w:t>
            </w:r>
          </w:p>
        </w:tc>
        <w:tc>
          <w:tcPr>
            <w:tcW w:w="0" w:type="dxa"/>
            <w:vAlign w:val="bottom"/>
          </w:tcPr>
          <w:p>
            <w:pPr>
              <w:spacing w:after="0"/>
              <w:rPr>
                <w:sz w:val="1"/>
                <w:szCs w:val="1"/>
                <w:color w:val="auto"/>
              </w:rPr>
            </w:pPr>
          </w:p>
        </w:tc>
      </w:tr>
      <w:tr>
        <w:trPr>
          <w:trHeight w:val="213"/>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Cost of acquired in-process research and development</w:t>
            </w: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26,486,000</w:t>
            </w:r>
          </w:p>
        </w:tc>
        <w:tc>
          <w:tcPr>
            <w:tcW w:w="1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6,356,782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4,303,743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2,216,322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3,531,753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(46,573,093)</w:t>
            </w:r>
          </w:p>
        </w:tc>
        <w:tc>
          <w:tcPr>
            <w:tcW w:w="12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(27,282,342)</w:t>
            </w:r>
          </w:p>
        </w:tc>
        <w:tc>
          <w:tcPr>
            <w:tcW w:w="12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(13,369,291)</w:t>
            </w: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(21,184,896)</w:t>
            </w:r>
          </w:p>
        </w:tc>
        <w:tc>
          <w:tcPr>
            <w:tcW w:w="0" w:type="dxa"/>
            <w:vAlign w:val="bottom"/>
          </w:tcPr>
          <w:p>
            <w:pPr>
              <w:spacing w:after="0"/>
              <w:rPr>
                <w:sz w:val="1"/>
                <w:szCs w:val="1"/>
                <w:color w:val="auto"/>
              </w:rPr>
            </w:pPr>
          </w:p>
        </w:tc>
      </w:tr>
      <w:tr>
        <w:trPr>
          <w:trHeight w:val="214"/>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57,137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75,347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(46,515,956)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(27,124,637)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(13,293,944)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(21,176,925)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Weighted-average number of common shares used in computing net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per common share, basic and diluted(1)</w:t>
            </w:r>
          </w:p>
        </w:tc>
        <w:tc>
          <w:tcPr>
            <w:tcW w:w="1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5,795,040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8,428,366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8,428,366</w:t>
            </w: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8,428,366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 (unaudited)(1)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used in computing pro</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forma net loss per common share, basic and diluted (unaudited)(1)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38,411,582</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38,592,164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0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740" w:hanging="545"/>
        <w:spacing w:after="0" w:line="25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Note 12 in the notes to our audited consolidated financial statements and Note 8 in the notes to our unaudited condensed consolidated financial statements appearing at the end of this prospectus for a description of the method used to calculate basic and diluted net loss per common share and pro forma basic and diluted net loss per common share (unaudited).</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5"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199390</wp:posOffset>
            </wp:positionV>
            <wp:extent cx="7252335" cy="4398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439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summary consolidated balance sheet data as of June 30, 2017:</w:t>
      </w:r>
    </w:p>
    <w:p>
      <w:pPr>
        <w:spacing w:after="0" w:line="126" w:lineRule="exact"/>
        <w:rPr>
          <w:sz w:val="20"/>
          <w:szCs w:val="20"/>
          <w:color w:val="auto"/>
        </w:rPr>
      </w:pPr>
    </w:p>
    <w:p>
      <w:pPr>
        <w:ind w:left="840" w:hanging="205"/>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6" w:lineRule="exact"/>
        <w:rPr>
          <w:rFonts w:ascii="Arial" w:cs="Arial" w:eastAsia="Arial" w:hAnsi="Arial"/>
          <w:sz w:val="18"/>
          <w:szCs w:val="18"/>
          <w:color w:val="auto"/>
        </w:rPr>
      </w:pPr>
    </w:p>
    <w:p>
      <w:pPr>
        <w:ind w:left="840" w:right="100" w:hanging="205"/>
        <w:spacing w:after="0" w:line="287"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 pro forma basis to give effect to (i) the issuance and sale of 7,792,035 shares of series E convertible preferred stock in August 2017, which resulted in net proceeds of $19.7 million, (ii) the borrowing of $20.0 million under our term loan facility with Silicon Valley Bank in October 2017, (iii) the issuance and sale of a promissory note in an original principal amount of $7.0 million to an affiliate of one of our stockholders in October 2017, (iv) the issuance of warrants to purchase 93,764 shares of common stock in connection with the $7.0 million promissory note and the issuance of 93,764 shares of common stock that were issued upon the exercise of such warrants in October 2017 for an aggregate exercise price of $514,200, and (v) the automatic conversion of all outstanding shares of our preferred stock, including the shares of series E convertible preferred stock, into 30,070,034 shares of our common stock upon the closing of this offering; and</w:t>
      </w:r>
    </w:p>
    <w:p>
      <w:pPr>
        <w:spacing w:after="0" w:line="73" w:lineRule="exact"/>
        <w:rPr>
          <w:rFonts w:ascii="Arial" w:cs="Arial" w:eastAsia="Arial" w:hAnsi="Arial"/>
          <w:sz w:val="16"/>
          <w:szCs w:val="16"/>
          <w:color w:val="auto"/>
        </w:rPr>
      </w:pPr>
    </w:p>
    <w:p>
      <w:pPr>
        <w:ind w:left="840" w:hanging="205"/>
        <w:spacing w:after="0" w:line="25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our issuance and sale of 10,714,000 shares of our common stock in this offering at the initial public offering price of $14.00 per share, after deducting underwriting discounts and commissions and estimated offering expenses payable by us.</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6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2017</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720" w:type="dxa"/>
            <w:vAlign w:val="bottom"/>
          </w:tcPr>
          <w:p>
            <w:pPr>
              <w:spacing w:after="0"/>
              <w:rPr>
                <w:sz w:val="10"/>
                <w:szCs w:val="10"/>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Pro Forma(1)</w:t>
            </w:r>
          </w:p>
        </w:tc>
        <w:tc>
          <w:tcPr>
            <w:tcW w:w="1040" w:type="dxa"/>
            <w:vAlign w:val="bottom"/>
          </w:tcPr>
          <w:p>
            <w:pPr>
              <w:jc w:val="right"/>
              <w:ind w:right="95"/>
              <w:spacing w:after="0" w:line="118"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3"/>
        </w:trPr>
        <w:tc>
          <w:tcPr>
            <w:tcW w:w="67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Balance Sheet Data:</w:t>
            </w: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   4,939,087</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  52,186,169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$ 189,369,216</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26,569,840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26,569,840</w:t>
            </w:r>
          </w:p>
        </w:tc>
        <w:tc>
          <w:tcPr>
            <w:tcW w:w="0" w:type="dxa"/>
            <w:vAlign w:val="bottom"/>
          </w:tcPr>
          <w:p>
            <w:pPr>
              <w:spacing w:after="0"/>
              <w:rPr>
                <w:sz w:val="1"/>
                <w:szCs w:val="1"/>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Working capital</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3,200,068</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50,447,150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187,630,197</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9,444,597</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56,691,679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193,874,726</w:t>
            </w:r>
          </w:p>
        </w:tc>
        <w:tc>
          <w:tcPr>
            <w:tcW w:w="0" w:type="dxa"/>
            <w:vAlign w:val="bottom"/>
          </w:tcPr>
          <w:p>
            <w:pPr>
              <w:spacing w:after="0"/>
              <w:rPr>
                <w:sz w:val="1"/>
                <w:szCs w:val="1"/>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6,118,369</w:t>
            </w: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32,688,209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32,688,209</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92,054,926</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6720" w:type="dxa"/>
            <w:vAlign w:val="bottom"/>
          </w:tcPr>
          <w:p>
            <w:pPr>
              <w:spacing w:after="0"/>
              <w:rPr>
                <w:sz w:val="20"/>
                <w:szCs w:val="20"/>
                <w:color w:val="auto"/>
              </w:rPr>
            </w:pPr>
            <w:r>
              <w:rPr>
                <w:rFonts w:ascii="Arial" w:cs="Arial" w:eastAsia="Arial" w:hAnsi="Arial"/>
                <w:sz w:val="18"/>
                <w:szCs w:val="18"/>
                <w:color w:val="auto"/>
              </w:rPr>
              <w:t>Accumulated deficit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(119,434,484)</w:t>
            </w:r>
          </w:p>
        </w:tc>
        <w:tc>
          <w:tcPr>
            <w:tcW w:w="1840" w:type="dxa"/>
            <w:vAlign w:val="bottom"/>
            <w:gridSpan w:val="3"/>
          </w:tcPr>
          <w:p>
            <w:pPr>
              <w:jc w:val="right"/>
              <w:ind w:right="480"/>
              <w:spacing w:after="0"/>
              <w:rPr>
                <w:sz w:val="20"/>
                <w:szCs w:val="20"/>
                <w:color w:val="auto"/>
              </w:rPr>
            </w:pPr>
            <w:r>
              <w:rPr>
                <w:rFonts w:ascii="Arial" w:cs="Arial" w:eastAsia="Arial" w:hAnsi="Arial"/>
                <w:sz w:val="18"/>
                <w:szCs w:val="18"/>
                <w:color w:val="auto"/>
              </w:rPr>
              <w:t>(119,434,484)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(119,434,484)</w:t>
            </w:r>
          </w:p>
        </w:tc>
        <w:tc>
          <w:tcPr>
            <w:tcW w:w="0" w:type="dxa"/>
            <w:vAlign w:val="bottom"/>
          </w:tcPr>
          <w:p>
            <w:pPr>
              <w:spacing w:after="0"/>
              <w:rPr>
                <w:sz w:val="1"/>
                <w:szCs w:val="1"/>
                <w:color w:val="auto"/>
              </w:rPr>
            </w:pPr>
          </w:p>
        </w:tc>
      </w:tr>
      <w:tr>
        <w:trPr>
          <w:trHeight w:val="213"/>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3,326,228</w:t>
            </w: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24,003,470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161,186,517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20" w:right="80" w:hanging="425"/>
        <w:spacing w:after="0" w:line="295"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 forma information presented in the summary balance sheet data does not reflect the issuance to Silicon Valley Bank of warrants to purchase 14,064 shares of common stock or any proceeds from the exercise of such warrants. For further information on this indebtedness and the associated warrants, see the discussion in “Management’s Discussion and Analysis of Financial Condition and Results of Operations—Liquidity and Capital Resources” and Note 9 in the notes to our unaudited condensed consolidated financial statements appearing at the end of this prospectus.</w:t>
      </w: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9" w:lineRule="exact"/>
        <w:rPr>
          <w:sz w:val="20"/>
          <w:szCs w:val="20"/>
          <w:color w:val="auto"/>
        </w:rPr>
      </w:pPr>
    </w:p>
    <w:p>
      <w:pPr>
        <w:ind w:right="280" w:firstLine="457"/>
        <w:spacing w:after="0" w:line="295" w:lineRule="auto"/>
        <w:rPr>
          <w:sz w:val="20"/>
          <w:szCs w:val="20"/>
          <w:color w:val="auto"/>
        </w:rPr>
      </w:pPr>
      <w:r>
        <w:rPr>
          <w:rFonts w:ascii="Arial" w:cs="Arial" w:eastAsia="Arial" w:hAnsi="Arial"/>
          <w:sz w:val="16"/>
          <w:szCs w:val="16"/>
          <w:i w:val="1"/>
          <w:iCs w:val="1"/>
          <w:color w:val="auto"/>
        </w:rPr>
        <w:t>Investing in our common stock involves a high degree of risk. Before you decide to invest in our common stock, you should carefully consider the risks described below, together with the other information contained in this prospectus, including our consolidated financial statements and the related notes appearing at the end of this prospectus. If any of the following risks actually occur, our business, financial condition, results of operations and future growth prospects could be harmed. In these circumstances, the market price of our common stock could decline, and you may lose all or part of your investment.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19"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b w:val="1"/>
          <w:bCs w:val="1"/>
          <w:i w:val="1"/>
          <w:iCs w:val="1"/>
          <w:color w:val="auto"/>
        </w:rPr>
        <w:t>We have incurred significant losses since inception, expect to incur significant and increasing losses for at least the next several years, and may never achieve or maintain profitability.</w:t>
      </w:r>
    </w:p>
    <w:p>
      <w:pPr>
        <w:spacing w:after="0" w:line="18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incurred significant annual net operating losses in every year since our inception. We expect to continue to incur significant and increasing net operating losses for at least the next several years. Our net losses were $46.5 million and $27.1 million for the years ended December 31, 2015 and 2016, respectively, and $21.2 million for the six months ended June 30, 2017. As of June 30, 2017, we had an accumulated deficit of $119.4 million. We have not generated any revenues from product sales, have not completed the development of any product candidate and may never have a product candidate approved for commercialization. We have financed our operations to date primarily through private placements of our preferred stock. We have devoted substantially all of our financial resources and efforts to research and development, including preclinical studies and our clinical trials. Our net losses may fluctuate significantly from quarter to quarter and year to year. Net losses and negative cash flows have had, and will continue to have, an adverse effect on our stockholders’ equity and working capital.</w:t>
      </w:r>
    </w:p>
    <w:p>
      <w:pPr>
        <w:spacing w:after="0" w:line="181" w:lineRule="exact"/>
        <w:rPr>
          <w:sz w:val="20"/>
          <w:szCs w:val="20"/>
          <w:color w:val="auto"/>
        </w:rPr>
      </w:pPr>
    </w:p>
    <w:p>
      <w:pPr>
        <w:ind w:right="560" w:firstLine="457"/>
        <w:spacing w:after="0" w:line="26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86" w:lineRule="exact"/>
        <w:rPr>
          <w:sz w:val="20"/>
          <w:szCs w:val="20"/>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 our current and new indications with our lead product candidate, APL-2;</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and continue research and preclinical and clinical development efforts for any future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 for complement-dependent diseases;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trials, if any;</w:t>
      </w:r>
    </w:p>
    <w:p>
      <w:pPr>
        <w:spacing w:after="0" w:line="126" w:lineRule="exact"/>
        <w:rPr>
          <w:rFonts w:ascii="Arial" w:cs="Arial" w:eastAsia="Arial" w:hAnsi="Arial"/>
          <w:sz w:val="18"/>
          <w:szCs w:val="18"/>
          <w:color w:val="auto"/>
        </w:rPr>
      </w:pPr>
    </w:p>
    <w:p>
      <w:pPr>
        <w:ind w:left="680" w:right="460" w:hanging="220"/>
        <w:spacing w:after="0" w:line="26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distribution and other commercial infrastructure in the future to commercialize any products for which we may obtain marketing approval;</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manufacture of larger quantities of product candidates for clinical development and, potentially, commercialization;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and scientific personnel;</w:t>
      </w:r>
    </w:p>
    <w:p>
      <w:pPr>
        <w:spacing w:after="0" w:line="126" w:lineRule="exact"/>
        <w:rPr>
          <w:rFonts w:ascii="Arial" w:cs="Arial" w:eastAsia="Arial" w:hAnsi="Arial"/>
          <w:sz w:val="18"/>
          <w:szCs w:val="18"/>
          <w:color w:val="auto"/>
        </w:rPr>
      </w:pPr>
    </w:p>
    <w:p>
      <w:pPr>
        <w:ind w:left="680" w:right="220" w:hanging="220"/>
        <w:spacing w:after="0" w:line="26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help us comply with our obligations as a public company;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programs.</w:t>
      </w:r>
    </w:p>
    <w:p>
      <w:pPr>
        <w:spacing w:after="0" w:line="220"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Our ability to become and remain profitable depends on our ability to generate revenue. We do not expect to generate significant revenue unless and until we are, or any future collaborator is, able to obtain marketing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approval for, and successfully commercialize, one or more of our product candidates. Successful commercialization will require achievement of key milestones, including completing clinical trials of our product candidates, obtaining marketing approval for these product candidates, manufacturing, marketing and selling those products for which we, or any of our future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future collaborators may never succeed in these activities and, even if we do, or any future collaborators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research and development efforts, diversify our pipeline of product candidates or continue our operations. A decline in the value of our company could cause you to lose all or part of your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report of our independent registered public accounting firm included a “going concern” explanatory paragraph.</w:t>
      </w:r>
    </w:p>
    <w:p>
      <w:pPr>
        <w:spacing w:after="0" w:line="113"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as of and for the year ended December 31, 2016 includes an explanatory paragraph indicating that there is substantial doubt about our ability to continue as a going concern. If we are unable to raise sufficient capital in this offering or otherwise when needed, our business, financial condition and results of operations will be materially and adversely affected,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financial statements. The inclusion of a going concern explanatory paragraph by our auditors, our lack of cash resources and our potential inability to continue as a going concern may materially adversely affect our share price and our ability to raise new capital or to enter into critical contractual relations with third parties.</w:t>
      </w:r>
    </w:p>
    <w:p>
      <w:pPr>
        <w:spacing w:after="0" w:line="273"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7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commenced operations in May 2010. Our operations to date have been limited to financing and staffing our company, developing our technology and conducting preclinical research and Phase 1 and Phase 2 clinical trials for our product candidates. We have not yet demonstrated an ability to successfully conduct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85" w:lineRule="exact"/>
        <w:rPr>
          <w:sz w:val="20"/>
          <w:szCs w:val="20"/>
          <w:color w:val="auto"/>
        </w:rPr>
      </w:pPr>
    </w:p>
    <w:p>
      <w:pPr>
        <w:ind w:right="20" w:firstLine="457"/>
        <w:spacing w:after="0" w:line="257"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88" w:lineRule="exact"/>
        <w:rPr>
          <w:sz w:val="20"/>
          <w:szCs w:val="20"/>
          <w:color w:val="auto"/>
        </w:rPr>
      </w:pPr>
    </w:p>
    <w:p>
      <w:pPr>
        <w:ind w:right="200" w:firstLine="457"/>
        <w:spacing w:after="0" w:line="257"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73"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have consumed substantial amounts of cash since our inception. For example, in the years ended December 31, 2015 and December 31, 2016 and the six months ended June 30, 2017, we used net cash of $18.9 million, $26.0 million and $19.9 million, respectively, in our operating activities substantially all of which related to research and development activities. As of June 30, 2017, our cash and cash equivalents were $4.9 million. We expect our expenses to increase in connection with our ongoing activities, particularly as we initiate new clinical trials of, initiate new research and preclinical development efforts for and seek marketing approval for, our product candidates. In addition, if we obtain marketing approval for any of our product candidates, we may incur significant commercialization expenses related to product sales, marketing, manufacturing and distribution to the extent that such sales, marketing, manufacturing and distribution are not the responsibility of a future collaborator. Furthermore, following the completion of this offering, we expect to incur significant additional costs associated with operating as a public company. Accordingly, we will need to obtain substantial additional funding in connection with our continuing operations. If we are unable to raise capital when needed or on attractive terms, we may be forced to delay, reduce or eliminate our research and development programs or any future commercialization efforts.</w:t>
      </w:r>
    </w:p>
    <w:p>
      <w:pPr>
        <w:spacing w:after="0" w:line="17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plan to use the net proceeds of this offering primarily to fund clinical development of APL-2, to conduct research activities and for working capital and other general corporate purposes. We will be required to expend significant funds in order to advance the development of APL-2 in multiple disease areas, as well as other product candidates we may seek to develop. In addition, while we may seek one or more collaborators for future development of our product candidates for one or more indications, we may not be able to enter into a collaboration for any of our product candidates for such indications on suitable terms, on a timely basis or at all. In any event, the net proceeds of this offering, together with our existing cash and cash equivalents, including the net proceeds from the sale of our series E convertible preferred stock and our borrowings under our $20.0 million term loan facility with Silicon Valley Bank and a $7.0 million promissory note issued to an affiliate of one of our stockholders, will not be sufficient to complete our planned Phase 3 clinical trials of APL-2 or to complete development of APL-2 or any of our other product candidates. Accordingly, we will be required to obtain further funding through public or private equity offerings, debt financings, collaborations and licensing arrangements or other sources to achieve our business objectives. We do not have any committed external source of funds. Adequate additional financing may not be available to us on acceptable terms, or at all. Our failure to raise capital as and when needed would have a negative impact on our financial condition and our ability to pursue our business strategy.</w:t>
      </w:r>
    </w:p>
    <w:p>
      <w:pPr>
        <w:spacing w:after="0" w:line="17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including net proceeds from our sale of series E convertible preferred stock and our borrowings under our term loan facility and promissory note, will enable us to fund our operating expenses and capital expenditure requirements at least through the first quarter of 2019.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91" w:lineRule="exact"/>
        <w:rPr>
          <w:sz w:val="20"/>
          <w:szCs w:val="20"/>
          <w:color w:val="auto"/>
        </w:rPr>
      </w:pPr>
    </w:p>
    <w:p>
      <w:pPr>
        <w:ind w:left="680" w:right="480" w:hanging="220"/>
        <w:spacing w:after="0" w:line="26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APL-2 and future product candidates;</w:t>
      </w:r>
    </w:p>
    <w:p>
      <w:pPr>
        <w:spacing w:after="0" w:line="86" w:lineRule="exact"/>
        <w:rPr>
          <w:rFonts w:ascii="Arial" w:cs="Arial" w:eastAsia="Arial" w:hAnsi="Arial"/>
          <w:sz w:val="18"/>
          <w:szCs w:val="18"/>
          <w:color w:val="auto"/>
        </w:rPr>
      </w:pPr>
    </w:p>
    <w:p>
      <w:pPr>
        <w:ind w:left="680" w:right="100" w:hanging="220"/>
        <w:spacing w:after="0" w:line="26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a collaborator for any of our product candidates and the terms and timing of any collaboration agreement that we may establish for the development and any commercialization of such product candidates;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or other arrangements;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that we pursue and their development requirements;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timing and costs of clinical trials and of seeking regulatory approvals;</w:t>
      </w:r>
    </w:p>
    <w:p>
      <w:pPr>
        <w:spacing w:after="0" w:line="126" w:lineRule="exact"/>
        <w:rPr>
          <w:rFonts w:ascii="Arial" w:cs="Arial" w:eastAsia="Arial" w:hAnsi="Arial"/>
          <w:sz w:val="18"/>
          <w:szCs w:val="18"/>
          <w:color w:val="auto"/>
        </w:rPr>
      </w:pPr>
    </w:p>
    <w:p>
      <w:pPr>
        <w:ind w:left="680" w:right="420" w:hanging="220"/>
        <w:spacing w:after="0" w:line="25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26" w:lineRule="exact"/>
        <w:rPr>
          <w:rFonts w:ascii="Arial" w:cs="Arial" w:eastAsia="Arial" w:hAnsi="Arial"/>
          <w:sz w:val="18"/>
          <w:szCs w:val="18"/>
          <w:color w:val="auto"/>
        </w:rPr>
      </w:pPr>
    </w:p>
    <w:p>
      <w:pPr>
        <w:ind w:left="680" w:right="320" w:hanging="220"/>
        <w:spacing w:after="0" w:line="26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2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73"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expect our expenses to increase in connection with our planned operations.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creating liens, redeeming stock or declaring dividends, that could adversely impact our ability to conduct our business.</w:t>
      </w:r>
    </w:p>
    <w:p>
      <w:pPr>
        <w:spacing w:after="0" w:line="179"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For example, in connection with our term loan facility with Silicon Valley Bank, we granted a security interest on all of our assets, excluding our intellectual property, and agreed to a negative pledge on our intellectual property. We have agreed to grant a security interest on our interest in our licenses from the Trustees of the University of Pennsylvania, or Penn, if Penn consents to such security interest. The term loan facility also contains restrictive covenants including, subject to certain exceptions, covenants that prohibit us from transferring all or any part of our business or property, changing our business, liquidating or dissolving, merging with or acquiring another entity, entering into a transaction that will result in a change of control, incurring additional indebtedness, creating any lien on our property, paying dividends or redeeming stock, making payments on subordinated debt or entering into material transactions with affiliates. Future debt securities or other financing arrangements could contain similar or more restrictive negative covenants. We also would be required to obtain the consent of the holder of our promissory note to increase or extend the maturity of the term loan facility with Silicon Valley Bank.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0"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19"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b w:val="1"/>
          <w:bCs w:val="1"/>
          <w:i w:val="1"/>
          <w:iCs w:val="1"/>
          <w:color w:val="auto"/>
        </w:rPr>
        <w:t>There are no approved therapies that act by inhibiting C3, and we may not be able to successfully develop and commercialize APL-2 or other product candidates.</w:t>
      </w:r>
    </w:p>
    <w:p>
      <w:pPr>
        <w:spacing w:after="0" w:line="73"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APL-2 is a novel therapeutic compound and its potential benefit in controlling autoimmune and inflammatory diseases has not been established. APL-2 is designed to control disease through inhibition of C3. There are no approved therapies that act by inhibiting C3 and only one approved therapy that acts by inhibiting the complement system. As a result, APL-2 may not demonstrate in patients any or all of the pharmacological benefits we believe it may possess. We have not yet demonstrated efficacy and safety for APL-2 or any other product candidates in a pivotal trial or obtained marketing approval of any product candidate. We have evaluated APL-2 in preclinical studies and in clinical trials, including a Phase 2 clinical trial in geographic atrophy, or GA, but we have not yet advanced APL-2 into Phase 3 clinical development and we have not obtained regulatory approval to sell any product based on our therapeutic approaches.</w:t>
      </w:r>
    </w:p>
    <w:p>
      <w:pPr>
        <w:spacing w:after="0" w:line="169" w:lineRule="exact"/>
        <w:rPr>
          <w:sz w:val="20"/>
          <w:szCs w:val="20"/>
          <w:color w:val="auto"/>
        </w:rPr>
      </w:pPr>
    </w:p>
    <w:p>
      <w:pPr>
        <w:ind w:right="940" w:firstLine="457"/>
        <w:spacing w:after="0" w:line="26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APL-2 or any other product candidate, commercialize products, raise capital, expand our business or continue our operations.</w:t>
      </w:r>
    </w:p>
    <w:p>
      <w:pPr>
        <w:spacing w:after="0" w:line="28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are dependent on the successful development and commercialization of our lead product candidate, APL-2. If we are unable to develop, obtain marketing approval for or successfully commercialize this product candidate, either alone or through a collaboration, or if we experience significant delays in doing so, our business could be harmed.</w:t>
      </w:r>
    </w:p>
    <w:p>
      <w:pPr>
        <w:spacing w:after="0" w:line="82" w:lineRule="exact"/>
        <w:rPr>
          <w:sz w:val="20"/>
          <w:szCs w:val="20"/>
          <w:color w:val="auto"/>
        </w:rPr>
      </w:pPr>
    </w:p>
    <w:p>
      <w:pPr>
        <w:jc w:val="both"/>
        <w:ind w:right="120" w:firstLine="457"/>
        <w:spacing w:after="0" w:line="257" w:lineRule="auto"/>
        <w:rPr>
          <w:sz w:val="20"/>
          <w:szCs w:val="20"/>
          <w:color w:val="auto"/>
        </w:rPr>
      </w:pPr>
      <w:r>
        <w:rPr>
          <w:rFonts w:ascii="Arial" w:cs="Arial" w:eastAsia="Arial" w:hAnsi="Arial"/>
          <w:sz w:val="18"/>
          <w:szCs w:val="18"/>
          <w:color w:val="auto"/>
        </w:rPr>
        <w:t>We currently have no products approved for sale and are investing a significant portion of our efforts and financial resources to fund the development of APL-2. Our prospects are substantially dependent on our ability, or that of any future collaborator, to develop, obtain marketing approval for and successfully commercialize APL-2 in one or more disease indications.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success of APL-2 will depend on several factors, including the following:</w:t>
      </w:r>
    </w:p>
    <w:p>
      <w:pPr>
        <w:spacing w:after="0" w:line="126" w:lineRule="exact"/>
        <w:rPr>
          <w:sz w:val="20"/>
          <w:szCs w:val="20"/>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recruitment of subjects, enrollment in and completion of our ongoing clinical trials;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and successful recruitment of subjects, enrollment in and completion of additional clinical trials;</w:t>
      </w:r>
    </w:p>
    <w:p>
      <w:pPr>
        <w:spacing w:after="0" w:line="126" w:lineRule="exact"/>
        <w:rPr>
          <w:rFonts w:ascii="Arial" w:cs="Arial" w:eastAsia="Arial" w:hAnsi="Arial"/>
          <w:sz w:val="18"/>
          <w:szCs w:val="18"/>
          <w:color w:val="auto"/>
        </w:rPr>
      </w:pPr>
    </w:p>
    <w:p>
      <w:pPr>
        <w:ind w:left="680" w:right="80" w:hanging="220"/>
        <w:spacing w:after="0" w:line="26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tolerability and efficacy profiles that are satisfactory to the U.S. Food and Drug Administration, or FDA, or any comparable foreign regulatory authority for marketing approval;</w:t>
      </w:r>
    </w:p>
    <w:p>
      <w:pPr>
        <w:spacing w:after="0" w:line="86" w:lineRule="exact"/>
        <w:rPr>
          <w:rFonts w:ascii="Arial" w:cs="Arial" w:eastAsia="Arial" w:hAnsi="Arial"/>
          <w:sz w:val="18"/>
          <w:szCs w:val="18"/>
          <w:color w:val="auto"/>
        </w:rPr>
      </w:pPr>
    </w:p>
    <w:p>
      <w:pPr>
        <w:ind w:left="680" w:right="380" w:hanging="220"/>
        <w:spacing w:after="0" w:line="297"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identify success criteria and endpoints for our clinical trials such that the FDA, the European Medicines Agency, or EMA, and other regulatory authorities will be able to determine the clinical efficacy and safety profile of any product candidates we may develop;</w:t>
      </w:r>
    </w:p>
    <w:p>
      <w:pPr>
        <w:spacing w:after="0" w:line="62" w:lineRule="exact"/>
        <w:rPr>
          <w:rFonts w:ascii="Arial" w:cs="Arial" w:eastAsia="Arial" w:hAnsi="Arial"/>
          <w:sz w:val="17"/>
          <w:szCs w:val="17"/>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suppliers and manufacturers;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products that are appropriately packaged for sale;</w:t>
      </w:r>
    </w:p>
    <w:p>
      <w:pPr>
        <w:spacing w:after="0" w:line="126" w:lineRule="exact"/>
        <w:rPr>
          <w:rFonts w:ascii="Arial" w:cs="Arial" w:eastAsia="Arial" w:hAnsi="Arial"/>
          <w:sz w:val="18"/>
          <w:szCs w:val="18"/>
          <w:color w:val="auto"/>
        </w:rPr>
      </w:pPr>
    </w:p>
    <w:p>
      <w:pPr>
        <w:ind w:left="680" w:right="140" w:hanging="220"/>
        <w:spacing w:after="0" w:line="26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validating and maintaining a commercially viable manufacturing process that is compliant with current good manufacturing practices, or cGMPs;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acceptable safety profile following any marketing approval;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acceptance of our products, if approved, by patients, the medical community and third-party payors;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with other therapies;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20"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future collaborator. If we are unable to develop, receive marketing approval for and successfully commercialize APL-2 or another product candidate, on our own or with any future collaborator, or experience delays as a result of any of these factors or otherwise, our business could be substantially harmed.</w:t>
      </w:r>
    </w:p>
    <w:p>
      <w:pPr>
        <w:spacing w:after="0" w:line="29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If clinical trials of our product candidates fail to satisfactorily demonstrate safety and efficacy to the FDA and other regulators, we, or any future collaborators, may incur additional costs or experience delays in completing, or ultimately be unable to complete, the development and commercialization of these product candidates.</w:t>
      </w:r>
    </w:p>
    <w:p>
      <w:pPr>
        <w:spacing w:after="0" w:line="82"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and any future collaborators, are not permitted to commercialize, market, promote or sell any product candidate in the United States without obtaining marketing approval from the FDA. Foreign regulatory authorities, such as the EMA, impose similar requirements. We have not previously submitted a new drug application, or NDA, to the FDA or similar drug approval filings to comparable foreign regulatory authorities for any of our product candidates. We, and any future collaborators, may never receive such approvals. We, and any future collaborators, must complete extensive preclinical development and clinical trials to demonstrate the safety and efficacy of our product candidates in humans before we will be able to obtain these approvals.</w:t>
      </w:r>
    </w:p>
    <w:p>
      <w:pPr>
        <w:spacing w:after="0" w:line="165"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Clinical testing is expensive, is difficult to design and implement, can take many years to complete and is inherently uncertain as to outcome. We cannot guarantee that any clinical trials will be conducted as planned or completed on schedule, if at all. The clinical development of our product candidates is susceptible to the risk of failure inherent at any stage of product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 Many companies in the pharmaceutical and biotechnology industries have suffered significant setbacks in late-stage clinical trials after achieving positive results in earlier development, and we cannot be certain that we will not face additional setbacks. It is possible that any of our development programs may be placed on full or partial clinical hold by regulatory authorities at any point, which would delay and possibly prevent further development of our product candidates.</w:t>
      </w:r>
    </w:p>
    <w:p>
      <w:pPr>
        <w:spacing w:after="0" w:line="177" w:lineRule="exact"/>
        <w:rPr>
          <w:sz w:val="20"/>
          <w:szCs w:val="20"/>
          <w:color w:val="auto"/>
        </w:rPr>
      </w:pPr>
    </w:p>
    <w:p>
      <w:pPr>
        <w:ind w:right="140" w:firstLine="457"/>
        <w:spacing w:after="0" w:line="267"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any future collaborators, and impair our ability to generate revenues from product sales, regulatory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commercialization milestones and royalties. Moreover, if we, or any future collaborators, are required to conduct additional clinical trials or other testing of our product candidates beyond the trials and testing that we or they contemplate, if we or they are unable to successfully complete clinical trials of our product candidates or other testing or the results of these trials or tests are unfavorable, uncertain or are only modestly favorable, or there are unacceptable safety concerns associated with our product candidates, we, or any future collaborators may:</w:t>
      </w:r>
    </w:p>
    <w:p>
      <w:pPr>
        <w:spacing w:after="0" w:line="97" w:lineRule="exact"/>
        <w:rPr>
          <w:sz w:val="20"/>
          <w:szCs w:val="20"/>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unplanned costs;</w:t>
      </w:r>
    </w:p>
    <w:p>
      <w:pPr>
        <w:spacing w:after="0" w:line="126"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26"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26"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26"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significant safety warnings, including boxed warnings;</w:t>
      </w:r>
    </w:p>
    <w:p>
      <w:pPr>
        <w:spacing w:after="0" w:line="149" w:lineRule="exact"/>
        <w:rPr>
          <w:rFonts w:ascii="Arial" w:cs="Arial" w:eastAsia="Arial" w:hAnsi="Arial"/>
          <w:sz w:val="16"/>
          <w:szCs w:val="16"/>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26"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required to remove the product from the market after obtaining marketing approval.</w:t>
      </w:r>
    </w:p>
    <w:p>
      <w:pPr>
        <w:spacing w:after="0" w:line="220"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In addition, investigators for our clinical trials may serve as scientific advisors or consultants to us from time to time and receive compensation in connection with such services, including equity awards and option grants, and may have other financial interests in our company. We are required to collect and provide financial disclosure notifications or certifications for our clinical investigators to the FDA. If the FDA concludes that a financial relationship between us and a clinical investigator has created a conflict of interest or otherwise affected interpretation of the trial, the FDA may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current and future product candidates.</w:t>
      </w:r>
    </w:p>
    <w:p>
      <w:pPr>
        <w:spacing w:after="0" w:line="169" w:lineRule="exact"/>
        <w:rPr>
          <w:sz w:val="20"/>
          <w:szCs w:val="20"/>
          <w:color w:val="auto"/>
        </w:rPr>
      </w:pPr>
    </w:p>
    <w:p>
      <w:pPr>
        <w:ind w:right="320" w:firstLine="457"/>
        <w:spacing w:after="0" w:line="267" w:lineRule="auto"/>
        <w:rPr>
          <w:sz w:val="20"/>
          <w:szCs w:val="20"/>
          <w:color w:val="auto"/>
        </w:rPr>
      </w:pPr>
      <w:r>
        <w:rPr>
          <w:rFonts w:ascii="Arial" w:cs="Arial" w:eastAsia="Arial" w:hAnsi="Arial"/>
          <w:sz w:val="18"/>
          <w:szCs w:val="18"/>
          <w:color w:val="auto"/>
        </w:rPr>
        <w:t>Our failure to successfully complete clinical trials of our product candidates and to demonstrate the efficacy and safety necessary to obtain regulatory approval to market any of our product candidates would significantly harm our business.</w:t>
      </w:r>
    </w:p>
    <w:p>
      <w:pPr>
        <w:spacing w:after="0" w:line="286"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Adverse events or undesirable side effects caused by, or other unexpected properties of, any of our product candidates may be identified during development that could delay or prevent their marketing approval or limit their use.</w:t>
      </w:r>
    </w:p>
    <w:p>
      <w:pPr>
        <w:spacing w:after="0" w:line="73"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Adverse events or undesirable side effects caused by, or other unexpected properties of, our product candidates could cause us, any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For example, by design APL-2 has immunosuppressive effects and, in some cases, may be administered to patients with underlying significantly compromised health. Administration of our product candidates could make patients more susceptible to infection.</w:t>
      </w:r>
    </w:p>
    <w:p>
      <w:pPr>
        <w:spacing w:after="0" w:line="193"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We voluntarily halted a Phase 1 clinical trial of a nebulized formulation of APL-1 in healthy volunteers after two subjects developed signs and symptoms consistent with a bacterial infection that were considered to be serious adverse events and possibly related to the pharmacology of APL-1. APL-2 is a conjugate of APL-1 formulated for subcutaneous and intravitreal administration. We vaccinate subjects against certain bacterial pathogens in all of our ongoing trials involving systemic administration of APL-2. However, there can be no assurance that these efforts will prevent serious adverse effects, including bacterial infection.</w:t>
      </w:r>
    </w:p>
    <w:p>
      <w:pPr>
        <w:spacing w:after="0" w:line="193" w:lineRule="exact"/>
        <w:rPr>
          <w:sz w:val="20"/>
          <w:szCs w:val="20"/>
          <w:color w:val="auto"/>
        </w:rPr>
      </w:pPr>
    </w:p>
    <w:p>
      <w:pPr>
        <w:ind w:right="140" w:firstLine="457"/>
        <w:spacing w:after="0" w:line="267" w:lineRule="auto"/>
        <w:rPr>
          <w:sz w:val="20"/>
          <w:szCs w:val="20"/>
          <w:color w:val="auto"/>
        </w:rPr>
      </w:pPr>
      <w:r>
        <w:rPr>
          <w:rFonts w:ascii="Arial" w:cs="Arial" w:eastAsia="Arial" w:hAnsi="Arial"/>
          <w:sz w:val="18"/>
          <w:szCs w:val="18"/>
          <w:color w:val="auto"/>
        </w:rPr>
        <w:t>In addition, in preclinical studies of APL-2, we observed evidence of minimal to mild kidney toxicity when animals were administered relatively higher doses of APL-2 than the doses we intend to use in the treatment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patients. We believe this kidney toxicity is likely associated with the presence of polyethylene glycol, or PEG, which is a component of APL-2. If such kidney toxicity, or other adverse effects, were to arise in patients being treated with APL-2 or any other of our product candidates, it could require us to halt, delay or interrupt clinical trials of such product candidate or adversely affect our ability to obtain requisite approvals to advance the development and commercialization of such product candidate.</w:t>
      </w:r>
    </w:p>
    <w:p>
      <w:pPr>
        <w:spacing w:after="0" w:line="191"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our Phase 2 trial of APL-2 in patients with GA, the most frequently reported adverse events were associated with the injection procedure in the study eye. These adverse events included two cases of confirmed endophthalmitis, which is inflammation in the eye typically caused by infection, and one case of presumed endophthalmitis where the culture tested negative for bacterial growth. In addition, we observed a higher exudative, AMD in the study eyes treated with APL-2, predominantly in patients with a history of wet AMD in the non-study eye, or fellow eye. In particular, we observed that as of August 24, 2017, approximately 18% of patients receiving administration of APL-2 every month and approximately 8% of patients receiving administration of APL-2 every other month showed signs of fluid leakage in the retina, or exudation, which is a sign of wet AMD. We have observed instances of additional patients experiencing exudation following the 12-month treatment period. We are continuing to monitor patients treated with APL-2 in the trial and the number of patients that experience exudation in the trial may increase. As we continue development of APL-2 for GA, if a significant number of patients develop wet AMD, then we may need to limit development of intravitreal APL-2 to certain uses or subpopulations in which the undesirable side effects or other characteristics are less prevalent, less severe or more acceptable from a risk-benefit perspective.</w:t>
      </w:r>
    </w:p>
    <w:p>
      <w:pPr>
        <w:spacing w:after="0" w:line="18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Serious adverse events have also been reported in our Phase 1b trials of APL-2 for PNH. In our Phase 1b trial of APL-2 in patients receiving treatment with eculizumab, one serious adverse event was noted as possibly related to the administration of APL-2. The patient with this serious adverse event experienced liver pain and elevated liver enzyme levels. As a result, treatment with APL-2 was temporarily discontinued but treatment with eculizumab continued. This discontinuation was followed by a recurrence of anemia and required a blood transfusion, and treatment with APL-2 was reinitiated. Following resumption of treatment, the patient had surgery, which resulted in a lowering of liver enzyme levels. In late October 2017, in our Phase 1b trial of APL-2 in treatment-naïve patients, we learned that one patient who had PNH and concomitant aplastic anemia developed bone marrow failure after one year of treatment with APL-2. Development of bone marrow failure is a known risk in patients with PNH. In third-party studies, bone marrow failure occurred in between 15% and 30% of PNH patients, regardless of treatment with eculizumab. We do not believe that the bone marrow failure in this patient is related to the administration of APL-2 and the patient is continuing treatment with APL-2. However, there can be no assurance that the administration of APL-2 could not have contributed to the bone marrow failure.</w:t>
      </w:r>
    </w:p>
    <w:p>
      <w:pPr>
        <w:spacing w:after="0" w:line="189" w:lineRule="exact"/>
        <w:rPr>
          <w:sz w:val="20"/>
          <w:szCs w:val="20"/>
          <w:color w:val="auto"/>
        </w:rPr>
      </w:pPr>
    </w:p>
    <w:p>
      <w:pPr>
        <w:ind w:right="40" w:firstLine="457"/>
        <w:spacing w:after="0" w:line="295" w:lineRule="auto"/>
        <w:rPr>
          <w:sz w:val="20"/>
          <w:szCs w:val="20"/>
          <w:color w:val="auto"/>
        </w:rPr>
      </w:pPr>
      <w:r>
        <w:rPr>
          <w:rFonts w:ascii="Arial" w:cs="Arial" w:eastAsia="Arial" w:hAnsi="Arial"/>
          <w:sz w:val="16"/>
          <w:szCs w:val="16"/>
          <w:color w:val="auto"/>
        </w:rPr>
        <w:t>If any of our product candidates is associated with adverse events or undesirable side effects or has properties that are unexpected, we, or any future collaborators, may need to abandon development or limit development of that product candidate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62"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In addition, clinical trials by their nature utilize a sample of the potential patient population. However, with a limited number of subjects and limited duration of exposure, rare and severe side effects of our product candidates may only be uncovered when a significantly larger number of patients are exposed to the product. If safety problems occur or are identified after one of our products reaches the market, the FDA or comparable non-U.S. regulatory authorities may require that we amend the labeling of our product, recall our product, or even withdraw approval for our product.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331" w:lineRule="auto"/>
        <w:rPr>
          <w:sz w:val="20"/>
          <w:szCs w:val="20"/>
          <w:color w:val="auto"/>
        </w:rPr>
      </w:pPr>
      <w:r>
        <w:rPr>
          <w:rFonts w:ascii="Arial" w:cs="Arial" w:eastAsia="Arial" w:hAnsi="Arial"/>
          <w:sz w:val="16"/>
          <w:szCs w:val="16"/>
          <w:b w:val="1"/>
          <w:bCs w:val="1"/>
          <w:i w:val="1"/>
          <w:iCs w:val="1"/>
          <w:color w:val="auto"/>
        </w:rPr>
        <w:t>If we, or any future collaborators, experience any of a number of possible unforeseen events in connection with clinical trials of our product candidates, potential clinical development, marketing approval or commercialization of our product candidates could be delayed or prevented.</w:t>
      </w:r>
    </w:p>
    <w:p>
      <w:pPr>
        <w:spacing w:after="0" w:line="26" w:lineRule="exact"/>
        <w:rPr>
          <w:sz w:val="20"/>
          <w:szCs w:val="20"/>
          <w:color w:val="auto"/>
        </w:rPr>
      </w:pPr>
    </w:p>
    <w:p>
      <w:pPr>
        <w:ind w:right="220" w:firstLine="457"/>
        <w:spacing w:after="0" w:line="267" w:lineRule="auto"/>
        <w:rPr>
          <w:sz w:val="20"/>
          <w:szCs w:val="20"/>
          <w:color w:val="auto"/>
        </w:rPr>
      </w:pPr>
      <w:r>
        <w:rPr>
          <w:rFonts w:ascii="Arial" w:cs="Arial" w:eastAsia="Arial" w:hAnsi="Arial"/>
          <w:sz w:val="18"/>
          <w:szCs w:val="18"/>
          <w:color w:val="auto"/>
        </w:rPr>
        <w:t>We, or any future collaborators, may experience numerous unforeseen events during, or as a result of, clinical trials that could delay or prevent clinical development, marketing approval or commercialization of our product candidates, including:</w:t>
      </w:r>
    </w:p>
    <w:p>
      <w:pPr>
        <w:spacing w:after="0" w:line="86" w:lineRule="exact"/>
        <w:rPr>
          <w:sz w:val="20"/>
          <w:szCs w:val="20"/>
          <w:color w:val="auto"/>
        </w:rPr>
      </w:pPr>
    </w:p>
    <w:p>
      <w:pPr>
        <w:ind w:left="680" w:hanging="22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or inconclusive results;</w:t>
      </w:r>
    </w:p>
    <w:p>
      <w:pPr>
        <w:spacing w:after="0" w:line="126" w:lineRule="exact"/>
        <w:rPr>
          <w:rFonts w:ascii="Arial" w:cs="Arial" w:eastAsia="Arial" w:hAnsi="Arial"/>
          <w:sz w:val="18"/>
          <w:szCs w:val="18"/>
          <w:color w:val="auto"/>
        </w:rPr>
      </w:pPr>
    </w:p>
    <w:p>
      <w:pPr>
        <w:ind w:left="680" w:hanging="220"/>
        <w:spacing w:after="0" w:line="26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decide, or regulators may require us or them, to conduct additional clinical trials or abandon product development programs;</w:t>
      </w:r>
    </w:p>
    <w:p>
      <w:pPr>
        <w:spacing w:after="0" w:line="86" w:lineRule="exact"/>
        <w:rPr>
          <w:rFonts w:ascii="Arial" w:cs="Arial" w:eastAsia="Arial" w:hAnsi="Arial"/>
          <w:sz w:val="18"/>
          <w:szCs w:val="18"/>
          <w:color w:val="auto"/>
        </w:rPr>
      </w:pPr>
    </w:p>
    <w:p>
      <w:pPr>
        <w:ind w:left="680" w:right="40" w:hanging="220"/>
        <w:spacing w:after="0" w:line="25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or any future collaborators, anticipate, patient enrollment in these clinical trials may be slower than we, or any future collaborators, anticipate or participants may drop out of these clinical trials at a higher rate than we, or any future collaborators, anticipate;</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planned clinical trials of our product candidates may be greater than we anticipate;</w:t>
      </w:r>
    </w:p>
    <w:p>
      <w:pPr>
        <w:spacing w:after="0" w:line="126" w:lineRule="exact"/>
        <w:rPr>
          <w:rFonts w:ascii="Arial" w:cs="Arial" w:eastAsia="Arial" w:hAnsi="Arial"/>
          <w:sz w:val="18"/>
          <w:szCs w:val="18"/>
          <w:color w:val="auto"/>
        </w:rPr>
      </w:pPr>
    </w:p>
    <w:p>
      <w:pPr>
        <w:ind w:left="680" w:right="260" w:hanging="220"/>
        <w:spacing w:after="0" w:line="304"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third-party contractors or those of any future collaborators, including those manufacturing our product candidates or components or ingredients thereof or conducting clinical trials on our behalf or on behalf of any future collaborators, may deviate from the trial protocol, fail to comply with regulatory requirements or fail to meet their contractual obligations to us or any future collaborators in a timely manner or at all;</w:t>
      </w:r>
    </w:p>
    <w:p>
      <w:pPr>
        <w:spacing w:after="0" w:line="60" w:lineRule="exact"/>
        <w:rPr>
          <w:rFonts w:ascii="Arial" w:cs="Arial" w:eastAsia="Arial" w:hAnsi="Arial"/>
          <w:sz w:val="16"/>
          <w:szCs w:val="16"/>
          <w:color w:val="auto"/>
        </w:rPr>
      </w:pPr>
    </w:p>
    <w:p>
      <w:pPr>
        <w:ind w:left="680" w:right="360" w:hanging="220"/>
        <w:spacing w:after="0" w:line="26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any future collaborators or our or their investigators to commence a clinical trial or conduct a clinical trial at a prospective trial site;</w:t>
      </w:r>
    </w:p>
    <w:p>
      <w:pPr>
        <w:spacing w:after="0" w:line="86" w:lineRule="exact"/>
        <w:rPr>
          <w:rFonts w:ascii="Arial" w:cs="Arial" w:eastAsia="Arial" w:hAnsi="Arial"/>
          <w:sz w:val="18"/>
          <w:szCs w:val="18"/>
          <w:color w:val="auto"/>
        </w:rPr>
      </w:pPr>
    </w:p>
    <w:p>
      <w:pPr>
        <w:ind w:left="680" w:right="160" w:hanging="220"/>
        <w:spacing w:after="0" w:line="26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have delays in reaching or fail to reach agreement on acceptable clinical trial contracts or clinical trial protocols with prospective trial sites;</w:t>
      </w:r>
    </w:p>
    <w:p>
      <w:pPr>
        <w:spacing w:after="0" w:line="86" w:lineRule="exact"/>
        <w:rPr>
          <w:rFonts w:ascii="Arial" w:cs="Arial" w:eastAsia="Arial" w:hAnsi="Arial"/>
          <w:sz w:val="18"/>
          <w:szCs w:val="18"/>
          <w:color w:val="auto"/>
        </w:rPr>
      </w:pPr>
    </w:p>
    <w:p>
      <w:pPr>
        <w:ind w:left="680" w:hanging="220"/>
        <w:spacing w:after="0" w:line="33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patients that enroll in a clinical trial may misrepresent their eligibility to do so or may otherwise not comply with the clinical trial protocol, resulting in the need to drop the patients from the clinical trial, increase the needed enrollment size for the clinical trial or extend the clinical trial’s duration;</w:t>
      </w:r>
    </w:p>
    <w:p>
      <w:pPr>
        <w:spacing w:after="0" w:line="39" w:lineRule="exact"/>
        <w:rPr>
          <w:rFonts w:ascii="Arial" w:cs="Arial" w:eastAsia="Arial" w:hAnsi="Arial"/>
          <w:sz w:val="16"/>
          <w:szCs w:val="16"/>
          <w:color w:val="auto"/>
        </w:rPr>
      </w:pPr>
    </w:p>
    <w:p>
      <w:pPr>
        <w:ind w:left="680" w:right="120" w:hanging="220"/>
        <w:spacing w:after="0" w:line="25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have to delay, suspend or terminate clinical trials of our product candidates for various reasons, including a finding that the participants are being exposed to unacceptable health risks, undesirable side effects or other unexpected characteristics of the product candidate, such as occurred in our Phase 1 clinical trial of APL-1;</w:t>
      </w:r>
    </w:p>
    <w:p>
      <w:pPr>
        <w:spacing w:after="0" w:line="95" w:lineRule="exact"/>
        <w:rPr>
          <w:rFonts w:ascii="Arial" w:cs="Arial" w:eastAsia="Arial" w:hAnsi="Arial"/>
          <w:sz w:val="18"/>
          <w:szCs w:val="18"/>
          <w:color w:val="auto"/>
        </w:rPr>
      </w:pPr>
    </w:p>
    <w:p>
      <w:pPr>
        <w:ind w:left="680" w:right="220" w:hanging="220"/>
        <w:spacing w:after="0" w:line="273"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or any future collaborators, or our or their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pacing w:after="0" w:line="84" w:lineRule="exact"/>
        <w:rPr>
          <w:rFonts w:ascii="Arial" w:cs="Arial" w:eastAsia="Arial" w:hAnsi="Arial"/>
          <w:sz w:val="17"/>
          <w:szCs w:val="17"/>
          <w:color w:val="auto"/>
        </w:rPr>
      </w:pPr>
    </w:p>
    <w:p>
      <w:pPr>
        <w:ind w:left="680" w:right="700" w:hanging="220"/>
        <w:spacing w:after="0" w:line="26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any future collaborators’, clinical trial designs or our or their interpretation of data from preclinical studies and clinical trials;</w:t>
      </w:r>
    </w:p>
    <w:p>
      <w:pPr>
        <w:spacing w:after="0" w:line="86" w:lineRule="exact"/>
        <w:rPr>
          <w:rFonts w:ascii="Arial" w:cs="Arial" w:eastAsia="Arial" w:hAnsi="Arial"/>
          <w:sz w:val="18"/>
          <w:szCs w:val="18"/>
          <w:color w:val="auto"/>
        </w:rPr>
      </w:pPr>
    </w:p>
    <w:p>
      <w:pPr>
        <w:ind w:left="680" w:right="140" w:hanging="220"/>
        <w:spacing w:after="0" w:line="297" w:lineRule="auto"/>
        <w:tabs>
          <w:tab w:leader="none" w:pos="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facilities of third-party manufacturers with which we, or any future collaborators, enter into agreements for clinical and commercial supplies;</w:t>
      </w:r>
    </w:p>
    <w:p>
      <w:pPr>
        <w:spacing w:after="0" w:line="62" w:lineRule="exact"/>
        <w:rPr>
          <w:rFonts w:ascii="Arial" w:cs="Arial" w:eastAsia="Arial" w:hAnsi="Arial"/>
          <w:sz w:val="17"/>
          <w:szCs w:val="17"/>
          <w:color w:val="auto"/>
        </w:rPr>
      </w:pPr>
    </w:p>
    <w:p>
      <w:pPr>
        <w:ind w:left="680" w:right="620" w:hanging="220"/>
        <w:spacing w:after="0" w:line="331"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39" w:lineRule="exact"/>
        <w:rPr>
          <w:rFonts w:ascii="Arial" w:cs="Arial" w:eastAsia="Arial" w:hAnsi="Arial"/>
          <w:sz w:val="16"/>
          <w:szCs w:val="16"/>
          <w:color w:val="auto"/>
        </w:rPr>
      </w:pPr>
    </w:p>
    <w:p>
      <w:pPr>
        <w:ind w:left="680" w:right="460" w:hanging="220"/>
        <w:spacing w:after="0" w:line="26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to obtain marketing approval.</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Product development costs for us, or any future collaborators, will increase if we, or they, experience delays in testing or pursuing marketing approvals and we, or they,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study or clinical trial delays also could shorten any periods during which we, or any future collaborators, may have the exclusive right to commercialize our product candidates or allow our competitors, or the competitors of any future collaborators, to bring products to market before we, or any future collaborators, do and impair our ability, or the ability of any future collaborators, to successfully commercialize our product candidates and may harm our business and results of operations. In addition, many of the factors that lead to clinical trial delays may ultimately lead to the denial of marketing approval of any of our product candidates.</w:t>
      </w:r>
    </w:p>
    <w:p>
      <w:pPr>
        <w:spacing w:after="0" w:line="287"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i w:val="1"/>
          <w:iCs w:val="1"/>
          <w:color w:val="auto"/>
        </w:rPr>
        <w:t>If we, or any future collaborators, experience delays or difficulties in the enrollment of patients in clinical trials, our or their receipt of necessary regulatory approvals could be delayed or prevented.</w:t>
      </w:r>
    </w:p>
    <w:p>
      <w:pPr>
        <w:spacing w:after="0" w:line="7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We, or any future collaborators, may not be able to initiate or continue clinical trials for any of our product candidates if we, or they, are unable to locate and enroll a sufficient number of eligible patients to participate in clinical trials as required by the FDA or comparable foreign regulatory authorities. Patient enrollment is a significant factor in the timing of clinical trials, and is affected by many factors, including:</w:t>
      </w:r>
    </w:p>
    <w:p>
      <w:pPr>
        <w:spacing w:after="0" w:line="95" w:lineRule="exact"/>
        <w:rPr>
          <w:sz w:val="20"/>
          <w:szCs w:val="20"/>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and</w:t>
      </w:r>
    </w:p>
    <w:p>
      <w:pPr>
        <w:spacing w:after="0" w:line="126" w:lineRule="exact"/>
        <w:rPr>
          <w:rFonts w:ascii="Arial" w:cs="Arial" w:eastAsia="Arial" w:hAnsi="Arial"/>
          <w:sz w:val="18"/>
          <w:szCs w:val="18"/>
          <w:color w:val="auto"/>
        </w:rPr>
      </w:pPr>
    </w:p>
    <w:p>
      <w:pPr>
        <w:ind w:left="680" w:right="60" w:hanging="220"/>
        <w:spacing w:after="0" w:line="26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80"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In particular, the successful completion of our clinical development program for APL-2 for the treatment of paroxysmal nocturnal hemoglobinuria, or PNH, is dependent upon our ability to enroll a sufficient number of patients with PNH. PNH is a rare disease with a small patient population, and many of those patients are treated with eculizumab, marketed as Soliris by Alexion Pharmaceuticals, Inc., or Alexion. Further, there are only a limited number of specialist physicians that regularly treat patients with PNH and major clinical centers that support PNH treatment are concentrated in a few geographic regions. In addition, other companies are conducting clinical trials and have announced plans for future clinical trials that are seeking, or are likely to seek, to enroll patients with PNH and patients are generally only able to enroll in a single trial at a time. Both patients and their physicians may be reluctant to forgo, discontinue or otherwise alter existing, approved life-saving therapeutic approaches. Given the severe and life-threatening nature of PNH and the expectation that many patients will be on treatment with eculizumab, we may encounter difficulty in recruiting a sufficient number of patients for our trials. The small population of patients, competition for these patients, the nature of the disease and limited trial sites may make it difficult for us to enroll enough patients to complete our clinical trials of APL-2 in PNH in a timely and cost-effective manner.</w:t>
      </w:r>
    </w:p>
    <w:p>
      <w:pPr>
        <w:spacing w:after="0" w:line="189" w:lineRule="exact"/>
        <w:rPr>
          <w:sz w:val="20"/>
          <w:szCs w:val="20"/>
          <w:color w:val="auto"/>
        </w:rPr>
      </w:pPr>
    </w:p>
    <w:p>
      <w:pPr>
        <w:ind w:right="100" w:firstLine="457"/>
        <w:spacing w:after="0" w:line="267" w:lineRule="auto"/>
        <w:rPr>
          <w:sz w:val="20"/>
          <w:szCs w:val="20"/>
          <w:color w:val="auto"/>
        </w:rPr>
      </w:pPr>
      <w:r>
        <w:rPr>
          <w:rFonts w:ascii="Arial" w:cs="Arial" w:eastAsia="Arial" w:hAnsi="Arial"/>
          <w:sz w:val="18"/>
          <w:szCs w:val="18"/>
          <w:color w:val="auto"/>
        </w:rPr>
        <w:t>Our inability, or the inability of any future collaborators, to enroll a sufficient number of patients for our, or their, clinical trials could result in significant delays or may require us or them to abandon one or more clinical</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trials altogether. Enrollment delays in our, or their, clinical trials may result in increased development costs for our product candidates, delay or halt the development of and approval processes for our product candidates and jeopardize our, or any future collaborators’, ability to commence sales of and generate revenues from our product candidates, which could cause the value of our company to decline and limit our ability to obtain additional financing, if needed.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Phase 1 and Phase 2 clinical trials may not be predictive of results of later clinical trials.</w:t>
      </w:r>
    </w:p>
    <w:p>
      <w:pPr>
        <w:spacing w:after="0" w:line="113" w:lineRule="exact"/>
        <w:rPr>
          <w:sz w:val="20"/>
          <w:szCs w:val="20"/>
          <w:color w:val="auto"/>
        </w:rPr>
      </w:pPr>
    </w:p>
    <w:p>
      <w:pPr>
        <w:ind w:right="200" w:firstLine="457"/>
        <w:spacing w:after="0" w:line="252" w:lineRule="auto"/>
        <w:rPr>
          <w:sz w:val="20"/>
          <w:szCs w:val="20"/>
          <w:color w:val="auto"/>
        </w:rPr>
      </w:pPr>
      <w:r>
        <w:rPr>
          <w:rFonts w:ascii="Arial" w:cs="Arial" w:eastAsia="Arial" w:hAnsi="Arial"/>
          <w:sz w:val="18"/>
          <w:szCs w:val="18"/>
          <w:color w:val="auto"/>
        </w:rPr>
        <w:t>The outcome of preclinical studies and Phase 1 and Phase 2 clinical trials may not be predictive of the success of later clinical trials, and preliminary or interim results of clinical trials do not necessarily predict final results. Many companies in the pharmaceutical and biotechnology industries have suffered significant setbacks in late-stage clinical trials after achieving positive results in earlier stages of clinical development, and we could face similar setbacks. Similarly, the design of a clinical trial can determine whether its results will support approval of a product and flaws in the design of a clinical trial may not become apparent until the clinical trial is well advanced.</w:t>
      </w:r>
    </w:p>
    <w:p>
      <w:pPr>
        <w:spacing w:after="0" w:line="19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We have limited experience in designing pivotal clinical trials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any future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81" w:lineRule="exact"/>
        <w:rPr>
          <w:sz w:val="20"/>
          <w:szCs w:val="20"/>
          <w:color w:val="auto"/>
        </w:rPr>
      </w:pPr>
    </w:p>
    <w:p>
      <w:pPr>
        <w:jc w:val="both"/>
        <w:ind w:right="20" w:firstLine="457"/>
        <w:spacing w:after="0" w:line="279" w:lineRule="auto"/>
        <w:rPr>
          <w:sz w:val="20"/>
          <w:szCs w:val="20"/>
          <w:color w:val="auto"/>
        </w:rPr>
      </w:pPr>
      <w:r>
        <w:rPr>
          <w:rFonts w:ascii="Arial" w:cs="Arial" w:eastAsia="Arial" w:hAnsi="Arial"/>
          <w:sz w:val="17"/>
          <w:szCs w:val="17"/>
          <w:color w:val="auto"/>
        </w:rPr>
        <w:t xml:space="preserve">Some of the data we present on the use of APL-2 for the treatment of GA is drawn from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of data subsets from our Phase 2 clinical trial. While we believe these data may be useful in informing the design of future Phase 3 clinical trials for APL-2,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analyses performed after unmasking trial results can result in the introduction of bias and may not be predictive of success in Phase 3 clinical trials.</w:t>
      </w:r>
    </w:p>
    <w:p>
      <w:pPr>
        <w:spacing w:after="0" w:line="172"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our Phase 3 trials, we expect that the FDA will request that we set statistical significance at a p-value of 0.05 or less.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commercialize other product candidates, we may be unable to grow our business.</w:t>
      </w:r>
    </w:p>
    <w:p>
      <w:pPr>
        <w:spacing w:after="0" w:line="113"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Although the development and commercialization of APL-2 is our primary focus, as part of our growth strategy, we are developing a pipeline of product candidates for the treatment of complement-dependent diseases. These other product candidates will require additional, time-consuming and costly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have never obtained marketing approval for a product candidate and we may be unable to obtain, or may be delayed in obtaining, marketing approval for any of our product candidates.</w:t>
      </w:r>
    </w:p>
    <w:p>
      <w:pPr>
        <w:spacing w:after="0" w:line="7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 is insufficient to obtain marketing approval of our product candidates. If the FDA does not accept or approve our NDAs for any of our product candidates, including APL-2, it may require that we conduct additional clinical trials, preclinical studies or manufacturing validation studies and submit that data before it will reconsider our applications. Depending on the extent of these or any other FDA-required trials or studies, approval of any NDA or application that we submit may be delayed by several years, or may require us to expend more resources than we have available. It is also possible that additional trials or studies, if performed and completed, may not be considered sufficient by the FDA to approve our NDAs.</w:t>
      </w:r>
    </w:p>
    <w:p>
      <w:pPr>
        <w:spacing w:after="0" w:line="198" w:lineRule="exact"/>
        <w:rPr>
          <w:sz w:val="20"/>
          <w:szCs w:val="20"/>
          <w:color w:val="auto"/>
        </w:rPr>
      </w:pPr>
    </w:p>
    <w:p>
      <w:pPr>
        <w:ind w:right="460" w:firstLine="457"/>
        <w:spacing w:after="0" w:line="257" w:lineRule="auto"/>
        <w:rPr>
          <w:sz w:val="20"/>
          <w:szCs w:val="20"/>
          <w:color w:val="auto"/>
        </w:rPr>
      </w:pPr>
      <w:r>
        <w:rPr>
          <w:rFonts w:ascii="Arial" w:cs="Arial" w:eastAsia="Arial" w:hAnsi="Arial"/>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we or others may later discover that the product is less effective than previously believed or causes undesirable side effects that were not previously identified, which could compromise our ability, or that of any future collaborators, to market the product.</w:t>
      </w:r>
    </w:p>
    <w:p>
      <w:pPr>
        <w:spacing w:after="0" w:line="82"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100" w:lineRule="exact"/>
        <w:rPr>
          <w:sz w:val="20"/>
          <w:szCs w:val="20"/>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any future collaborators, may be required to recall the product, change the way the product is administered or conduct additional clinical trials;</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6" w:lineRule="exact"/>
        <w:rPr>
          <w:rFonts w:ascii="Arial" w:cs="Arial" w:eastAsia="Arial" w:hAnsi="Arial"/>
          <w:sz w:val="18"/>
          <w:szCs w:val="18"/>
          <w:color w:val="auto"/>
        </w:rPr>
      </w:pPr>
    </w:p>
    <w:p>
      <w:pPr>
        <w:ind w:left="680" w:right="620" w:hanging="220"/>
        <w:spacing w:after="0" w:line="26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harm our business and operations, and could negatively impact our stock price.</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b w:val="1"/>
          <w:bCs w:val="1"/>
          <w:i w:val="1"/>
          <w:iCs w:val="1"/>
          <w:color w:val="auto"/>
        </w:rPr>
        <w:t>Even if one of our product candidates receives marketing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8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have never commercialized a product, and even if one of our product candidates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Eculizumab is the only drug approved for the treatment of PNH, and even if we are able to obtain marketing approval of APL-2 for the treatment of PNH, we may not be able to successfully convince physicians or patients to switch from eculizumab to APL-2. This may be particularly true with respect to eculizumab as many in the medical community believe that patients with PNH on eculizumab may experience sudden and excessive blood cell lysis, or rupture, leading to anemia, blood clots and other medical problems, when they stop receiving eculizumab. In addition, even if we are able to demonstrate our product candidates’ safety and efficacy to the FDA and other regulators, safety concerns in the medical community may hinder market acceptance.</w:t>
      </w:r>
    </w:p>
    <w:p>
      <w:pPr>
        <w:spacing w:after="0" w:line="189"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97" w:lineRule="exact"/>
        <w:rPr>
          <w:sz w:val="20"/>
          <w:szCs w:val="20"/>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our approved products as well as competitive products;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26" w:lineRule="exact"/>
        <w:rPr>
          <w:rFonts w:ascii="Arial" w:cs="Arial" w:eastAsia="Arial" w:hAnsi="Arial"/>
          <w:sz w:val="18"/>
          <w:szCs w:val="18"/>
          <w:color w:val="auto"/>
        </w:rPr>
      </w:pPr>
    </w:p>
    <w:p>
      <w:pPr>
        <w:ind w:left="5620" w:right="1320" w:hanging="5160"/>
        <w:spacing w:after="0" w:line="437" w:lineRule="auto"/>
        <w:tabs>
          <w:tab w:leader="none" w:pos="6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amount of coverage and reimbursement from government payors, managed care plans and other third-party payors. 22</w:t>
      </w:r>
    </w:p>
    <w:p>
      <w:pPr>
        <w:sectPr>
          <w:pgSz w:w="11900" w:h="16838" w:orient="portrait"/>
          <w:cols w:equalWidth="0" w:num="1">
            <w:col w:w="11340"/>
          </w:cols>
          <w:pgMar w:left="240" w:top="455"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73"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w:t>
      </w:r>
    </w:p>
    <w:p>
      <w:pPr>
        <w:spacing w:after="0" w:line="172" w:lineRule="exact"/>
        <w:rPr>
          <w:sz w:val="20"/>
          <w:szCs w:val="20"/>
          <w:color w:val="auto"/>
        </w:rPr>
      </w:pPr>
    </w:p>
    <w:p>
      <w:pPr>
        <w:ind w:right="200" w:firstLine="457"/>
        <w:spacing w:after="0" w:line="252"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300"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arrangements with third parties, we may not be successful in commercializing any product candidates if approved.</w:t>
      </w:r>
    </w:p>
    <w:p>
      <w:pPr>
        <w:spacing w:after="0" w:line="73"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We do not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w:t>
      </w:r>
    </w:p>
    <w:p>
      <w:pPr>
        <w:spacing w:after="0" w:line="18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The development of sales, marketing and distribution capabilities will require substantial resources, will be time-consuming and could delay any product launch. If the commercial launch of a product candidate for which we recruit a sales force and establish marketing and distribution capabilities is delayed or does not occur for any reason, we could have prematurely or unnecessarily incurred these commercialization costs. This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89"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In certain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67" w:lineRule="exact"/>
        <w:rPr>
          <w:sz w:val="20"/>
          <w:szCs w:val="20"/>
          <w:color w:val="auto"/>
        </w:rPr>
      </w:pPr>
    </w:p>
    <w:p>
      <w:pPr>
        <w:ind w:right="180" w:firstLine="457"/>
        <w:spacing w:after="0" w:line="267" w:lineRule="auto"/>
        <w:rPr>
          <w:sz w:val="20"/>
          <w:szCs w:val="20"/>
          <w:color w:val="auto"/>
        </w:rPr>
      </w:pPr>
      <w:r>
        <w:rPr>
          <w:rFonts w:ascii="Arial" w:cs="Arial" w:eastAsia="Arial" w:hAnsi="Arial"/>
          <w:sz w:val="18"/>
          <w:szCs w:val="18"/>
          <w:color w:val="auto"/>
        </w:rPr>
        <w:t>If we do not establish sales, marketing and distribution capabilities, either on our own or in collaboration with third parties, we will not be successful in commercializing any of our product candidates that receive marketing approval.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240" w:firstLine="457"/>
        <w:spacing w:after="0" w:line="254" w:lineRule="auto"/>
        <w:rPr>
          <w:sz w:val="20"/>
          <w:szCs w:val="20"/>
          <w:color w:val="auto"/>
        </w:rPr>
      </w:pPr>
      <w:r>
        <w:rPr>
          <w:rFonts w:ascii="Arial" w:cs="Arial" w:eastAsia="Arial" w:hAnsi="Arial"/>
          <w:sz w:val="18"/>
          <w:szCs w:val="18"/>
          <w:color w:val="auto"/>
        </w:rPr>
        <w:t>The development and commercialization of new products is highly competitive. We expect that we, and any future collaborators, will face significant competition from major pharmaceutical companies, specialty pharmaceutical companies and biotechnology companies worldwide with respect to any of our product candidates that we, or any future collaborators, may seek to develop or commercialize in the future, including from therapies that act through the complement system and therapies that use different approaches.</w:t>
      </w:r>
    </w:p>
    <w:p>
      <w:pPr>
        <w:spacing w:after="0" w:line="191"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There are no currently available treatments approved for GA. We are aware that there are a number of companies that are actively developing product candidates for the treatment of GA, including the following product candidates that are in clinical development: lampalizumab, a complement factor D inhibitor for the treatment of GA being developed by Roche that is in Phase 3 clinical trials; CLG561, an anti-properdin monoclonal antibody being developed as a monotherapy or adjunctive therapy with LFG316, an anti-C5 monoclonal antibody being developed by Novartis AG that is in Phase 2 clinical trials; Zimura, a C5 inhibitor being developed by Ophthotech Corporation that is in Phase 2/3 clinical trials; and other product candidates that do not target the complement system that are in Phase 2 clinical trials, including compounds being developed by Allergan PLC and Regenerative Patch Technologies.</w:t>
      </w:r>
    </w:p>
    <w:p>
      <w:pPr>
        <w:spacing w:after="0" w:line="16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principal competitor for PNH, and possibly other indications in our hematology and nephrology programs is eculizumab, a C5 inhibitor, which is marketed as Soliris by Alexion and is the only therapy approved for the treatment of PNH. Alexion is conducting Phase 3 trials of ALXN1210 for PNH, which is designed to have a longer half-life and greater inhibition of C5 than eculizumab. We are aware of a number of other companies that are actively developing product candidates for the treatment of PNH, including a product candidate directed at C3 inhibition in preclinical development by Amyndas Pharmaceuticals SA; product candidates directed at C5 inhibition such as ALN-CC5, an RNAi therapeutic targeting C5 being developed by Alnylam Pharmaceuticals, Inc. that is in early clinical trials; Coversin, a small protein inhibitor of C5 being developed by Akari Therapeutics, Plc. that is in Phase 2 clinical trials; Ra101495, a cyclic peptide inhibitor of C5 that is currently in Phase 2 trials by Ra Pharmaceuticals, Inc., and LFG316, an anti-C5 monoclonal antibody that is currently in Phase 2 trials by Novartis; and other product candidates directed at other mechanisms of complement inhibition such as NM-9405, an anti-properdin antibody in preclinical development by NovelMed Therapeutics, Inc., and ACH-4471 (previously ACH-CFDIS), an orally available small molecule inhibitor of complement factor D, that is currently in early clinical development by Achillion Pharmaceuticals, Inc. Amgen is developing ABP959, a biosimilar for eculizumab that is in early clinical development. The approval of a biosimilar or a generic to one of our products or a product with which we compete could have a material impact on our business because it may be significantly less costly to bring to market and may be priced significantly lower than our products or the other products with which we compete.</w:t>
      </w:r>
    </w:p>
    <w:p>
      <w:pPr>
        <w:spacing w:after="0" w:line="192" w:lineRule="exact"/>
        <w:rPr>
          <w:sz w:val="20"/>
          <w:szCs w:val="20"/>
          <w:color w:val="auto"/>
        </w:rPr>
      </w:pPr>
    </w:p>
    <w:p>
      <w:pPr>
        <w:ind w:right="120" w:firstLine="457"/>
        <w:spacing w:after="0" w:line="251" w:lineRule="auto"/>
        <w:rPr>
          <w:sz w:val="20"/>
          <w:szCs w:val="20"/>
          <w:color w:val="auto"/>
        </w:rPr>
      </w:pPr>
      <w:r>
        <w:rPr>
          <w:rFonts w:ascii="Arial" w:cs="Arial" w:eastAsia="Arial" w:hAnsi="Arial"/>
          <w:sz w:val="18"/>
          <w:szCs w:val="18"/>
          <w:color w:val="auto"/>
        </w:rPr>
        <w:t>There are no currently marketed drug treatments for autoimmune hemolytic anemia, or AIHA, but there are currently treatments in development for AIHA, including: fostamatinib, a spleen tyrosine kinase inhibitor being developed by Rigel Pharmaceuticals, Inc., which is in Phase 2 trials, and TNT-009/BIVV009, a C1s monoclonal antibody inhibitor, which is being developed by Bioverativ Inc., and is in early clinical trials in patients with cold agglutinin disease, a subtype of AIHA. There are no currently marketed drug treatments for complement-dependent nephropathies, but OMS721, a human monoclonal antibody to mannose-binding lectin-associated serine protease-2 (MASP-2) that blocks the lectin pathway, is being developed by Omeros Corp. as a treatment for IgA nephropathy and is entering Phase 3 clinical trials.</w:t>
      </w:r>
    </w:p>
    <w:p>
      <w:pPr>
        <w:spacing w:after="0" w:line="195" w:lineRule="exact"/>
        <w:rPr>
          <w:sz w:val="20"/>
          <w:szCs w:val="20"/>
          <w:color w:val="auto"/>
        </w:rPr>
      </w:pPr>
    </w:p>
    <w:p>
      <w:pPr>
        <w:jc w:val="both"/>
        <w:ind w:right="260" w:firstLine="457"/>
        <w:spacing w:after="0" w:line="257" w:lineRule="auto"/>
        <w:rPr>
          <w:sz w:val="20"/>
          <w:szCs w:val="20"/>
          <w:color w:val="auto"/>
        </w:rPr>
      </w:pPr>
      <w:r>
        <w:rPr>
          <w:rFonts w:ascii="Arial" w:cs="Arial" w:eastAsia="Arial" w:hAnsi="Arial"/>
          <w:sz w:val="18"/>
          <w:szCs w:val="18"/>
          <w:color w:val="auto"/>
        </w:rPr>
        <w:t>Our competitors may succeed in developing, acquiring or licensing technologies and products that are more effective, have fewer side effects or more tolerable side effects or are less costly than any product candidates that we are currently developing or that we may develop, which could render our product candidates obsolete and noncompetitive.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any future collaborators, may develop. Our competitors also may obtain FDA or other marketing approval for their products before we, or any future collaborators, are able to obtain approval for ours, which could result in our competitors establishing a strong market position before we, or any future collaborators, are able to enter the market.</w:t>
      </w:r>
    </w:p>
    <w:p>
      <w:pPr>
        <w:spacing w:after="0" w:line="177" w:lineRule="exact"/>
        <w:rPr>
          <w:sz w:val="20"/>
          <w:szCs w:val="20"/>
          <w:color w:val="auto"/>
        </w:rPr>
      </w:pPr>
    </w:p>
    <w:p>
      <w:pPr>
        <w:ind w:right="380" w:firstLine="457"/>
        <w:spacing w:after="0" w:line="250" w:lineRule="auto"/>
        <w:rPr>
          <w:sz w:val="20"/>
          <w:szCs w:val="20"/>
          <w:color w:val="auto"/>
        </w:rPr>
      </w:pPr>
      <w:r>
        <w:rPr>
          <w:rFonts w:ascii="Arial" w:cs="Arial" w:eastAsia="Arial" w:hAnsi="Arial"/>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the development of our product candidates.</w:t>
      </w:r>
    </w:p>
    <w:p>
      <w:pPr>
        <w:spacing w:after="0" w:line="30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82"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Once an NDA is approved, the product covered thereby becomes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In support of an ANDA, a generic manufacturer need not conduct clinical trials.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may be typically lost to the generic product.</w:t>
      </w:r>
    </w:p>
    <w:p>
      <w:pPr>
        <w:spacing w:after="0" w:line="181"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It is unclear whether the FDA will treat the active ingredients in our product candidates as NCEs and, therefore, afford them five years of NCE data exclusivity if they are approved. If any product we develop does not receive five years of NCE exclusivity, the FDA may approve generic versions of such product three years after its date of approval, subject to the requirement that the ANDA applicant certifies to any patents listed for our products in the Orange Book. Manufacturers may seek to launch these generic products following the expiration of the applicable marketing exclusivity period, even if we still have patent protection for our product.</w:t>
      </w:r>
    </w:p>
    <w:p>
      <w:pPr>
        <w:spacing w:after="0" w:line="174"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Competition that our products may face from generic versions of our products could negatively impact our future revenue, profitability and cash flows and substantially limit our ability to obtain a return on our investments in those product candidates.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20"/>
        <w:spacing w:after="0" w:line="397" w:lineRule="auto"/>
        <w:rPr>
          <w:sz w:val="20"/>
          <w:szCs w:val="20"/>
          <w:color w:val="auto"/>
        </w:rPr>
      </w:pPr>
      <w:r>
        <w:rPr>
          <w:rFonts w:ascii="Arial" w:cs="Arial" w:eastAsia="Arial" w:hAnsi="Arial"/>
          <w:sz w:val="14"/>
          <w:szCs w:val="14"/>
          <w:b w:val="1"/>
          <w:bCs w:val="1"/>
          <w:i w:val="1"/>
          <w:iCs w:val="1"/>
          <w:color w:val="auto"/>
        </w:rPr>
        <w:t>Even if we, or any future collaborators, are able to commercialize any product candidate that we, or they, develop, the product may become subject to unfavorable pricing regulations, third-party payor reimbursement practices or healthcare reform initiatives, any of which could harm our business.</w:t>
      </w:r>
    </w:p>
    <w:p>
      <w:pPr>
        <w:spacing w:after="0" w:line="1"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The commercial success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is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4"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any future collaborators,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any future collaborators to recoup our or their investment in one or more product candidates, even if our product candidates obtain marketing approval.</w:t>
      </w:r>
    </w:p>
    <w:p>
      <w:pPr>
        <w:spacing w:after="0" w:line="18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Therefore, our ability, and the ability of any future collaborators, to commercialize any of our product candidates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United States and abroad. Government authorities and other third-party payors have attempted to control costs by limiting coverage and the amount of reimbursement for particular medications, which could affect our ability or that of any future collaborators to sell our product candidates profitably. These payors may not view our products, if any, as cost-effective, and coverage and reimbursement may not be available to our customers, or those of any future collaborators, or may not be sufficient to allow our products, if any, to be marketed on a competitive basis. Cost-control initiatives could cause us, or any future collaborators, to decrease the price we, or they,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170" w:lineRule="exact"/>
        <w:rPr>
          <w:sz w:val="20"/>
          <w:szCs w:val="20"/>
          <w:color w:val="auto"/>
        </w:rPr>
      </w:pPr>
    </w:p>
    <w:p>
      <w:pPr>
        <w:ind w:right="100" w:firstLine="457"/>
        <w:spacing w:after="0" w:line="291" w:lineRule="auto"/>
        <w:rPr>
          <w:sz w:val="20"/>
          <w:szCs w:val="20"/>
          <w:color w:val="auto"/>
        </w:rPr>
      </w:pPr>
      <w:r>
        <w:rPr>
          <w:rFonts w:ascii="Arial" w:cs="Arial" w:eastAsia="Arial" w:hAnsi="Arial"/>
          <w:sz w:val="16"/>
          <w:szCs w:val="16"/>
          <w:color w:val="auto"/>
        </w:rPr>
        <w:t>The commercial potential of our products depends in part on reimbursement by government health administration authorities, private health insurers and other organizations. If we are unable to obtain coverage or reimbursement for our products, as monotherapy or in combination with other therapies, including possible combinations with eculizumab, at the levels anticipated, our financial condition could be harmed. Additionally, if new compounds currently in development by potential competitors, including biosimilars of eculizumab, obtain marketing approval, there may be downward pressure on reimbursement levels for therapies in our target disease areas, which could have a negative impact on our ability to achieve and maintain profitability.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firstLine="457"/>
        <w:spacing w:after="0" w:line="270" w:lineRule="auto"/>
        <w:rPr>
          <w:sz w:val="20"/>
          <w:szCs w:val="20"/>
          <w:color w:val="auto"/>
        </w:rPr>
      </w:pPr>
      <w:r>
        <w:rPr>
          <w:rFonts w:ascii="Arial" w:cs="Arial" w:eastAsia="Arial" w:hAnsi="Arial"/>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181"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In addition, increasingly, third-party payors are requiring higher levels of evidence of the benefits and clinical outcomes of new technologies and are challenging the prices charged. We cannot be sure that coverage will be available for any product candidate that we, or any future collaborator,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304"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7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face an inherent risk of product liability claims as a result of the clinical testing of our product candidates despite obtaining appropriate informed consents from our clinical trial participants. We will face an even greater risk if we or any future collaborators commercially sell any product that we may or they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91" w:lineRule="exact"/>
        <w:rPr>
          <w:sz w:val="20"/>
          <w:szCs w:val="20"/>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costs to defend resulting litigation;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Although we maintain product liability insurance coverage in the amount of up to $10.0 million in the aggregate and clinical trial liability insurance of up to $10.0 million in the aggregate, in addition to umbrella insurance coverage of up to $4.0 million in the aggregate,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marketing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conduct our clinical trials. If they do not perform satisfactorily, our business could be harmed.</w:t>
      </w:r>
    </w:p>
    <w:p>
      <w:pPr>
        <w:spacing w:after="0" w:line="113"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We do not independently conduct clinical trials of our product candidates. We rely, and expect to continue to rely, on third parties, such as contract research organizations, clinical data management organizations, medical institutions and clinical investigators, to conduct our clinical trials of APL-2 and any other product candidate that we develop. 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79"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Further, although our reliance on these third parties for clinical development activities limits our control over these activities, we remain responsible for ensuring that each of our trials is conducted in accordance with the applicable protocol, legal, regulatory and scientific standards. For example, notwithstanding the obligations of a contract research organization for a trial of one of our product candidates, we remain responsible for ensuring that each of our clinical trials is conducted in accordance with the general investigational plan and protocols for the trial. Moreover, the FDA requires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trial participants are protected. The FDA enforces these cGCPs through periodic inspections of trial sponsors, principal investigators, clinical trial sites and institutional review boards. If we or our third-party contractors fail to comply with applicable cGCPs, the clinical data generated in our clinical trials may be deemed unreliable and the FDA may require us to perform additional clinical trials before approving our product candidates, which would delay the marketing approval process. We cannot be certain that, upon inspection, the FDA will determine that any of our clinical trials comply with cGCPs. Similar regulatory requirements apply outside the United States, including the International Council for Harmonisation of Technical Requirements for the Registration of Pharmaceuticals for Human Use, or ICH. We are also required to register clinical trials and post the results of completed clinical trials on a government-sponsored database, ClinicalTrials.gov, within certain timeframes. Failure to do so can result in fines, adverse publicity and civil and criminal sanctions.</w:t>
      </w:r>
    </w:p>
    <w:p>
      <w:pPr>
        <w:spacing w:after="0" w:line="17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b w:val="1"/>
          <w:bCs w:val="1"/>
          <w:i w:val="1"/>
          <w:iCs w:val="1"/>
          <w:color w:val="auto"/>
        </w:rPr>
        <w:t>We contract with third parties for the manufacture, storage and distribution of our product candidates for clinical trials and expect to continue to do so in connection with our future development and commercialization efforts.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84"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We currently have no manufacturing facilities, and a relatively small number of personnel with manufacturing experience who can oversee the manufacturing process. We rely on contract manufacturers to manufacture, store and distribute both drug substance and drug product required for our clinical trials. We plan to continue to rely upon contract manufacturers, and, potentially collaboration partners, to manufacture commercial quantities of our products, if approved. We may be unable to establish any agreements with contract manufacturers or to do so on acceptable terms. Even if we are able to establish agreements with contract manufacturers, reliance on contract manufacturers entails additional risks, including:</w:t>
      </w:r>
    </w:p>
    <w:p>
      <w:pPr>
        <w:spacing w:after="0" w:line="87" w:lineRule="exact"/>
        <w:rPr>
          <w:sz w:val="20"/>
          <w:szCs w:val="20"/>
          <w:color w:val="auto"/>
        </w:rPr>
      </w:pPr>
    </w:p>
    <w:p>
      <w:pPr>
        <w:ind w:left="680" w:hanging="220"/>
        <w:spacing w:after="0" w:line="331" w:lineRule="auto"/>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delays if our third-party contractors give greater priority to the supply of other products over our product candidates or otherwise do not satisfactorily perform according to the terms of the agreements between us and them, or if unforeseen events in the manufacturing process arise;</w:t>
      </w:r>
    </w:p>
    <w:p>
      <w:pPr>
        <w:spacing w:after="0" w:line="39" w:lineRule="exact"/>
        <w:rPr>
          <w:rFonts w:ascii="Arial" w:cs="Arial" w:eastAsia="Arial" w:hAnsi="Arial"/>
          <w:sz w:val="16"/>
          <w:szCs w:val="16"/>
          <w:color w:val="auto"/>
        </w:rPr>
      </w:pPr>
    </w:p>
    <w:p>
      <w:pPr>
        <w:ind w:left="680" w:hanging="22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termination or nonrenewal of agreements by our third-party contractors at a time that is costly or inconvenient for us;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breach by the third-party contractors of our agreements with them;</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26" w:lineRule="exact"/>
        <w:rPr>
          <w:rFonts w:ascii="Arial" w:cs="Arial" w:eastAsia="Arial" w:hAnsi="Arial"/>
          <w:sz w:val="18"/>
          <w:szCs w:val="18"/>
          <w:color w:val="auto"/>
        </w:rPr>
      </w:pPr>
    </w:p>
    <w:p>
      <w:pPr>
        <w:ind w:left="680" w:right="540" w:hanging="220"/>
        <w:spacing w:after="0" w:line="26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86" w:lineRule="exact"/>
        <w:rPr>
          <w:rFonts w:ascii="Arial" w:cs="Arial" w:eastAsia="Arial" w:hAnsi="Arial"/>
          <w:sz w:val="18"/>
          <w:szCs w:val="18"/>
          <w:color w:val="auto"/>
        </w:rPr>
      </w:pPr>
    </w:p>
    <w:p>
      <w:pPr>
        <w:ind w:left="680" w:right="460" w:hanging="220"/>
        <w:spacing w:after="0" w:line="26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0"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We currently rely, and expect to continue to rely, on a small number of third-party contract manufacturers to supply most of our supply of active pharmaceutical ingredients and required finished product for our preclinical studies and clinical trials. We do not have long-term supply agreements with any of these third parties. If any of our existing manufacturers should become unavailable to us for any reason, we may incur delays in identifying or qualifying replacements. We also rely on other third parties to store and distribute drug supplies for our clinical trials. Any performance failure on the part of our contract manufacturers or distributors could delay clinical development or marketing approval of our product candidates or commercialization of any resulting products, producing additional losses and depriving us of potential product revenue. For example, we have recently experienced issues associated with the manufacturing process for APL-2 that have resulted in delays in the supply of APL-2. These delays have resulted in us incurring additional costs and delays in our PNH development program. Although we expect that the cause of these delays will be resolved, if they are not resolved on a timely basis or at all, or if we experience any other issues or delays, our development of APL-2 may be materially delayed and our business adversely affected.</w:t>
      </w:r>
    </w:p>
    <w:p>
      <w:pPr>
        <w:spacing w:after="0" w:line="174"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Any manufacturing problem, the loss of a contract manufacturer or any loss of storage could be disruptive to our operations, delay our clinical trials and, if our products are approved for sale, result in lost sales. Additionally, we rely on third parties to supply the raw materials needed to manufacture our product candidates. For example, one company currently produces most of the PEG that is used in pharmaceutical and drug development globally. PEG is a component of APL-2. If this supplier of PEG experiences manufacturing and supply problems with respect to PEG, then the manufacturers with whom we contract may have difficulty in procuring PEG for the supply and manufacture of APL-2. Any reliance on suppliers may involve several risks, including a potential inability to obtain critical materials and reduced control over production costs, delivery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schedules, reliability and quality. Any unanticipated disruption to our contract manufacturing caused by problems at suppliers could delay shipment of our product candidates, increase our cost of goods sold and result in lost sales with respect to any approved products.</w:t>
      </w:r>
    </w:p>
    <w:p>
      <w:pPr>
        <w:spacing w:after="0" w:line="180"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If any of our product candidates are approved by any regulatory agency, we will need to enter into agreements with third-party contract manufacturers for the commercial production and distribution of those products. It may be difficult for us to reach agreement with a contract manufacturer on satisfactory terms or in a timely manner. In addition, we may face competition for access to manufacturing facilities as there are a limited number of contract manufacturers operating under cGMPs that can manufacture our product candidates. Consequently, we may not be able to reach agreement with third-party manufacturers on satisfactory terms, which could delay our commercialization efforts.</w:t>
      </w:r>
    </w:p>
    <w:p>
      <w:pPr>
        <w:spacing w:after="0" w:line="193"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Third-party manufacturers are required to comply with cGMPs and similar regulatory requirements outside the United States, such as the ICH. Facilities used by our third-party manufacturers must be approved by the FDA after we submit an NDA and before potential approval of the product candidate. Similar regulations apply to manufacturers of our product candidates for use or sale in foreign countries. We do not control the manufacturing process and are completely dependent on our third-party manufacturers for compliance with the applicable regulatory requirements for the manufacture of our product candidates. If our manufacturers cannot successfully manufacture material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w:t>
      </w:r>
    </w:p>
    <w:p>
      <w:pPr>
        <w:spacing w:after="0" w:line="195" w:lineRule="exact"/>
        <w:rPr>
          <w:sz w:val="20"/>
          <w:szCs w:val="20"/>
          <w:color w:val="auto"/>
        </w:rPr>
      </w:pPr>
    </w:p>
    <w:p>
      <w:pPr>
        <w:ind w:firstLine="457"/>
        <w:spacing w:after="0" w:line="251" w:lineRule="auto"/>
        <w:rPr>
          <w:sz w:val="20"/>
          <w:szCs w:val="20"/>
          <w:color w:val="auto"/>
        </w:rPr>
      </w:pPr>
      <w:r>
        <w:rPr>
          <w:rFonts w:ascii="Arial" w:cs="Arial" w:eastAsia="Arial" w:hAnsi="Arial"/>
          <w:sz w:val="18"/>
          <w:szCs w:val="18"/>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of our product candidates.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interruptions in supply and criminal prosecutions, any of which could significantly impact the available supplies of our product candidates and harm our business, financial condition and results of operations.</w:t>
      </w:r>
    </w:p>
    <w:p>
      <w:pPr>
        <w:spacing w:after="0" w:line="195" w:lineRule="exact"/>
        <w:rPr>
          <w:sz w:val="20"/>
          <w:szCs w:val="20"/>
          <w:color w:val="auto"/>
        </w:rPr>
      </w:pPr>
    </w:p>
    <w:p>
      <w:pPr>
        <w:ind w:right="240" w:firstLine="457"/>
        <w:spacing w:after="0" w:line="252" w:lineRule="auto"/>
        <w:rPr>
          <w:sz w:val="20"/>
          <w:szCs w:val="20"/>
          <w:color w:val="auto"/>
        </w:rPr>
      </w:pPr>
      <w:r>
        <w:rPr>
          <w:rFonts w:ascii="Arial" w:cs="Arial" w:eastAsia="Arial" w:hAnsi="Arial"/>
          <w:sz w:val="18"/>
          <w:szCs w:val="18"/>
          <w:color w:val="auto"/>
        </w:rPr>
        <w:t>We are developing a custom, on-body drug delivery system that would enable patients to self-administer APL-2 through subcutaneous infusion. While this device is in development, we will use one or more commercially available ambulatory infusion pumps in our ongoing and planned clinical trials. The development of a custom drug delivery system may be delayed or we may not be successful in developing a custom drug delivery system and may need to continue to rely on commercially available ambulatory infusion pumps. Any reliance on third-party infusion pumps may involve several risks, including reduced control over costs, delivery schedules, reliability and quality.</w:t>
      </w:r>
    </w:p>
    <w:p>
      <w:pPr>
        <w:spacing w:after="0" w:line="193"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harm our future profit margins and our ability to commercialize any products that receive marketing approval on a timely and competitive basis.</w:t>
      </w:r>
    </w:p>
    <w:p>
      <w:pPr>
        <w:spacing w:after="0" w:line="28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73" w:lineRule="exact"/>
        <w:rPr>
          <w:sz w:val="20"/>
          <w:szCs w:val="20"/>
          <w:color w:val="auto"/>
        </w:rPr>
      </w:pPr>
    </w:p>
    <w:p>
      <w:pPr>
        <w:ind w:right="220" w:firstLine="457"/>
        <w:spacing w:after="0" w:line="295" w:lineRule="auto"/>
        <w:rPr>
          <w:sz w:val="20"/>
          <w:szCs w:val="20"/>
          <w:color w:val="auto"/>
        </w:rPr>
      </w:pPr>
      <w:r>
        <w:rPr>
          <w:rFonts w:ascii="Arial" w:cs="Arial" w:eastAsia="Arial" w:hAnsi="Arial"/>
          <w:sz w:val="16"/>
          <w:szCs w:val="16"/>
          <w:color w:val="auto"/>
        </w:rPr>
        <w:t>We may seek to establish one or more collaborators for the development and commercialization of one or more of our product candidates. Likely collaborators may include large and mid-size pharmaceutical companies, regional and national pharmaceutical companies and biotechnology companies. In addition, if we are able to obtain marketing approval for product candidates from foreign regulatory authorities, we intend to enter into strategic relationships with international biotechnology or pharmaceutical companies for the commercialization of such product candidates outside of the United States.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5" w:lineRule="exact"/>
        <w:rPr>
          <w:sz w:val="20"/>
          <w:szCs w:val="20"/>
          <w:color w:val="auto"/>
        </w:rPr>
      </w:pPr>
    </w:p>
    <w:p>
      <w:pPr>
        <w:ind w:right="1020"/>
        <w:spacing w:after="0" w:line="397" w:lineRule="auto"/>
        <w:rPr>
          <w:sz w:val="20"/>
          <w:szCs w:val="20"/>
          <w:color w:val="auto"/>
        </w:rPr>
      </w:pPr>
      <w:r>
        <w:rPr>
          <w:rFonts w:ascii="Arial" w:cs="Arial" w:eastAsia="Arial" w:hAnsi="Arial"/>
          <w:sz w:val="14"/>
          <w:szCs w:val="14"/>
          <w:b w:val="1"/>
          <w:bCs w:val="1"/>
          <w:i w:val="1"/>
          <w:iCs w:val="1"/>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w:t>
      </w:r>
    </w:p>
    <w:p>
      <w:pPr>
        <w:spacing w:after="0" w:line="1"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87"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and commercialization of our product candidates, our prospects with respect to those product candidates will depend in significant part on the success of those collaborations.</w:t>
      </w:r>
    </w:p>
    <w:p>
      <w:pPr>
        <w:spacing w:after="0" w:line="73" w:lineRule="exact"/>
        <w:rPr>
          <w:sz w:val="20"/>
          <w:szCs w:val="20"/>
          <w:color w:val="auto"/>
        </w:rPr>
      </w:pPr>
    </w:p>
    <w:p>
      <w:pPr>
        <w:ind w:right="180" w:firstLine="457"/>
        <w:spacing w:after="0" w:line="251" w:lineRule="auto"/>
        <w:rPr>
          <w:sz w:val="20"/>
          <w:szCs w:val="20"/>
          <w:color w:val="auto"/>
        </w:rPr>
      </w:pPr>
      <w:r>
        <w:rPr>
          <w:rFonts w:ascii="Arial" w:cs="Arial" w:eastAsia="Arial" w:hAnsi="Arial"/>
          <w:sz w:val="18"/>
          <w:szCs w:val="18"/>
          <w:color w:val="auto"/>
        </w:rPr>
        <w:t>We may seek to enter into collaborations for the development and commercialization of certain of our product candidates. We have not entered into any collaborations to date. If we enter into such collaborations, we will have limited control over the amount and timing of resources that our collaborators will dedicate to the development or commercialization of our product candidates. Our ability to generate revenues from these arrangements will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product candidates pose a number of risks, including the following:</w:t>
      </w:r>
    </w:p>
    <w:p>
      <w:pPr>
        <w:spacing w:after="0" w:line="126" w:lineRule="exact"/>
        <w:rPr>
          <w:sz w:val="20"/>
          <w:szCs w:val="20"/>
          <w:color w:val="auto"/>
        </w:rPr>
      </w:pPr>
    </w:p>
    <w:p>
      <w:pPr>
        <w:ind w:left="680" w:hanging="220"/>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26" w:lineRule="exact"/>
        <w:rPr>
          <w:rFonts w:ascii="Arial" w:cs="Arial" w:eastAsia="Arial" w:hAnsi="Arial"/>
          <w:sz w:val="18"/>
          <w:szCs w:val="18"/>
          <w:color w:val="auto"/>
        </w:rPr>
      </w:pPr>
    </w:p>
    <w:p>
      <w:pPr>
        <w:ind w:left="680" w:right="140" w:hanging="220"/>
        <w:spacing w:after="0" w:line="25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95" w:lineRule="exact"/>
        <w:rPr>
          <w:rFonts w:ascii="Arial" w:cs="Arial" w:eastAsia="Arial" w:hAnsi="Arial"/>
          <w:sz w:val="18"/>
          <w:szCs w:val="18"/>
          <w:color w:val="auto"/>
        </w:rPr>
      </w:pPr>
    </w:p>
    <w:p>
      <w:pPr>
        <w:ind w:left="680" w:right="340" w:hanging="220"/>
        <w:spacing w:after="0" w:line="267"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w:t>
      </w:r>
    </w:p>
    <w:p>
      <w:pPr>
        <w:spacing w:after="0" w:line="149" w:lineRule="exact"/>
        <w:rPr>
          <w:rFonts w:ascii="Arial" w:cs="Arial" w:eastAsia="Arial" w:hAnsi="Arial"/>
          <w:sz w:val="16"/>
          <w:szCs w:val="16"/>
          <w:color w:val="auto"/>
        </w:rPr>
      </w:pPr>
    </w:p>
    <w:p>
      <w:pPr>
        <w:ind w:left="680" w:right="40" w:hanging="220"/>
        <w:spacing w:after="0" w:line="26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86" w:lineRule="exact"/>
        <w:rPr>
          <w:rFonts w:ascii="Arial" w:cs="Arial" w:eastAsia="Arial" w:hAnsi="Arial"/>
          <w:sz w:val="18"/>
          <w:szCs w:val="18"/>
          <w:color w:val="auto"/>
        </w:rPr>
      </w:pPr>
    </w:p>
    <w:p>
      <w:pPr>
        <w:ind w:left="680" w:right="160" w:hanging="220"/>
        <w:spacing w:after="0" w:line="304"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0" w:lineRule="exact"/>
        <w:rPr>
          <w:rFonts w:ascii="Arial" w:cs="Arial" w:eastAsia="Arial" w:hAnsi="Arial"/>
          <w:sz w:val="16"/>
          <w:szCs w:val="16"/>
          <w:color w:val="auto"/>
        </w:rPr>
      </w:pPr>
    </w:p>
    <w:p>
      <w:pPr>
        <w:ind w:left="680" w:right="240" w:hanging="220"/>
        <w:spacing w:after="0" w:line="297"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2" w:lineRule="exact"/>
        <w:rPr>
          <w:rFonts w:ascii="Arial" w:cs="Arial" w:eastAsia="Arial" w:hAnsi="Arial"/>
          <w:sz w:val="17"/>
          <w:szCs w:val="17"/>
          <w:color w:val="auto"/>
        </w:rPr>
      </w:pPr>
    </w:p>
    <w:p>
      <w:pPr>
        <w:ind w:left="680" w:hanging="22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26" w:lineRule="exact"/>
        <w:rPr>
          <w:rFonts w:ascii="Arial" w:cs="Arial" w:eastAsia="Arial" w:hAnsi="Arial"/>
          <w:sz w:val="18"/>
          <w:szCs w:val="18"/>
          <w:color w:val="auto"/>
        </w:rPr>
      </w:pPr>
    </w:p>
    <w:p>
      <w:pPr>
        <w:ind w:left="680" w:right="200" w:hanging="220"/>
        <w:spacing w:after="0" w:line="26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regarding ownership of or other rights in the intellectual property generated in the course of the collaborations; and</w:t>
      </w:r>
    </w:p>
    <w:p>
      <w:pPr>
        <w:spacing w:after="0" w:line="86" w:lineRule="exact"/>
        <w:rPr>
          <w:rFonts w:ascii="Arial" w:cs="Arial" w:eastAsia="Arial" w:hAnsi="Arial"/>
          <w:sz w:val="18"/>
          <w:szCs w:val="18"/>
          <w:color w:val="auto"/>
        </w:rPr>
      </w:pPr>
    </w:p>
    <w:p>
      <w:pPr>
        <w:ind w:left="680" w:right="40" w:hanging="220"/>
        <w:spacing w:after="0" w:line="26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0" w:lineRule="exact"/>
        <w:rPr>
          <w:sz w:val="20"/>
          <w:szCs w:val="20"/>
          <w:color w:val="auto"/>
        </w:rPr>
      </w:pPr>
    </w:p>
    <w:p>
      <w:pPr>
        <w:ind w:right="40" w:firstLine="457"/>
        <w:spacing w:after="0" w:line="257"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7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are a party to patent license agreements with Penn under which we license patent rights relating to a family of compounds for use in all fields. The licensed patent rights include issued U.S. and foreign patents with claims that recite a class of compounds generically covering our lead product candidate, APL-2, and that specifically recite APL-1. We may enter into additional license agreements in the future. Our license agreements with Penn impose, and we expect that future license agreements will impose, various diligence, milestone payment, royalty, insurance and other obligations on us. If we fail to comply with our obligations under these licenses, our licensors may have the right to terminate these license agreements, in which event we might not be able to market any product that is covered by these agreements, or our licensors may convert the license to a non-exclusive license, which could negatively impact the value of the product candidate being developed under the license agreement. Termination of these license agreements or reduction or elimination of our licensed rights may also result in our having to negotiate new or reinstated licenses with less favorable terms.</w:t>
      </w:r>
    </w:p>
    <w:p>
      <w:pPr>
        <w:spacing w:after="0" w:line="279" w:lineRule="exact"/>
        <w:rPr>
          <w:sz w:val="20"/>
          <w:szCs w:val="20"/>
          <w:color w:val="auto"/>
        </w:rPr>
      </w:pPr>
    </w:p>
    <w:p>
      <w:pPr>
        <w:jc w:val="both"/>
        <w:ind w:right="280"/>
        <w:spacing w:after="0" w:line="257"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our competitors could develop and commercialize products similar or identical to ours, and our ability to successfully commercialize our product candidates may be adversely affected.</w:t>
      </w:r>
    </w:p>
    <w:p>
      <w:pPr>
        <w:spacing w:after="0" w:line="82" w:lineRule="exact"/>
        <w:rPr>
          <w:sz w:val="20"/>
          <w:szCs w:val="20"/>
          <w:color w:val="auto"/>
        </w:rPr>
      </w:pPr>
    </w:p>
    <w:p>
      <w:pPr>
        <w:jc w:val="both"/>
        <w:ind w:right="340" w:firstLine="457"/>
        <w:spacing w:after="0" w:line="257"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product candidates. If we do not adequately protect our intellectual property rights, competitors may be able to erode or negate any competitive advantage we may have,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which could harm our business and ability to achieve profitability. To protect our proprietary position, we file patent applications in the United States and abroad related to our novel product candidates that are important to our business; we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9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have not had and do not have primary control over patent prosecution and maintenance for certain of the patents and patent applications we license, and therefore cannot guarantee that these patents and applications will be prosecuted in a manner consistent with the best interests of our business. We cannot be certain that patent prosecution and maintenance activities by our licensors have been or will be conducted in compliance with applicable laws and regulations or will result in valid and enforceable patents.</w:t>
      </w:r>
    </w:p>
    <w:p>
      <w:pPr>
        <w:spacing w:after="0" w:line="179"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 Moreover, in some circumstances, we might not have the right to control the preparation, filing and prosecution of patent applications, or to maintain the patents, covering any technology that we may license from third parties in the future. These patents and applications may not be prosecuted and enforced in a manner consistent with the best interests of our business. Our license agreements with Penn provide that Penn has the right under certain circumstances to control the preparation, prosecution and maintenance of the underlying patent rights.</w:t>
      </w:r>
    </w:p>
    <w:p>
      <w:pPr>
        <w:spacing w:after="0" w:line="179" w:lineRule="exact"/>
        <w:rPr>
          <w:sz w:val="20"/>
          <w:szCs w:val="20"/>
          <w:color w:val="auto"/>
        </w:rPr>
      </w:pPr>
    </w:p>
    <w:p>
      <w:pPr>
        <w:ind w:right="180" w:firstLine="457"/>
        <w:spacing w:after="0" w:line="287" w:lineRule="auto"/>
        <w:rPr>
          <w:sz w:val="20"/>
          <w:szCs w:val="20"/>
          <w:color w:val="auto"/>
        </w:rPr>
      </w:pPr>
      <w:r>
        <w:rPr>
          <w:rFonts w:ascii="Arial" w:cs="Arial" w:eastAsia="Arial" w:hAnsi="Arial"/>
          <w:sz w:val="16"/>
          <w:szCs w:val="16"/>
          <w:color w:val="auto"/>
        </w:rPr>
        <w:t>It is possible that defects of form in the preparation or filing of our patents or patent applications may exist, or may arise in the future, for example with respect to proper priority claims, inventorship, claim scope, 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7" w:lineRule="exact"/>
        <w:rPr>
          <w:sz w:val="20"/>
          <w:szCs w:val="20"/>
          <w:color w:val="auto"/>
        </w:rPr>
      </w:pPr>
    </w:p>
    <w:p>
      <w:pPr>
        <w:ind w:right="40" w:firstLine="457"/>
        <w:spacing w:after="0" w:line="295"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62"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patent applications on inventions claimed in our patents or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w:t>
      </w:r>
    </w:p>
    <w:p>
      <w:pPr>
        <w:spacing w:after="0" w:line="191"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174"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Pending and future patent applications may not result in patents being issued which protect our business, in whole or in part, or which effectively prevent others from commercializing competitive products. Our issued patents or any patents that may issue in the future may be invalidated or interpreted narrowly, such that they fail to provide us with any significant competitive advantage.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6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72"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Pursuant to the terms of some of our license agreements with third parties, some of our third-party licensors have the right, but not the obligation in certain circumstances to control enforcement of our licensed patents or defense of any claims asserting the invalidity of these patents. Even if we are permitted to pursue such</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297"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negatively impacted and our business would be harmed.</w:t>
      </w:r>
    </w:p>
    <w:p>
      <w:pPr>
        <w:spacing w:after="0" w:line="73"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276" w:lineRule="exact"/>
        <w:rPr>
          <w:sz w:val="20"/>
          <w:szCs w:val="20"/>
          <w:color w:val="auto"/>
        </w:rPr>
      </w:pPr>
    </w:p>
    <w:p>
      <w:pPr>
        <w:ind w:right="680"/>
        <w:spacing w:after="0" w:line="26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73" w:lineRule="exact"/>
        <w:rPr>
          <w:sz w:val="20"/>
          <w:szCs w:val="20"/>
          <w:color w:val="auto"/>
        </w:rPr>
      </w:pPr>
    </w:p>
    <w:p>
      <w:pPr>
        <w:ind w:right="60" w:firstLine="457"/>
        <w:spacing w:after="0" w:line="283"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4" w:lineRule="exact"/>
        <w:rPr>
          <w:sz w:val="20"/>
          <w:szCs w:val="20"/>
          <w:color w:val="auto"/>
        </w:rPr>
      </w:pPr>
    </w:p>
    <w:p>
      <w:pPr>
        <w:ind w:right="180" w:firstLine="457"/>
        <w:spacing w:after="0" w:line="291"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our product candidates.</w:t>
      </w:r>
    </w:p>
    <w:p>
      <w:pPr>
        <w:spacing w:after="0" w:line="73"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our product candidates or relating to the use of complement inhibition that may cover our product candidates or approach to complement inhibition. For example, we are aware of a U.S. patent with claims that could be construed to cover APL-2. Although we believe that these claims, if construed to cover APL-2, would be invalid due to various prior art disclosures available more than a year before the priority date of the U.S. patent, there are no assurances that a court would agree. If any third-party patents or patent applications are found to cover our product candidates or their methods of use or our approach to complement inhibition, we may not be free to manufacture or market our product candidates as planned without obtaining a license, which may not be available on commercially reasonable terms, or at all.</w:t>
      </w:r>
    </w:p>
    <w:p>
      <w:pPr>
        <w:spacing w:after="0" w:line="17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products candidates, including interference proceedings before the USPTO.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accused of infringing. In addition, third parties may obtain patents in the future and claim that use of our technologies infringes upon these patents. Accordingly,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171"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w:t>
      </w:r>
    </w:p>
    <w:p>
      <w:pPr>
        <w:spacing w:after="0" w:line="29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b w:val="1"/>
          <w:bCs w:val="1"/>
          <w:i w:val="1"/>
          <w:iCs w:val="1"/>
          <w:color w:val="auto"/>
        </w:rPr>
        <w:t>Some of our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48"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Some of our in-licensed intellectual property with respect to our product candidates has been funded in part by the U.S. government and, therefore, would be subject to certain federal regulations pursuant to the Bayh-Dole Act of 1980, or the Bayh-Dole Act. As a result, the U.S. government may have certain rights to intellectual property embodied in our current or future product candidates pursuant to the Bayh-Dole Act. For example, under the “march-in” provisions of the Bayh-Dole Act, the U.S. government may have the right under limited circumstances to require the patent owners to grant exclusive, partially exclusive or non-exclusive rights to third parties for intellectual property discovered through the government-funded program. The U.S. government can exercise its march-in rights if it determines that action is necessary because the patent owner fails to achieve practical application of the new invention or because action is necessary to alleviate health concerns or address the safety needs of the public. Intellectual property discovered under the government-funded program is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Intellectual property under such discoveries would be subject to the applicable provisions of the Bayh-Dole Act. Similarly, intellectual property that we license in the future may have been made using government funding and may be subject to the provisions of the Bayh-Dole Act.</w:t>
      </w:r>
    </w:p>
    <w:p>
      <w:pPr>
        <w:spacing w:after="0" w:line="281"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73" w:lineRule="exact"/>
        <w:rPr>
          <w:sz w:val="20"/>
          <w:szCs w:val="20"/>
          <w:color w:val="auto"/>
        </w:rPr>
      </w:pPr>
    </w:p>
    <w:p>
      <w:pPr>
        <w:ind w:right="180" w:firstLine="457"/>
        <w:spacing w:after="0" w:line="287"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United States patent law in part by changing the U.S. patent system from a “first to invent” system to a “first inventor to file” system, expanding the definition of prior art, and developing a post-grant review system. This legislation changes United States patent law in a way that may weaken our ability to obtain patent protection in the United States for those applications filed after March 16, 2013.</w:t>
      </w:r>
    </w:p>
    <w:p>
      <w:pPr>
        <w:spacing w:after="0" w:line="167"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of competitors. For a patent with an effective filing date of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third party to have a U.S. patent invalidated in a USPTO post-grant review or inter partes review proceeding than invalidated in a litigation in a U.S. federal court. If any of our patents are challenged by a third party in such a USPTO proceeding, there is no guarantee that we or our licensors or collaborators will be successful in defending the patent, which would result in a loss of the challenged patent right to us.</w:t>
      </w:r>
    </w:p>
    <w:p>
      <w:pPr>
        <w:spacing w:after="0" w:line="188"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and our intellectual property rights in some countries outside the United States are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Competitors may use our technologies in jurisdictions where we have not pursued and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6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188" w:lineRule="exact"/>
        <w:rPr>
          <w:sz w:val="20"/>
          <w:szCs w:val="20"/>
          <w:color w:val="auto"/>
        </w:rPr>
      </w:pPr>
    </w:p>
    <w:p>
      <w:pPr>
        <w:jc w:val="both"/>
        <w:ind w:right="380" w:firstLine="457"/>
        <w:spacing w:after="0" w:line="257"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36"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only one patent may be extended and the extension only applies to those claims covering the approved drug, a method for using it, or a method for manufacturing it.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76"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73"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89"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397"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290"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r>
        <w:rPr>
          <w:rFonts w:ascii="Arial" w:cs="Arial" w:eastAsia="Arial" w:hAnsi="Arial"/>
          <w:sz w:val="18"/>
          <w:szCs w:val="18"/>
          <w:color w:val="auto"/>
        </w:rPr>
        <w:t>.</w:t>
      </w:r>
    </w:p>
    <w:p>
      <w:pPr>
        <w:spacing w:after="0" w:line="73"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which could enable our competitors to obtain access to the same technologies licensed to us.</w:t>
      </w:r>
    </w:p>
    <w:p>
      <w:pPr>
        <w:spacing w:after="0" w:line="169" w:lineRule="exact"/>
        <w:rPr>
          <w:sz w:val="20"/>
          <w:szCs w:val="20"/>
          <w:color w:val="auto"/>
        </w:rPr>
      </w:pPr>
    </w:p>
    <w:p>
      <w:pPr>
        <w:ind w:right="20" w:firstLine="457"/>
        <w:spacing w:after="0" w:line="250" w:lineRule="auto"/>
        <w:rPr>
          <w:sz w:val="20"/>
          <w:szCs w:val="20"/>
          <w:color w:val="auto"/>
        </w:rPr>
      </w:pPr>
      <w:r>
        <w:rPr>
          <w:rFonts w:ascii="Arial" w:cs="Arial" w:eastAsia="Arial" w:hAnsi="Arial"/>
          <w:sz w:val="18"/>
          <w:szCs w:val="18"/>
          <w:color w:val="auto"/>
        </w:rPr>
        <w:t>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119" w:lineRule="exact"/>
        <w:rPr>
          <w:sz w:val="20"/>
          <w:szCs w:val="20"/>
          <w:color w:val="auto"/>
        </w:rPr>
      </w:pPr>
    </w:p>
    <w:p>
      <w:pPr>
        <w:ind w:right="200"/>
        <w:spacing w:after="0" w:line="365"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regulatory approval process is expensive, time 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12" w:lineRule="exact"/>
        <w:rPr>
          <w:sz w:val="20"/>
          <w:szCs w:val="20"/>
          <w:color w:val="auto"/>
        </w:rPr>
      </w:pPr>
    </w:p>
    <w:p>
      <w:pPr>
        <w:ind w:right="40" w:firstLine="457"/>
        <w:spacing w:after="0" w:line="279" w:lineRule="auto"/>
        <w:rPr>
          <w:sz w:val="20"/>
          <w:szCs w:val="20"/>
          <w:color w:val="auto"/>
        </w:rPr>
      </w:pPr>
      <w:r>
        <w:rPr>
          <w:rFonts w:ascii="Arial" w:cs="Arial" w:eastAsia="Arial" w:hAnsi="Arial"/>
          <w:sz w:val="17"/>
          <w:szCs w:val="17"/>
          <w:color w:val="auto"/>
        </w:rPr>
        <w:t>The research, testing, manufacturing, labeling, approval, selling, marketing, promotion and distribution of products are subject to extensive regulation by the FDA and comparable foreign regulatory authorities. We, and any future collaborators, are not permitted to market our product candidates in the United States or in other countries until we, or they, receive approval of an NDA from the FDA or marketing approval from applicable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regulatory authorities outside the United States. Our product candidates are in various stages of development and are subject to the risks of failure inherent in drug development. We have not submitted an application for or received marketing approval for any of our product candidates in the United States or in any other jurisdiction. We have limited experience in conducting and managing the clinical trials necessary to obtain marketing approvals, including FDA approval of an NDA.</w:t>
      </w:r>
    </w:p>
    <w:p>
      <w:pPr>
        <w:spacing w:after="0" w:line="19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process of obtaining marketing approvals, both in the United States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future collaborators, ultimately obtain may be limited or subject to restrictions or post-approval commitments that render the approved product not commercially viable. In addition, to the extent that we seek to develop a combination drug-device product for delivery of a product candidate or we rely on a previously cleared device to deliver a product candidate, we will also be dependent on FDA clearance or approval of such products.</w:t>
      </w:r>
    </w:p>
    <w:p>
      <w:pPr>
        <w:spacing w:after="0" w:line="181" w:lineRule="exact"/>
        <w:rPr>
          <w:sz w:val="20"/>
          <w:szCs w:val="20"/>
          <w:color w:val="auto"/>
        </w:rPr>
      </w:pPr>
    </w:p>
    <w:p>
      <w:pPr>
        <w:ind w:right="200" w:firstLine="457"/>
        <w:spacing w:after="0" w:line="257" w:lineRule="auto"/>
        <w:rPr>
          <w:sz w:val="20"/>
          <w:szCs w:val="20"/>
          <w:color w:val="auto"/>
        </w:rPr>
      </w:pPr>
      <w:r>
        <w:rPr>
          <w:rFonts w:ascii="Arial" w:cs="Arial" w:eastAsia="Arial" w:hAnsi="Arial"/>
          <w:sz w:val="18"/>
          <w:szCs w:val="18"/>
          <w:color w:val="auto"/>
        </w:rPr>
        <w:t>Any delay in obtaining or failure to obtain required approvals and clearances could negatively impact our ability or that of any future collaborators to generate revenue from the particular product candidate, which likely would result in significant harm to our financial position and adversely impact our stock price.</w:t>
      </w:r>
    </w:p>
    <w:p>
      <w:pPr>
        <w:spacing w:after="0" w:line="295" w:lineRule="exact"/>
        <w:rPr>
          <w:sz w:val="20"/>
          <w:szCs w:val="20"/>
          <w:color w:val="auto"/>
        </w:rPr>
      </w:pPr>
    </w:p>
    <w:p>
      <w:pPr>
        <w:ind w:right="400"/>
        <w:spacing w:after="0" w:line="331" w:lineRule="auto"/>
        <w:rPr>
          <w:sz w:val="20"/>
          <w:szCs w:val="20"/>
          <w:color w:val="auto"/>
        </w:rPr>
      </w:pPr>
      <w:r>
        <w:rPr>
          <w:rFonts w:ascii="Arial" w:cs="Arial" w:eastAsia="Arial" w:hAnsi="Arial"/>
          <w:sz w:val="16"/>
          <w:szCs w:val="16"/>
          <w:b w:val="1"/>
          <w:bCs w:val="1"/>
          <w:i w:val="1"/>
          <w:iCs w:val="1"/>
          <w:color w:val="auto"/>
        </w:rPr>
        <w:t>Failure to obtain marketing approval in foreign jurisdictions would prevent our product candidates from being marketed abroad. Any approval we are granted for our product candidates in the United States would not assure approval of our product candidates in foreign jurisdictions.</w:t>
      </w:r>
    </w:p>
    <w:p>
      <w:pPr>
        <w:spacing w:after="0" w:line="26" w:lineRule="exact"/>
        <w:rPr>
          <w:sz w:val="20"/>
          <w:szCs w:val="20"/>
          <w:color w:val="auto"/>
        </w:rPr>
      </w:pPr>
    </w:p>
    <w:p>
      <w:pPr>
        <w:ind w:right="100" w:firstLine="457"/>
        <w:spacing w:after="0" w:line="266" w:lineRule="auto"/>
        <w:rPr>
          <w:sz w:val="20"/>
          <w:szCs w:val="20"/>
          <w:color w:val="auto"/>
        </w:rPr>
      </w:pPr>
      <w:r>
        <w:rPr>
          <w:rFonts w:ascii="Arial" w:cs="Arial" w:eastAsia="Arial" w:hAnsi="Arial"/>
          <w:sz w:val="17"/>
          <w:szCs w:val="17"/>
          <w:color w:val="auto"/>
        </w:rPr>
        <w:t>In order to market and sell our products in the European Union and other foreign jurisdictions, we, and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In addition, in many countries outside the United States, a product must be approved for reimbursement before the product can be approved for sale in that country. We, and any future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b w:val="1"/>
          <w:bCs w:val="1"/>
          <w:i w:val="1"/>
          <w:iCs w:val="1"/>
          <w:color w:val="auto"/>
        </w:rPr>
        <w:t>We, or any future collaborators, may not be able to obtain orphan drug designation or orphan drug exclusivity for our product candidates and, even if we do, that exclusivity many not prevent the FDA or the EMA from approving other competing products.</w:t>
      </w:r>
    </w:p>
    <w:p>
      <w:pPr>
        <w:spacing w:after="0" w:line="73"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The FDA has granted orphan drug designation to APL-2 for the treatment of PNH. We, or any future collaborators, may seek orphan drug designations for other product candidates and may be unable to obtain such designations.</w:t>
      </w:r>
    </w:p>
    <w:p>
      <w:pPr>
        <w:spacing w:after="0" w:line="193"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Even if we, or any future collaborators, obtain orphan drug designation for a product candidate, such as is the case for APL-2 for the treatment of PNH, we, or they, may not be able to obtain orphan drug exclusivity for that product candidate.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drug for that indication for the applicable exclusivity period. The applicable exclusivity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 Orphan drug exclusivity may be lost if the FDA or the EMA determines that the request for designation was materially defective or if the manufacturer is unable to assure sufficient quantity of the drug to meet the needs of patients with the rare disease or condition.</w:t>
      </w:r>
    </w:p>
    <w:p>
      <w:pPr>
        <w:spacing w:after="0" w:line="181"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Even if we, or any future collaborators,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1"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i w:val="1"/>
          <w:iCs w:val="1"/>
          <w:color w:val="auto"/>
        </w:rPr>
        <w:t>Fast track designation for one or more of our product candidates may not actually lead to a faster development or regulatory review or approval process.</w:t>
      </w:r>
    </w:p>
    <w:p>
      <w:pPr>
        <w:spacing w:after="0" w:line="159"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In December 2016, we received fast track designation for APL-2 for the treatment of PNH. If a product is intended for the treatment of a serious condition and nonclinical or clinical data demonstrate the potential to address unmet medical need for this condition, a product sponsor may apply for FDA fast track designation. Even though we have received fast track designation for APL-2 for the treatment of PNH, fast track designation does not ensure that we will receive marketing approval or that approval will be granted within any particular timeframe. We may not experience a faster development or regulatory review or approval process with fast 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60"/>
        <w:spacing w:after="0" w:line="297" w:lineRule="auto"/>
        <w:rPr>
          <w:sz w:val="20"/>
          <w:szCs w:val="20"/>
          <w:color w:val="auto"/>
        </w:rPr>
      </w:pPr>
      <w:r>
        <w:rPr>
          <w:rFonts w:ascii="Arial" w:cs="Arial" w:eastAsia="Arial" w:hAnsi="Arial"/>
          <w:sz w:val="17"/>
          <w:szCs w:val="17"/>
          <w:b w:val="1"/>
          <w:bCs w:val="1"/>
          <w:i w:val="1"/>
          <w:iCs w:val="1"/>
          <w:color w:val="auto"/>
        </w:rPr>
        <w:t>Even if we, or any future collaborators, obtain marketing approvals for our product candidates, the terms of approvals and ongoing regulation of our products may limit how we manufacture and market our products, which could impair our ability to generate revenue.</w:t>
      </w:r>
    </w:p>
    <w:p>
      <w:pPr>
        <w:spacing w:after="0" w:line="50" w:lineRule="exact"/>
        <w:rPr>
          <w:sz w:val="20"/>
          <w:szCs w:val="20"/>
          <w:color w:val="auto"/>
        </w:rPr>
      </w:pPr>
    </w:p>
    <w:p>
      <w:pPr>
        <w:ind w:right="60" w:firstLine="457"/>
        <w:spacing w:after="0" w:line="252"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193" w:lineRule="exact"/>
        <w:rPr>
          <w:sz w:val="20"/>
          <w:szCs w:val="20"/>
          <w:color w:val="auto"/>
        </w:rPr>
      </w:pPr>
    </w:p>
    <w:p>
      <w:pPr>
        <w:jc w:val="both"/>
        <w:ind w:right="60" w:firstLine="457"/>
        <w:spacing w:after="0" w:line="295" w:lineRule="auto"/>
        <w:rPr>
          <w:sz w:val="20"/>
          <w:szCs w:val="20"/>
          <w:color w:val="auto"/>
        </w:rPr>
      </w:pPr>
      <w:r>
        <w:rPr>
          <w:rFonts w:ascii="Arial" w:cs="Arial" w:eastAsia="Arial" w:hAnsi="Arial"/>
          <w:sz w:val="16"/>
          <w:szCs w:val="16"/>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the FDA to monitor and ensure compliance with cGMPs.</w:t>
      </w:r>
    </w:p>
    <w:p>
      <w:pPr>
        <w:spacing w:after="0" w:line="162" w:lineRule="exact"/>
        <w:rPr>
          <w:sz w:val="20"/>
          <w:szCs w:val="20"/>
          <w:color w:val="auto"/>
        </w:rPr>
      </w:pPr>
    </w:p>
    <w:p>
      <w:pPr>
        <w:jc w:val="both"/>
        <w:ind w:right="600" w:firstLine="457"/>
        <w:spacing w:after="0" w:line="257" w:lineRule="auto"/>
        <w:rPr>
          <w:sz w:val="20"/>
          <w:szCs w:val="20"/>
          <w:color w:val="auto"/>
        </w:rPr>
      </w:pPr>
      <w:r>
        <w:rPr>
          <w:rFonts w:ascii="Arial" w:cs="Arial" w:eastAsia="Arial" w:hAnsi="Arial"/>
          <w:sz w:val="18"/>
          <w:szCs w:val="18"/>
          <w:color w:val="auto"/>
        </w:rPr>
        <w:t>Accordingly, assuming we, or any future collaborators, receive marketing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188" w:lineRule="exact"/>
        <w:rPr>
          <w:sz w:val="20"/>
          <w:szCs w:val="20"/>
          <w:color w:val="auto"/>
        </w:rPr>
      </w:pPr>
    </w:p>
    <w:p>
      <w:pPr>
        <w:jc w:val="both"/>
        <w:ind w:right="140" w:firstLine="457"/>
        <w:spacing w:after="0" w:line="254" w:lineRule="auto"/>
        <w:rPr>
          <w:sz w:val="20"/>
          <w:szCs w:val="20"/>
          <w:color w:val="auto"/>
        </w:rPr>
      </w:pPr>
      <w:r>
        <w:rPr>
          <w:rFonts w:ascii="Arial" w:cs="Arial" w:eastAsia="Arial" w:hAnsi="Arial"/>
          <w:sz w:val="18"/>
          <w:szCs w:val="18"/>
          <w:color w:val="auto"/>
        </w:rPr>
        <w:t>If we, and any future collaborators, are not able to comply with post-approval regulatory requirements, we, and any future collaborators, could have the marketing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97"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b w:val="1"/>
          <w:bCs w:val="1"/>
          <w:i w:val="1"/>
          <w:iCs w:val="1"/>
          <w:color w:val="auto"/>
        </w:rPr>
        <w:t>Any of our product candidates for which we, or any future collaborators, obtain marketing approval in the future could be subject to post-marketing restrictions or withdrawal from the market and we, or any future collaborators, may be subject to substantial penalties if we, or they, fail to comply with regulatory requirements or if we, or they, experience unanticipated problems with our products following approval.</w:t>
      </w:r>
    </w:p>
    <w:p>
      <w:pPr>
        <w:spacing w:after="0" w:line="4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Any of our product candidates for which we, or any future collaborators,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w:t>
      </w:r>
    </w:p>
    <w:p>
      <w:pPr>
        <w:spacing w:after="0" w:line="185"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 candidates for which we,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172" w:lineRule="exact"/>
        <w:rPr>
          <w:sz w:val="20"/>
          <w:szCs w:val="20"/>
          <w:color w:val="auto"/>
        </w:rPr>
      </w:pPr>
    </w:p>
    <w:p>
      <w:pPr>
        <w:ind w:right="760" w:firstLine="457"/>
        <w:spacing w:after="0" w:line="26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or their manufacturers or manufacturing processes, or failure to comply with regulatory requirements, may yield various results, including:</w:t>
      </w:r>
    </w:p>
    <w:p>
      <w:pPr>
        <w:spacing w:after="0" w:line="86" w:lineRule="exact"/>
        <w:rPr>
          <w:sz w:val="20"/>
          <w:szCs w:val="20"/>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32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73"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440" w:firstLine="457"/>
        <w:spacing w:after="0" w:line="25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or collectively the ACA. Among the provisions of the ACA of potential importance to our business and our product candidates are the following:</w:t>
      </w:r>
    </w:p>
    <w:p>
      <w:pPr>
        <w:spacing w:after="0" w:line="95" w:lineRule="exact"/>
        <w:rPr>
          <w:sz w:val="20"/>
          <w:szCs w:val="20"/>
          <w:color w:val="auto"/>
        </w:rPr>
      </w:pPr>
    </w:p>
    <w:p>
      <w:pPr>
        <w:ind w:left="680" w:hanging="22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840" w:hanging="220"/>
        <w:spacing w:after="0" w:line="26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26" w:lineRule="exact"/>
        <w:rPr>
          <w:rFonts w:ascii="Arial" w:cs="Arial" w:eastAsia="Arial" w:hAnsi="Arial"/>
          <w:sz w:val="18"/>
          <w:szCs w:val="18"/>
          <w:color w:val="auto"/>
        </w:rPr>
      </w:pPr>
    </w:p>
    <w:p>
      <w:pPr>
        <w:ind w:left="680" w:right="160" w:hanging="220"/>
        <w:spacing w:after="0" w:line="26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65"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were passed by the U.S. Senate.</w:t>
      </w:r>
    </w:p>
    <w:p>
      <w:pPr>
        <w:spacing w:after="0" w:line="165" w:lineRule="exact"/>
        <w:rPr>
          <w:sz w:val="20"/>
          <w:szCs w:val="20"/>
          <w:color w:val="auto"/>
        </w:rPr>
      </w:pPr>
    </w:p>
    <w:p>
      <w:pPr>
        <w:ind w:right="40" w:firstLine="457"/>
        <w:spacing w:after="0" w:line="279"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w:t>
      </w:r>
    </w:p>
    <w:p>
      <w:pPr>
        <w:spacing w:after="0" w:line="193" w:lineRule="exact"/>
        <w:rPr>
          <w:sz w:val="20"/>
          <w:szCs w:val="20"/>
          <w:color w:val="auto"/>
        </w:rPr>
      </w:pPr>
    </w:p>
    <w:p>
      <w:pPr>
        <w:ind w:right="60" w:firstLine="457"/>
        <w:spacing w:after="0" w:line="252" w:lineRule="auto"/>
        <w:rPr>
          <w:sz w:val="20"/>
          <w:szCs w:val="20"/>
          <w:color w:val="auto"/>
        </w:rPr>
      </w:pPr>
      <w:r>
        <w:rPr>
          <w:rFonts w:ascii="Arial" w:cs="Arial" w:eastAsia="Arial" w:hAnsi="Arial"/>
          <w:sz w:val="18"/>
          <w:szCs w:val="18"/>
          <w:color w:val="auto"/>
        </w:rPr>
        <w:t>A bipartisan bill to appropriate funds for CSR payments was introduced in the Senate, but the future of that bill is uncertain. Further, each chamber of the Congress has put forth multiple bills designed to repeal or repeal and replace portions of the ACA. Although none of these measures have been enacted by Congress to date, Congress may consider other legislation to repeal and replace elements of the ACA. The Congress will likely consider other legislation to replace elements of the ACA, during the next Congressional session. We will continue to evaluate the effect that the ACA and its possible repeal and replacement could have on our business.</w:t>
      </w:r>
    </w:p>
    <w:p>
      <w:pPr>
        <w:spacing w:after="0" w:line="193"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and any future collaborators to more stringent product labeling and post-marketing testing and other requirements.</w:t>
      </w:r>
    </w:p>
    <w:p>
      <w:pPr>
        <w:spacing w:after="0" w:line="28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i w:val="1"/>
          <w:iCs w:val="1"/>
          <w:color w:val="auto"/>
        </w:rPr>
        <w:t>Our relationships with customers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84" w:lineRule="exact"/>
        <w:rPr>
          <w:sz w:val="20"/>
          <w:szCs w:val="20"/>
          <w:color w:val="auto"/>
        </w:rPr>
      </w:pPr>
    </w:p>
    <w:p>
      <w:pPr>
        <w:ind w:right="200" w:firstLine="457"/>
        <w:spacing w:after="0" w:line="252"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and third-party payors and customers, if any,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193"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 The federal Anti-Kickback Statute prohibits, among other things, persons and entities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191"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i w:val="1"/>
          <w:iCs w:val="1"/>
          <w:color w:val="auto"/>
        </w:rPr>
        <w:t xml:space="preserve">False Claims Laws. </w:t>
      </w:r>
      <w:r>
        <w:rPr>
          <w:rFonts w:ascii="Arial" w:cs="Arial" w:eastAsia="Arial" w:hAnsi="Arial"/>
          <w:sz w:val="18"/>
          <w:szCs w:val="18"/>
          <w:color w:val="auto"/>
        </w:rPr>
        <w:t>The federal false claims and civil monetary penalties laws, including the federal civil False Claims Act, impose criminal and civil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193" w:lineRule="exact"/>
        <w:rPr>
          <w:sz w:val="20"/>
          <w:szCs w:val="20"/>
          <w:color w:val="auto"/>
        </w:rPr>
      </w:pPr>
    </w:p>
    <w:p>
      <w:pPr>
        <w:jc w:val="both"/>
        <w:ind w:right="400" w:firstLine="457"/>
        <w:spacing w:after="0" w:line="304" w:lineRule="auto"/>
        <w:rPr>
          <w:sz w:val="20"/>
          <w:szCs w:val="20"/>
          <w:color w:val="auto"/>
        </w:rPr>
      </w:pPr>
      <w:r>
        <w:rPr>
          <w:rFonts w:ascii="Arial" w:cs="Arial" w:eastAsia="Arial" w:hAnsi="Arial"/>
          <w:sz w:val="16"/>
          <w:szCs w:val="16"/>
          <w:i w:val="1"/>
          <w:iCs w:val="1"/>
          <w:color w:val="auto"/>
        </w:rPr>
        <w:t xml:space="preserve">HIPAA. </w:t>
      </w:r>
      <w:r>
        <w:rPr>
          <w:rFonts w:ascii="Arial" w:cs="Arial" w:eastAsia="Arial" w:hAnsi="Arial"/>
          <w:sz w:val="16"/>
          <w:szCs w:val="16"/>
          <w:color w:val="auto"/>
        </w:rPr>
        <w:t>The federal Health Insurance Portability and Accountability Act of 1996, or HIPAA, imposes criminal and civil liability for,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executing a scheme, or making materially false statements in connection with the delivery of or payment for health care benefits, items, or services. Additionally, HIPAA, as amended by the Health Information Technology for Economic and Clinical Health Act and its implementing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188" w:lineRule="exact"/>
        <w:rPr>
          <w:sz w:val="20"/>
          <w:szCs w:val="20"/>
          <w:color w:val="auto"/>
        </w:rPr>
      </w:pPr>
    </w:p>
    <w:p>
      <w:pPr>
        <w:ind w:right="120" w:firstLine="457"/>
        <w:spacing w:after="0" w:line="295" w:lineRule="auto"/>
        <w:rPr>
          <w:sz w:val="20"/>
          <w:szCs w:val="20"/>
          <w:color w:val="auto"/>
        </w:rPr>
      </w:pPr>
      <w:r>
        <w:rPr>
          <w:rFonts w:ascii="Arial" w:cs="Arial" w:eastAsia="Arial" w:hAnsi="Arial"/>
          <w:sz w:val="16"/>
          <w:szCs w:val="16"/>
          <w:i w:val="1"/>
          <w:iCs w:val="1"/>
          <w:color w:val="auto"/>
        </w:rPr>
        <w:t xml:space="preserve">Transparency Requirements. </w:t>
      </w:r>
      <w:r>
        <w:rPr>
          <w:rFonts w:ascii="Arial" w:cs="Arial" w:eastAsia="Arial" w:hAnsi="Arial"/>
          <w:sz w:val="16"/>
          <w:szCs w:val="16"/>
          <w:color w:val="auto"/>
        </w:rPr>
        <w:t>The federal Physician Payments Sunshine Act requires certain manufacturers of drugs, devices, biologics, and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supplies for which payment is available under Medicare, Medicaid, or the Children’s Health Insurance Program, with specific exceptions, to report annually to the Centers for Medicare &amp; Medicaid Services, or CMS, information related to payments or transfers of value made to physicians and teaching hospitals, as well as information regarding ownership and investment interests held by physicians and their immediate family members; and</w:t>
      </w:r>
    </w:p>
    <w:p>
      <w:pPr>
        <w:spacing w:after="0" w:line="162" w:lineRule="exact"/>
        <w:rPr>
          <w:sz w:val="20"/>
          <w:szCs w:val="20"/>
          <w:color w:val="auto"/>
        </w:rPr>
      </w:pPr>
    </w:p>
    <w:p>
      <w:pPr>
        <w:ind w:right="40" w:firstLine="457"/>
        <w:spacing w:after="0" w:line="287" w:lineRule="auto"/>
        <w:rPr>
          <w:sz w:val="20"/>
          <w:szCs w:val="20"/>
          <w:color w:val="auto"/>
        </w:rPr>
      </w:pPr>
      <w:r>
        <w:rPr>
          <w:rFonts w:ascii="Arial" w:cs="Arial" w:eastAsia="Arial" w:hAnsi="Arial"/>
          <w:sz w:val="16"/>
          <w:szCs w:val="16"/>
          <w:i w:val="1"/>
          <w:iCs w:val="1"/>
          <w:color w:val="auto"/>
        </w:rPr>
        <w:t xml:space="preserve">Analogous State and Foreign Laws. </w:t>
      </w:r>
      <w:r>
        <w:rPr>
          <w:rFonts w:ascii="Arial" w:cs="Arial" w:eastAsia="Arial" w:hAnsi="Arial"/>
          <w:sz w:val="16"/>
          <w:szCs w:val="16"/>
          <w:color w:val="auto"/>
        </w:rPr>
        <w:t>Analogous state and foreign fraud and abuse laws and regulations, such as state anti-kickback and false claims</w:t>
      </w:r>
      <w:r>
        <w:rPr>
          <w:rFonts w:ascii="Arial" w:cs="Arial" w:eastAsia="Arial" w:hAnsi="Arial"/>
          <w:sz w:val="16"/>
          <w:szCs w:val="16"/>
          <w:i w:val="1"/>
          <w:iCs w:val="1"/>
          <w:color w:val="auto"/>
        </w:rPr>
        <w:t xml:space="preserve"> </w:t>
      </w:r>
      <w:r>
        <w:rPr>
          <w:rFonts w:ascii="Arial" w:cs="Arial" w:eastAsia="Arial" w:hAnsi="Arial"/>
          <w:sz w:val="16"/>
          <w:szCs w:val="16"/>
          <w:color w:val="auto"/>
        </w:rPr>
        <w:t>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93" w:lineRule="exact"/>
        <w:rPr>
          <w:sz w:val="20"/>
          <w:szCs w:val="20"/>
          <w:color w:val="auto"/>
        </w:rPr>
      </w:pPr>
    </w:p>
    <w:p>
      <w:pPr>
        <w:ind w:right="440"/>
        <w:spacing w:after="0" w:line="331"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26"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60" w:firstLine="457"/>
        <w:spacing w:after="0" w:line="273"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7" w:lineRule="exact"/>
        <w:rPr>
          <w:sz w:val="20"/>
          <w:szCs w:val="20"/>
          <w:color w:val="auto"/>
        </w:rPr>
      </w:pPr>
    </w:p>
    <w:p>
      <w:pPr>
        <w:ind w:right="80" w:firstLine="457"/>
        <w:spacing w:after="0" w:line="252"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3" w:lineRule="exact"/>
        <w:rPr>
          <w:sz w:val="20"/>
          <w:szCs w:val="20"/>
          <w:color w:val="auto"/>
        </w:rPr>
      </w:pPr>
    </w:p>
    <w:p>
      <w:pPr>
        <w:ind w:right="240" w:firstLine="457"/>
        <w:spacing w:after="0" w:line="257"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95"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73"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98"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88" w:lineRule="exact"/>
        <w:rPr>
          <w:sz w:val="20"/>
          <w:szCs w:val="20"/>
          <w:color w:val="auto"/>
        </w:rPr>
      </w:pPr>
    </w:p>
    <w:p>
      <w:pPr>
        <w:ind w:right="280" w:firstLine="457"/>
        <w:spacing w:after="0" w:line="257"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13" w:lineRule="exact"/>
        <w:rPr>
          <w:sz w:val="20"/>
          <w:szCs w:val="20"/>
          <w:color w:val="auto"/>
        </w:rPr>
      </w:pPr>
    </w:p>
    <w:p>
      <w:pPr>
        <w:ind w:right="200" w:firstLine="457"/>
        <w:spacing w:after="0" w:line="252"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harmed.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our executive team and to attract, retain and motivate qualified personnel.</w:t>
      </w:r>
    </w:p>
    <w:p>
      <w:pPr>
        <w:spacing w:after="0" w:line="113"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We are highly dependent on the pharmaceutical research and development and business development expertise of our executive team, including Cedric Francois, M.D., Ph.D., our President and Chief Executive Officer, and Pascal Deschatelets, Ph.D., our Chief Operating Officer. The members of our executive team are employed “at will,” meaning any of them may terminate his employment with us at any time with or without notice and for any reason or no reason. In the future, we may be dependent on other members of our management, scientific and development team.</w:t>
      </w:r>
    </w:p>
    <w:p>
      <w:pPr>
        <w:spacing w:after="0" w:line="177"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81"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297" w:lineRule="exact"/>
        <w:rPr>
          <w:sz w:val="20"/>
          <w:szCs w:val="20"/>
          <w:color w:val="auto"/>
        </w:rPr>
      </w:pPr>
    </w:p>
    <w:p>
      <w:pPr>
        <w:ind w:right="240"/>
        <w:spacing w:after="0" w:line="397" w:lineRule="auto"/>
        <w:rPr>
          <w:sz w:val="20"/>
          <w:szCs w:val="20"/>
          <w:color w:val="auto"/>
        </w:rPr>
      </w:pPr>
      <w:r>
        <w:rPr>
          <w:rFonts w:ascii="Arial" w:cs="Arial" w:eastAsia="Arial" w:hAnsi="Arial"/>
          <w:sz w:val="14"/>
          <w:szCs w:val="14"/>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expand our organization, and as a result, we may encounter difficulties in managing our growth, which could disrupt our operations.</w:t>
      </w:r>
    </w:p>
    <w:p>
      <w:pPr>
        <w:spacing w:after="0" w:line="136"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As of September 30, 2017, we had 28 employees. We expect to experience significant growth in the number of our employees and the scope of our operations, particularly in the areas of drug manufacturing, clinical, regulatory affairs and sales, marketing and distribution. Our headquarters are located in Kentucky and we maintain additional offices in Massachusetts and California. To manage these growth activities and separation of offices, we must continue to implement and improve our managerial, operational and financial systems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engage in acquisitions that could disrupt our business, cause dilution to our stockholders or reduce our financial resources.</w:t>
      </w:r>
    </w:p>
    <w:p>
      <w:pPr>
        <w:spacing w:after="0" w:line="113"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In the future, we may enter into transactions to acquire other businesses, products or technologies. Because we have not made any acquisitions to date, our ability to do so successfully is unproven. If we do identify suitable candidates, we may not be able to make such acquisitions on favorable terms, or at all. Any acquisitions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 In addition, we may not be able to successfully integrate the acquired personnel, technologies and operations into our existing business in an effective, timely and non-disruptive manner. Acquisitions may also divert management attention from day-to-day responsibilities, increase our expenses and reduce our cash available for operations and other uses. We cannot predict the number, timing or size of future acquisitions or the effect that any such transactions might have on our operating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19"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initial public offering price and our ability to raise capital in the future may be impaired.</w:t>
      </w:r>
    </w:p>
    <w:p>
      <w:pPr>
        <w:spacing w:after="0" w:line="26"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was determined through negotiations with the underwriters. This price may not reflect the price at which investors in the market will be willing to buy and sell our shares following this offering. Although our common stock has been approved for listing on the NASDAQ Global Select Market, an active trading market for our shares may never develop or, if developed, be maintained following this offering. If an active market for our common stock does not develop or is not maintained, it may be difficult for you to sell shares you purchase in this offering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will suffer immediate dilution in the net tangible book value of your investment.</w:t>
      </w:r>
    </w:p>
    <w:p>
      <w:pPr>
        <w:spacing w:after="0" w:line="125"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the initial public offering price of $14.00 per share, you will experience immediate dilution of $10.73 per share, representing the difference between our pro forma net tangible book value per share after giving effect to this offering and the initial public offering price. Purchasers of common stock in this offering will have contributed approximately 51.9% of the aggregate price paid by all purchasers of our stock and will own approximately 21.7% of our common stock outstanding after this offering, excluding any shares of our common stock that they may have acquired prior to this offering. Furthermore, if the underwriters exercise their over-allotment option or our previously issued options or warrants to acquire common stock at prices below the initial public offering price are exercised, you will experience further dilution. For additional information on the dilution that you will experience immediately after this offering, see the section titled “Dilution.”</w:t>
      </w:r>
    </w:p>
    <w:p>
      <w:pPr>
        <w:spacing w:after="0" w:line="290"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b w:val="1"/>
          <w:bCs w:val="1"/>
          <w:i w:val="1"/>
          <w:iCs w:val="1"/>
          <w:color w:val="auto"/>
        </w:rPr>
        <w:t>The trading price of our common stock is likely to be highly volatile, which could result in substantial losses for purchasers of our common stock in this offering.</w:t>
      </w:r>
    </w:p>
    <w:p>
      <w:pPr>
        <w:spacing w:after="0" w:line="73"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Our stock price is likely to be highly volatile. The stock market in general and the market for smaller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and you may lose some or all of your investment. The market price for our common stock may be influenced by many factors, including:</w:t>
      </w:r>
    </w:p>
    <w:p>
      <w:pPr>
        <w:spacing w:after="0" w:line="97" w:lineRule="exact"/>
        <w:rPr>
          <w:sz w:val="20"/>
          <w:szCs w:val="20"/>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results of clinical trials of APL-2 and any other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 or development programs;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3" w:lineRule="exact"/>
        <w:rPr>
          <w:sz w:val="20"/>
          <w:szCs w:val="20"/>
          <w:color w:val="auto"/>
        </w:rPr>
      </w:pPr>
    </w:p>
    <w:p>
      <w:pPr>
        <w:ind w:right="60" w:firstLine="457"/>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278"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73"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Although we currently intend to use the net proceeds from this offering in the manner described in the section titled “Use of Proceeds” in this prospectus, 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286"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73"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as amended,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92" w:lineRule="exact"/>
        <w:rPr>
          <w:sz w:val="20"/>
          <w:szCs w:val="20"/>
          <w:color w:val="auto"/>
        </w:rPr>
      </w:pPr>
    </w:p>
    <w:p>
      <w:pPr>
        <w:ind w:right="320" w:firstLine="457"/>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97" w:lineRule="auto"/>
        <w:rPr>
          <w:sz w:val="20"/>
          <w:szCs w:val="20"/>
          <w:color w:val="auto"/>
        </w:rPr>
      </w:pPr>
      <w:r>
        <w:rPr>
          <w:rFonts w:ascii="Arial" w:cs="Arial" w:eastAsia="Arial" w:hAnsi="Arial"/>
          <w:sz w:val="17"/>
          <w:szCs w:val="17"/>
          <w:color w:val="auto"/>
        </w:rPr>
        <w:t>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63" w:lineRule="exact"/>
        <w:rPr>
          <w:sz w:val="20"/>
          <w:szCs w:val="20"/>
          <w:color w:val="auto"/>
        </w:rPr>
      </w:pPr>
    </w:p>
    <w:p>
      <w:pPr>
        <w:ind w:right="720"/>
        <w:spacing w:after="0" w:line="26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3"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Pursuant to SOX Section 404 we will be required to furnish a report by our management on our internal control over financial reporting beginning with our second filing of an Annual Report on Form 10-K with the SEC after we become a public company.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If we identify one or more material weaknesses, it could result in an adverse reaction in the financial markets due to a loss of confidence in the reliability of our financial statements.</w:t>
      </w:r>
    </w:p>
    <w:p>
      <w:pPr>
        <w:spacing w:after="0" w:line="276"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73"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Following this offering, we will have 49,256,937 shares of common stock outstanding based on the 38,542,937 shares of our common stock outstanding as of September 30, 2017 after giving effect to the automatic conversion of all outstanding shares of our preferred stock into 30,070,034 shares of our common stock upon the closing of this offering. Of these shares, the 10,714,000 shares sold by us in this offering may be resold in the public market immediately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following this offering, unless purchased by our affiliates. The remaining 38,542,937 shares are currently restricted under securities laws or as a result of lock-up or other agreements, but will be able to be sold after this offering as described in the “Shares Eligible for Future Sale” section of this prospectus. The representatives of the underwriters may release stockholders from their lock-up agreements with the underwriters at any time and without notice, which would allow for earlier sales of shares in the public market.</w:t>
      </w:r>
    </w:p>
    <w:p>
      <w:pPr>
        <w:spacing w:after="0" w:line="191"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Moreover, after this offering, holders of an aggregate of 30,070,034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If these additional shares are sold, or if it is perceived that they will be sold, in the public market, the trading price of our common stock could decline.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36"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As of December 31, 2016, we had both federal and state net operating loss carryforwards of $60.2 million, and federal research and development tax credit carryforwards of $5.3 million, all of which if not utilized will begin to expire in 2030. These net operating loss and tax credit carryforwards could expire unused and be unavailable to offset future income tax liabilities.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have not determined if we have experienced Section 382 ownership changes in the past and if a portion of our net operating loss and tax credit carryforwards are subject to an annual limitation under Section 382. In addition, we may experience ownership changes in the future as a result of subsequent shifts in our stock ownership, including this offering, some of which may be outside of our control. We have not conducted a detailed study to document whether our historical activities qualify to support the research and development credit carryforwards. A detailed study could result in adjustment to our research and development credit carryforwards. If we determine that an ownership change has occurred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277"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We do not anticipate paying any cash dividends on our capital stock in the foreseeable future. Accordingly, stockholders must rely on capital appreciation, if any, for any return on their investment.</w:t>
      </w:r>
    </w:p>
    <w:p>
      <w:pPr>
        <w:spacing w:after="0" w:line="73"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We have never declared nor paid cash dividends on our capital stock. We currently plan to retain all of our future earnings, if any, to finance the operation, development and growth of our business. In addition, the terms of our term loan facility with Silicon Valley Bank precludes us from paying dividends, and any future debt or credit agreements may also preclude us from paying dividends. As a result, capital appreciation, if any, of our common stock will be your sole source of gain for the foreseeable future.</w:t>
      </w:r>
    </w:p>
    <w:p>
      <w:pPr>
        <w:spacing w:after="0" w:line="297"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73"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Based upon shares outstanding as of September 30, 2017, and after giving effect to the automatic conversion of all outstanding shares of preferred stock into 30,070,034 shares of our common stock upon the closing of this offering and the sale of 10,714,000 shares in this offering, our executive officers and directors, combined with our stockholders who owned more than 5% of our outstanding common stock before this offering and their affiliates, will, in the aggregate, beneficially own shares representing approximately 57.9% of our common stock. Our largest stockholder, Morningside Venture Investments, Ltd., will beneficially own approximately 21.9%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common stock. If, as we expect, Potentia Holdings LLC distributes the shares of our common stock it holds to its stockholders at some point in the future following the closing of this offering, the percentage of our shares held by certain of our directors and executive officers who are stockholders of Potentia Holdings LLC will increase. As a result, if our executive officers, directors and holders of more than 5% of our outstanding common stock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01" w:lineRule="exact"/>
        <w:rPr>
          <w:sz w:val="20"/>
          <w:szCs w:val="20"/>
          <w:color w:val="auto"/>
        </w:rPr>
      </w:pPr>
    </w:p>
    <w:p>
      <w:pPr>
        <w:ind w:left="680" w:hanging="22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entrench our management or the board of directors;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220" w:lineRule="exact"/>
        <w:rPr>
          <w:sz w:val="20"/>
          <w:szCs w:val="20"/>
          <w:color w:val="auto"/>
        </w:rPr>
      </w:pPr>
    </w:p>
    <w:p>
      <w:pPr>
        <w:ind w:right="80" w:firstLine="457"/>
        <w:spacing w:after="0" w:line="304"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54" w:lineRule="exact"/>
        <w:rPr>
          <w:sz w:val="20"/>
          <w:szCs w:val="20"/>
          <w:color w:val="auto"/>
        </w:rPr>
      </w:pPr>
    </w:p>
    <w:p>
      <w:pPr>
        <w:ind w:right="240" w:firstLine="457"/>
        <w:spacing w:after="0" w:line="252" w:lineRule="auto"/>
        <w:rPr>
          <w:sz w:val="20"/>
          <w:szCs w:val="20"/>
          <w:color w:val="auto"/>
        </w:rPr>
      </w:pPr>
      <w:r>
        <w:rPr>
          <w:rFonts w:ascii="Arial" w:cs="Arial" w:eastAsia="Arial" w:hAnsi="Arial"/>
          <w:sz w:val="18"/>
          <w:szCs w:val="18"/>
          <w:color w:val="auto"/>
        </w:rPr>
        <w:t>Certain of our existing stockholders and their affiliated entities have indicated an interest in purchasing an aggregate of approximately $70.0 million in shares of our common stock in this offering at the initial public offering price.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foregoing discussion does not reflect any potential purchases by these potential purchasers.</w:t>
      </w:r>
    </w:p>
    <w:p>
      <w:pPr>
        <w:spacing w:after="0" w:line="300"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73"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Provisions in our corporate charter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6" w:lineRule="exact"/>
        <w:rPr>
          <w:sz w:val="20"/>
          <w:szCs w:val="20"/>
          <w:color w:val="auto"/>
        </w:rPr>
      </w:pPr>
    </w:p>
    <w:p>
      <w:pPr>
        <w:ind w:left="680" w:hanging="22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26" w:lineRule="exact"/>
        <w:rPr>
          <w:rFonts w:ascii="Arial" w:cs="Arial" w:eastAsia="Arial" w:hAnsi="Arial"/>
          <w:sz w:val="18"/>
          <w:szCs w:val="18"/>
          <w:color w:val="auto"/>
        </w:rPr>
      </w:pPr>
    </w:p>
    <w:p>
      <w:pPr>
        <w:ind w:left="680" w:right="860" w:hanging="220"/>
        <w:spacing w:after="0" w:line="26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26" w:lineRule="exact"/>
        <w:rPr>
          <w:rFonts w:ascii="Arial" w:cs="Arial" w:eastAsia="Arial" w:hAnsi="Arial"/>
          <w:sz w:val="18"/>
          <w:szCs w:val="18"/>
          <w:color w:val="auto"/>
        </w:rPr>
      </w:pPr>
    </w:p>
    <w:p>
      <w:pPr>
        <w:ind w:left="680" w:right="40" w:hanging="220"/>
        <w:spacing w:after="0" w:line="25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100" w:hanging="220"/>
        <w:spacing w:after="0" w:line="26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0"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75"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73"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our company and our directors, officers and employees.</w:t>
      </w:r>
    </w:p>
    <w:p>
      <w:pPr>
        <w:spacing w:after="0" w:line="84"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General Corporation Law of the State of Delaware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26"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26" w:lineRule="exact"/>
        <w:rPr>
          <w:sz w:val="20"/>
          <w:szCs w:val="20"/>
          <w:color w:val="auto"/>
        </w:rPr>
      </w:pPr>
    </w:p>
    <w:p>
      <w:pPr>
        <w:ind w:left="680" w:right="200" w:hanging="220"/>
        <w:spacing w:after="0" w:line="26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with respect to our ongoing and planned clinical trials for our product candidates, whether conducted by us or by any future collaborators, including the timing of these trials and of the anticipated results;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initiate clinical trials of APL-2;</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clinical benefits and attributes of APL-2 and the inhibition of C3;</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develop APL-2 for any additional indications;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plans to potentially seek to enter into collaborations for the development and commercialization of certain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0"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65" w:lineRule="exact"/>
        <w:rPr>
          <w:sz w:val="20"/>
          <w:szCs w:val="20"/>
          <w:color w:val="auto"/>
        </w:rPr>
      </w:pPr>
    </w:p>
    <w:p>
      <w:pPr>
        <w:ind w:right="420" w:firstLine="457"/>
        <w:spacing w:after="0" w:line="304" w:lineRule="auto"/>
        <w:rPr>
          <w:sz w:val="20"/>
          <w:szCs w:val="20"/>
          <w:color w:val="auto"/>
        </w:rPr>
      </w:pPr>
      <w:r>
        <w:rPr>
          <w:rFonts w:ascii="Arial" w:cs="Arial" w:eastAsia="Arial" w:hAnsi="Arial"/>
          <w:sz w:val="16"/>
          <w:szCs w:val="16"/>
          <w:color w:val="auto"/>
        </w:rPr>
        <w:t>You should read this prospectus and the documents that we have filed as exhibits to the registration statement of which this prospectus is a part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This prospectus includes statistical and other industry and market data that we obtained from industry publications and research, surveys and studies conducted by third parties. All of the market data used in this prospectus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the independent parties and by 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6" w:lineRule="exact"/>
        <w:rPr>
          <w:sz w:val="20"/>
          <w:szCs w:val="20"/>
          <w:color w:val="auto"/>
        </w:rPr>
      </w:pPr>
    </w:p>
    <w:p>
      <w:pPr>
        <w:ind w:right="420" w:firstLine="457"/>
        <w:spacing w:after="0" w:line="257" w:lineRule="auto"/>
        <w:rPr>
          <w:sz w:val="20"/>
          <w:szCs w:val="20"/>
          <w:color w:val="auto"/>
        </w:rPr>
      </w:pPr>
      <w:r>
        <w:rPr>
          <w:rFonts w:ascii="Arial" w:cs="Arial" w:eastAsia="Arial" w:hAnsi="Arial"/>
          <w:sz w:val="18"/>
          <w:szCs w:val="18"/>
          <w:color w:val="auto"/>
        </w:rPr>
        <w:t>We estimate that the net proceeds from our issuance and sale of 10,714,000 shares of our common stock in this offering will be $137.2 million, or $158.1 million if the underwriters exercise their over-allotment option in full, based on the initial public offering price of $14.00 per share, after deducting underwriting discounts and commissions and estimated offering expenses payable by us.</w:t>
      </w:r>
    </w:p>
    <w:p>
      <w:pPr>
        <w:spacing w:after="0" w:line="188" w:lineRule="exact"/>
        <w:rPr>
          <w:sz w:val="20"/>
          <w:szCs w:val="20"/>
          <w:color w:val="auto"/>
        </w:rPr>
      </w:pPr>
    </w:p>
    <w:p>
      <w:pPr>
        <w:ind w:right="140" w:firstLine="457"/>
        <w:spacing w:after="0" w:line="295" w:lineRule="auto"/>
        <w:rPr>
          <w:sz w:val="20"/>
          <w:szCs w:val="20"/>
          <w:color w:val="auto"/>
        </w:rPr>
      </w:pPr>
      <w:r>
        <w:rPr>
          <w:rFonts w:ascii="Arial" w:cs="Arial" w:eastAsia="Arial" w:hAnsi="Arial"/>
          <w:sz w:val="16"/>
          <w:szCs w:val="16"/>
          <w:color w:val="auto"/>
        </w:rPr>
        <w:t>As of June 30, 2017, we had cash and cash equivalents of $4.9 million. In August 2017, we issued and sold 7,792,035 shares of our series E convertible preferred stock, which resulted in net proceeds of $19.7 million. We currently estimate that we will use the net proceeds from this offering, together with our existing cash and cash equivalents, including the net proceeds from our sale of shares of series E convertible preferred stock and our borrowings under our $20.0 million term loan facility with Silicon Valley Bank and a $7.0 million promissory note issued to an affiliate of one of our stockholders, as follows:</w:t>
      </w:r>
    </w:p>
    <w:p>
      <w:pPr>
        <w:spacing w:after="0" w:line="69" w:lineRule="exact"/>
        <w:rPr>
          <w:sz w:val="20"/>
          <w:szCs w:val="20"/>
          <w:color w:val="auto"/>
        </w:rPr>
      </w:pPr>
    </w:p>
    <w:p>
      <w:pPr>
        <w:ind w:left="680" w:hanging="22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$48.0 million to $59.0 million for our ongoing and planned clinical trials of APL-2 in patients with GA and wet AMD;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$47.0 million to $58.0 million for our ongoing and planned clinical trials of APL-2 in patients with PNH;</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approximately $43.0 million to $53.0 million for our other planned clinical trials of APL-2 and development of new product candidates; and</w:t>
      </w:r>
    </w:p>
    <w:p>
      <w:pPr>
        <w:spacing w:after="0" w:line="137" w:lineRule="exact"/>
        <w:rPr>
          <w:rFonts w:ascii="Arial" w:cs="Arial" w:eastAsia="Arial" w:hAnsi="Arial"/>
          <w:sz w:val="17"/>
          <w:szCs w:val="17"/>
          <w:color w:val="auto"/>
        </w:rPr>
      </w:pPr>
    </w:p>
    <w:p>
      <w:pPr>
        <w:ind w:left="680" w:hanging="220"/>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w:t>
      </w:r>
    </w:p>
    <w:p>
      <w:pPr>
        <w:spacing w:after="0" w:line="220" w:lineRule="exact"/>
        <w:rPr>
          <w:sz w:val="20"/>
          <w:szCs w:val="20"/>
          <w:color w:val="auto"/>
        </w:rPr>
      </w:pPr>
    </w:p>
    <w:p>
      <w:pPr>
        <w:jc w:val="both"/>
        <w:ind w:right="340" w:firstLine="457"/>
        <w:spacing w:after="0" w:line="254"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including the net proceeds from our sale of series E convertible preferred stock and our borrowings under our term loan facility and promissory note, will enable us to fund our operating expenses and capital expenditure requirements at least through the first quarter of 2019. We have based this estimate on assumptions that may prove to be wrong, and we could use our available capital resources sooner than we currently expect.</w:t>
      </w:r>
    </w:p>
    <w:p>
      <w:pPr>
        <w:spacing w:after="0" w:line="191"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We do not expect that the net proceeds from this offering and our existing cash and cash equivalents, including the net proceeds from our sale of series E convertible preferred stock and our borrowings under our term loan facility and promissory note, will be sufficient to enable us to complete our planned Phase 3 clinical trials of APL-2 or to complete the development of APL-2 or any of our other product candidates.</w:t>
      </w:r>
    </w:p>
    <w:p>
      <w:pPr>
        <w:spacing w:after="0" w:line="188"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65"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Pending our use of the net proceeds from this offering, we intend to invest the net proceeds in money market funds, government-insured bank deposit accounts or U.S. government securities.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226" w:lineRule="exact"/>
        <w:rPr>
          <w:sz w:val="20"/>
          <w:szCs w:val="20"/>
          <w:color w:val="auto"/>
        </w:rPr>
      </w:pPr>
    </w:p>
    <w:p>
      <w:pPr>
        <w:ind w:firstLine="457"/>
        <w:spacing w:after="0" w:line="295"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of our future earnings, if any, to finance the growth and development of our business. In addition, our term loan facility with Silicon Valley Bank contains restrictive covenants that prohibit us, subject to certain exceptions, from paying dividends on our common stock, and future debt securities or other financing arrangements could contain similar or more restrictive negative covenants. We do not intend to pay cash dividends in respect of our common stock in the foreseeable future.</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5"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2017:</w:t>
      </w:r>
    </w:p>
    <w:p>
      <w:pPr>
        <w:spacing w:after="0" w:line="126" w:lineRule="exact"/>
        <w:rPr>
          <w:sz w:val="20"/>
          <w:szCs w:val="20"/>
          <w:color w:val="auto"/>
        </w:rPr>
      </w:pPr>
    </w:p>
    <w:p>
      <w:pPr>
        <w:ind w:left="680" w:hanging="220"/>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26" w:lineRule="exact"/>
        <w:rPr>
          <w:rFonts w:ascii="Arial" w:cs="Arial" w:eastAsia="Arial" w:hAnsi="Arial"/>
          <w:sz w:val="18"/>
          <w:szCs w:val="18"/>
          <w:color w:val="auto"/>
        </w:rPr>
      </w:pPr>
    </w:p>
    <w:p>
      <w:pPr>
        <w:ind w:left="680" w:right="260" w:hanging="220"/>
        <w:spacing w:after="0" w:line="285" w:lineRule="auto"/>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a pro forma basis to give effect to (i) the issuance and sale of 7,792,035 shares of series E convertible preferred stock in August 2017, which resulted in net proceeds of $19.7 million, (ii) the borrowing of $20.0 million under our term loan facility with Silicon Valley Bank in October 2017,</w:t>
      </w:r>
    </w:p>
    <w:p>
      <w:pPr>
        <w:ind w:left="680" w:right="180" w:hanging="7"/>
        <w:spacing w:after="0" w:line="278" w:lineRule="auto"/>
        <w:tabs>
          <w:tab w:leader="none" w:pos="9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issuance and sale of a promissory note in an original principal amount of $7.0 million to an affiliate of one of our stockholders in October 2017, (iv) the issuance of warrants to purchase 93,764 shares of common stock in connection with the $7.0 million promissory note and the issuance of 93,764 shares of common stock that were issued upon the exercise of such warrants in October 2017 for an aggregate exercise price of $514,200,</w:t>
      </w:r>
    </w:p>
    <w:p>
      <w:pPr>
        <w:ind w:left="680" w:right="720" w:hanging="7"/>
        <w:spacing w:after="0" w:line="251" w:lineRule="auto"/>
        <w:tabs>
          <w:tab w:leader="none" w:pos="93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including the shares of series E convertible preferred stock, into 30,070,034 shares of our common stock upon the closing of this offering and (vi) the filing and effectiveness of our restated certificate of incorporation upon the closing of this offering; and</w:t>
      </w:r>
    </w:p>
    <w:p>
      <w:pPr>
        <w:spacing w:after="0" w:line="99" w:lineRule="exact"/>
        <w:rPr>
          <w:rFonts w:ascii="Arial" w:cs="Arial" w:eastAsia="Arial" w:hAnsi="Arial"/>
          <w:sz w:val="18"/>
          <w:szCs w:val="18"/>
          <w:color w:val="auto"/>
        </w:rPr>
      </w:pPr>
    </w:p>
    <w:p>
      <w:pPr>
        <w:ind w:left="680" w:right="160" w:hanging="220"/>
        <w:spacing w:after="0" w:line="331" w:lineRule="auto"/>
        <w:tabs>
          <w:tab w:leader="none" w:pos="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our issuance and sale of 10,714,000 shares of our common stock in this offering at the initial public offering price of $14.00 per share, after deducting underwriting discounts and commissions and estimated offering expenses payable by us.</w:t>
      </w:r>
    </w:p>
    <w:p>
      <w:pPr>
        <w:spacing w:after="0" w:line="133" w:lineRule="exact"/>
        <w:rPr>
          <w:sz w:val="20"/>
          <w:szCs w:val="20"/>
          <w:color w:val="auto"/>
        </w:rPr>
      </w:pPr>
    </w:p>
    <w:p>
      <w:pPr>
        <w:jc w:val="both"/>
        <w:ind w:right="540" w:firstLine="457"/>
        <w:spacing w:after="0" w:line="25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appearing at the end of this prospectus and the sections of this prospectus titled “Selected Consolidated Financial Data,” “Management’s Discussion and Analysis of Financial Condition and Results of Operations” and “Description of Capital Stock.”</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As of June 30, 2017</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Pro Forma(1)</w:t>
            </w:r>
          </w:p>
        </w:tc>
        <w:tc>
          <w:tcPr>
            <w:tcW w:w="100" w:type="dxa"/>
            <w:vAlign w:val="bottom"/>
          </w:tcPr>
          <w:p>
            <w:pPr>
              <w:spacing w:after="0"/>
              <w:rPr>
                <w:sz w:val="10"/>
                <w:szCs w:val="10"/>
                <w:color w:val="auto"/>
              </w:rPr>
            </w:pPr>
          </w:p>
        </w:tc>
        <w:tc>
          <w:tcPr>
            <w:tcW w:w="960" w:type="dxa"/>
            <w:vAlign w:val="bottom"/>
          </w:tcPr>
          <w:p>
            <w:pPr>
              <w:spacing w:after="0" w:line="118"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4,939,087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$ 52,186,169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189,369,216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$ 26,569,840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26,569,840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Pr>
          <w:p>
            <w:pPr>
              <w:ind w:left="340"/>
              <w:spacing w:after="0" w:line="201" w:lineRule="exact"/>
              <w:rPr>
                <w:sz w:val="20"/>
                <w:szCs w:val="20"/>
                <w:color w:val="auto"/>
              </w:rPr>
            </w:pPr>
            <w:r>
              <w:rPr>
                <w:rFonts w:ascii="Arial" w:cs="Arial" w:eastAsia="Arial" w:hAnsi="Arial"/>
                <w:sz w:val="18"/>
                <w:szCs w:val="18"/>
                <w:color w:val="auto"/>
                <w:w w:val="89"/>
              </w:rPr>
              <w:t>Series A convertible preferred stock, $0.0001 par value per share; 2,670,000 shares authorized, issued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w w:val="92"/>
              </w:rPr>
              <w:t>and outstanding, actual; no shares authorized, issued or outstanding, pro forma and pro forma 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2,654,405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89"/>
              </w:rPr>
              <w:t>Series B convertible preferred stock, $0.0001 par value per share; 6,362,658 shares authorized, issued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and outstanding, actual; no shares authorized, issued or outstanding, pro forma and pro forma as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6,944,148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Pr>
          <w:p>
            <w:pPr>
              <w:ind w:left="340"/>
              <w:spacing w:after="0" w:line="201" w:lineRule="exact"/>
              <w:rPr>
                <w:sz w:val="20"/>
                <w:szCs w:val="20"/>
                <w:color w:val="auto"/>
              </w:rPr>
            </w:pPr>
            <w:r>
              <w:rPr>
                <w:rFonts w:ascii="Arial" w:cs="Arial" w:eastAsia="Arial" w:hAnsi="Arial"/>
                <w:sz w:val="18"/>
                <w:szCs w:val="18"/>
                <w:color w:val="auto"/>
                <w:w w:val="95"/>
              </w:rPr>
              <w:t>Series C convertible preferred stock, $0.0001 par value per share; 26,215,411 shares authorized,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w w:val="95"/>
              </w:rPr>
              <w:t>issued and outstanding, actual; no shares authorized, issued or outstanding, pro forma and pro</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forma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35,542,707</w:t>
            </w:r>
          </w:p>
        </w:tc>
        <w:tc>
          <w:tcPr>
            <w:tcW w:w="160" w:type="dxa"/>
            <w:vAlign w:val="bottom"/>
          </w:tcPr>
          <w:p>
            <w:pPr>
              <w:spacing w:after="0"/>
              <w:rPr>
                <w:sz w:val="19"/>
                <w:szCs w:val="19"/>
                <w:color w:val="auto"/>
              </w:rPr>
            </w:pP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Series D convertible preferred stock, $0.0001 par value per share; 21,099,351 shares authorized,</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5"/>
              </w:rPr>
              <w:t>issued and outstanding, actual; no shares authorized, issued or outstanding, pro forma and pro</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forma as adjusted</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46,913,666</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Pr>
          <w:p>
            <w:pPr>
              <w:ind w:left="340"/>
              <w:spacing w:after="0" w:line="201" w:lineRule="exact"/>
              <w:rPr>
                <w:sz w:val="20"/>
                <w:szCs w:val="20"/>
                <w:color w:val="auto"/>
              </w:rPr>
            </w:pPr>
            <w:r>
              <w:rPr>
                <w:rFonts w:ascii="Arial" w:cs="Arial" w:eastAsia="Arial" w:hAnsi="Arial"/>
                <w:sz w:val="18"/>
                <w:szCs w:val="18"/>
                <w:color w:val="auto"/>
                <w:w w:val="92"/>
              </w:rPr>
              <w:t>Series E convertible preferred stock, $0.0001 par value per share; no shares authorized, issued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outstanding, actual, pro forma and pro forma as adjusted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0"/>
        </w:trPr>
        <w:tc>
          <w:tcPr>
            <w:tcW w:w="7740" w:type="dxa"/>
            <w:vAlign w:val="bottom"/>
            <w:gridSpan w:val="2"/>
          </w:tcPr>
          <w:p>
            <w:pPr>
              <w:jc w:val="right"/>
              <w:ind w:right="1851"/>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3"/>
        </w:trPr>
        <w:tc>
          <w:tcPr>
            <w:tcW w:w="1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3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Preferred stock, $0.0001 par value per share; no shares authorized, issued or outstanding,</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2"/>
              </w:rPr>
              <w:t>actual; 10,000,000 shares authorized, no shares issued and outstanding, pro forma and pro</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6"/>
        </w:trPr>
        <w:tc>
          <w:tcPr>
            <w:tcW w:w="73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forma as adjusted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1"/>
        </w:trPr>
        <w:tc>
          <w:tcPr>
            <w:tcW w:w="732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2"/>
              </w:rPr>
              <w:t>Common stock, $0.0001 par value per share; 87,000,000 shares authorized, 8,428,366 shares</w:t>
            </w: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320" w:type="dxa"/>
            <w:vAlign w:val="bottom"/>
            <w:gridSpan w:val="3"/>
          </w:tcPr>
          <w:p>
            <w:pPr>
              <w:ind w:left="540"/>
              <w:spacing w:after="0"/>
              <w:rPr>
                <w:sz w:val="20"/>
                <w:szCs w:val="20"/>
                <w:color w:val="auto"/>
              </w:rPr>
            </w:pPr>
            <w:r>
              <w:rPr>
                <w:rFonts w:ascii="Arial" w:cs="Arial" w:eastAsia="Arial" w:hAnsi="Arial"/>
                <w:sz w:val="18"/>
                <w:szCs w:val="18"/>
                <w:color w:val="auto"/>
                <w:w w:val="94"/>
              </w:rPr>
              <w:t>issued and outstanding, actual; 112,000,000 shares authorized, 38,592,164 shares issued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320" w:type="dxa"/>
            <w:vAlign w:val="bottom"/>
            <w:gridSpan w:val="3"/>
          </w:tcPr>
          <w:p>
            <w:pPr>
              <w:ind w:left="540"/>
              <w:spacing w:after="0"/>
              <w:rPr>
                <w:sz w:val="20"/>
                <w:szCs w:val="20"/>
                <w:color w:val="auto"/>
              </w:rPr>
            </w:pPr>
            <w:r>
              <w:rPr>
                <w:rFonts w:ascii="Arial" w:cs="Arial" w:eastAsia="Arial" w:hAnsi="Arial"/>
                <w:sz w:val="18"/>
                <w:szCs w:val="18"/>
                <w:color w:val="auto"/>
                <w:w w:val="93"/>
              </w:rPr>
              <w:t>and outstanding, pro forma; 200,000,000 shares authorized, 49,306,164 shares issued and</w:t>
            </w: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7320" w:type="dxa"/>
            <w:vAlign w:val="bottom"/>
            <w:gridSpan w:val="3"/>
          </w:tcPr>
          <w:p>
            <w:pPr>
              <w:ind w:left="540"/>
              <w:spacing w:after="0"/>
              <w:rPr>
                <w:sz w:val="20"/>
                <w:szCs w:val="20"/>
                <w:color w:val="auto"/>
              </w:rPr>
            </w:pPr>
            <w:r>
              <w:rPr>
                <w:rFonts w:ascii="Arial" w:cs="Arial" w:eastAsia="Arial" w:hAnsi="Arial"/>
                <w:sz w:val="18"/>
                <w:szCs w:val="18"/>
                <w:color w:val="auto"/>
              </w:rPr>
              <w:t>outstanding, pro forma as adjusted</w:t>
            </w:r>
          </w:p>
        </w:tc>
        <w:tc>
          <w:tcPr>
            <w:tcW w:w="1040" w:type="dxa"/>
            <w:vAlign w:val="bottom"/>
          </w:tcPr>
          <w:p>
            <w:pPr>
              <w:jc w:val="right"/>
              <w:spacing w:after="0"/>
              <w:rPr>
                <w:sz w:val="20"/>
                <w:szCs w:val="20"/>
                <w:color w:val="auto"/>
              </w:rPr>
            </w:pPr>
            <w:r>
              <w:rPr>
                <w:rFonts w:ascii="Arial" w:cs="Arial" w:eastAsia="Arial" w:hAnsi="Arial"/>
                <w:sz w:val="18"/>
                <w:szCs w:val="18"/>
                <w:color w:val="auto"/>
              </w:rPr>
              <w:t>843</w:t>
            </w:r>
          </w:p>
        </w:tc>
        <w:tc>
          <w:tcPr>
            <w:tcW w:w="44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3,859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r>
      <w:tr>
        <w:trPr>
          <w:trHeight w:val="214"/>
        </w:trPr>
        <w:tc>
          <w:tcPr>
            <w:tcW w:w="7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30,704,943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143,434,095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280,616,071</w:t>
            </w:r>
          </w:p>
        </w:tc>
        <w:tc>
          <w:tcPr>
            <w:tcW w:w="100" w:type="dxa"/>
            <w:vAlign w:val="bottom"/>
            <w:shd w:val="clear" w:color="auto" w:fill="CCEEFF"/>
          </w:tcPr>
          <w:p>
            <w:pPr>
              <w:spacing w:after="0"/>
              <w:rPr>
                <w:sz w:val="18"/>
                <w:szCs w:val="18"/>
                <w:color w:val="auto"/>
              </w:rPr>
            </w:pPr>
          </w:p>
        </w:tc>
      </w:tr>
      <w:tr>
        <w:trPr>
          <w:trHeight w:val="220"/>
        </w:trPr>
        <w:tc>
          <w:tcPr>
            <w:tcW w:w="7320" w:type="dxa"/>
            <w:vAlign w:val="bottom"/>
            <w:gridSpan w:val="3"/>
          </w:tcPr>
          <w:p>
            <w:pPr>
              <w:ind w:left="360"/>
              <w:spacing w:after="0"/>
              <w:rPr>
                <w:sz w:val="20"/>
                <w:szCs w:val="20"/>
                <w:color w:val="auto"/>
              </w:rPr>
            </w:pPr>
            <w:r>
              <w:rPr>
                <w:rFonts w:ascii="Arial" w:cs="Arial" w:eastAsia="Arial" w:hAnsi="Arial"/>
                <w:sz w:val="18"/>
                <w:szCs w:val="18"/>
                <w:color w:val="auto"/>
              </w:rPr>
              <w:t>Accumulated deficit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(119,434,484)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6"/>
              </w:rPr>
              <w:t>(119,434,484)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(119,434,484)</w:t>
            </w:r>
          </w:p>
        </w:tc>
      </w:tr>
      <w:tr>
        <w:trPr>
          <w:trHeight w:val="213"/>
        </w:trPr>
        <w:tc>
          <w:tcPr>
            <w:tcW w:w="73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3,326,228</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24,003,470</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161,186,517</w:t>
            </w:r>
          </w:p>
        </w:tc>
        <w:tc>
          <w:tcPr>
            <w:tcW w:w="100" w:type="dxa"/>
            <w:vAlign w:val="bottom"/>
            <w:shd w:val="clear" w:color="auto" w:fill="CCEEFF"/>
          </w:tcPr>
          <w:p>
            <w:pPr>
              <w:spacing w:after="0"/>
              <w:rPr>
                <w:sz w:val="18"/>
                <w:szCs w:val="18"/>
                <w:color w:val="auto"/>
              </w:rPr>
            </w:pPr>
          </w:p>
        </w:tc>
      </w:tr>
      <w:tr>
        <w:trPr>
          <w:trHeight w:val="219"/>
        </w:trPr>
        <w:tc>
          <w:tcPr>
            <w:tcW w:w="73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   3,326,228</w:t>
            </w:r>
          </w:p>
        </w:tc>
        <w:tc>
          <w:tcPr>
            <w:tcW w:w="440" w:type="dxa"/>
            <w:vAlign w:val="bottom"/>
          </w:tcPr>
          <w:p>
            <w:pPr>
              <w:spacing w:after="0"/>
              <w:rPr>
                <w:sz w:val="19"/>
                <w:szCs w:val="19"/>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  50,573,310</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$ 187,756,357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8" w:lineRule="exact"/>
        <w:rPr>
          <w:sz w:val="20"/>
          <w:szCs w:val="20"/>
          <w:color w:val="auto"/>
        </w:rPr>
      </w:pPr>
    </w:p>
    <w:p>
      <w:pPr>
        <w:ind w:left="440" w:right="100" w:hanging="433"/>
        <w:spacing w:after="0" w:line="265"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 forma information presented in the above table does not reflect the issuance to Silicon Valley Bank of warrants to purchase 14,064 shares of common stock or any proceeds from the exercise of such warrants. For further information on this indebtedness and warrants, see the discussion in “Management’s Discussion and Analysis of Financial Condition and Results of Operations—Liquidity and Capital Resources” and Note 9 in the notes to our unaudited condensed consolidated financial statements appearing at the end of this prospectus.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The table above does not include:</w:t>
      </w:r>
    </w:p>
    <w:p>
      <w:pPr>
        <w:spacing w:after="0" w:line="115" w:lineRule="exact"/>
        <w:rPr>
          <w:rFonts w:ascii="Arial" w:cs="Arial" w:eastAsia="Arial" w:hAnsi="Arial"/>
          <w:sz w:val="17"/>
          <w:szCs w:val="17"/>
          <w:color w:val="auto"/>
        </w:rPr>
      </w:pPr>
    </w:p>
    <w:p>
      <w:pPr>
        <w:ind w:left="680" w:right="340" w:hanging="220"/>
        <w:spacing w:after="0" w:line="267" w:lineRule="auto"/>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4,675,093 shares of our common stock issuable upon the exercise of stock options outstanding as of June 30, 2017, at a weighted-average exercise price of $2.77 per share;</w:t>
      </w:r>
    </w:p>
    <w:p>
      <w:pPr>
        <w:spacing w:after="0" w:line="86" w:lineRule="exact"/>
        <w:rPr>
          <w:rFonts w:ascii="Arial" w:cs="Arial" w:eastAsia="Arial" w:hAnsi="Arial"/>
          <w:sz w:val="18"/>
          <w:szCs w:val="18"/>
          <w:color w:val="auto"/>
        </w:rPr>
      </w:pPr>
    </w:p>
    <w:p>
      <w:pPr>
        <w:ind w:left="680" w:right="20" w:hanging="220"/>
        <w:spacing w:after="0" w:line="273" w:lineRule="auto"/>
        <w:tabs>
          <w:tab w:leader="none" w:pos="6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1,406,470 additional shares that were added to the share reserve under our 2010 equity incentive plan after June 30, 2017 as a result of an increase in the share reserve, an additional 345,756 shares that returned to the share reserve pursuant to the terms of our 2010 equity incentive plan as a result of stock options forfeited or cancelled after June 30, 2017, and 1,558,830 shares of our common stock issuable upon the exercise of stock options granted from the share reserve after June 30, 2017 with a weighted-average exercise price of $7.02 per share;</w:t>
      </w:r>
    </w:p>
    <w:p>
      <w:pPr>
        <w:spacing w:after="0" w:line="84" w:lineRule="exact"/>
        <w:rPr>
          <w:rFonts w:ascii="Arial" w:cs="Arial" w:eastAsia="Arial" w:hAnsi="Arial"/>
          <w:sz w:val="17"/>
          <w:szCs w:val="17"/>
          <w:color w:val="auto"/>
        </w:rPr>
      </w:pPr>
    </w:p>
    <w:p>
      <w:pPr>
        <w:ind w:left="680" w:right="140" w:hanging="220"/>
        <w:spacing w:after="0" w:line="257" w:lineRule="auto"/>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1,659,154 and 468,823 additional shares of our common stock available for future issuance under our 2017 stock incentive plan and our 2017 employee stock purchase plan, respectively, as well as any automatic increases in the number of shares of common stock reserved for future issuance under these plans; and</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14,064 shares of our common stock issuable upon the exercise of warrants issued after June 30, 2017 at an exercise price of $5.484 per share.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3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6" w:lineRule="exact"/>
        <w:rPr>
          <w:sz w:val="20"/>
          <w:szCs w:val="20"/>
          <w:color w:val="auto"/>
        </w:rPr>
      </w:pPr>
    </w:p>
    <w:p>
      <w:pPr>
        <w:ind w:right="120" w:firstLine="457"/>
        <w:spacing w:after="0" w:line="331"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pro forma as adjusted net tangible book value per share of our common stock after this offering.</w:t>
      </w:r>
    </w:p>
    <w:p>
      <w:pPr>
        <w:spacing w:after="0" w:line="133" w:lineRule="exact"/>
        <w:rPr>
          <w:sz w:val="20"/>
          <w:szCs w:val="20"/>
          <w:color w:val="auto"/>
        </w:rPr>
      </w:pPr>
    </w:p>
    <w:p>
      <w:pPr>
        <w:ind w:right="240" w:firstLine="457"/>
        <w:spacing w:after="0" w:line="257" w:lineRule="auto"/>
        <w:rPr>
          <w:sz w:val="20"/>
          <w:szCs w:val="20"/>
          <w:color w:val="auto"/>
        </w:rPr>
      </w:pPr>
      <w:r>
        <w:rPr>
          <w:rFonts w:ascii="Arial" w:cs="Arial" w:eastAsia="Arial" w:hAnsi="Arial"/>
          <w:sz w:val="18"/>
          <w:szCs w:val="18"/>
          <w:color w:val="auto"/>
        </w:rPr>
        <w:t>Our historical net tangible book value as of June 30, 2017 was $3.3 million, or $0.41 per share of our common stock. Our historical net tangible book value is the amount of our total tangible assets less our total liabilities. Historical net tangible book value per share represents our historical net tangible book value divided by the 8,428,366 shares of our common stock outstanding as of June 30, 2017.</w:t>
      </w:r>
    </w:p>
    <w:p>
      <w:pPr>
        <w:spacing w:after="0" w:line="188"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Our pro forma net tangible book value as of June 30, 2017 was $24.0 million, or $0.62 per share of our common stock. Pro forma net tangible book value and pro forma net tangible book value per share each give effect to (i) the issuance and sale of 7,792,035 shares of series E convertible preferred stock in August 2017, which resulted in net proceeds of $19.7 million, (ii) the borrowing of $20.0 million under our term loan facility with Silicon Valley Bank in October 2017, (iii) the issuance and sale of a promissory note in an original principal amount of $7.0 million to an affiliate of one of our stockholders in October 2017, (iv) the issuance of warrants to purchase 93,764 shares of common stock in connection with the $7.0 million promissory note and the issuance of 93,764 shares of common stock that were issued upon the exercise of such warrants in October 2017 for an aggregate exercise price of $514,200, and (v) the automatic conversion of all outstanding shares of our preferred stock, including the shares of series E convertible preferred stock, into 30,070,034 shares of our common stock upon the closing of this offering. Pro forma net tangible book value per share represents pro forma net tangible book value divided by 38,592,164 shares of our common stock outstanding as of June 30, 2017, after giving effect to the pro forma adjustments described in the preceding sentence.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giving further effect to our issuance and sale of 10,714,000 shares of our common stock in this offering at the initial public offering price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$14.00 per share, and after deducting underwriting discounts and commissions and estimated offering expenses payable by us, our pro forma as adjusted 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tangible book value as of June 30, 2017 would have been $161.2 million, or $3.27 per share. This represents an immediate increase in pro forma as adjusted 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tangible book value per share of $2.65 to existing stockholders and immediate dilution of $10.73 in pro forma as adjusted net tangible book value per share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new investors purchasing shares of our common stock in this offering. Dilution per share to new investors is determined by subtracting pro forma as adjusted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tangible book value per share after this offering from the initial public offering price per share paid by new investors.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980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9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6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share as of June 30, 2017</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$0.41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the pro forma effects described above</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net tangible book value per share as of June 30, 2017</w:t>
            </w: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0.62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Increase in net tangible book value per share attributable to new investors purchasing shares of our common stock in this offering</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8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2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6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right="60" w:firstLine="457"/>
        <w:spacing w:after="0" w:line="257"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will increase to $3.58 per share, representing an immediate increase to existing stockholders of $2.96 per share and an immediate dilution of $10.42 per share to new investors. If any shares are issued upon exercise of outstanding options or warrants, you will experience further dilution.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following table summarizes, on a pro forma as adjusted basis as of June 30, 2017, after giving effect to (i) the automatic conversion of all of our outstanding preferred stock, including the 7,792,035 shares of series E convertible preferred stock issued after June 30, 2017 for an aggregate purchase price of $20.0 million, into 30,070,034 shares of our common stock upon the closing of this offering and (ii) the issuance of 93,764 shares of common stock that were issued upon the exercise of warrants in October 2017 for an aggregate exercise price of $514,200, the differences between the number of shares of common stock purchased from us, the total consideration paid to us and the average price per share paid by existing stockholders and by new investors purchasing shares of common stock in this offering. The calculation below is based on the initial public offering price of $14.00 per share, before deducting underwriting discounts and commissions and estimated offering expenses payable by 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1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4"/>
                <w:szCs w:val="14"/>
                <w:color w:val="auto"/>
              </w:rPr>
            </w:pPr>
          </w:p>
        </w:tc>
        <w:tc>
          <w:tcPr>
            <w:tcW w:w="25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Average Price</w:t>
            </w:r>
          </w:p>
        </w:tc>
      </w:tr>
      <w:tr>
        <w:trPr>
          <w:trHeight w:val="140"/>
        </w:trPr>
        <w:tc>
          <w:tcPr>
            <w:tcW w:w="116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8"/>
              <w:spacing w:after="0" w:line="140" w:lineRule="exact"/>
              <w:rPr>
                <w:sz w:val="20"/>
                <w:szCs w:val="20"/>
                <w:color w:val="auto"/>
              </w:rPr>
            </w:pPr>
            <w:r>
              <w:rPr>
                <w:rFonts w:ascii="Arial" w:cs="Arial" w:eastAsia="Arial" w:hAnsi="Arial"/>
                <w:sz w:val="14"/>
                <w:szCs w:val="14"/>
                <w:b w:val="1"/>
                <w:bCs w:val="1"/>
                <w:color w:val="auto"/>
              </w:rPr>
              <w:t>Number(1)</w:t>
            </w:r>
          </w:p>
        </w:tc>
        <w:tc>
          <w:tcPr>
            <w:tcW w:w="4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60"/>
              <w:spacing w:after="0" w:line="140"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w w:val="89"/>
              </w:rPr>
              <w:t>Percent</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
              <w:spacing w:after="0" w:line="140"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r>
      <w:tr>
        <w:trPr>
          <w:trHeight w:val="207"/>
        </w:trPr>
        <w:tc>
          <w:tcPr>
            <w:tcW w:w="562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38,592,164</w:t>
            </w: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$139,216,051</w:t>
            </w: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7"/>
                <w:szCs w:val="17"/>
                <w:color w:val="auto"/>
              </w:rPr>
            </w:pPr>
          </w:p>
        </w:tc>
      </w:tr>
      <w:tr>
        <w:trPr>
          <w:trHeight w:val="327"/>
        </w:trPr>
        <w:tc>
          <w:tcPr>
            <w:tcW w:w="56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10,714,000</w:t>
            </w:r>
          </w:p>
        </w:tc>
        <w:tc>
          <w:tcPr>
            <w:tcW w:w="44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149,996,000</w:t>
            </w:r>
          </w:p>
        </w:tc>
        <w:tc>
          <w:tcPr>
            <w:tcW w:w="4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r>
      <w:tr>
        <w:trPr>
          <w:trHeight w:val="213"/>
        </w:trPr>
        <w:tc>
          <w:tcPr>
            <w:tcW w:w="5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49,306,164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289,212,051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116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8" w:lineRule="exact"/>
        <w:rPr>
          <w:sz w:val="20"/>
          <w:szCs w:val="20"/>
          <w:color w:val="auto"/>
        </w:rPr>
      </w:pPr>
    </w:p>
    <w:p>
      <w:pPr>
        <w:ind w:left="440" w:hanging="433"/>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(i) 4,583,308 shares of our common stock issued at par value upon our business combination with Apellis AG immediately prior to the time we</w:t>
      </w:r>
    </w:p>
    <w:p>
      <w:pPr>
        <w:spacing w:after="0" w:line="40" w:lineRule="exact"/>
        <w:rPr>
          <w:sz w:val="20"/>
          <w:szCs w:val="20"/>
          <w:color w:val="auto"/>
        </w:rPr>
      </w:pPr>
    </w:p>
    <w:p>
      <w:pPr>
        <w:ind w:left="440" w:right="460"/>
        <w:spacing w:after="0" w:line="261" w:lineRule="auto"/>
        <w:rPr>
          <w:sz w:val="20"/>
          <w:szCs w:val="20"/>
          <w:color w:val="auto"/>
        </w:rPr>
      </w:pPr>
      <w:r>
        <w:rPr>
          <w:rFonts w:ascii="Arial" w:cs="Arial" w:eastAsia="Arial" w:hAnsi="Arial"/>
          <w:sz w:val="17"/>
          <w:szCs w:val="17"/>
          <w:color w:val="auto"/>
        </w:rPr>
        <w:t>commenced active operations and (ii) 3,844,352 shares of our common stock issued to Potentia Pharmaceuticals, Inc. in September 2015, which we determined, with the assistance of a third-party specialist, to have a fair value of $26.5 million at the time of issuance.</w:t>
      </w:r>
    </w:p>
    <w:p>
      <w:pPr>
        <w:spacing w:after="0" w:line="2" w:lineRule="exact"/>
        <w:rPr>
          <w:sz w:val="20"/>
          <w:szCs w:val="20"/>
          <w:color w:val="auto"/>
        </w:rPr>
      </w:pPr>
    </w:p>
    <w:p>
      <w:pPr>
        <w:jc w:val="both"/>
        <w:ind w:right="220" w:firstLine="457"/>
        <w:spacing w:after="0" w:line="344" w:lineRule="auto"/>
        <w:rPr>
          <w:sz w:val="20"/>
          <w:szCs w:val="20"/>
          <w:color w:val="auto"/>
        </w:rPr>
      </w:pPr>
      <w:r>
        <w:rPr>
          <w:rFonts w:ascii="Arial" w:cs="Arial" w:eastAsia="Arial" w:hAnsi="Arial"/>
          <w:sz w:val="14"/>
          <w:szCs w:val="14"/>
          <w:color w:val="auto"/>
        </w:rPr>
        <w:t>The number of shares purchased from us by existing stockholders is based on 38,592,164 shares of our common stock outstanding as of June 30, 2017, which gives effect to (i) the issuance and sale of 7,792,035 shares of series E convertible preferred stock in August 2017, (ii) the issuance of 93,764 shares of common stock that were issued upon the exercise of warrants in October 2017, and (iii) the automatic conversion of all of our outstanding shares of preferred stock, including the shares of series E convertible preferred stock, into 30,070,034 shares of common stock upon the closing of this offering, and excludes:</w:t>
      </w:r>
    </w:p>
    <w:p>
      <w:pPr>
        <w:spacing w:after="0" w:line="39" w:lineRule="exact"/>
        <w:rPr>
          <w:sz w:val="20"/>
          <w:szCs w:val="20"/>
          <w:color w:val="auto"/>
        </w:rPr>
      </w:pPr>
    </w:p>
    <w:p>
      <w:pPr>
        <w:ind w:left="680" w:right="340" w:hanging="220"/>
        <w:spacing w:after="0" w:line="26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4,675,093 shares of our common stock issuable upon the exercise of stock options outstanding as of June 30, 2017, at a weighted-average exercise price of $2.77 per share;</w:t>
      </w:r>
    </w:p>
    <w:p>
      <w:pPr>
        <w:spacing w:after="0" w:line="86" w:lineRule="exact"/>
        <w:rPr>
          <w:rFonts w:ascii="Arial" w:cs="Arial" w:eastAsia="Arial" w:hAnsi="Arial"/>
          <w:sz w:val="18"/>
          <w:szCs w:val="18"/>
          <w:color w:val="auto"/>
        </w:rPr>
      </w:pPr>
    </w:p>
    <w:p>
      <w:pPr>
        <w:ind w:left="680" w:right="20" w:hanging="220"/>
        <w:spacing w:after="0" w:line="273"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1,406,470 additional shares that were added to the share reserve under our 2010 equity incentive plan after June 30, 2017 as a result of an increase in the share reserve, an additional 345,756 shares that returned to the share reserve pursuant to the terms of our 2010 equity incentive plan as a result of stock options forfeited or cancelled after June 30, 2017, and 1,558,830 shares of our common stock issuable upon the exercise of stock options granted from the share reserve after June 30, 2017 with a weighted-average exercise price of $7.02 per share;</w:t>
      </w:r>
    </w:p>
    <w:p>
      <w:pPr>
        <w:spacing w:after="0" w:line="84" w:lineRule="exact"/>
        <w:rPr>
          <w:rFonts w:ascii="Arial" w:cs="Arial" w:eastAsia="Arial" w:hAnsi="Arial"/>
          <w:sz w:val="17"/>
          <w:szCs w:val="17"/>
          <w:color w:val="auto"/>
        </w:rPr>
      </w:pPr>
    </w:p>
    <w:p>
      <w:pPr>
        <w:ind w:left="680" w:right="140" w:hanging="220"/>
        <w:spacing w:after="0" w:line="257"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1,659,154 and 468,823 additional shares of our common stock available for future issuance under our 2017 stock incentive plan and our 2017 employee stock purchase plan, respectively, as well as any automatic increases in the number of shares of common stock reserved for future issuance under these plans; and</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14,064 shares of our common stock issuable upon the exercise of warrants issued after June 30, 2017 at an exercise price of $5.484 per share.</w:t>
      </w:r>
    </w:p>
    <w:p>
      <w:pPr>
        <w:spacing w:after="0" w:line="243" w:lineRule="exact"/>
        <w:rPr>
          <w:sz w:val="20"/>
          <w:szCs w:val="20"/>
          <w:color w:val="auto"/>
        </w:rPr>
      </w:pPr>
    </w:p>
    <w:p>
      <w:pPr>
        <w:ind w:right="120" w:firstLine="457"/>
        <w:spacing w:after="0" w:line="295" w:lineRule="auto"/>
        <w:rPr>
          <w:sz w:val="20"/>
          <w:szCs w:val="20"/>
          <w:color w:val="auto"/>
        </w:rPr>
      </w:pPr>
      <w:r>
        <w:rPr>
          <w:rFonts w:ascii="Arial" w:cs="Arial" w:eastAsia="Arial" w:hAnsi="Arial"/>
          <w:sz w:val="16"/>
          <w:szCs w:val="16"/>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underwriters exercise their over-allotment option in full, the following will occur:</w:t>
      </w:r>
    </w:p>
    <w:p>
      <w:pPr>
        <w:spacing w:after="0" w:line="126" w:lineRule="exact"/>
        <w:rPr>
          <w:sz w:val="20"/>
          <w:szCs w:val="20"/>
          <w:color w:val="auto"/>
        </w:rPr>
      </w:pPr>
    </w:p>
    <w:p>
      <w:pPr>
        <w:ind w:left="680" w:hanging="220"/>
        <w:spacing w:after="0" w:line="26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percentage of shares of our common stock held by existing stockholders will decrease to 75.8% of the total number of shares of our common stock outstanding after this offering; and</w:t>
      </w:r>
    </w:p>
    <w:p>
      <w:pPr>
        <w:spacing w:after="0" w:line="86" w:lineRule="exact"/>
        <w:rPr>
          <w:rFonts w:ascii="Arial" w:cs="Arial" w:eastAsia="Arial" w:hAnsi="Arial"/>
          <w:sz w:val="18"/>
          <w:szCs w:val="18"/>
          <w:color w:val="auto"/>
        </w:rPr>
      </w:pPr>
    </w:p>
    <w:p>
      <w:pPr>
        <w:ind w:left="680" w:right="120" w:hanging="220"/>
        <w:spacing w:after="0" w:line="267" w:lineRule="auto"/>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shares of our common stock held by new investors will increase to 12,321,100, or 24.2% of the total number of shares of our common stock outstanding after this offering.</w:t>
      </w:r>
    </w:p>
    <w:p>
      <w:pPr>
        <w:spacing w:after="0" w:line="180" w:lineRule="exact"/>
        <w:rPr>
          <w:sz w:val="20"/>
          <w:szCs w:val="20"/>
          <w:color w:val="auto"/>
        </w:rPr>
      </w:pPr>
    </w:p>
    <w:p>
      <w:pPr>
        <w:ind w:firstLine="457"/>
        <w:spacing w:after="0" w:line="251" w:lineRule="auto"/>
        <w:rPr>
          <w:sz w:val="20"/>
          <w:szCs w:val="20"/>
          <w:color w:val="auto"/>
        </w:rPr>
      </w:pPr>
      <w:r>
        <w:rPr>
          <w:rFonts w:ascii="Arial" w:cs="Arial" w:eastAsia="Arial" w:hAnsi="Arial"/>
          <w:sz w:val="18"/>
          <w:szCs w:val="18"/>
          <w:color w:val="auto"/>
        </w:rPr>
        <w:t>Certain of our existing stockholders and their affiliated entities have indicated an interest in purchasing an aggregate of approximately $70.0 million in shares of our common stock in this offering at the initial public offering price.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 The foregoing discussion and tables do not reflect any potential purchases by these potential purchasers.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6"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statement of operations data for the years ended December 31, 2015 and 2016 and the balance sheet data as of December 31, 2015 and 2016 from our audited consolidated financial statements appearing at the end of this prospectus. The statement of operations data for the six months ended June 30, 2016 and 2017 and the balance sheet data as of June 30, 2017 have been derived from our unaudited condensed consolidated financial statements appearing at the end of this prospectus and have been prepared on the same basis as the audited consolidated financial statements. In the opinion of management, the unaudited condensed consolidated financial data reflects all adjustments, consisting only of normal recurring adjustments, necessary for a fair presentation of the financial information as of and for the periods presented. Our historical results are not necessarily indicative of results that should be expected in any future period, and our results for any interim period are not necessarily indicative of results that should be expected for any full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70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7"/>
          </w:tcPr>
          <w:p>
            <w:pPr>
              <w:jc w:val="right"/>
              <w:ind w:right="11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9"/>
              <w:spacing w:after="0" w:line="140"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7"/>
              <w:spacing w:after="0" w:line="140"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9"/>
              <w:spacing w:after="0" w:line="140"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7"/>
              <w:spacing w:after="0" w:line="140"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Statement of Operations Data: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160" w:type="dxa"/>
            <w:vAlign w:val="bottom"/>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13,730,311</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22,978,599</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11,152,969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17,653,143</w:t>
            </w:r>
          </w:p>
        </w:tc>
        <w:tc>
          <w:tcPr>
            <w:tcW w:w="0" w:type="dxa"/>
            <w:vAlign w:val="bottom"/>
          </w:tcPr>
          <w:p>
            <w:pPr>
              <w:spacing w:after="0"/>
              <w:rPr>
                <w:sz w:val="1"/>
                <w:szCs w:val="1"/>
                <w:color w:val="auto"/>
              </w:rPr>
            </w:pPr>
          </w:p>
        </w:tc>
      </w:tr>
      <w:tr>
        <w:trPr>
          <w:trHeight w:val="200"/>
        </w:trPr>
        <w:tc>
          <w:tcPr>
            <w:tcW w:w="6160" w:type="dxa"/>
            <w:vAlign w:val="bottom"/>
          </w:tcPr>
          <w:p>
            <w:pPr>
              <w:ind w:left="340"/>
              <w:spacing w:after="0"/>
              <w:rPr>
                <w:sz w:val="20"/>
                <w:szCs w:val="20"/>
                <w:color w:val="auto"/>
              </w:rPr>
            </w:pPr>
            <w:r>
              <w:rPr>
                <w:rFonts w:ascii="Arial" w:cs="Arial" w:eastAsia="Arial" w:hAnsi="Arial"/>
                <w:sz w:val="17"/>
                <w:szCs w:val="17"/>
                <w:color w:val="auto"/>
              </w:rPr>
              <w:t>Cost of acquired in-process research and development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26,486,000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6,356,782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4,303,743</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2,216,322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3,531,753</w:t>
            </w:r>
          </w:p>
        </w:tc>
        <w:tc>
          <w:tcPr>
            <w:tcW w:w="0" w:type="dxa"/>
            <w:vAlign w:val="bottom"/>
          </w:tcPr>
          <w:p>
            <w:pPr>
              <w:spacing w:after="0"/>
              <w:rPr>
                <w:sz w:val="1"/>
                <w:szCs w:val="1"/>
                <w:color w:val="auto"/>
              </w:rPr>
            </w:pPr>
          </w:p>
        </w:tc>
      </w:tr>
      <w:tr>
        <w:trPr>
          <w:trHeight w:val="207"/>
        </w:trPr>
        <w:tc>
          <w:tcPr>
            <w:tcW w:w="6160" w:type="dxa"/>
            <w:vAlign w:val="bottom"/>
          </w:tcPr>
          <w:p>
            <w:pPr>
              <w:spacing w:after="0"/>
              <w:rPr>
                <w:sz w:val="20"/>
                <w:szCs w:val="20"/>
                <w:color w:val="auto"/>
              </w:rPr>
            </w:pPr>
            <w:r>
              <w:rPr>
                <w:rFonts w:ascii="Arial" w:cs="Arial" w:eastAsia="Arial" w:hAnsi="Arial"/>
                <w:sz w:val="17"/>
                <w:szCs w:val="17"/>
                <w:color w:val="auto"/>
              </w:rPr>
              <w:t>Operating loss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(46,573,093)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(27,282,342)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(13,369,291)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(21,184,896)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57,137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157,705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75,347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7"/>
                <w:szCs w:val="17"/>
                <w:color w:val="auto"/>
              </w:rPr>
              <w:t>7,971</w:t>
            </w:r>
          </w:p>
        </w:tc>
        <w:tc>
          <w:tcPr>
            <w:tcW w:w="0" w:type="dxa"/>
            <w:vAlign w:val="bottom"/>
          </w:tcPr>
          <w:p>
            <w:pPr>
              <w:spacing w:after="0"/>
              <w:rPr>
                <w:sz w:val="1"/>
                <w:szCs w:val="1"/>
                <w:color w:val="auto"/>
              </w:rPr>
            </w:pPr>
          </w:p>
        </w:tc>
      </w:tr>
      <w:tr>
        <w:trPr>
          <w:trHeight w:val="207"/>
        </w:trPr>
        <w:tc>
          <w:tcPr>
            <w:tcW w:w="61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(46,515,956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(27,124,637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(13,293,944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(21,176,925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loss per common share, basic and diluted(1)</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61"/>
              <w:spacing w:after="0" w:line="194" w:lineRule="exact"/>
              <w:rPr>
                <w:sz w:val="20"/>
                <w:szCs w:val="20"/>
                <w:color w:val="auto"/>
              </w:rPr>
            </w:pPr>
            <w:r>
              <w:rPr>
                <w:rFonts w:ascii="Arial" w:cs="Arial" w:eastAsia="Arial" w:hAnsi="Arial"/>
                <w:sz w:val="17"/>
                <w:szCs w:val="17"/>
                <w:color w:val="auto"/>
              </w:rPr>
              <w:t>(8.03)</w:t>
            </w:r>
          </w:p>
        </w:tc>
        <w:tc>
          <w:tcPr>
            <w:tcW w:w="320" w:type="dxa"/>
            <w:vAlign w:val="bottom"/>
            <w:gridSpan w:val="2"/>
            <w:shd w:val="clear" w:color="auto" w:fill="CCEEFF"/>
          </w:tcPr>
          <w:p>
            <w:pPr>
              <w:jc w:val="right"/>
              <w:ind w:right="26"/>
              <w:spacing w:after="0" w:line="194" w:lineRule="exact"/>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300"/>
              <w:spacing w:after="0" w:line="194" w:lineRule="exact"/>
              <w:rPr>
                <w:sz w:val="20"/>
                <w:szCs w:val="20"/>
                <w:color w:val="auto"/>
              </w:rPr>
            </w:pPr>
            <w:r>
              <w:rPr>
                <w:rFonts w:ascii="Arial" w:cs="Arial" w:eastAsia="Arial" w:hAnsi="Arial"/>
                <w:sz w:val="17"/>
                <w:szCs w:val="17"/>
                <w:color w:val="auto"/>
              </w:rPr>
              <w:t>(3.22)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1"/>
              <w:spacing w:after="0" w:line="194" w:lineRule="exact"/>
              <w:rPr>
                <w:sz w:val="20"/>
                <w:szCs w:val="20"/>
                <w:color w:val="auto"/>
              </w:rPr>
            </w:pPr>
            <w:r>
              <w:rPr>
                <w:rFonts w:ascii="Arial" w:cs="Arial" w:eastAsia="Arial" w:hAnsi="Arial"/>
                <w:sz w:val="17"/>
                <w:szCs w:val="17"/>
                <w:color w:val="auto"/>
              </w:rPr>
              <w:t>(1.58)</w:t>
            </w:r>
          </w:p>
        </w:tc>
        <w:tc>
          <w:tcPr>
            <w:tcW w:w="3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
              <w:spacing w:after="0" w:line="194" w:lineRule="exact"/>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w w:val="94"/>
              </w:rPr>
              <w:t>Weighted-average number of common shares used in computing net loss per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7"/>
                <w:szCs w:val="17"/>
                <w:color w:val="auto"/>
              </w:rPr>
              <w:t>share, basic and diluted(1)</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5,795,040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8,428,366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7"/>
                <w:szCs w:val="17"/>
                <w:color w:val="auto"/>
              </w:rPr>
              <w:t>8,428,366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7"/>
                <w:szCs w:val="17"/>
                <w:color w:val="auto"/>
              </w:rPr>
              <w:t>8,428,366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 per share, basic and diluted (unaudited)(1)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(0.71)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
              <w:spacing w:after="0"/>
              <w:rPr>
                <w:sz w:val="20"/>
                <w:szCs w:val="20"/>
                <w:color w:val="auto"/>
              </w:rPr>
            </w:pPr>
            <w:r>
              <w:rPr>
                <w:rFonts w:ascii="Arial" w:cs="Arial" w:eastAsia="Arial" w:hAnsi="Arial"/>
                <w:sz w:val="17"/>
                <w:szCs w:val="17"/>
                <w:color w:val="auto"/>
              </w:rPr>
              <w:t>(0.55)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color w:val="auto"/>
                <w:w w:val="93"/>
              </w:rPr>
              <w:t>Weighted-average number of common shares used in computing pro forma net loss per</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7"/>
                <w:szCs w:val="17"/>
                <w:color w:val="auto"/>
              </w:rPr>
              <w:t>common share, basic and diluted (unaudited)(1)</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w w:val="93"/>
              </w:rPr>
              <w:t>38,411,582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7"/>
                <w:szCs w:val="17"/>
                <w:color w:val="auto"/>
              </w:rPr>
              <w:t>38,592,164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283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2" w:lineRule="exact"/>
        <w:rPr>
          <w:sz w:val="20"/>
          <w:szCs w:val="20"/>
          <w:color w:val="auto"/>
        </w:rPr>
      </w:pPr>
    </w:p>
    <w:p>
      <w:pPr>
        <w:jc w:val="both"/>
        <w:ind w:right="20" w:firstLine="463"/>
        <w:spacing w:after="0" w:line="257" w:lineRule="auto"/>
        <w:tabs>
          <w:tab w:leader="none" w:pos="6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See Note 12 in the notes to our audited consolidated financial statements and Note 8 in the notes to our unaudited condensed consolidated financial statements appearing at the end of this prospectus for a description of the method used to calculate basic and diluted net loss per common share and pro forma basic and diluted net loss per common share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60" w:type="dxa"/>
            <w:vAlign w:val="bottom"/>
          </w:tcPr>
          <w:p>
            <w:pPr>
              <w:spacing w:after="0"/>
              <w:rPr>
                <w:sz w:val="14"/>
                <w:szCs w:val="14"/>
                <w:color w:val="auto"/>
              </w:rPr>
            </w:pPr>
          </w:p>
        </w:tc>
        <w:tc>
          <w:tcPr>
            <w:tcW w:w="296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As of June 30,</w:t>
            </w:r>
          </w:p>
        </w:tc>
      </w:tr>
      <w:tr>
        <w:trPr>
          <w:trHeight w:val="140"/>
        </w:trPr>
        <w:tc>
          <w:tcPr>
            <w:tcW w:w="73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0"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0"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9"/>
              <w:spacing w:after="0" w:line="140"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80"/>
        </w:trPr>
        <w:tc>
          <w:tcPr>
            <w:tcW w:w="736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Balance Sheet Data:</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73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w w:val="90"/>
              </w:rPr>
              <w:t>$ 36,003,546</w:t>
            </w:r>
          </w:p>
        </w:tc>
        <w:tc>
          <w:tcPr>
            <w:tcW w:w="920" w:type="dxa"/>
            <w:vAlign w:val="bottom"/>
          </w:tcPr>
          <w:p>
            <w:pPr>
              <w:jc w:val="right"/>
              <w:spacing w:after="0"/>
              <w:rPr>
                <w:sz w:val="20"/>
                <w:szCs w:val="20"/>
                <w:color w:val="auto"/>
              </w:rPr>
            </w:pPr>
            <w:r>
              <w:rPr>
                <w:rFonts w:ascii="Arial" w:cs="Arial" w:eastAsia="Arial" w:hAnsi="Arial"/>
                <w:sz w:val="17"/>
                <w:szCs w:val="17"/>
                <w:color w:val="auto"/>
                <w:w w:val="90"/>
              </w:rPr>
              <w:t>$ 24,863,488</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8"/>
              </w:rPr>
              <w:t>$   4,939,087</w:t>
            </w:r>
          </w:p>
        </w:tc>
        <w:tc>
          <w:tcPr>
            <w:tcW w:w="100" w:type="dxa"/>
            <w:vAlign w:val="bottom"/>
          </w:tcPr>
          <w:p>
            <w:pPr>
              <w:spacing w:after="0"/>
              <w:rPr>
                <w:sz w:val="17"/>
                <w:szCs w:val="17"/>
                <w:color w:val="auto"/>
              </w:rPr>
            </w:pPr>
          </w:p>
        </w:tc>
      </w:tr>
      <w:tr>
        <w:trPr>
          <w:trHeight w:val="20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34,843,678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23,729,792</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3,200,068</w:t>
            </w:r>
          </w:p>
        </w:tc>
        <w:tc>
          <w:tcPr>
            <w:tcW w:w="100" w:type="dxa"/>
            <w:vAlign w:val="bottom"/>
            <w:shd w:val="clear" w:color="auto" w:fill="CCEEFF"/>
          </w:tcPr>
          <w:p>
            <w:pPr>
              <w:spacing w:after="0"/>
              <w:rPr>
                <w:sz w:val="17"/>
                <w:szCs w:val="17"/>
                <w:color w:val="auto"/>
              </w:rPr>
            </w:pPr>
          </w:p>
        </w:tc>
      </w:tr>
      <w:tr>
        <w:trPr>
          <w:trHeight w:val="200"/>
        </w:trPr>
        <w:tc>
          <w:tcPr>
            <w:tcW w:w="7360" w:type="dxa"/>
            <w:vAlign w:val="bottom"/>
          </w:tcPr>
          <w:p>
            <w:pPr>
              <w:spacing w:after="0"/>
              <w:rPr>
                <w:sz w:val="20"/>
                <w:szCs w:val="20"/>
                <w:color w:val="auto"/>
              </w:rPr>
            </w:pPr>
            <w:r>
              <w:rPr>
                <w:rFonts w:ascii="Arial" w:cs="Arial" w:eastAsia="Arial" w:hAnsi="Arial"/>
                <w:sz w:val="17"/>
                <w:szCs w:val="17"/>
                <w:color w:val="auto"/>
              </w:rPr>
              <w:t>Total assets</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38,177,109</w:t>
            </w:r>
          </w:p>
        </w:tc>
        <w:tc>
          <w:tcPr>
            <w:tcW w:w="920" w:type="dxa"/>
            <w:vAlign w:val="bottom"/>
          </w:tcPr>
          <w:p>
            <w:pPr>
              <w:jc w:val="right"/>
              <w:spacing w:after="0"/>
              <w:rPr>
                <w:sz w:val="20"/>
                <w:szCs w:val="20"/>
                <w:color w:val="auto"/>
              </w:rPr>
            </w:pPr>
            <w:r>
              <w:rPr>
                <w:rFonts w:ascii="Arial" w:cs="Arial" w:eastAsia="Arial" w:hAnsi="Arial"/>
                <w:sz w:val="17"/>
                <w:szCs w:val="17"/>
                <w:color w:val="auto"/>
              </w:rPr>
              <w:t>27,433,258</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9,444,597</w:t>
            </w:r>
          </w:p>
        </w:tc>
        <w:tc>
          <w:tcPr>
            <w:tcW w:w="100" w:type="dxa"/>
            <w:vAlign w:val="bottom"/>
          </w:tcPr>
          <w:p>
            <w:pPr>
              <w:spacing w:after="0"/>
              <w:rPr>
                <w:sz w:val="17"/>
                <w:szCs w:val="17"/>
                <w:color w:val="auto"/>
              </w:rPr>
            </w:pPr>
          </w:p>
        </w:tc>
      </w:tr>
      <w:tr>
        <w:trPr>
          <w:trHeight w:val="20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3,200,160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3,638,938</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6,118,369</w:t>
            </w:r>
          </w:p>
        </w:tc>
      </w:tr>
      <w:tr>
        <w:trPr>
          <w:trHeight w:val="200"/>
        </w:trPr>
        <w:tc>
          <w:tcPr>
            <w:tcW w:w="736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77,191,906</w:t>
            </w:r>
          </w:p>
        </w:tc>
        <w:tc>
          <w:tcPr>
            <w:tcW w:w="920" w:type="dxa"/>
            <w:vAlign w:val="bottom"/>
          </w:tcPr>
          <w:p>
            <w:pPr>
              <w:jc w:val="right"/>
              <w:spacing w:after="0"/>
              <w:rPr>
                <w:sz w:val="20"/>
                <w:szCs w:val="20"/>
                <w:color w:val="auto"/>
              </w:rPr>
            </w:pPr>
            <w:r>
              <w:rPr>
                <w:rFonts w:ascii="Arial" w:cs="Arial" w:eastAsia="Arial" w:hAnsi="Arial"/>
                <w:sz w:val="17"/>
                <w:szCs w:val="17"/>
                <w:color w:val="auto"/>
              </w:rPr>
              <w:t>92,054,926</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92,054,926</w:t>
            </w:r>
          </w:p>
        </w:tc>
        <w:tc>
          <w:tcPr>
            <w:tcW w:w="100" w:type="dxa"/>
            <w:vAlign w:val="bottom"/>
          </w:tcPr>
          <w:p>
            <w:pPr>
              <w:spacing w:after="0"/>
              <w:rPr>
                <w:sz w:val="17"/>
                <w:szCs w:val="17"/>
                <w:color w:val="auto"/>
              </w:rPr>
            </w:pPr>
          </w:p>
        </w:tc>
      </w:tr>
      <w:tr>
        <w:trPr>
          <w:trHeight w:val="200"/>
        </w:trPr>
        <w:tc>
          <w:tcPr>
            <w:tcW w:w="73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9"/>
              </w:rPr>
              <w:t>(71,132,922)</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w w:val="99"/>
              </w:rPr>
              <w:t>(98,257,559)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(119,434,484)</w:t>
            </w:r>
          </w:p>
        </w:tc>
      </w:tr>
      <w:tr>
        <w:trPr>
          <w:trHeight w:val="214"/>
        </w:trPr>
        <w:tc>
          <w:tcPr>
            <w:tcW w:w="736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34,976,949</w:t>
            </w:r>
          </w:p>
        </w:tc>
        <w:tc>
          <w:tcPr>
            <w:tcW w:w="920" w:type="dxa"/>
            <w:vAlign w:val="bottom"/>
          </w:tcPr>
          <w:p>
            <w:pPr>
              <w:jc w:val="right"/>
              <w:spacing w:after="0"/>
              <w:rPr>
                <w:sz w:val="20"/>
                <w:szCs w:val="20"/>
                <w:color w:val="auto"/>
              </w:rPr>
            </w:pPr>
            <w:r>
              <w:rPr>
                <w:rFonts w:ascii="Arial" w:cs="Arial" w:eastAsia="Arial" w:hAnsi="Arial"/>
                <w:sz w:val="17"/>
                <w:szCs w:val="17"/>
                <w:color w:val="auto"/>
              </w:rPr>
              <w:t>23,794,320</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3,326,228</w:t>
            </w:r>
          </w:p>
        </w:tc>
        <w:tc>
          <w:tcPr>
            <w:tcW w:w="100" w:type="dxa"/>
            <w:vAlign w:val="bottom"/>
          </w:tcPr>
          <w:p>
            <w:pPr>
              <w:spacing w:after="0"/>
              <w:rPr>
                <w:sz w:val="18"/>
                <w:szCs w:val="18"/>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6"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of this prospectus titled “Selected Consolidated Financial Data” and our consolidated financial statements and related notes included elsewhere in this prospectus. This discussion and other parts of this prospectus contain forward-looking statements that involve risk and uncertainties, such as statements of our plans, objectives, expectations and intentions.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91"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believe that our lead product candidate, APL-2, has the potential to be a best-in-class treatment that may address the limitations of existing treatment options or provide a treatment option where there currently is none. APL-2 has already shown activity that we believe is clinically meaningful in clinical trials for two distinct medical conditions—geographic atrophy in age-related macular degeneration, or GA, and paroxysmal nocturnal hemoglobinuria, or PNH—and we plan to conduct clinical trials in additional complement-dependent diseases. In our ongoing Phase 2 trial of APL-2 in patients with GA, treatment with APL-2 resulted in a significant reduction in the rate of GA lesion growth over 12 months, and in our two ongoing Phase 1b trials in PNH, APL-2 achieved improvements in transfusion dependency, hemoglobin levels and other hematological indicators that we believe are clinically meaningful. We hold worldwide commercialization rights to APL-2. We are also developing other novel compounds targeting C3.</w:t>
      </w:r>
    </w:p>
    <w:p>
      <w:pPr>
        <w:spacing w:after="0" w:line="78" w:lineRule="exact"/>
        <w:rPr>
          <w:sz w:val="20"/>
          <w:szCs w:val="20"/>
          <w:color w:val="auto"/>
        </w:rPr>
      </w:pPr>
    </w:p>
    <w:p>
      <w:pPr>
        <w:ind w:right="140" w:firstLine="457"/>
        <w:spacing w:after="0" w:line="251" w:lineRule="auto"/>
        <w:rPr>
          <w:sz w:val="20"/>
          <w:szCs w:val="20"/>
          <w:color w:val="auto"/>
        </w:rPr>
      </w:pPr>
      <w:r>
        <w:rPr>
          <w:rFonts w:ascii="Arial" w:cs="Arial" w:eastAsia="Arial" w:hAnsi="Arial"/>
          <w:sz w:val="18"/>
          <w:szCs w:val="18"/>
          <w:color w:val="auto"/>
        </w:rPr>
        <w:t>Since our commencement of operations in May 2010, we have devoted substantially all of our resources to developing our proprietary technology, developing product candidates, undertaking preclinical studies and conducting clinical trials for APL-2, building our intellectual property portfolio, organizing and staffing our company, business planning, raising capital, and providing general and administrative support for these operations. To date, we have financed our operations primarily through $112.6 million in proceeds from the private placement of shares of our convertible preferred stock, $20.0 million in proceeds from borrowings under our term loan facility with Silicon Valley Bank, and $7.0 million in proceeds from our issuance and sale of a promissory note to an affiliate of one of our stockholders.</w:t>
      </w:r>
    </w:p>
    <w:p>
      <w:pPr>
        <w:spacing w:after="0" w:line="195" w:lineRule="exact"/>
        <w:rPr>
          <w:sz w:val="20"/>
          <w:szCs w:val="20"/>
          <w:color w:val="auto"/>
        </w:rPr>
      </w:pPr>
    </w:p>
    <w:p>
      <w:pPr>
        <w:ind w:right="20" w:firstLine="457"/>
        <w:spacing w:after="0" w:line="251" w:lineRule="auto"/>
        <w:rPr>
          <w:sz w:val="20"/>
          <w:szCs w:val="20"/>
          <w:color w:val="auto"/>
        </w:rPr>
      </w:pPr>
      <w:r>
        <w:rPr>
          <w:rFonts w:ascii="Arial" w:cs="Arial" w:eastAsia="Arial" w:hAnsi="Arial"/>
          <w:sz w:val="18"/>
          <w:szCs w:val="18"/>
          <w:color w:val="auto"/>
        </w:rPr>
        <w:t>In September 2015, we acquired the assets of Potentia Pharmaceuticals, Inc., or Potentia, pursuant to an asset purchase agreement with Potentia. The acquired assets consist primarily of a license agreement with the University of Pennsylvania, or Penn, that was assigned to us. This license agreement with Penn provides us with an exclusive license, under specified patent rights controlled by Penn, to develop and commercialize products covered by the licensed patent rights for ophthalmic indications. Upon the closing of the asset acquisition, we issued 3,844,352 shares of our common stock to Potentia, and incurred an in-process research and development expense of $26.5 million. Certain of our directors and officers are directors, officers and stockholders of Potentia. See “Transactions with Related Persons” for more information.</w:t>
      </w:r>
    </w:p>
    <w:p>
      <w:pPr>
        <w:spacing w:after="0" w:line="195"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We have not generated any revenue from product sales. We have incurred significant annual net operating losses in each year since our inception and expect to continue to incur net operating losses for the foreseeable future. Our net losses were $46.5 million and $27.1 million for the years ended December 31, 2015 and 2016, respectively, and $21.2 million for the six months ended June 30, 2017. As of June 30, 2017, we had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accumulated deficit of $119.4 million. We expect to continue to incur significant expenses and increasing operating losses for the next several years. Our net losses may fluctuate significantly from quarter to quarter and year to year. We anticipate that our expenses will increase significantly if and as we continue to develop and conduct clinical trials in our current and new indications with APL-2, including our planned Phase 3 trials in GA and PNH;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in the future to commercialize any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 In addition, upon the closing of this offering, we expect to incur additional costs associated with operating as a public company.</w:t>
      </w:r>
    </w:p>
    <w:p>
      <w:pPr>
        <w:spacing w:after="0" w:line="174"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As of June 30, 2017, we had cash and cash equivalents of $4.9 million. Without giving effect to the net proceeds from our sale of the series E convertible preferred stock in August 2017, our borrowings under our $20.0 million term loan facility with Silicon Valley Bank and a $7.0 million promissory note issued to an affiliate of one of our stockholders in October 2017 and the anticipated net proceeds from this offering, we do not believe that those cash and cash equivalents will be sufficient to enable us to fund our current operations for longer than 12 months following June 30, 2017, and have therefore concluded that this circumstance raises substantial doubt about our ability to continue as a going concern. See Note 1 to our unaudited condensed consolidated financial statements appearing at the end of this prospectus for additional information on our assessment. Similarly, the report of our independent registered public accounting firm on our consolidated financial statements as of and for the year ended December 31, 2016 includes an explanatory paragraph indicating that there is substantial doubt about our ability to continue as a going concern. We believe that the net proceeds of this offering, together with our existing cash and cash equivalents, including the net proceeds from our sale of series E convertible preferred stock and our borrowings under our term loan facility and promissory note, will be sufficient to fund our operations through the first quarter of 2019 and that the uncertainty regarding our ability to continue as a going concern will be mitigated if we complete this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113" w:lineRule="exact"/>
        <w:rPr>
          <w:sz w:val="20"/>
          <w:szCs w:val="20"/>
          <w:color w:val="auto"/>
        </w:rPr>
      </w:pPr>
    </w:p>
    <w:p>
      <w:pPr>
        <w:ind w:right="420" w:firstLine="457"/>
        <w:spacing w:after="0" w:line="297" w:lineRule="auto"/>
        <w:rPr>
          <w:sz w:val="20"/>
          <w:szCs w:val="20"/>
          <w:color w:val="auto"/>
        </w:rPr>
      </w:pPr>
      <w:r>
        <w:rPr>
          <w:rFonts w:ascii="Arial" w:cs="Arial" w:eastAsia="Arial" w:hAnsi="Arial"/>
          <w:sz w:val="17"/>
          <w:szCs w:val="17"/>
          <w:color w:val="auto"/>
        </w:rPr>
        <w:t>We have not generated any revenue from product sales and do not expect to generate any revenue from the sale of products in the near future. In the future, we will seek to generate revenue primarily from a combination of product sales and collaborations with strategic partners.</w:t>
      </w:r>
    </w:p>
    <w:p>
      <w:pPr>
        <w:spacing w:after="0" w:line="2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3" w:lineRule="exact"/>
        <w:rPr>
          <w:sz w:val="20"/>
          <w:szCs w:val="20"/>
          <w:color w:val="auto"/>
        </w:rPr>
      </w:pPr>
    </w:p>
    <w:p>
      <w:pPr>
        <w:ind w:right="740" w:firstLine="457"/>
        <w:spacing w:after="0" w:line="26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86" w:lineRule="exact"/>
        <w:rPr>
          <w:sz w:val="20"/>
          <w:szCs w:val="20"/>
          <w:color w:val="auto"/>
        </w:rPr>
      </w:pPr>
    </w:p>
    <w:p>
      <w:pPr>
        <w:ind w:left="680" w:hanging="2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and share-based compensation expense;</w:t>
      </w:r>
    </w:p>
    <w:p>
      <w:pPr>
        <w:spacing w:after="0" w:line="126" w:lineRule="exact"/>
        <w:rPr>
          <w:rFonts w:ascii="Arial" w:cs="Arial" w:eastAsia="Arial" w:hAnsi="Arial"/>
          <w:sz w:val="18"/>
          <w:szCs w:val="18"/>
          <w:color w:val="auto"/>
        </w:rPr>
      </w:pPr>
    </w:p>
    <w:p>
      <w:pPr>
        <w:ind w:left="680" w:hanging="220"/>
        <w:spacing w:after="0" w:line="257" w:lineRule="auto"/>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consultants, including share-based compensation expense;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various other expenses incident to the management of our preclinical studies and clinical trials.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performed. We have not provided program costs since inception because historically we have not tracked or recorded our research and development expenses on a program-by-program basis.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most advanced research and development programs:</w:t>
      </w:r>
    </w:p>
    <w:p>
      <w:pPr>
        <w:spacing w:after="0" w:line="126" w:lineRule="exact"/>
        <w:rPr>
          <w:sz w:val="20"/>
          <w:szCs w:val="20"/>
          <w:color w:val="auto"/>
        </w:rPr>
      </w:pPr>
    </w:p>
    <w:p>
      <w:pPr>
        <w:ind w:left="680" w:right="40" w:hanging="220"/>
        <w:spacing w:after="0" w:line="252" w:lineRule="auto"/>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GA</w:t>
      </w:r>
      <w:r>
        <w:rPr>
          <w:rFonts w:ascii="Arial" w:cs="Arial" w:eastAsia="Arial" w:hAnsi="Arial"/>
          <w:sz w:val="18"/>
          <w:szCs w:val="18"/>
          <w:color w:val="auto"/>
        </w:rPr>
        <w:t>. We are developing APL-2 for the treatment of GA by intravitreal injection, which is an injection directly into the eye. GA is an advanced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age-related macular degeneration, which is a disorder of the central portion of the retina, characterized by progressive retinal cell death. We completed a Phase 1 clinical trial in patients with wet age-related macular degeneration in 2016, and are currently conducting a Phase 2 clinical trial of patients with GA. We plan to discuss our Phase 3 program in GA with the U.S. Food and Drug Administration, or the FDA, and to initiate Phase 3 clinical trials of APL-2 in patients with GA in the second half of 2018.</w:t>
      </w:r>
    </w:p>
    <w:p>
      <w:pPr>
        <w:spacing w:after="0" w:line="100" w:lineRule="exact"/>
        <w:rPr>
          <w:rFonts w:ascii="Arial" w:cs="Arial" w:eastAsia="Arial" w:hAnsi="Arial"/>
          <w:sz w:val="18"/>
          <w:szCs w:val="18"/>
          <w:color w:val="auto"/>
        </w:rPr>
      </w:pPr>
    </w:p>
    <w:p>
      <w:pPr>
        <w:ind w:left="680" w:right="20" w:hanging="220"/>
        <w:spacing w:after="0" w:line="288" w:lineRule="auto"/>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PNH</w:t>
      </w:r>
      <w:r>
        <w:rPr>
          <w:rFonts w:ascii="Arial" w:cs="Arial" w:eastAsia="Arial" w:hAnsi="Arial"/>
          <w:sz w:val="16"/>
          <w:szCs w:val="16"/>
          <w:color w:val="auto"/>
        </w:rPr>
        <w:t>. We are developing APL-2 for the treatment of PNH by subcutaneous injection, which is an injection into the tissue under the skin. PNH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life-threatening rare, chronic, debilitating blood disorder characterized by the absence of certain proteins that normally regulate complement activity. We completed two Phase 1 clinical trials of APL-2 in healthy volunteers in 2016. We are currently conducting a Phase 1b clinical trial in patients with PNH being treated with eculizumab that we initiated in February 2015, and a Phase 1b clinical trial of APL-2 as a monotherapy in treatment-nalve patients with PNH that we initiated in December 2015. We plan to discuss our Phase 3 program in PNH with the FDA and to initiate in the second half of 2018 a Phase 3 clinical trial of APL-2 in patients with PNH comparing treatment with APL-2 to treatment with eculizumab as a monotherapy.</w:t>
      </w:r>
    </w:p>
    <w:p>
      <w:pPr>
        <w:spacing w:after="0" w:line="169" w:lineRule="exact"/>
        <w:rPr>
          <w:sz w:val="20"/>
          <w:szCs w:val="20"/>
          <w:color w:val="auto"/>
        </w:rPr>
      </w:pPr>
    </w:p>
    <w:p>
      <w:pPr>
        <w:ind w:right="140" w:firstLine="457"/>
        <w:spacing w:after="0" w:line="295" w:lineRule="auto"/>
        <w:rPr>
          <w:sz w:val="20"/>
          <w:szCs w:val="20"/>
          <w:color w:val="auto"/>
        </w:rPr>
      </w:pPr>
      <w:r>
        <w:rPr>
          <w:rFonts w:ascii="Arial" w:cs="Arial" w:eastAsia="Arial" w:hAnsi="Arial"/>
          <w:sz w:val="16"/>
          <w:szCs w:val="16"/>
          <w:color w:val="auto"/>
        </w:rPr>
        <w:t>We plan to initiate a Phase 2 proof-of-concept trial of APL-2 in patients with wet AMD in the first half of 2018 to evaluate the safety of APL-2 when administered with therapies that inhibit vascular endothelial growth factor, or VEGF, and then to evaluate whether treatment with APL-2 may allow wet AMD patients to reduce their dependence on anti-VEGF treatments. We also plan to initiate a Phase 2 clinical trial of APL-2 in patients with autoimmune hemolytic anemia in the first half of 2018 and a Phase 2 clinical trial of APL-2 in patients with complement-dependent nephropathies in the first half of 2018.</w:t>
      </w:r>
    </w:p>
    <w:p>
      <w:pPr>
        <w:spacing w:after="0" w:line="162"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The successful development of our product candidates is highly uncertain. Accordingly, at this time, we cannot reasonably estimate the nature, timing and costs of the efforts that will be necessary to complete the remainder of the development of these product candidates. We are also unable to predict when, if ever, material net cash inflows will commence from APL-2 or any other potential product candidates. This is due to the numerous risks and uncertainties associated with developing therapeutics, including the uncertainties of:</w:t>
      </w:r>
    </w:p>
    <w:p>
      <w:pPr>
        <w:spacing w:after="0" w:line="97" w:lineRule="exact"/>
        <w:rPr>
          <w:sz w:val="20"/>
          <w:szCs w:val="20"/>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an appropriate safety profile in preclinical studies;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acceptable safety profile of the products following approval.</w:t>
      </w:r>
    </w:p>
    <w:p>
      <w:pPr>
        <w:spacing w:after="0" w:line="22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3" w:lineRule="exact"/>
        <w:rPr>
          <w:sz w:val="20"/>
          <w:szCs w:val="20"/>
          <w:color w:val="auto"/>
        </w:rPr>
      </w:pPr>
    </w:p>
    <w:p>
      <w:pPr>
        <w:ind w:right="80" w:firstLine="457"/>
        <w:spacing w:after="0" w:line="257"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bonuses, benefits and share-based compensation. Other significant costs include facility costs not otherwise included in research and development expenses, legal fees relating to patent and corporate matters, and fees for accounting and consulting services.</w:t>
      </w:r>
    </w:p>
    <w:p>
      <w:pPr>
        <w:spacing w:after="0" w:line="188"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 candidates and increased costs of operating as a public company. These increases will likely include increased costs related to the hiring of additional personnel and fees to outside consultants, attorneys and accountants, among other expenses. Additionally, we anticipate increased costs associated with being a public company including expenses related to services associated with maintaining compliance with exchange listing and SEC requirements, insurance costs and investor relations costs.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reporting periods. On an ongoing basis, we evaluate our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20" w:firstLine="457"/>
        <w:spacing w:after="0" w:line="257"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included elsewhere in this prospectus, we believe that the following accounting policies are the most critical to aid you in fully understanding and evaluating our financial condition and results of operations.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3"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providers and make adjustments if necessary. The significant estimates in our accrued research and development expenses include the costs incurred for services performed by CROs and contract manufacturing organizations, or CMOs, in connection with research and development activities for which we have not yet been invoiced.</w:t>
      </w:r>
    </w:p>
    <w:p>
      <w:pPr>
        <w:spacing w:after="0" w:line="188"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We base our expenses related to CROs and CMOs on our estimates of the services received and efforts expended pursuant to quotes and contracts with CROs and CMOs. The financial terms of these agreements are subject to negotiation, vary from contract to contract and may result in uneven payment flows. There may be instances in which payments made to our CROs and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if our estimates of the status and timing of services performed differ from the actual status and timing of services performed, it could result in us reporting expense amounts that are too high or too low in any particular period. To date, there have been no material differences between our estimates of such expenses and the amounts actually incurred.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3"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We measure share-based awards granted to employees, consultants and members of the board of directors at fair value on the date of grant and recognize the corresponding share-based compensation expense of those awards, net of estimated forfeitures, over the requisite service period, which is generally the vesting period of the respective award. We have historically granted stock options with exercise prices equivalent to the fair value of our common stock, with reference to arms’ length transactions effected contemporaneously with the date of grant of the stock options.</w:t>
      </w:r>
    </w:p>
    <w:p>
      <w:pPr>
        <w:spacing w:after="0" w:line="177" w:lineRule="exact"/>
        <w:rPr>
          <w:sz w:val="20"/>
          <w:szCs w:val="20"/>
          <w:color w:val="auto"/>
        </w:rPr>
      </w:pPr>
    </w:p>
    <w:p>
      <w:pPr>
        <w:ind w:right="280" w:firstLine="457"/>
        <w:spacing w:after="0" w:line="267" w:lineRule="auto"/>
        <w:rPr>
          <w:sz w:val="20"/>
          <w:szCs w:val="20"/>
          <w:color w:val="auto"/>
        </w:rPr>
      </w:pPr>
      <w:r>
        <w:rPr>
          <w:rFonts w:ascii="Arial" w:cs="Arial" w:eastAsia="Arial" w:hAnsi="Arial"/>
          <w:sz w:val="18"/>
          <w:szCs w:val="18"/>
          <w:color w:val="auto"/>
        </w:rPr>
        <w:t>We measure other share-based awards granted to non-employees at fair value as of the end of each reporting period and record expense for the awards over the period in which the related services are rendered.</w:t>
      </w:r>
    </w:p>
    <w:p>
      <w:pPr>
        <w:spacing w:after="0" w:line="180"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We estimated the fair value of each stock option grant using the Monte Carlo simulation model, or Monte Carlo, for grants made on or prior to June 30, 2015 and the Black-Scholes option pricing model, or Black-Scholes, for grants made on or after July 1, 2015. We historically have been a privately-held company and lack company-specific historical and implied volatility information. Therefore, we estimate our expected volatility based on the historical volatility of a representative group of publicly traded biopharmaceutical companies and expect to continue to do so until we have adequate historical data regarding the volatility of our traded stock price. We determine the expected term of our options utilizing the probability weighted time to liquidity event at each grant date, assuming that holders of our options will exercise at the time of such liquidity event. We determine the risk-free interest rate by reference to the U.S. Treasury yield curve in effect at the time of grant of the award for time periods approximately equal to the expected term of the award. We assume an expected dividend yield of zero because we have never paid cash dividends and do not expect to pay any cash dividends in the foreseeable future.</w:t>
      </w:r>
    </w:p>
    <w:p>
      <w:pPr>
        <w:spacing w:after="0" w:line="172"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The assumptions that we used in the Monte Carlo and Black-Scholes models to estimate the fair value of stock option grants on the respective grant dates are noted in the following table: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Year Ended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69"/>
        </w:trPr>
        <w:tc>
          <w:tcPr>
            <w:tcW w:w="36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9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Pr>
          <w:p>
            <w:pPr>
              <w:spacing w:after="0"/>
              <w:rPr>
                <w:sz w:val="14"/>
                <w:szCs w:val="14"/>
                <w:color w:val="auto"/>
              </w:rPr>
            </w:pPr>
          </w:p>
        </w:tc>
        <w:tc>
          <w:tcPr>
            <w:tcW w:w="1180" w:type="dxa"/>
            <w:vAlign w:val="bottom"/>
            <w:gridSpan w:val="2"/>
          </w:tcPr>
          <w:p>
            <w:pPr>
              <w:jc w:val="center"/>
              <w:ind w:right="431"/>
              <w:spacing w:after="0"/>
              <w:rPr>
                <w:sz w:val="20"/>
                <w:szCs w:val="20"/>
                <w:color w:val="auto"/>
              </w:rPr>
            </w:pPr>
            <w:r>
              <w:rPr>
                <w:rFonts w:ascii="Arial" w:cs="Arial" w:eastAsia="Arial" w:hAnsi="Arial"/>
                <w:sz w:val="14"/>
                <w:szCs w:val="14"/>
                <w:b w:val="1"/>
                <w:bCs w:val="1"/>
                <w:color w:val="auto"/>
                <w:w w:val="89"/>
              </w:rPr>
              <w:t>June 30,</w:t>
            </w:r>
          </w:p>
        </w:tc>
      </w:tr>
      <w:tr>
        <w:trPr>
          <w:trHeight w:val="140"/>
        </w:trPr>
        <w:tc>
          <w:tcPr>
            <w:tcW w:w="36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2015</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2016</w:t>
            </w:r>
          </w:p>
        </w:tc>
        <w:tc>
          <w:tcPr>
            <w:tcW w:w="640" w:type="dxa"/>
            <w:vAlign w:val="bottom"/>
          </w:tcPr>
          <w:p>
            <w:pPr>
              <w:spacing w:after="0"/>
              <w:rPr>
                <w:sz w:val="12"/>
                <w:szCs w:val="12"/>
                <w:color w:val="auto"/>
              </w:rPr>
            </w:pPr>
          </w:p>
        </w:tc>
        <w:tc>
          <w:tcPr>
            <w:tcW w:w="5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2016</w:t>
            </w:r>
          </w:p>
        </w:tc>
        <w:tc>
          <w:tcPr>
            <w:tcW w:w="1180" w:type="dxa"/>
            <w:vAlign w:val="bottom"/>
            <w:tcBorders>
              <w:top w:val="single" w:sz="8" w:color="auto"/>
            </w:tcBorders>
            <w:gridSpan w:val="2"/>
          </w:tcPr>
          <w:p>
            <w:pPr>
              <w:jc w:val="center"/>
              <w:ind w:left="578"/>
              <w:spacing w:after="0" w:line="140" w:lineRule="exact"/>
              <w:rPr>
                <w:sz w:val="20"/>
                <w:szCs w:val="20"/>
                <w:color w:val="auto"/>
              </w:rPr>
            </w:pPr>
            <w:r>
              <w:rPr>
                <w:rFonts w:ascii="Arial" w:cs="Arial" w:eastAsia="Arial" w:hAnsi="Arial"/>
                <w:sz w:val="14"/>
                <w:szCs w:val="14"/>
                <w:b w:val="1"/>
                <w:bCs w:val="1"/>
                <w:color w:val="auto"/>
                <w:w w:val="89"/>
              </w:rPr>
              <w:t>2017</w:t>
            </w:r>
          </w:p>
        </w:tc>
      </w:tr>
      <w:tr>
        <w:trPr>
          <w:trHeight w:val="207"/>
        </w:trPr>
        <w:tc>
          <w:tcPr>
            <w:tcW w:w="36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Risk-free interest rate</w:t>
            </w:r>
          </w:p>
        </w:tc>
        <w:tc>
          <w:tcPr>
            <w:tcW w:w="3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1.61-1.87%</w:t>
            </w: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1.21-1.60%</w:t>
            </w:r>
          </w:p>
        </w:tc>
        <w:tc>
          <w:tcPr>
            <w:tcW w:w="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w:t>
            </w:r>
          </w:p>
        </w:tc>
        <w:tc>
          <w:tcPr>
            <w:tcW w:w="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1.78%</w:t>
            </w:r>
          </w:p>
        </w:tc>
      </w:tr>
      <w:tr>
        <w:trPr>
          <w:trHeight w:val="213"/>
        </w:trPr>
        <w:tc>
          <w:tcPr>
            <w:tcW w:w="3640" w:type="dxa"/>
            <w:vAlign w:val="bottom"/>
          </w:tcPr>
          <w:p>
            <w:pPr>
              <w:spacing w:after="0"/>
              <w:rPr>
                <w:sz w:val="20"/>
                <w:szCs w:val="20"/>
                <w:color w:val="auto"/>
              </w:rPr>
            </w:pPr>
            <w:r>
              <w:rPr>
                <w:rFonts w:ascii="Arial" w:cs="Arial" w:eastAsia="Arial" w:hAnsi="Arial"/>
                <w:sz w:val="18"/>
                <w:szCs w:val="18"/>
                <w:color w:val="auto"/>
              </w:rPr>
              <w:t>Dividend yield</w:t>
            </w:r>
          </w:p>
        </w:tc>
        <w:tc>
          <w:tcPr>
            <w:tcW w:w="3940" w:type="dxa"/>
            <w:vAlign w:val="bottom"/>
            <w:gridSpan w:val="2"/>
          </w:tcPr>
          <w:p>
            <w:pPr>
              <w:jc w:val="center"/>
              <w:ind w:left="3011"/>
              <w:spacing w:after="0"/>
              <w:rPr>
                <w:sz w:val="20"/>
                <w:szCs w:val="20"/>
                <w:color w:val="auto"/>
              </w:rPr>
            </w:pPr>
            <w:r>
              <w:rPr>
                <w:rFonts w:ascii="Arial" w:cs="Arial" w:eastAsia="Arial" w:hAnsi="Arial"/>
                <w:sz w:val="18"/>
                <w:szCs w:val="18"/>
                <w:color w:val="auto"/>
                <w:w w:val="92"/>
              </w:rPr>
              <w:t>0%</w:t>
            </w:r>
          </w:p>
        </w:tc>
        <w:tc>
          <w:tcPr>
            <w:tcW w:w="6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6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80" w:type="dxa"/>
            <w:vAlign w:val="bottom"/>
            <w:gridSpan w:val="2"/>
          </w:tcPr>
          <w:p>
            <w:pPr>
              <w:jc w:val="center"/>
              <w:ind w:left="578"/>
              <w:spacing w:after="0"/>
              <w:rPr>
                <w:sz w:val="20"/>
                <w:szCs w:val="20"/>
                <w:color w:val="auto"/>
              </w:rPr>
            </w:pPr>
            <w:r>
              <w:rPr>
                <w:rFonts w:ascii="Arial" w:cs="Arial" w:eastAsia="Arial" w:hAnsi="Arial"/>
                <w:sz w:val="18"/>
                <w:szCs w:val="18"/>
                <w:color w:val="auto"/>
                <w:w w:val="92"/>
              </w:rPr>
              <w:t>0%</w:t>
            </w:r>
          </w:p>
        </w:tc>
      </w:tr>
      <w:tr>
        <w:trPr>
          <w:trHeight w:val="21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940" w:type="dxa"/>
            <w:vAlign w:val="bottom"/>
            <w:gridSpan w:val="2"/>
            <w:shd w:val="clear" w:color="auto" w:fill="CCEEFF"/>
          </w:tcPr>
          <w:p>
            <w:pPr>
              <w:jc w:val="center"/>
              <w:ind w:left="3011"/>
              <w:spacing w:after="0"/>
              <w:rPr>
                <w:sz w:val="20"/>
                <w:szCs w:val="20"/>
                <w:color w:val="auto"/>
              </w:rPr>
            </w:pPr>
            <w:r>
              <w:rPr>
                <w:rFonts w:ascii="Arial" w:cs="Arial" w:eastAsia="Arial" w:hAnsi="Arial"/>
                <w:sz w:val="18"/>
                <w:szCs w:val="18"/>
                <w:color w:val="auto"/>
                <w:w w:val="91"/>
              </w:rPr>
              <w:t>78.1-93.5%</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52.0-78.1%</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78.1%</w:t>
            </w:r>
          </w:p>
        </w:tc>
        <w:tc>
          <w:tcPr>
            <w:tcW w:w="1180" w:type="dxa"/>
            <w:vAlign w:val="bottom"/>
            <w:gridSpan w:val="2"/>
            <w:shd w:val="clear" w:color="auto" w:fill="CCEEFF"/>
          </w:tcPr>
          <w:p>
            <w:pPr>
              <w:jc w:val="center"/>
              <w:ind w:left="558"/>
              <w:spacing w:after="0"/>
              <w:rPr>
                <w:sz w:val="20"/>
                <w:szCs w:val="20"/>
                <w:color w:val="auto"/>
              </w:rPr>
            </w:pPr>
            <w:r>
              <w:rPr>
                <w:rFonts w:ascii="Arial" w:cs="Arial" w:eastAsia="Arial" w:hAnsi="Arial"/>
                <w:sz w:val="18"/>
                <w:szCs w:val="18"/>
                <w:color w:val="auto"/>
                <w:w w:val="90"/>
              </w:rPr>
              <w:t>53.0%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Expected terms (years)</w:t>
            </w:r>
          </w:p>
        </w:tc>
        <w:tc>
          <w:tcPr>
            <w:tcW w:w="3940" w:type="dxa"/>
            <w:vAlign w:val="bottom"/>
            <w:gridSpan w:val="2"/>
          </w:tcPr>
          <w:p>
            <w:pPr>
              <w:jc w:val="center"/>
              <w:ind w:left="3011"/>
              <w:spacing w:after="0"/>
              <w:rPr>
                <w:sz w:val="20"/>
                <w:szCs w:val="20"/>
                <w:color w:val="auto"/>
              </w:rPr>
            </w:pPr>
            <w:r>
              <w:rPr>
                <w:rFonts w:ascii="Arial" w:cs="Arial" w:eastAsia="Arial" w:hAnsi="Arial"/>
                <w:sz w:val="18"/>
                <w:szCs w:val="18"/>
                <w:color w:val="auto"/>
                <w:w w:val="92"/>
              </w:rPr>
              <w:t>5.4-6.2</w:t>
            </w:r>
          </w:p>
        </w:tc>
        <w:tc>
          <w:tcPr>
            <w:tcW w:w="6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5.2-5.7</w:t>
            </w:r>
          </w:p>
        </w:tc>
        <w:tc>
          <w:tcPr>
            <w:tcW w:w="6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1180" w:type="dxa"/>
            <w:vAlign w:val="bottom"/>
            <w:gridSpan w:val="2"/>
          </w:tcPr>
          <w:p>
            <w:pPr>
              <w:jc w:val="center"/>
              <w:ind w:left="558"/>
              <w:spacing w:after="0"/>
              <w:rPr>
                <w:sz w:val="20"/>
                <w:szCs w:val="20"/>
                <w:color w:val="auto"/>
              </w:rPr>
            </w:pPr>
            <w:r>
              <w:rPr>
                <w:rFonts w:ascii="Arial" w:cs="Arial" w:eastAsia="Arial" w:hAnsi="Arial"/>
                <w:sz w:val="18"/>
                <w:szCs w:val="18"/>
                <w:color w:val="auto"/>
                <w:w w:val="87"/>
              </w:rPr>
              <w:t>5.2</w:t>
            </w:r>
          </w:p>
        </w:tc>
      </w:tr>
      <w:tr>
        <w:trPr>
          <w:trHeight w:val="348"/>
        </w:trPr>
        <w:tc>
          <w:tcPr>
            <w:tcW w:w="3640" w:type="dxa"/>
            <w:vAlign w:val="bottom"/>
          </w:tcPr>
          <w:p>
            <w:pPr>
              <w:spacing w:after="0"/>
              <w:rPr>
                <w:sz w:val="24"/>
                <w:szCs w:val="24"/>
                <w:color w:val="auto"/>
              </w:rPr>
            </w:pPr>
          </w:p>
        </w:tc>
        <w:tc>
          <w:tcPr>
            <w:tcW w:w="3100" w:type="dxa"/>
            <w:vAlign w:val="bottom"/>
          </w:tcPr>
          <w:p>
            <w:pPr>
              <w:jc w:val="right"/>
              <w:ind w:right="851"/>
              <w:spacing w:after="0"/>
              <w:rPr>
                <w:sz w:val="20"/>
                <w:szCs w:val="20"/>
                <w:color w:val="auto"/>
              </w:rPr>
            </w:pPr>
            <w:r>
              <w:rPr>
                <w:rFonts w:ascii="Arial" w:cs="Arial" w:eastAsia="Arial" w:hAnsi="Arial"/>
                <w:sz w:val="18"/>
                <w:szCs w:val="18"/>
                <w:color w:val="auto"/>
              </w:rPr>
              <w:t>71</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These assumptions represent our best estimates, but the estimates involve inherent uncertainties and the application of our judgment. As a result, if factors change and we use significantly different assumptions or estimates, our share-based compensation expense could be materially different. We recognize share-based compensation expense for only the portion of awards that are expected to vest. In developing a forfeiture rate estimate for pre-vesting forfeitures, we have considered our historical experience of actual forfeitures. If our future actual forfeiture rate is materially different from our estimate, our share-based compensation expense could be significantly different from what we have recorded in the prior periods. Effective January 1, 2017, we adopted ASU 2016-09, which resulted in the adoption of a change in accounting policy to recognize forfeitures of awards as they occur instead of estimating potential forfeitures. There was no impact on the financial statements as a result of this change in accounting policy as our historic forfeiture rate was estimated as 0%.</w:t>
      </w:r>
    </w:p>
    <w:p>
      <w:pPr>
        <w:spacing w:after="0" w:line="167" w:lineRule="exact"/>
        <w:rPr>
          <w:sz w:val="20"/>
          <w:szCs w:val="20"/>
          <w:color w:val="auto"/>
        </w:rPr>
      </w:pPr>
    </w:p>
    <w:p>
      <w:pPr>
        <w:ind w:right="160" w:firstLine="457"/>
        <w:spacing w:after="0" w:line="257" w:lineRule="auto"/>
        <w:rPr>
          <w:sz w:val="20"/>
          <w:szCs w:val="20"/>
          <w:color w:val="auto"/>
        </w:rPr>
      </w:pPr>
      <w:r>
        <w:rPr>
          <w:rFonts w:ascii="Arial" w:cs="Arial" w:eastAsia="Arial" w:hAnsi="Arial"/>
          <w:sz w:val="18"/>
          <w:szCs w:val="18"/>
          <w:color w:val="auto"/>
        </w:rPr>
        <w:t>The table below summarizes the classification of our share-based compensation expense recognized in our statements of operations. The research and development expense relates to share-based compensation expense for stock options granted to consultants, and the general and administrative expense relates to share-based compensation for stock options granted to employees.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w w:val="98"/>
              </w:rPr>
              <w:t>Year Ended December 31,</w:t>
            </w:r>
          </w:p>
        </w:tc>
        <w:tc>
          <w:tcPr>
            <w:tcW w:w="18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3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0"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40"/>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Research and development</w:t>
            </w:r>
          </w:p>
        </w:tc>
        <w:tc>
          <w:tcPr>
            <w:tcW w:w="20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$ 171,388</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377,776</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$ 224,503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343,164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374,313</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701,212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502,302</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365,669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share-based compensation expense</w:t>
            </w:r>
          </w:p>
        </w:tc>
        <w:tc>
          <w:tcPr>
            <w:tcW w:w="2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$ 545,701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1,078,988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$ 726,805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708,833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Valuations of Common Stock</w:t>
      </w:r>
    </w:p>
    <w:p>
      <w:pPr>
        <w:spacing w:after="0" w:line="113"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 xml:space="preserve">On each of January 22, 2016, February 8, 2016, September 16, 2016, February 8, 2017, May 18, 2017, August 21, 2017 and October 18, 2017, our board of directors set the exercise price for stock options granted on such dates at the fair value of our common stock with the assistance of a third-party specialist. Due to the absence of a public trading market for our common stock, since inception through the date of this prospectus, our retrospective and contemporaneous determinations of the fair value of our common stock were performed using methodologies, approaches and assumptions consistent with the American Institute of Certified Public Accountants Audit and Accounting Practice Aid Series: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There are significant judgments and estimates inherent in the determination of the fair value of our common stock, including the contemporaneous and retrospective valuations. These judgments and estimates include assumptions regarding our future operating performance, the probability and timing of completing an initial public offering or other liquidity event and the determinations of the appropriate valuation methods. If we had made different assumptions, our share-based compensation expense, net loss and net loss per share could have been significantly different.</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Methodologies</w:t>
      </w:r>
    </w:p>
    <w:p>
      <w:pPr>
        <w:spacing w:after="0" w:line="113"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The common stock valuations were prepared using a hybrid of the option-pricing method, or OPM, and the probability-weighted expected return method, or PWERM.</w:t>
      </w:r>
    </w:p>
    <w:p>
      <w:pPr>
        <w:spacing w:after="0" w:line="180" w:lineRule="exact"/>
        <w:rPr>
          <w:sz w:val="20"/>
          <w:szCs w:val="20"/>
          <w:color w:val="auto"/>
        </w:rPr>
      </w:pPr>
    </w:p>
    <w:p>
      <w:pPr>
        <w:ind w:right="180" w:firstLine="457"/>
        <w:spacing w:after="0" w:line="251" w:lineRule="auto"/>
        <w:rPr>
          <w:sz w:val="20"/>
          <w:szCs w:val="20"/>
          <w:color w:val="auto"/>
        </w:rPr>
      </w:pPr>
      <w:r>
        <w:rPr>
          <w:rFonts w:ascii="Arial" w:cs="Arial" w:eastAsia="Arial" w:hAnsi="Arial"/>
          <w:sz w:val="18"/>
          <w:szCs w:val="18"/>
          <w:i w:val="1"/>
          <w:iCs w:val="1"/>
          <w:color w:val="auto"/>
        </w:rPr>
        <w:t>OPM</w:t>
      </w:r>
      <w:r>
        <w:rPr>
          <w:rFonts w:ascii="Arial" w:cs="Arial" w:eastAsia="Arial" w:hAnsi="Arial"/>
          <w:sz w:val="18"/>
          <w:szCs w:val="18"/>
          <w:color w:val="auto"/>
        </w:rPr>
        <w:t>. The OPM treats each class of common stock and preferred stock as call options on the total equity value of a company,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merger or initial public offering. The common stock is modeled as a call option on the underlying equity value at a predetermined exercise price. In the model, the exercise price is based on a comparison with the total equity value rather than, as in the case of a regular call option, a comparison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with a per share stock price. Thus, common stock is considered to be a call option with a claim on the enterprise at an exercise price equal to the remaining value immediately after the preferred stock liquidation preference is paid.</w:t>
      </w:r>
    </w:p>
    <w:p>
      <w:pPr>
        <w:spacing w:after="0" w:line="180" w:lineRule="exact"/>
        <w:rPr>
          <w:sz w:val="20"/>
          <w:szCs w:val="20"/>
          <w:color w:val="auto"/>
        </w:rPr>
      </w:pPr>
    </w:p>
    <w:p>
      <w:pPr>
        <w:ind w:right="80" w:firstLine="457"/>
        <w:spacing w:after="0" w:line="254" w:lineRule="auto"/>
        <w:rPr>
          <w:sz w:val="20"/>
          <w:szCs w:val="20"/>
          <w:color w:val="auto"/>
        </w:rPr>
      </w:pPr>
      <w:r>
        <w:rPr>
          <w:rFonts w:ascii="Arial" w:cs="Arial" w:eastAsia="Arial" w:hAnsi="Arial"/>
          <w:sz w:val="18"/>
          <w:szCs w:val="18"/>
          <w:color w:val="auto"/>
        </w:rPr>
        <w:t>The OPM uses Monte Carlo or Black-Scholes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91" w:lineRule="exact"/>
        <w:rPr>
          <w:sz w:val="20"/>
          <w:szCs w:val="20"/>
          <w:color w:val="auto"/>
        </w:rPr>
      </w:pPr>
    </w:p>
    <w:p>
      <w:pPr>
        <w:ind w:right="80" w:firstLine="457"/>
        <w:spacing w:after="0" w:line="254" w:lineRule="auto"/>
        <w:rPr>
          <w:sz w:val="20"/>
          <w:szCs w:val="20"/>
          <w:color w:val="auto"/>
        </w:rPr>
      </w:pPr>
      <w:r>
        <w:rPr>
          <w:rFonts w:ascii="Arial" w:cs="Arial" w:eastAsia="Arial" w:hAnsi="Arial"/>
          <w:sz w:val="18"/>
          <w:szCs w:val="18"/>
          <w:color w:val="auto"/>
        </w:rPr>
        <w:t>We used the OPM backsolve approach to estimate enterprise value under the OPM. The OPM backsolve approach uses the OPM to calculate the implied equity value based on recent sales of the company’s securities. For the OPM, we based our assumed volatility factor on the historical trading volatility of our publicly traded peer companies. For each valuation date, we determined the appropriate volatility to be used, considering such factors as our expected time to a liquidity event and our stage of development.</w:t>
      </w:r>
    </w:p>
    <w:p>
      <w:pPr>
        <w:spacing w:after="0" w:line="191" w:lineRule="exact"/>
        <w:rPr>
          <w:sz w:val="20"/>
          <w:szCs w:val="20"/>
          <w:color w:val="auto"/>
        </w:rPr>
      </w:pPr>
    </w:p>
    <w:p>
      <w:pPr>
        <w:ind w:right="200" w:firstLine="457"/>
        <w:spacing w:after="0" w:line="257" w:lineRule="auto"/>
        <w:rPr>
          <w:sz w:val="20"/>
          <w:szCs w:val="20"/>
          <w:color w:val="auto"/>
        </w:rPr>
      </w:pPr>
      <w:r>
        <w:rPr>
          <w:rFonts w:ascii="Arial" w:cs="Arial" w:eastAsia="Arial" w:hAnsi="Arial"/>
          <w:sz w:val="18"/>
          <w:szCs w:val="18"/>
          <w:color w:val="auto"/>
        </w:rPr>
        <w:t>To derive the fair value of our common stock using the OPM, we calculated the proceeds to the common stockholders based on the preferences and priorities of the preferred and common stock. We then applied a discount for lack of marketability to the common stock to account for the lack of access to an active public market.</w:t>
      </w:r>
    </w:p>
    <w:p>
      <w:pPr>
        <w:spacing w:after="0" w:line="188" w:lineRule="exact"/>
        <w:rPr>
          <w:sz w:val="20"/>
          <w:szCs w:val="20"/>
          <w:color w:val="auto"/>
        </w:rPr>
      </w:pPr>
    </w:p>
    <w:p>
      <w:pPr>
        <w:ind w:right="100" w:firstLine="457"/>
        <w:spacing w:after="0" w:line="291" w:lineRule="auto"/>
        <w:rPr>
          <w:sz w:val="20"/>
          <w:szCs w:val="20"/>
          <w:color w:val="auto"/>
        </w:rPr>
      </w:pPr>
      <w:r>
        <w:rPr>
          <w:rFonts w:ascii="Arial" w:cs="Arial" w:eastAsia="Arial" w:hAnsi="Arial"/>
          <w:sz w:val="16"/>
          <w:szCs w:val="16"/>
          <w:i w:val="1"/>
          <w:iCs w:val="1"/>
          <w:color w:val="auto"/>
        </w:rPr>
        <w:t>PWERM</w:t>
      </w:r>
      <w:r>
        <w:rPr>
          <w:rFonts w:ascii="Arial" w:cs="Arial" w:eastAsia="Arial" w:hAnsi="Arial"/>
          <w:sz w:val="16"/>
          <w:szCs w:val="16"/>
          <w:color w:val="auto"/>
        </w:rPr>
        <w:t>. The PWERM is a scenario-based methodology that estimates the fair value of common stock based upon an analysis of future values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is then applied to the common stock to account for the lack of access to an active public market.</w:t>
      </w:r>
    </w:p>
    <w:p>
      <w:pPr>
        <w:spacing w:after="0" w:line="165" w:lineRule="exact"/>
        <w:rPr>
          <w:sz w:val="20"/>
          <w:szCs w:val="20"/>
          <w:color w:val="auto"/>
        </w:rPr>
      </w:pPr>
    </w:p>
    <w:p>
      <w:pPr>
        <w:ind w:firstLine="457"/>
        <w:spacing w:after="0" w:line="252" w:lineRule="auto"/>
        <w:rPr>
          <w:sz w:val="20"/>
          <w:szCs w:val="20"/>
          <w:color w:val="auto"/>
        </w:rPr>
      </w:pPr>
      <w:r>
        <w:rPr>
          <w:rFonts w:ascii="Arial" w:cs="Arial" w:eastAsia="Arial" w:hAnsi="Arial"/>
          <w:sz w:val="18"/>
          <w:szCs w:val="18"/>
          <w:color w:val="auto"/>
        </w:rPr>
        <w:t>For our contemporaneous common stock valuations as of January 22, 2016, February 8, 2016, September 16, 2016, February 8, 2017, May 18, 2017, August 21, 2017 and October 18, 2017, we used a hybrid of the OPM and PWERM and considered two types of future event scenarios: an initial public offering and a sale transaction. Our third-party valuation consultant determined the relative probability of each type of future event scenario based on an analysis of market conditions at the time, including then-current initial public offering and sale valuations of similarly situated companies, and expectations as to the timing and likely prospects of the future-event scenarios.</w:t>
      </w:r>
    </w:p>
    <w:p>
      <w:pPr>
        <w:spacing w:after="0" w:line="193" w:lineRule="exact"/>
        <w:rPr>
          <w:sz w:val="20"/>
          <w:szCs w:val="20"/>
          <w:color w:val="auto"/>
        </w:rPr>
      </w:pPr>
    </w:p>
    <w:p>
      <w:pPr>
        <w:ind w:right="300" w:firstLine="457"/>
        <w:spacing w:after="0" w:line="257" w:lineRule="auto"/>
        <w:rPr>
          <w:sz w:val="20"/>
          <w:szCs w:val="20"/>
          <w:color w:val="auto"/>
        </w:rPr>
      </w:pPr>
      <w:r>
        <w:rPr>
          <w:rFonts w:ascii="Arial" w:cs="Arial" w:eastAsia="Arial" w:hAnsi="Arial"/>
          <w:sz w:val="18"/>
          <w:szCs w:val="18"/>
          <w:color w:val="auto"/>
        </w:rPr>
        <w:t>To derive the fair value of the common stock for each scenario using the hybrid PWERM and OPM, we calculated the proceeds to the common stockholders based on the preferences and priorities of the preferred and common stock. We then applied a discount for lack of marketability to the common stock to account for the lack of access to an active public market.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Grants</w:t>
      </w:r>
    </w:p>
    <w:p>
      <w:pPr>
        <w:spacing w:after="0" w:line="113" w:lineRule="exact"/>
        <w:rPr>
          <w:sz w:val="20"/>
          <w:szCs w:val="20"/>
          <w:color w:val="auto"/>
        </w:rPr>
      </w:pPr>
    </w:p>
    <w:p>
      <w:pPr>
        <w:jc w:val="both"/>
        <w:ind w:right="100" w:firstLine="457"/>
        <w:spacing w:after="0" w:line="257" w:lineRule="auto"/>
        <w:rPr>
          <w:sz w:val="20"/>
          <w:szCs w:val="20"/>
          <w:color w:val="auto"/>
        </w:rPr>
      </w:pPr>
      <w:r>
        <w:rPr>
          <w:rFonts w:ascii="Arial" w:cs="Arial" w:eastAsia="Arial" w:hAnsi="Arial"/>
          <w:sz w:val="18"/>
          <w:szCs w:val="18"/>
          <w:color w:val="auto"/>
        </w:rPr>
        <w:t>The following table summarizes by grant date the number of shares of common stock subject to options granted between January 1, 2016 and the date of this prospectus, the per share exercise price of the options, the fair value of the common stock underlying the options on the date of grant and the per share fair value of the options on the date of grant.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70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1"/>
              </w:rPr>
              <w:t>Per Share</w:t>
            </w:r>
          </w:p>
        </w:tc>
        <w:tc>
          <w:tcPr>
            <w:tcW w:w="13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2"/>
              </w:rPr>
              <w:t>Fair Value of</w:t>
            </w:r>
          </w:p>
        </w:tc>
        <w:tc>
          <w:tcPr>
            <w:tcW w:w="4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7"/>
        </w:trPr>
        <w:tc>
          <w:tcPr>
            <w:tcW w:w="7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60" w:type="dxa"/>
            <w:vAlign w:val="bottom"/>
            <w:gridSpan w:val="2"/>
          </w:tcPr>
          <w:p>
            <w:pPr>
              <w:jc w:val="center"/>
              <w:ind w:right="820"/>
              <w:spacing w:after="0" w:line="147" w:lineRule="exact"/>
              <w:rPr>
                <w:sz w:val="20"/>
                <w:szCs w:val="20"/>
                <w:color w:val="auto"/>
              </w:rPr>
            </w:pPr>
            <w:r>
              <w:rPr>
                <w:rFonts w:ascii="Arial" w:cs="Arial" w:eastAsia="Arial" w:hAnsi="Arial"/>
                <w:sz w:val="14"/>
                <w:szCs w:val="14"/>
                <w:b w:val="1"/>
                <w:bCs w:val="1"/>
                <w:color w:val="auto"/>
                <w:w w:val="89"/>
              </w:rPr>
              <w:t>Common Shares</w:t>
            </w:r>
          </w:p>
        </w:tc>
        <w:tc>
          <w:tcPr>
            <w:tcW w:w="1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Options Per</w:t>
            </w:r>
          </w:p>
        </w:tc>
        <w:tc>
          <w:tcPr>
            <w:tcW w:w="0" w:type="dxa"/>
            <w:vAlign w:val="bottom"/>
          </w:tcPr>
          <w:p>
            <w:pPr>
              <w:spacing w:after="0"/>
              <w:rPr>
                <w:sz w:val="1"/>
                <w:szCs w:val="1"/>
                <w:color w:val="auto"/>
              </w:rPr>
            </w:pPr>
          </w:p>
        </w:tc>
      </w:tr>
      <w:tr>
        <w:trPr>
          <w:trHeight w:val="147"/>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4300" w:type="dxa"/>
            <w:vAlign w:val="bottom"/>
            <w:vMerge w:val="restart"/>
          </w:tcPr>
          <w:p>
            <w:pPr>
              <w:spacing w:after="0"/>
              <w:rPr>
                <w:sz w:val="12"/>
                <w:szCs w:val="12"/>
                <w:color w:val="auto"/>
              </w:rPr>
            </w:pPr>
          </w:p>
        </w:tc>
        <w:tc>
          <w:tcPr>
            <w:tcW w:w="186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95"/>
              </w:rPr>
              <w:t>Underlying</w:t>
            </w:r>
          </w:p>
        </w:tc>
        <w:tc>
          <w:tcPr>
            <w:tcW w:w="1860" w:type="dxa"/>
            <w:vAlign w:val="bottom"/>
            <w:gridSpan w:val="3"/>
          </w:tcPr>
          <w:p>
            <w:pPr>
              <w:jc w:val="center"/>
              <w:ind w:right="840"/>
              <w:spacing w:after="0" w:line="147" w:lineRule="exact"/>
              <w:rPr>
                <w:sz w:val="20"/>
                <w:szCs w:val="20"/>
                <w:color w:val="auto"/>
              </w:rPr>
            </w:pPr>
            <w:r>
              <w:rPr>
                <w:rFonts w:ascii="Arial" w:cs="Arial" w:eastAsia="Arial" w:hAnsi="Arial"/>
                <w:sz w:val="14"/>
                <w:szCs w:val="14"/>
                <w:b w:val="1"/>
                <w:bCs w:val="1"/>
                <w:color w:val="auto"/>
                <w:w w:val="90"/>
              </w:rPr>
              <w:t>Exercise Price of</w:t>
            </w:r>
          </w:p>
        </w:tc>
        <w:tc>
          <w:tcPr>
            <w:tcW w:w="136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Common Stock</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33"/>
              <w:spacing w:after="0" w:line="147"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69"/>
        </w:trPr>
        <w:tc>
          <w:tcPr>
            <w:tcW w:w="70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18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Options Granted</w:t>
            </w:r>
          </w:p>
        </w:tc>
        <w:tc>
          <w:tcPr>
            <w:tcW w:w="160" w:type="dxa"/>
            <w:vAlign w:val="bottom"/>
          </w:tcPr>
          <w:p>
            <w:pPr>
              <w:spacing w:after="0"/>
              <w:rPr>
                <w:sz w:val="14"/>
                <w:szCs w:val="14"/>
                <w:color w:val="auto"/>
              </w:rPr>
            </w:pPr>
          </w:p>
        </w:tc>
        <w:tc>
          <w:tcPr>
            <w:tcW w:w="17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Options</w:t>
            </w: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on Grant Date</w:t>
            </w:r>
          </w:p>
        </w:tc>
        <w:tc>
          <w:tcPr>
            <w:tcW w:w="4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on Grant Date</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22, 2016(1)</w:t>
            </w: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128,925</w:t>
            </w:r>
          </w:p>
        </w:tc>
        <w:tc>
          <w:tcPr>
            <w:tcW w:w="8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4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2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8"/>
                <w:szCs w:val="18"/>
                <w:color w:val="auto"/>
              </w:rPr>
              <w:t>February 8, 2016</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rPr>
              <w:t>728,794</w:t>
            </w:r>
          </w:p>
        </w:tc>
        <w:tc>
          <w:tcPr>
            <w:tcW w:w="16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13"/>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16, 2016</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522,736</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8"/>
                <w:szCs w:val="18"/>
                <w:color w:val="auto"/>
              </w:rPr>
              <w:t>February 8, 2017</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rPr>
              <w:t>246,130</w:t>
            </w:r>
          </w:p>
        </w:tc>
        <w:tc>
          <w:tcPr>
            <w:tcW w:w="16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2.44</w:t>
            </w:r>
          </w:p>
        </w:tc>
        <w:tc>
          <w:tcPr>
            <w:tcW w:w="3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213"/>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18, 2017</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597,747</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1"/>
              </w:rPr>
              <w:t>1.24</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8"/>
                <w:szCs w:val="18"/>
                <w:color w:val="auto"/>
              </w:rPr>
              <w:t>August 21, 2017</w:t>
            </w:r>
          </w:p>
        </w:tc>
        <w:tc>
          <w:tcPr>
            <w:tcW w:w="1860" w:type="dxa"/>
            <w:vAlign w:val="bottom"/>
            <w:gridSpan w:val="2"/>
          </w:tcPr>
          <w:p>
            <w:pPr>
              <w:ind w:left="460"/>
              <w:spacing w:after="0"/>
              <w:rPr>
                <w:sz w:val="20"/>
                <w:szCs w:val="20"/>
                <w:color w:val="auto"/>
              </w:rPr>
            </w:pPr>
            <w:r>
              <w:rPr>
                <w:rFonts w:ascii="Arial" w:cs="Arial" w:eastAsia="Arial" w:hAnsi="Arial"/>
                <w:sz w:val="18"/>
                <w:szCs w:val="18"/>
                <w:color w:val="auto"/>
              </w:rPr>
              <w:t>820,438</w:t>
            </w:r>
          </w:p>
        </w:tc>
        <w:tc>
          <w:tcPr>
            <w:tcW w:w="160" w:type="dxa"/>
            <w:vAlign w:val="bottom"/>
          </w:tcPr>
          <w:p>
            <w:pPr>
              <w:spacing w:after="0"/>
              <w:rPr>
                <w:sz w:val="18"/>
                <w:szCs w:val="18"/>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color w:val="auto"/>
                <w:w w:val="91"/>
              </w:rPr>
              <w:t>2.46</w:t>
            </w:r>
          </w:p>
        </w:tc>
        <w:tc>
          <w:tcPr>
            <w:tcW w:w="0" w:type="dxa"/>
            <w:vAlign w:val="bottom"/>
          </w:tcPr>
          <w:p>
            <w:pPr>
              <w:spacing w:after="0"/>
              <w:rPr>
                <w:sz w:val="1"/>
                <w:szCs w:val="1"/>
                <w:color w:val="auto"/>
              </w:rPr>
            </w:pPr>
          </w:p>
        </w:tc>
      </w:tr>
      <w:tr>
        <w:trPr>
          <w:trHeight w:val="213"/>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18, 2017</w:t>
            </w:r>
          </w:p>
        </w:tc>
        <w:tc>
          <w:tcPr>
            <w:tcW w:w="1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738,392</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10.03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1"/>
              </w:rPr>
              <w:t>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83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4" w:lineRule="exact"/>
        <w:rPr>
          <w:sz w:val="20"/>
          <w:szCs w:val="20"/>
          <w:color w:val="auto"/>
        </w:rPr>
      </w:pPr>
    </w:p>
    <w:p>
      <w:pPr>
        <w:ind w:left="440" w:hanging="433"/>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Does not reflect 93,762 stock options issued on July 31, 2015 and September 10, 2015 that were repriced to $3.76 per share on January 22, 2016.</w:t>
      </w:r>
    </w:p>
    <w:p>
      <w:pPr>
        <w:spacing w:after="0" w:line="243" w:lineRule="exact"/>
        <w:rPr>
          <w:sz w:val="20"/>
          <w:szCs w:val="20"/>
          <w:color w:val="auto"/>
        </w:rPr>
      </w:pPr>
    </w:p>
    <w:p>
      <w:pPr>
        <w:ind w:right="180" w:firstLine="457"/>
        <w:spacing w:after="0" w:line="251" w:lineRule="auto"/>
        <w:rPr>
          <w:sz w:val="20"/>
          <w:szCs w:val="20"/>
          <w:color w:val="auto"/>
        </w:rPr>
      </w:pPr>
      <w:r>
        <w:rPr>
          <w:rFonts w:ascii="Arial" w:cs="Arial" w:eastAsia="Arial" w:hAnsi="Arial"/>
          <w:sz w:val="18"/>
          <w:szCs w:val="18"/>
          <w:color w:val="auto"/>
        </w:rPr>
        <w:t>The decrease in the fair value of the common stock from February 8, 2016 to September 16, 2016 was determined by our board of directors with the assistance of a third-party specialist. The decrease reflected changes in our assumptions as to the probability and timing of an initial public offering or other liquidity event in light of our clinical trial plans and market conditions; the lower average valuations attributed to peer biotechnology companies at the time of the September 16, 2016 valuation; anticipated effects on the relative value of the common stock of expected future offerings of senior equity securities that would be required to be conducted prior to an initial public offering or other liquidity event, based upon our revised budget projections; and the express application of a standard discount for lack of marketability.</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Repricing</w:t>
      </w:r>
    </w:p>
    <w:p>
      <w:pPr>
        <w:spacing w:after="0" w:line="11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On January 22, 2016, our board of directors approved a modification in the exercise price of 93,762 stock options granted under the 2010 Plan on July 31, 2015 and September 10, 2015 to reduce the exercise price per share to $3.76 per share, which was the estimated fair market value of the common stock on the effective date of the repricing. Other stock options granted under the 2010 Plan were excluded from this repricing, and retained their original exercise prices. Because the exercise prices of the stock options granted on July 31, 2015 and September 10, 2015 exceeded the estimated fair market value of our common stock on the modification date, our board of directors determined that the retentive value of these awards had substantially diminished from the time they had been granted. Our board of directors determined that this repricing was in our best interests and that of our stockholders to provide a continued incentive for highly qualified employees and consultants with substantial experience in our business to remain employed during a critical period.</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JOBS Act</w:t>
      </w:r>
    </w:p>
    <w:p>
      <w:pPr>
        <w:spacing w:after="0" w:line="113" w:lineRule="exact"/>
        <w:rPr>
          <w:sz w:val="20"/>
          <w:szCs w:val="20"/>
          <w:color w:val="auto"/>
        </w:rPr>
      </w:pPr>
    </w:p>
    <w:p>
      <w:pPr>
        <w:ind w:right="100" w:firstLine="457"/>
        <w:spacing w:after="0" w:line="252"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or EGC, can take advantage of the extended transition period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93" w:lineRule="exact"/>
        <w:rPr>
          <w:sz w:val="20"/>
          <w:szCs w:val="20"/>
          <w:color w:val="auto"/>
        </w:rPr>
      </w:pPr>
    </w:p>
    <w:p>
      <w:pPr>
        <w:ind w:right="500" w:firstLine="457"/>
        <w:spacing w:after="0" w:line="267" w:lineRule="auto"/>
        <w:rPr>
          <w:sz w:val="20"/>
          <w:szCs w:val="20"/>
          <w:color w:val="auto"/>
        </w:rPr>
      </w:pPr>
      <w:r>
        <w:rPr>
          <w:rFonts w:ascii="Arial" w:cs="Arial" w:eastAsia="Arial" w:hAnsi="Arial"/>
          <w:sz w:val="18"/>
          <w:szCs w:val="18"/>
          <w:color w:val="auto"/>
        </w:rPr>
        <w:t>We are in the process of evaluating the benefits of relying on other exemptions and reduced reporting requirements under the JOBS Act. Subject to certain conditions, as an EGC, we intend to rely on certain of these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exemptions, including exemptions from the requirement to provide an auditor’s attestation report on our system of internal controls over financial reporting pursuant to Section 404(b) of the Sarbanes-Oxley Act and from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EGC until the earlier of: the last day of the fiscal year in which we have total annual gross revenues of $1.07 billion or more; the last day of the fiscal year following the fifth anniversary of the date of the completion of this offering; the date on which we have issued more than $1.0 billion in nonconvertible debt during the previous three years; or the date on which we are deemed to be a large accelerated filer under the rules of the SEC.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Six Months Ended June 30, 2016 and 2017</w:t>
      </w:r>
    </w:p>
    <w:p>
      <w:pPr>
        <w:spacing w:after="0" w:line="113"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The following table summarizes our results of operations for the six months ended June 30, 2016 and 2017, together with the dollar increase or decrease and percentage change in those items: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80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8"/>
              <w:spacing w:after="0" w:line="14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0"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36"/>
              <w:spacing w:after="0" w:line="140"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6"/>
              <w:spacing w:after="0" w:line="140"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$ 11,152,969</w:t>
            </w:r>
          </w:p>
        </w:tc>
        <w:tc>
          <w:tcPr>
            <w:tcW w:w="4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$ 17,653,143</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$6,500,174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2,216,322</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3,531,753</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1,315,431</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9"/>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(13,369,291)</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(21,184,896)</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7,815,605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7,971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(67,376)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loss and comprehensive loss</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line="20" w:lineRule="exact"/>
              <w:rPr>
                <w:sz w:val="1"/>
                <w:szCs w:val="1"/>
                <w:color w:val="auto"/>
              </w:rPr>
            </w:pPr>
          </w:p>
        </w:tc>
      </w:tr>
      <w:tr>
        <w:trPr>
          <w:trHeight w:val="219"/>
        </w:trPr>
        <w:tc>
          <w:tcPr>
            <w:tcW w:w="6700" w:type="dxa"/>
            <w:vAlign w:val="bottom"/>
            <w:gridSpan w:val="2"/>
            <w:vMerge w:val="continue"/>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(13,293,944)</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(21,176,925)</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7,882,981</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3" w:lineRule="exact"/>
        <w:rPr>
          <w:sz w:val="20"/>
          <w:szCs w:val="20"/>
          <w:color w:val="auto"/>
        </w:rPr>
      </w:pPr>
    </w:p>
    <w:p>
      <w:pPr>
        <w:jc w:val="both"/>
        <w:ind w:right="60" w:firstLine="457"/>
        <w:spacing w:after="0" w:line="267" w:lineRule="auto"/>
        <w:rPr>
          <w:sz w:val="20"/>
          <w:szCs w:val="20"/>
          <w:color w:val="auto"/>
        </w:rPr>
      </w:pPr>
      <w:r>
        <w:rPr>
          <w:rFonts w:ascii="Arial" w:cs="Arial" w:eastAsia="Arial" w:hAnsi="Arial"/>
          <w:sz w:val="18"/>
          <w:szCs w:val="18"/>
          <w:color w:val="auto"/>
        </w:rPr>
        <w:t>The following table summarizes our research and development expenses incurred during the six months ended June 30, 2016 and 2017, together with the dollar increase or decrease and percentage change in those items: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9"/>
              </w:rPr>
              <w:t>Six Months Ended June 30,</w:t>
            </w: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0"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0"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315"/>
              <w:spacing w:after="0" w:line="140"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5"/>
              <w:spacing w:after="0" w:line="140"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Clinical trial expenses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5,057,269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6,909,639</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$ 1,852,370</w:t>
            </w: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Contract manufacturing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2,487,691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6,498,783</w:t>
            </w: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4,011,092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161.2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Pre-clinical study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2,349,712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797,425</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(1,552,287)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Compensation and related personnel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770,837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1,977,179</w:t>
            </w: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1,206,342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487,460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814,513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327,053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Device development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655,604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655,604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11,152,969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17,653,143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$ 6,500,174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Research and development expenses increased by $6.5 million to $17.7 million for the six months ended June 30, 2017 from $11.2 million for the six months ended June 30, 2016, an increase of 58.3%. The increase in research and development expenses was primarily attributable to an increase of $4.0 million in manufacturing expenses, an increase of $1.2 million in employee related costs primarily due to the hiring of additional personnel, an increase of $1.9 million in clinical trial costs, an increase of $0.3 million related to research and development supporting activities, and an increase of $0.7 million in device development expenses, partially offset by a decrease of $1.6 million in preclinical study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General and administrative expenses increased by $1.3 million to $3.5 million for the six months ended June 30, 2017, from $2.2 million for the six months ended June 30, 2016, an increase of 59.4%. The increase in general and administrative expenses was primarily attributable to an increase in employee related costs of $0.7 million, an increase in professional and consulting fees of $0.4 million, and an increase in office, travel and related costs of $0.1 million. The increased employee related costs of $0.7 million consisted of $0.5 million related to an increase in salaries and benefits primarily due to the hiring of additional members of our management team and $0.2 million in recruitment expense. The increased professional and consulting fees of $0.4 million primarily consisted of an increase in consulting fees of $0.2 million, an increase of $0.2 million in legal fees and an increase of $0.1 million in accounting fees, offset by a decrease in non-employee share-based compensation of $0.2 million.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113" w:lineRule="exact"/>
        <w:rPr>
          <w:sz w:val="20"/>
          <w:szCs w:val="20"/>
          <w:color w:val="auto"/>
        </w:rPr>
      </w:pPr>
    </w:p>
    <w:p>
      <w:pPr>
        <w:ind w:right="360" w:firstLine="457"/>
        <w:spacing w:after="0" w:line="267" w:lineRule="auto"/>
        <w:rPr>
          <w:sz w:val="20"/>
          <w:szCs w:val="20"/>
          <w:color w:val="auto"/>
        </w:rPr>
      </w:pPr>
      <w:r>
        <w:rPr>
          <w:rFonts w:ascii="Arial" w:cs="Arial" w:eastAsia="Arial" w:hAnsi="Arial"/>
          <w:sz w:val="18"/>
          <w:szCs w:val="18"/>
          <w:color w:val="auto"/>
        </w:rPr>
        <w:t>Other income decreased $0.1 million for the six months ended June 30, 2017, as compared to the six months ended June 30, 2016, and was primarily attributable to decreased interest income.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Years Ended December 31, 2015 and 2016</w:t>
      </w:r>
    </w:p>
    <w:p>
      <w:pPr>
        <w:spacing w:after="0" w:line="220"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The following table summarizes our results of operations for the years ended December 31, 2015 and 2016, together with the dollar increase or decrease and percentage change in those items: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0"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6"/>
              <w:spacing w:after="0" w:line="140"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56"/>
              <w:spacing w:after="0" w:line="140"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$ 13,730,311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$ 22,978,599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9,248,288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acquired in-process research and development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26,486,000</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(26,486,000)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jc w:val="right"/>
              <w:spacing w:after="0"/>
              <w:rPr>
                <w:sz w:val="20"/>
                <w:szCs w:val="20"/>
                <w:color w:val="auto"/>
              </w:rPr>
            </w:pPr>
            <w:r>
              <w:rPr>
                <w:rFonts w:ascii="Arial" w:cs="Arial" w:eastAsia="Arial" w:hAnsi="Arial"/>
                <w:sz w:val="18"/>
                <w:szCs w:val="18"/>
                <w:color w:val="auto"/>
              </w:rPr>
              <w:t>6,356,782</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4,303,743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(2,053,039)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(46,573,093)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(27,282,342)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19,290,751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line="20" w:lineRule="exact"/>
              <w:rPr>
                <w:sz w:val="1"/>
                <w:szCs w:val="1"/>
                <w:color w:val="auto"/>
              </w:rPr>
            </w:pPr>
          </w:p>
        </w:tc>
      </w:tr>
      <w:tr>
        <w:trPr>
          <w:trHeight w:val="219"/>
        </w:trPr>
        <w:tc>
          <w:tcPr>
            <w:tcW w:w="6500" w:type="dxa"/>
            <w:vAlign w:val="bottom"/>
            <w:gridSpan w:val="2"/>
            <w:vMerge w:val="continue"/>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57,137</w:t>
            </w:r>
          </w:p>
        </w:tc>
        <w:tc>
          <w:tcPr>
            <w:tcW w:w="960" w:type="dxa"/>
            <w:vAlign w:val="bottom"/>
          </w:tcPr>
          <w:p>
            <w:pPr>
              <w:jc w:val="right"/>
              <w:spacing w:after="0"/>
              <w:rPr>
                <w:sz w:val="20"/>
                <w:szCs w:val="20"/>
                <w:color w:val="auto"/>
              </w:rPr>
            </w:pPr>
            <w:r>
              <w:rPr>
                <w:rFonts w:ascii="Arial" w:cs="Arial" w:eastAsia="Arial" w:hAnsi="Arial"/>
                <w:sz w:val="18"/>
                <w:szCs w:val="18"/>
                <w:color w:val="auto"/>
              </w:rPr>
              <w:t>157,705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100,568</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(46,515,956)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(27,124,637)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19,391,319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3" w:lineRule="exact"/>
        <w:rPr>
          <w:sz w:val="20"/>
          <w:szCs w:val="20"/>
          <w:color w:val="auto"/>
        </w:rPr>
      </w:pPr>
    </w:p>
    <w:p>
      <w:pPr>
        <w:jc w:val="both"/>
        <w:ind w:right="60" w:firstLine="457"/>
        <w:spacing w:after="0" w:line="267" w:lineRule="auto"/>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2015 and 2016, together with the dollar increase or decrease and percentage change in those items: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For the Year Ended</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Change</w:t>
            </w:r>
          </w:p>
        </w:tc>
      </w:tr>
      <w:tr>
        <w:trPr>
          <w:trHeight w:val="140"/>
        </w:trPr>
        <w:tc>
          <w:tcPr>
            <w:tcW w:w="6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0"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0"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96"/>
              <w:spacing w:after="0" w:line="140"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6"/>
              <w:spacing w:after="0" w:line="140"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r>
      <w:tr>
        <w:trPr>
          <w:trHeight w:val="207"/>
        </w:trPr>
        <w:tc>
          <w:tcPr>
            <w:tcW w:w="69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Clinical trial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6,926,701</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$11,486,499</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$4,559,798</w:t>
            </w: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r>
      <w:tr>
        <w:trPr>
          <w:trHeight w:val="213"/>
        </w:trPr>
        <w:tc>
          <w:tcPr>
            <w:tcW w:w="6940" w:type="dxa"/>
            <w:vAlign w:val="bottom"/>
          </w:tcPr>
          <w:p>
            <w:pPr>
              <w:spacing w:after="0"/>
              <w:rPr>
                <w:sz w:val="20"/>
                <w:szCs w:val="20"/>
                <w:color w:val="auto"/>
              </w:rPr>
            </w:pPr>
            <w:r>
              <w:rPr>
                <w:rFonts w:ascii="Arial" w:cs="Arial" w:eastAsia="Arial" w:hAnsi="Arial"/>
                <w:sz w:val="18"/>
                <w:szCs w:val="18"/>
                <w:color w:val="auto"/>
              </w:rPr>
              <w:t>Contract manufacturing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1,969,963</w:t>
            </w:r>
          </w:p>
        </w:tc>
        <w:tc>
          <w:tcPr>
            <w:tcW w:w="3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5,098,538</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3,128,575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158.8</w:t>
            </w:r>
          </w:p>
        </w:tc>
      </w:tr>
      <w:tr>
        <w:trPr>
          <w:trHeight w:val="21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Pre-clinical study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3,466,671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3,431,482</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(35,189)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r>
      <w:tr>
        <w:trPr>
          <w:trHeight w:val="213"/>
        </w:trPr>
        <w:tc>
          <w:tcPr>
            <w:tcW w:w="6940" w:type="dxa"/>
            <w:vAlign w:val="bottom"/>
          </w:tcPr>
          <w:p>
            <w:pPr>
              <w:spacing w:after="0"/>
              <w:rPr>
                <w:sz w:val="20"/>
                <w:szCs w:val="20"/>
                <w:color w:val="auto"/>
              </w:rPr>
            </w:pPr>
            <w:r>
              <w:rPr>
                <w:rFonts w:ascii="Arial" w:cs="Arial" w:eastAsia="Arial" w:hAnsi="Arial"/>
                <w:sz w:val="18"/>
                <w:szCs w:val="18"/>
                <w:color w:val="auto"/>
              </w:rPr>
              <w:t>Compensation and related personnel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1,160,379</w:t>
            </w:r>
          </w:p>
        </w:tc>
        <w:tc>
          <w:tcPr>
            <w:tcW w:w="38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1,989,164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828,785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71.4</w:t>
            </w:r>
          </w:p>
        </w:tc>
      </w:tr>
      <w:tr>
        <w:trPr>
          <w:trHeight w:val="21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206,597</w:t>
            </w:r>
          </w:p>
        </w:tc>
        <w:tc>
          <w:tcPr>
            <w:tcW w:w="3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972,916</w:t>
            </w:r>
          </w:p>
        </w:tc>
        <w:tc>
          <w:tcPr>
            <w:tcW w:w="3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766,319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370.9</w:t>
            </w:r>
          </w:p>
        </w:tc>
      </w:tr>
      <w:tr>
        <w:trPr>
          <w:trHeight w:val="219"/>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0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13,730,311</w:t>
            </w:r>
          </w:p>
        </w:tc>
        <w:tc>
          <w:tcPr>
            <w:tcW w:w="38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22,978,599</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9,248,288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67.4</w:t>
            </w: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4"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Research and development expenses increased by $9.2 million to $23.0 million for the year ended December 31, 2016 from $13.7 million for the year ended December 31, 2015, an increase of 67.4%.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increase was attributable to an increase of $4.6 million in clinical trial costs, an increase of $3.1 million in formulation and manufacturing expenses, an increase of $0.8 million in employee related costs as a result of hiring additional personnel and an increase of $0.7 million related to other research and development costs for supporting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Acquired In-Process Research and Development</w:t>
      </w:r>
    </w:p>
    <w:p>
      <w:pPr>
        <w:spacing w:after="0" w:line="113" w:lineRule="exact"/>
        <w:rPr>
          <w:sz w:val="20"/>
          <w:szCs w:val="20"/>
          <w:color w:val="auto"/>
        </w:rPr>
      </w:pPr>
    </w:p>
    <w:p>
      <w:pPr>
        <w:ind w:right="60" w:firstLine="457"/>
        <w:spacing w:after="0" w:line="295" w:lineRule="auto"/>
        <w:rPr>
          <w:sz w:val="20"/>
          <w:szCs w:val="20"/>
          <w:color w:val="auto"/>
        </w:rPr>
      </w:pPr>
      <w:r>
        <w:rPr>
          <w:rFonts w:ascii="Arial" w:cs="Arial" w:eastAsia="Arial" w:hAnsi="Arial"/>
          <w:sz w:val="16"/>
          <w:szCs w:val="16"/>
          <w:color w:val="auto"/>
        </w:rPr>
        <w:t>We incurred $26.5 million in acquired in-process research and development expenses during the year ended December 31, 2015. We incurred this cost in connection with the closing in September 2015 of the asset purchase agreement that we entered into with Potentia in September 2014, as we valued the 3,884,352 shares of our common stock that we issued to Potentia upon the closing at $26.5 million. We allocated the entire purchase price to acquired in-process research and development. We had no acquired in-process research and development expenses during the year ended December 31, 2016.</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3"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General and administrative expenses decreased by $2.1 million to $4.3 million for the year ended December 31, 2016 from $6.4 million for the year ended December 31, 2015, a decrease of 32.3%. The decrease was attributable to a $2.0 million write-off of deferred issuance costs related to our efforts to conduct an initial public offering in 2015 and 2016 that we ended in February 2016, a $0.4 million decrease in consulting expense associated with finance and accounting, and a $0.2 million decrease in intellectual property legal fees. These decreases were offset by increased employee costs of $0.4 million and increased professional and consulting fees of $0.1 million.</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Other income remained relatively stable for the year ended December 31, 2016, as compared to the year ended December 31, 2015. In both periods, other income was primarily attributable to interest income and rent and other allocations charged to two related entities.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 w:lineRule="exact"/>
        <w:rPr>
          <w:sz w:val="20"/>
          <w:szCs w:val="20"/>
          <w:color w:val="auto"/>
        </w:rPr>
      </w:pPr>
    </w:p>
    <w:p>
      <w:pPr>
        <w:ind w:right="220" w:firstLine="457"/>
        <w:spacing w:after="0" w:line="251" w:lineRule="auto"/>
        <w:rPr>
          <w:sz w:val="20"/>
          <w:szCs w:val="20"/>
          <w:color w:val="auto"/>
        </w:rPr>
      </w:pPr>
      <w:r>
        <w:rPr>
          <w:rFonts w:ascii="Arial" w:cs="Arial" w:eastAsia="Arial" w:hAnsi="Arial"/>
          <w:sz w:val="18"/>
          <w:szCs w:val="18"/>
          <w:color w:val="auto"/>
        </w:rPr>
        <w:t>Since inception, we have financed our operations primarily through $112.6 million in proceeds from the private placement of shares of our convertible preferred stock, $20.0 million in proceeds from borrowings under our term loan facility with Silicon Valley Bank, and $7.0 million in proceeds from our issuance and sale of a promissory note to an affiliate of one of our stockholders.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Indebtedness</w:t>
      </w:r>
    </w:p>
    <w:p>
      <w:pPr>
        <w:spacing w:after="0" w:line="113"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On October 20, 2017, we entered into a loan and security agreement with Silicon Valley Bank providing for a $20.0 million term loan facility, which we refer to as the term loan facility.</w:t>
      </w:r>
    </w:p>
    <w:p>
      <w:pPr>
        <w:spacing w:after="0" w:line="180"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Borrowings under the term loan facility bear interest at a floating rate per annum equal to the WSJ prime rate plus 1.50%. In an event of default, as defined in the loan and security agreement, the interest rate applicable to borrowings under such agreement will be increased by 5.0%. Under the agreement, we are required to make monthly interest-only payments through May 1, 2018 and are required to make 42 equal monthly payments of principal, plus accrued interest, from May 1, 2018 through October 1, 2021, when all unpaid principal and interest becomes due and payable. If we raise net proceeds on or before March 31, 2018 of at least $100 million through an initial public offering of our common stock, including this offering, or through the sale of shares of our convertible preferred stock, the interest-only period will be extended to November 1, 2019 and thereafter we will be required to make 24 equal monthly payments of principal, plus accrued interest, from November 1, 2019 through October 1, 2021.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8"/>
          <w:szCs w:val="18"/>
          <w:color w:val="auto"/>
        </w:rPr>
        <w:t>We may voluntarily prepay all, but not less than all, of the outstanding principal at any time prior to the maturity date, subject to a prepayment fee, which ranges from 0% to 2% of the outstanding principal. A final payment of $1.6 million is due upon the earlier to occur of the maturity of the loan, the acceleration or prepayment of all outstanding principal or the termination of the term loan facility.</w:t>
      </w:r>
    </w:p>
    <w:p>
      <w:pPr>
        <w:spacing w:after="0" w:line="188" w:lineRule="exact"/>
        <w:rPr>
          <w:sz w:val="20"/>
          <w:szCs w:val="20"/>
          <w:color w:val="auto"/>
        </w:rPr>
      </w:pPr>
    </w:p>
    <w:p>
      <w:pPr>
        <w:jc w:val="both"/>
        <w:ind w:right="200" w:firstLine="457"/>
        <w:spacing w:after="0" w:line="254" w:lineRule="auto"/>
        <w:rPr>
          <w:sz w:val="20"/>
          <w:szCs w:val="20"/>
          <w:color w:val="auto"/>
        </w:rPr>
      </w:pPr>
      <w:r>
        <w:rPr>
          <w:rFonts w:ascii="Arial" w:cs="Arial" w:eastAsia="Arial" w:hAnsi="Arial"/>
          <w:sz w:val="18"/>
          <w:szCs w:val="18"/>
          <w:color w:val="auto"/>
        </w:rPr>
        <w:t>Borrowings under the term loan facility are secured by a first priority lien on all of our assets, excluding our intellectual property. We have agreed to a negative pledge on our intellectual property and to grant a security interest on our interest in our licenses from Penn if Penn consents to such security interest. The term loan facility contains customary events of default and affirmative and negative covenants, including restrictions on our ability to pay dividends and incur additional debt, but does not contain any financial covenants.</w:t>
      </w:r>
    </w:p>
    <w:p>
      <w:pPr>
        <w:spacing w:after="0" w:line="191"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color w:val="auto"/>
        </w:rPr>
        <w:t>In connection with our entry into the term loan facility, we issued to Silicon Valley Bank a warrant to purchase 14,064 shares of our common stock, with an exercise price per share of $5.484. The warrant has a ten-year term and includes a put option pursuant to which, in the event of an acquisition, change in control or dissolution or winding up of our company, the initial public offering of our common stock or the expiration of the warrant, Silicon Valley Bank may require us to repurchase the warrant for a total aggregate purchase price of $250,000.</w:t>
      </w:r>
    </w:p>
    <w:p>
      <w:pPr>
        <w:spacing w:after="0" w:line="191" w:lineRule="exact"/>
        <w:rPr>
          <w:sz w:val="20"/>
          <w:szCs w:val="20"/>
          <w:color w:val="auto"/>
        </w:rPr>
      </w:pPr>
    </w:p>
    <w:p>
      <w:pPr>
        <w:ind w:right="120" w:firstLine="457"/>
        <w:spacing w:after="0" w:line="252" w:lineRule="auto"/>
        <w:rPr>
          <w:sz w:val="20"/>
          <w:szCs w:val="20"/>
          <w:color w:val="auto"/>
        </w:rPr>
      </w:pPr>
      <w:r>
        <w:rPr>
          <w:rFonts w:ascii="Arial" w:cs="Arial" w:eastAsia="Arial" w:hAnsi="Arial"/>
          <w:sz w:val="18"/>
          <w:szCs w:val="18"/>
          <w:color w:val="auto"/>
        </w:rPr>
        <w:t>On October 19, 2017, we issued and sold an unsecured promissory note in the principal amount of $7.0 million to an affiliate of one of our stockholders. The note bears interest at a rate per annum of 8.0%, and is due and payable quarterly in arrears on the 19th day of each April, July, October and January beginning on January 19, 2018. The note has a maturity date of October 19, 2022. The promissory note is contractually subordinated to the term loan facility with Silicon Valley Bank. We would be required to obtain the consent of the holder of our promissory note to increase or extend the maturity of the term loan facility with Silicon Valley Bank.</w:t>
      </w:r>
    </w:p>
    <w:p>
      <w:pPr>
        <w:spacing w:after="0" w:line="193"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In connection with the issuance and sale of the $7.0 million promissory note, we issued to the affiliate of one of our stockholders a warrant to purchase 93,764 shares of our common stock at a price per share of $5.484, which was exercised in October 2017. The warrant was exercisable at any time but would have expired if unexercised by the closing date of this offering. We recorded the fair value of the warrant in the aggregate amount of $430,160 as a discount to the promissory note. This amount is being accreted as additional interest expense over the term of the promissory note.</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220" w:lineRule="exact"/>
        <w:rPr>
          <w:sz w:val="20"/>
          <w:szCs w:val="20"/>
          <w:color w:val="auto"/>
        </w:rPr>
      </w:pPr>
    </w:p>
    <w:p>
      <w:pPr>
        <w:ind w:right="180" w:firstLine="457"/>
        <w:spacing w:after="0" w:line="267"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2015 and 2016 and the six months ended June 30, 2016 and 2017: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left="679"/>
              <w:spacing w:after="0"/>
              <w:rPr>
                <w:sz w:val="20"/>
                <w:szCs w:val="20"/>
                <w:color w:val="auto"/>
              </w:rPr>
            </w:pPr>
            <w:r>
              <w:rPr>
                <w:rFonts w:ascii="Arial" w:cs="Arial" w:eastAsia="Arial" w:hAnsi="Arial"/>
                <w:sz w:val="14"/>
                <w:szCs w:val="14"/>
                <w:b w:val="1"/>
                <w:bCs w:val="1"/>
                <w:color w:val="auto"/>
                <w:w w:val="90"/>
              </w:rPr>
              <w:t>Six Months</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5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0"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9"/>
              <w:spacing w:after="0" w:line="140"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20"/>
              <w:spacing w:after="0" w:line="140"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8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(18,855,947)</w:t>
            </w:r>
          </w:p>
        </w:tc>
        <w:tc>
          <w:tcPr>
            <w:tcW w:w="4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(26,003,078)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(12,945,118)</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(19,924,401)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41,236,498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14,863,020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14,863,020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22,380,551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(11,140,058)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1,917,902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w w:val="95"/>
              </w:rPr>
              <w:t>(19,924,401)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3" w:lineRule="exact"/>
        <w:rPr>
          <w:sz w:val="20"/>
          <w:szCs w:val="20"/>
          <w:color w:val="auto"/>
        </w:rPr>
      </w:pPr>
    </w:p>
    <w:p>
      <w:pPr>
        <w:ind w:right="440" w:firstLine="457"/>
        <w:spacing w:after="0" w:line="267" w:lineRule="auto"/>
        <w:rPr>
          <w:sz w:val="20"/>
          <w:szCs w:val="20"/>
          <w:color w:val="auto"/>
        </w:rPr>
      </w:pPr>
      <w:r>
        <w:rPr>
          <w:rFonts w:ascii="Arial" w:cs="Arial" w:eastAsia="Arial" w:hAnsi="Arial"/>
          <w:sz w:val="18"/>
          <w:szCs w:val="18"/>
          <w:color w:val="auto"/>
        </w:rPr>
        <w:t>Net cash used in operating activities was $18.9 million for the year ended December 31, 2015, and consisted primarily of a net loss of $46.5 million adjusted for non-cash items, including the cost of acquired in process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research and development of $26.5 million, share-based compensation expense of $0.5 million, and a net increase in operating assets of $0.6 million, which resulted primarily from an increase in accounts payable and accrued expenses of $2.1 million partially offset by an increase in income tax receivable of $1.3 million and an increase in prepaid expenses and other current assets of $0.2 million.</w:t>
      </w:r>
    </w:p>
    <w:p>
      <w:pPr>
        <w:spacing w:after="0" w:line="188"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color w:val="auto"/>
        </w:rPr>
        <w:t>Net cash used in operating activities was $26.0 million for the year ended December 31, 2016 and consisted primarily of a net loss of $27.1 million adjusted for non-cash items, including share-based compensation expense of $1.1 million, and a net increase in operating assets of $0.1 million, which resulted primarily from an increase in accounts payable and accrued expenses of $0.5 million partially offset by a decrease in income tax receivable of $0.4 million and a net increase in prepaid expenses and other current assets of $0.8 million.</w:t>
      </w:r>
    </w:p>
    <w:p>
      <w:pPr>
        <w:spacing w:after="0" w:line="191" w:lineRule="exact"/>
        <w:rPr>
          <w:sz w:val="20"/>
          <w:szCs w:val="20"/>
          <w:color w:val="auto"/>
        </w:rPr>
      </w:pPr>
    </w:p>
    <w:p>
      <w:pPr>
        <w:ind w:right="380" w:firstLine="457"/>
        <w:spacing w:after="0" w:line="254" w:lineRule="auto"/>
        <w:rPr>
          <w:sz w:val="20"/>
          <w:szCs w:val="20"/>
          <w:color w:val="auto"/>
        </w:rPr>
      </w:pPr>
      <w:r>
        <w:rPr>
          <w:rFonts w:ascii="Arial" w:cs="Arial" w:eastAsia="Arial" w:hAnsi="Arial"/>
          <w:sz w:val="18"/>
          <w:szCs w:val="18"/>
          <w:color w:val="auto"/>
        </w:rPr>
        <w:t>Net cash used in operating activities was $12.9 million for the six months ended June 30, 2016 and consisted primarily of a net loss of $13.3 million adjusted for non-cash items, including the cost of share-based compensation expense of $0.7 million, and a net decrease in operating assets of $0.4 million, which resulted primarily from a decrease in accounts payable of $1.1 million offset by an increase in accrued expenses of $1.3 million and an increase in prepaid expenses and other current assets of $0.6 million.</w:t>
      </w:r>
    </w:p>
    <w:p>
      <w:pPr>
        <w:spacing w:after="0" w:line="191"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Net cash used in operating activities was $19.9 million for the six months ended June 30, 2017 and consisted primarily of a net loss of $21.2 million adjusted for non-cash items, including share-based compensation expense of $0.7 million, and a net decrease in net operating assets of $0.5 million, which resulted primarily from an increase in prepaid expenses of $1.5 million and an increase in income tax receivable of $0.4 million, offset by an increase in accrued expenses of $2.4 million.</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cash used in investing activities during the years ended December 31, 2015 and 2016 or the six months ended June 30, 2016 and 2017.</w:t>
      </w:r>
    </w:p>
    <w:p>
      <w:pPr>
        <w:spacing w:after="0" w:line="3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3"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Net cash provided by financing activities was $41.2 million during the year ended December 31, 2015, compared to $14.9 million during the year ended December 31, 2016. The net cash provided by financing activities for the year ended December 31, 2015 consisted of net proceeds from the sale and issuance of an aggregate of 6,183,333 shares of series C convertible preferred stock in January, March and May 2015 at a per share price of $1.50 and the issuance of 14,384,938 shares of series D convertible preferred stock in December 2015 at a per share price of $2.234.</w:t>
      </w:r>
    </w:p>
    <w:p>
      <w:pPr>
        <w:spacing w:after="0" w:line="177"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The net cash provided by financing activities for the year ended December 31, 2016 consisted of net proceeds of $14.9 million from the sale and issuance of 6,714,413 shares of series D convertible preferred stock in January 2016 at a per share price of $2.234.</w:t>
      </w:r>
    </w:p>
    <w:p>
      <w:pPr>
        <w:spacing w:after="0" w:line="180" w:lineRule="exact"/>
        <w:rPr>
          <w:sz w:val="20"/>
          <w:szCs w:val="20"/>
          <w:color w:val="auto"/>
        </w:rPr>
      </w:pPr>
    </w:p>
    <w:p>
      <w:pPr>
        <w:ind w:right="180" w:firstLine="457"/>
        <w:spacing w:after="0" w:line="304" w:lineRule="auto"/>
        <w:rPr>
          <w:sz w:val="20"/>
          <w:szCs w:val="20"/>
          <w:color w:val="auto"/>
        </w:rPr>
      </w:pPr>
      <w:r>
        <w:rPr>
          <w:rFonts w:ascii="Arial" w:cs="Arial" w:eastAsia="Arial" w:hAnsi="Arial"/>
          <w:sz w:val="16"/>
          <w:szCs w:val="16"/>
          <w:color w:val="auto"/>
        </w:rPr>
        <w:t>There was no cash provided by financing activities during the six months ended June 30, 2017. In August 2017, we issued and sold 7,792,035 shares of series E convertible preferred stock for net proceeds of $19.7 million. In October 2017, we borrowed $20.0 million under the term loan facility with Silicon Valley Bank and issued and sold a promissory note in an original principal amount of $7.0 million to an affiliate of one of our stockholders.</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3" w:lineRule="exact"/>
        <w:rPr>
          <w:sz w:val="20"/>
          <w:szCs w:val="20"/>
          <w:color w:val="auto"/>
        </w:rPr>
      </w:pPr>
    </w:p>
    <w:p>
      <w:pPr>
        <w:ind w:right="240" w:firstLine="457"/>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including the net proceeds from our sale of series E convertible preferred stock and our borrowings under our term loan facility and promissory note, will enable us to fund our operating expenses and capital expenditure requirements at least through the first quarter of 2019. We have based this estimate on assumptions that may prove to be wrong, and we may use our available capital resources sooner than we currently expect. We do not expect that the net proceeds from this offering and our existing cash and cash equivalents, including the net proceeds from our sale of series E convertible preferred stock and our borrowings under our term loan facility and promissory note, will be sufficient to enable us to complete our planned Phase 3 clinical trials of APL-2 or to complete the development of APL-2 or any of our other product candidates. Because of the numerous risks and uncertainties associated with the development of APL-2 and other potential product candidates,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95" w:lineRule="exact"/>
        <w:rPr>
          <w:sz w:val="20"/>
          <w:szCs w:val="20"/>
          <w:color w:val="auto"/>
        </w:rPr>
      </w:pPr>
    </w:p>
    <w:p>
      <w:pPr>
        <w:ind w:left="680" w:right="200" w:hanging="220"/>
        <w:spacing w:after="0" w:line="26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and research and preclinical development efforts for, our current and future product candidates, including current and future clinical trials;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or other arrangements;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126" w:lineRule="exact"/>
        <w:rPr>
          <w:rFonts w:ascii="Arial" w:cs="Arial" w:eastAsia="Arial" w:hAnsi="Arial"/>
          <w:sz w:val="18"/>
          <w:szCs w:val="18"/>
          <w:color w:val="auto"/>
        </w:rPr>
      </w:pPr>
    </w:p>
    <w:p>
      <w:pPr>
        <w:ind w:left="680" w:right="440" w:hanging="220"/>
        <w:spacing w:after="0" w:line="25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subject to receipt of marketing approval, revenue, if any, received from commercial sales of our current and future product candidates;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26" w:lineRule="exact"/>
        <w:rPr>
          <w:rFonts w:ascii="Arial" w:cs="Arial" w:eastAsia="Arial" w:hAnsi="Arial"/>
          <w:sz w:val="18"/>
          <w:szCs w:val="18"/>
          <w:color w:val="auto"/>
        </w:rPr>
      </w:pPr>
    </w:p>
    <w:p>
      <w:pPr>
        <w:ind w:left="680" w:right="340" w:hanging="220"/>
        <w:spacing w:after="0" w:line="267" w:lineRule="auto"/>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0"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1" w:lineRule="exact"/>
        <w:rPr>
          <w:sz w:val="20"/>
          <w:szCs w:val="20"/>
          <w:color w:val="auto"/>
        </w:rPr>
      </w:pPr>
    </w:p>
    <w:p>
      <w:pPr>
        <w:jc w:val="both"/>
        <w:ind w:right="100" w:firstLine="457"/>
        <w:spacing w:after="0" w:line="27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collaborations, strategic alliances and licensing arrangements. We currently do not have any committed external source of funds. To the extent that we raise additional capital through the sale of equity or convertible debt securities, our stockholders’ ownership interests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5"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will be diluted, and the terms of these securities may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54" w:lineRule="exact"/>
        <w:rPr>
          <w:sz w:val="20"/>
          <w:szCs w:val="20"/>
          <w:color w:val="auto"/>
        </w:rPr>
      </w:pPr>
    </w:p>
    <w:p>
      <w:pPr>
        <w:ind w:firstLine="457"/>
        <w:spacing w:after="0" w:line="295"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significant contractual obligations as of payment due date by period at December 31,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Payments Due by Period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5"/>
              </w:rPr>
              <w:t>Less than</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1–3 Years</w:t>
            </w:r>
          </w:p>
        </w:tc>
        <w:tc>
          <w:tcPr>
            <w:tcW w:w="10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9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1 Year</w:t>
            </w:r>
          </w:p>
        </w:tc>
        <w:tc>
          <w:tcPr>
            <w:tcW w:w="90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07"/>
        </w:trPr>
        <w:tc>
          <w:tcPr>
            <w:tcW w:w="65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Operating leases(1)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$ 254,946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$ 167,950</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$ 86,996</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283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4" w:lineRule="exact"/>
        <w:rPr>
          <w:sz w:val="20"/>
          <w:szCs w:val="20"/>
          <w:color w:val="auto"/>
        </w:rPr>
      </w:pPr>
    </w:p>
    <w:p>
      <w:pPr>
        <w:ind w:left="440" w:right="240" w:hanging="433"/>
        <w:spacing w:after="0" w:line="267"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leases. The minimum lease payments above do not include any related common area maintenance charges or real estate taxes.</w:t>
      </w:r>
    </w:p>
    <w:p>
      <w:pPr>
        <w:spacing w:after="0" w:line="180" w:lineRule="exact"/>
        <w:rPr>
          <w:sz w:val="20"/>
          <w:szCs w:val="20"/>
          <w:color w:val="auto"/>
        </w:rPr>
      </w:pPr>
    </w:p>
    <w:p>
      <w:pPr>
        <w:ind w:right="520" w:firstLine="457"/>
        <w:spacing w:after="0" w:line="267" w:lineRule="auto"/>
        <w:rPr>
          <w:sz w:val="20"/>
          <w:szCs w:val="20"/>
          <w:color w:val="auto"/>
        </w:rPr>
      </w:pPr>
      <w:r>
        <w:rPr>
          <w:rFonts w:ascii="Arial" w:cs="Arial" w:eastAsia="Arial" w:hAnsi="Arial"/>
          <w:sz w:val="18"/>
          <w:szCs w:val="18"/>
          <w:color w:val="auto"/>
        </w:rPr>
        <w:t>The table above does not reflect our contractual obligations under our term loan facility with Silicon Valley Bank and a promissory note, which we entered into in October 2017, as discussed under “—Liquidity and Capital Resources—Indebtedness.”</w:t>
      </w:r>
    </w:p>
    <w:p>
      <w:pPr>
        <w:spacing w:after="0" w:line="180"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We are party to two license agreements with Penn under which we license specified intellectual property from Penn. The patent rights licensed to us by Penn include patents with claims that recite a class of compounds generically covering APL-2. Each license agreement requires us to pay ongoing annual maintenance payments of $100,000 per year until the first commercial sale of a licensed product. With respect to the license for the nonophthalmic field of use, we have agreed to make milestone payments to Penn aggregating up to $1.7 million based on achieving specified development and regulatory approval milestones, and up to $2.5 million based on achieving specified annual sales milestones with respect to each of the first two licensed products. With respect to the license for the ophthalmic field of use, we have agreed to make milestone payments to Penn aggregating up to $3.2 million based on achieving specified development and regulatory milestones, and up to $5.0 million based on achieving specified annual sales milestones. The license agreements also require that we pay low single-digit royalties to Penn based on net sales of each licensed product by us and our affiliates and sublicensees and specified minimum quarterly royalty thresholds. In addition, we are obligated to pay Penn a specified portion of income we receive from sublicensees. We have not included any of these potential payments in the contractual obligations table above, as we cannot reasonably estimate whether, when and in what amount any of such payments shall be made.</w:t>
      </w:r>
    </w:p>
    <w:p>
      <w:pPr>
        <w:spacing w:after="0" w:line="186" w:lineRule="exact"/>
        <w:rPr>
          <w:sz w:val="20"/>
          <w:szCs w:val="20"/>
          <w:color w:val="auto"/>
        </w:rPr>
      </w:pPr>
    </w:p>
    <w:p>
      <w:pPr>
        <w:ind w:right="100" w:firstLine="457"/>
        <w:spacing w:after="0" w:line="252" w:lineRule="auto"/>
        <w:rPr>
          <w:sz w:val="20"/>
          <w:szCs w:val="20"/>
          <w:color w:val="auto"/>
        </w:rPr>
      </w:pPr>
      <w:r>
        <w:rPr>
          <w:rFonts w:ascii="Arial" w:cs="Arial" w:eastAsia="Arial" w:hAnsi="Arial"/>
          <w:sz w:val="18"/>
          <w:szCs w:val="18"/>
          <w:color w:val="auto"/>
        </w:rPr>
        <w:t>We enter into agreements in the normal course of business with CROs for clinical trials and clinical supply manufacturing and with vendors for preclinical research studies and other services and products for operating purposes. We have not included these payments in the table of contractual obligations above since the contracts are cancelable at any time by us, generally upon 30 days prior written notice to the CRO, and therefore we believe that our non-cancelable obligations under these agreements are not material. Under these agreements, as of June 30, 2017, we are obligated to pay up to $971,000 to these vendors.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 rules.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We are exposed to market risk related to changes in interest rates. As of December 31, 2015 and 2016, we had cash and cash equivalents of $36.0 million and $24.9 million, respectively, consisting primarily of money market funds. Our primary exposure to market risk is interest rate sensitivity, which is affected by changes in the general level of U.S. interest rates. Due to the short-term duration of our investment portfolio and the low risk profile of our investments, an immediate 10% change in interest rates would not have a material effect on the fair market value of our investment portfolio. We have the ability to hold our marketable securities until maturity, and therefore we would not expect our operating results or cash flows to be affected to any significant degree by the effect of a change in market interest rates on our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2016, we had no liabilities denominated in foreign currencies.</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 We believe that this approach can result in broad inhibition of the principal pathways of the complement system and has the potential to effectively control a broad array of complement-dependent autoimmune and inflammatory diseases.</w:t>
      </w:r>
    </w:p>
    <w:p>
      <w:pPr>
        <w:spacing w:after="0" w:line="19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the most advanced clinical program targeting C3. We believe that our lead product candidate, APL-2, has the potential to be a best-in-class treatment that may address the limitations of existing treatment options or provide a treatment option where there currently is none. APL-2 has already shown activity that we believe is clinically meaningful in clinical trials for two distinct medical conditions—geographic atrophy in age-related macular degeneration, or GA, and paroxysmal nocturnal hemoglobinuria, or PNH—and we plan to conduct clinical trials in additional complement-dependent diseases. In our ongoing Phase 2 trial of APL-2 in patients with GA, treatment with APL-2 resulted in a significant reduction in the rate of GA lesion growth over 12 months, and in our two ongoing Phase 1b trials in PNH, APL-2 achieved improvements in transfusion dependency, hemoglobin levels and other hematological indicators that we believe are clinically meaningful. We are also developing other novel compounds targeting C3. We hold worldwide commercialization rights to APL-2 and these other novel compounds targeting C3.</w:t>
      </w:r>
    </w:p>
    <w:p>
      <w:pPr>
        <w:spacing w:after="0" w:line="181"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In GA, we are developing APL-2 to be injected intravitreally as a monotherapy. GA is an advanced form of age-related macular degeneration, or AMD, which is a disorder of the central portion of the retina characterized by progressive retinal cell death that ultimately leads to blindness. GA is a disease with significant unmet need and no FDA-approved therapies that affects approximately one million patients in the United States. In August 2017, we completed the primary endpoint analysis for the 12-month treatment period in our Phase 2 clinical trial in 246 patients with GA. Patients are being monitored for six months following the treatment period. We plan to announce 18-month results in the first half of 2018.</w:t>
      </w:r>
    </w:p>
    <w:p>
      <w:pPr>
        <w:spacing w:after="0" w:line="18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the trial, APL-2 achieved the primary endpoint of reduction in the rate of GA lesion growth at 12 months. Patients treated monthly with APL-2 showed a 29% reduction in the rate of GA lesion growth compared to sham, with a p-value of 0.008, and patients treated with APL-2 every other month showed a 20% reduction, with a p-value of 0.067. P-value is a conventional statistical method for measuring the statistical significance of clinical results. In our Phase 2 trial, we set statistical significance as a p-value of 0.1 or less, meaning that there is a 1-in-10 or less statistical probability that the observed results occurred by chance rather than as a result of a treatment effect. Because the p-value of these results was less than 0.1, they are statistically significant. We expect that in our planned Phase 3 clinical trials of APL-2 in GA, we will set statistical significance at a p-value of 0.05 or less, meaning that there is a 1-in-20 or less statistical probability that the observed results occur by chance.</w:t>
      </w:r>
    </w:p>
    <w:p>
      <w:pPr>
        <w:spacing w:after="0" w:line="185" w:lineRule="exact"/>
        <w:rPr>
          <w:sz w:val="20"/>
          <w:szCs w:val="20"/>
          <w:color w:val="auto"/>
        </w:rPr>
      </w:pPr>
    </w:p>
    <w:p>
      <w:pPr>
        <w:ind w:right="80" w:firstLine="457"/>
        <w:spacing w:after="0" w:line="251" w:lineRule="auto"/>
        <w:rPr>
          <w:sz w:val="20"/>
          <w:szCs w:val="20"/>
          <w:color w:val="auto"/>
        </w:rPr>
      </w:pPr>
      <w:r>
        <w:rPr>
          <w:rFonts w:ascii="Arial" w:cs="Arial" w:eastAsia="Arial" w:hAnsi="Arial"/>
          <w:sz w:val="18"/>
          <w:szCs w:val="18"/>
          <w:color w:val="auto"/>
        </w:rPr>
        <w:t xml:space="preserve">Additionally, in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of the Phase 2 trial, a greater effect was observed during the second six months of the treatment period compared to the first six months. During the second six months, we observed a reduction in the rate of GA lesion growth of 47% with monthly administration compared to sham, with a p-value of less than 0.001, and a reduction of 33% with administration every other month compared to sham, with a p-value of 0.01. These results are also statistically significant. We believe that this increased effect during the second six months may be due to immune regulation, which takes time to manifest itself. Immune regulation is the correction of the immunological dysfunction that underlies GA by enabling the natural regulatory mechanisms of immunity to normalize the immune response.</w:t>
      </w:r>
    </w:p>
    <w:p>
      <w:pPr>
        <w:spacing w:after="0" w:line="195" w:lineRule="exact"/>
        <w:rPr>
          <w:sz w:val="20"/>
          <w:szCs w:val="20"/>
          <w:color w:val="auto"/>
        </w:rPr>
      </w:pPr>
    </w:p>
    <w:p>
      <w:pPr>
        <w:ind w:right="340" w:firstLine="457"/>
        <w:spacing w:after="0" w:line="257" w:lineRule="auto"/>
        <w:rPr>
          <w:sz w:val="20"/>
          <w:szCs w:val="20"/>
          <w:color w:val="auto"/>
        </w:rPr>
      </w:pPr>
      <w:r>
        <w:rPr>
          <w:rFonts w:ascii="Arial" w:cs="Arial" w:eastAsia="Arial" w:hAnsi="Arial"/>
          <w:sz w:val="18"/>
          <w:szCs w:val="18"/>
          <w:color w:val="auto"/>
        </w:rPr>
        <w:t>The most frequently reported adverse events in the trial were associated with the injection procedure and are common for intravitreal injections. In addition, during the trial, we observed a higher incidence of wet AMD in the study eyes treated with APL-2, predominantly in patients with a history of wet AMD in the non-study eye,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fellow eye. Specifically, we observed that as of August 24, 2017, 18% of patients receiving administration of APL-2 every month and 8% of patients receiving administration of APL-2 every other month showed signs of fluid leakage in the retina, or exudation, of the study eye, which is a sign of wet AMD. We submitted a safety report to the FDA in April 2017 regarding these events, and the FDA has not communicated any concern or requested additional information with regards to these findings. Patients who experienced exudation in the study eye were discontinued from treatment with APL-2 and were treated with standard-of-care therapies that inhibit vascular endothelial growth factor, or VEGF, a naturally occurring protein in the body that causes the growth of abnormal blood vessels and leakage in the eye. There was no observed negative impact on visual acuity resulting from the exudation.</w:t>
      </w:r>
    </w:p>
    <w:p>
      <w:pPr>
        <w:spacing w:after="0" w:line="3" w:lineRule="exact"/>
        <w:rPr>
          <w:sz w:val="20"/>
          <w:szCs w:val="20"/>
          <w:color w:val="auto"/>
        </w:rPr>
      </w:pPr>
    </w:p>
    <w:p>
      <w:pPr>
        <w:jc w:val="both"/>
        <w:ind w:right="300" w:firstLine="457"/>
        <w:spacing w:after="0" w:line="291" w:lineRule="auto"/>
        <w:rPr>
          <w:sz w:val="20"/>
          <w:szCs w:val="20"/>
          <w:color w:val="auto"/>
        </w:rPr>
      </w:pPr>
      <w:r>
        <w:rPr>
          <w:rFonts w:ascii="Arial" w:cs="Arial" w:eastAsia="Arial" w:hAnsi="Arial"/>
          <w:sz w:val="16"/>
          <w:szCs w:val="16"/>
          <w:color w:val="auto"/>
        </w:rPr>
        <w:t>We plan to discuss our Phase 3 program in GA with the U.S. Food and Drug Administration, or FDA, of the study eye and to initiate Phase 3 clinical trials of APL-2 in GA in the second half of 2018. If wet AMD is deemed to be a safety concern, we believe that we could address the concern by excluding patients with wet AMD in the fellow eye from our planned Phase 3 trials. If our clinical development of APL-2 for GA is successful, we believe that APL-2 could be a best-in-class therapy for GA, differentiated by mechanism, that could delay or prevent blindness for millions of patients.</w:t>
      </w:r>
    </w:p>
    <w:p>
      <w:pPr>
        <w:spacing w:after="0" w:line="16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also plan to initiate a Phase 2 proof-of-concept trial of APL-2 in patients with wet AMD in the first half of 2018 to evaluate the safety of APL-2 when administered with anti-VEGF treatments and then to evaluate whether treatment with APL-2 may allow wet AMD patients to reduce their dependence on anti-VEGF treatments. We believe that intravitreal administration of APL-2 in the presence of GA induces immunological changes in the retina that cause neovascularization and wet AMD as part of a healing response before returning to a quiescent state. We believe that intravitreal administration of APL-2 in patients with wet AMD in the absence of GA could also allow the retinal environment to return to its quiescent state, possibly slowing or halting the formation of new blood vessels and reducing exudation. Accordingly, we plan to conduct this proof-of-concept trial to explore whether the administration of APL-2 in patients with wet AMD can cause the retinal environment to return to its quiescent state and alleviate the need for anti-VEGF treatment. We believe that the data from this trial may also support the use of APL-2 in eyes afflicted with both wet AMD and GA.</w:t>
      </w:r>
    </w:p>
    <w:p>
      <w:pPr>
        <w:spacing w:after="0" w:line="18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PNH, we are developing APL-2 to be injected subcutaneously as a monotherapy. PNH is a rare, life-threatening, chronic, debilitating blood disorder characterized by the absence of certain proteins that normally regulate complement activity on the surface of blood cells. As a consequence, patients with PNH suffer from significant and chronic red blood cell loss, or hemolysis. The only therapy currently approved for the treatment of PNH, eculizumab (Soliris), inhibits the complement system by targeting C5, a protein that is downstream from C3 in the complement cascade. Inhibitors that target C5 are limited to addressing only one of the two mechanisms of hemolysis in PNH. Consequently, many patients with PNH who are on treatment with eculizumab remain anemic and continue to require frequent transfusions, conditions associated with a poor quality of life. By contrast, APL-2, because it targets C3, addresses both mechanisms of hemolysis and, we believe, may therefore significantly ameliorate these conditions.</w:t>
      </w:r>
    </w:p>
    <w:p>
      <w:pPr>
        <w:spacing w:after="0" w:line="185"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In our ongoing Phase 1b trials of APL-2 for the treatment of PNH, in which APL-2 was administered to 14 patients, treatment with APL-2 was associated with improvements in transfusion dependency, levels of hemoglobin—the protein that carries oxygen from the lungs to the tissues of the body—and other hematological indicators that we believe are clinically meaningful. We made these observations both in patients who had not been treated with eculizumab, who we refer to as treatment-naïve patients, and in patients being treated with eculizumab who remained anemic and required frequent blood transfusions. In these trials, APL-2 has been generally well tolerated, and, as of August 30, 2017, six patients in the trials had been treated with APL-2 for more than 300 days.</w:t>
      </w:r>
    </w:p>
    <w:p>
      <w:pPr>
        <w:spacing w:after="0" w:line="165" w:lineRule="exact"/>
        <w:rPr>
          <w:sz w:val="20"/>
          <w:szCs w:val="20"/>
          <w:color w:val="auto"/>
        </w:rPr>
      </w:pPr>
    </w:p>
    <w:p>
      <w:pPr>
        <w:jc w:val="both"/>
        <w:ind w:right="420" w:firstLine="457"/>
        <w:spacing w:after="0" w:line="304" w:lineRule="auto"/>
        <w:rPr>
          <w:sz w:val="20"/>
          <w:szCs w:val="20"/>
          <w:color w:val="auto"/>
        </w:rPr>
      </w:pPr>
      <w:r>
        <w:rPr>
          <w:rFonts w:ascii="Arial" w:cs="Arial" w:eastAsia="Arial" w:hAnsi="Arial"/>
          <w:sz w:val="16"/>
          <w:szCs w:val="16"/>
          <w:color w:val="auto"/>
        </w:rPr>
        <w:t>We plan to discuss our Phase 3 program in PNH with the FDA and to initiate in the second half of 2018 a Phase 3 clinical trial in patients with PNH comparing treatment with APL-2 to treatment with eculizumab as a monotherapy. Based on our discussions with the FDA to date, we believe that we can initiate Phase 3 trials in PNH as pivotal trials without having to conduct Phase 2 trials. Our ability to forgo a Phase 2 trial reflects that the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design of our Phase 1b trials is comparable to the design of a Phase 2 trial, that the dosing and efficacy data to be generated from the Phase 1b trials are comparable to the data that would be generated from a Phase 2 trial and that there is a limited PNH patient population. In April 2014, we received orphan drug designation from the FDA for APL-2 for PNH, and in December 2016 we received fast track designation from the FDA for APL-2 for PNH. If our clinical development of APL-2 for PNH is successful, we believe that APL-2 could be a best-in-class therapy for PNH, differentiated by mechanism, and has the potential to significantly increase the quality of life of patients with PNH as compared to the current standard of care.</w:t>
      </w:r>
    </w:p>
    <w:p>
      <w:pPr>
        <w:spacing w:after="0" w:line="181"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By combining our core expertise in C3 inhibition with our deep understanding of complement immunology, we intend to expand our pipeline of potential treatment areas with APL-2 and with additional new product candidates. We plan to initiate clinical trials of APL-2 in patients with autoimmune hemolytic anemia, or AIHA, and in patients with complement-dependent kidney diseases, or nephropathies.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19"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The complement system plays a pivotal role in both innate and adaptive immune systems. Complement proteins are produced primarily by the liver and circulate in the blood and through the body’s tissues. The complement system may be activated through three principal pathways, known as the classical, lectin and alternative pathways, each of which requires the C3 protein to enable three principal immune responses: opsonization, inflammation and formation of the membrane attack complex, or MAC. When C3 is activated, C3 fragments, such as C3b, tag cell surfaces in a process called opsonization, which marks the cells for removal from tissues or the bloodstream. Two other fragments, C3a and C5a, are released, contributing to inflammation in the surrounding tissues. Further complement activation causes membrane attack complex formation on cell surfaces, piercing holes and causing cells to lyse, or rupture.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figure depicts the complement system, its three principal activation pathways and its principal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164465</wp:posOffset>
            </wp:positionV>
            <wp:extent cx="4623435" cy="3107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3435" cy="310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5"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Under conditions of excessive or uncontrolled activation, the complement system is believed to play a key role in the incidence and progression of several autoimmune and inflammatory diseases. In these diseases, the complement system acts directly through tissue destruction by the membrane attack complex and indirectly by signaling other elements of the immune system to inappropriately target otherwise healthy tissues. Because the contribution of complement activation to the development and progression of these diseases is not fully understood, it has been difficult to develop therapeutics that ameliorate the conditions contributing to these diseases by targeting only one of the complement activation pathways.</w:t>
      </w:r>
    </w:p>
    <w:p>
      <w:pPr>
        <w:spacing w:after="0" w:line="181"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Complement activation and its effects can be inhibited in multiple ways. By targeting complement proteins upstream of C3, one of the three principal activation pathways can be inhibited. For example, inhibition of factor D results in inhibition of the alternative pathway, but not the classical or lectin pathways. The complement system can also be inhibited by targeting complement proteins downstream of C3, which results in limited inhibition of complement effects. For example, inhibition of C5 leads to inhibition of the formation of the membrane attack complex and C5a-mediated inflammation, but does not affect opsonization or C3a-mediated inflammation.</w:t>
      </w:r>
    </w:p>
    <w:p>
      <w:pPr>
        <w:spacing w:after="0" w:line="193"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We have designed APL-2 to target complement proteins centrally at the level of C3. We believe that this approach can result in broad inhibition of the complement pathways and has the potential to effectively control complement-dependent diseases, including GA, PNH, AIHA and complement-dependent nephropathies. We believe that APL-2 has the potential to be a best-in-class treatment and may address the limitations of existing treatment options or provide a treatment option where there is none.</w:t>
      </w:r>
    </w:p>
    <w:p>
      <w:pPr>
        <w:spacing w:after="0" w:line="191" w:lineRule="exact"/>
        <w:rPr>
          <w:sz w:val="20"/>
          <w:szCs w:val="20"/>
          <w:color w:val="auto"/>
        </w:rPr>
      </w:pPr>
    </w:p>
    <w:p>
      <w:pPr>
        <w:ind w:right="180" w:firstLine="457"/>
        <w:spacing w:after="0" w:line="287" w:lineRule="auto"/>
        <w:rPr>
          <w:sz w:val="20"/>
          <w:szCs w:val="20"/>
          <w:color w:val="auto"/>
        </w:rPr>
      </w:pPr>
      <w:r>
        <w:rPr>
          <w:rFonts w:ascii="Arial" w:cs="Arial" w:eastAsia="Arial" w:hAnsi="Arial"/>
          <w:sz w:val="16"/>
          <w:szCs w:val="16"/>
          <w:color w:val="auto"/>
        </w:rPr>
        <w:t>We also believe that APL-2 may act as an immunotherapy, which refers to the clinical regulation of an overly permissive or overly aggressive immune system for therapeutic purposes. In the field of oncology, innovative approaches to immunotherapy have been used to correct an overly permissive immune system that fails to properly eliminate cancer cells. These approaches have led to unprecedented rates of prolonged disease-free survival in certain cancers. In autoimmune disease, we believe immunotherapy may be used to correct an overly aggressive immune system. We further believe that C3 inhibition has the potential to correct the immunological dysfunction that underlies multiple autoimmune and inflammatory diseases by enabling the natural regulatory mechanisms of immunity to normalize the immune response. We refer to this corrective approach as complement immunotherapy. As with cancer, we believe that the next breakthrough treatments in autoimmune disease may stem from novel approaches to immunotherapy, such as complement immunotherapy.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19" w:lineRule="exact"/>
        <w:rPr>
          <w:sz w:val="20"/>
          <w:szCs w:val="20"/>
          <w:color w:val="auto"/>
        </w:rPr>
      </w:pPr>
    </w:p>
    <w:p>
      <w:pPr>
        <w:ind w:right="760" w:firstLine="457"/>
        <w:spacing w:after="0" w:line="331" w:lineRule="auto"/>
        <w:rPr>
          <w:sz w:val="20"/>
          <w:szCs w:val="20"/>
          <w:color w:val="auto"/>
        </w:rPr>
      </w:pPr>
      <w:r>
        <w:rPr>
          <w:rFonts w:ascii="Arial" w:cs="Arial" w:eastAsia="Arial" w:hAnsi="Arial"/>
          <w:sz w:val="16"/>
          <w:szCs w:val="16"/>
          <w:color w:val="auto"/>
        </w:rPr>
        <w:t>We aim to become a leading biopharmaceutical company focused on the discovery, development and commercialization of therapeutics to treat autoimmune and inflammatory diseases through complement inhibition. To achieve this goal, we are pursuing the following strategies:</w:t>
      </w:r>
    </w:p>
    <w:p>
      <w:pPr>
        <w:spacing w:after="0" w:line="39" w:lineRule="exact"/>
        <w:rPr>
          <w:sz w:val="20"/>
          <w:szCs w:val="20"/>
          <w:color w:val="auto"/>
        </w:rPr>
      </w:pPr>
    </w:p>
    <w:p>
      <w:pPr>
        <w:ind w:left="680" w:right="20" w:hanging="220"/>
        <w:spacing w:after="0" w:line="288" w:lineRule="auto"/>
        <w:tabs>
          <w:tab w:leader="none" w:pos="6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Advance APL-2 (intravitreal administration) into Phase 3 clinical development in GA and Phase 2 clinical development in wet AMD</w:t>
      </w:r>
      <w:r>
        <w:rPr>
          <w:rFonts w:ascii="Arial" w:cs="Arial" w:eastAsia="Arial" w:hAnsi="Arial"/>
          <w:sz w:val="16"/>
          <w:szCs w:val="16"/>
          <w:color w:val="auto"/>
        </w:rPr>
        <w:t>.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APL-2 as monotherapy for GA, administered by intravitreal injections. In our ongoing Phase 2 clinical trial of APL-2 in patients with GA, treatment with APL-2 resulted in a significant reduction in the rate of GA lesion growth at 12 months compared to sham. We plan to discuss our Phase 3 program in GA with the FDA and to initiate Phase 3 clinical trials of APL-2 in GA in the second half of 2018. We also plan to initiate a Phase 2 proof-of-concept trial of APL-2 in patients with wet AMD in the first half of 2018 to evaluate the safety of APL-2 when administered with anti-VEGF treatments and then to evaluate whether treatment with APL-2 may allow wet AMD patients to reduce their dependence on anti-VEGF treatments.</w:t>
      </w:r>
    </w:p>
    <w:p>
      <w:pPr>
        <w:spacing w:after="0" w:line="75" w:lineRule="exact"/>
        <w:rPr>
          <w:rFonts w:ascii="Arial" w:cs="Arial" w:eastAsia="Arial" w:hAnsi="Arial"/>
          <w:sz w:val="16"/>
          <w:szCs w:val="16"/>
          <w:color w:val="auto"/>
        </w:rPr>
      </w:pPr>
    </w:p>
    <w:p>
      <w:pPr>
        <w:ind w:left="680" w:hanging="220"/>
        <w:spacing w:after="0" w:line="251" w:lineRule="auto"/>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APL-2 (systemic administration) into Phase 3 clinical development in PNH. </w:t>
      </w:r>
      <w:r>
        <w:rPr>
          <w:rFonts w:ascii="Arial" w:cs="Arial" w:eastAsia="Arial" w:hAnsi="Arial"/>
          <w:sz w:val="18"/>
          <w:szCs w:val="18"/>
          <w:color w:val="auto"/>
        </w:rPr>
        <w:t>We are developing APL-2 as monotherapy for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PNH, administered by subcutaneous injection. We are conducting our ongoing Phase 1b clinical trials of APL-2 in patients being treated with eculizumab and in treatment-naïve patients and evaluating dosing regimens such as twice and once per week dosing. In these two Phase 1b trials in PNH, APL-2 treatment was associated with improvements in transfusion dependency, hemoglobin levels and other hematological indicators that we believe are clinically meaningful. We plan to discuss our Phase 3 program with the FDA and initiate a Phase 3 clinical trial in patients with PNH in the second half of 2018.</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line="254"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APL-2 (systemic administration) into new indications with demonstrated complement involvement. </w:t>
      </w:r>
      <w:r>
        <w:rPr>
          <w:rFonts w:ascii="Arial" w:cs="Arial" w:eastAsia="Arial" w:hAnsi="Arial"/>
          <w:sz w:val="18"/>
          <w:szCs w:val="18"/>
          <w:color w:val="auto"/>
        </w:rPr>
        <w:t>Complement has been found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implicated in multiple diseases. We believe that APL-2 has the potential to be an effective treatment for patients with these diseases. We plan to initiate a Phase 2 clinical trial of APL-2 in AIHA, in the first half of 2018 and to initiate a Phase 2 clinical trial of APL-2 in complement-dependent nephropathies in the first half of 2018.</w:t>
      </w:r>
    </w:p>
    <w:p>
      <w:pPr>
        <w:spacing w:after="0" w:line="97" w:lineRule="exact"/>
        <w:rPr>
          <w:rFonts w:ascii="Arial" w:cs="Arial" w:eastAsia="Arial" w:hAnsi="Arial"/>
          <w:sz w:val="18"/>
          <w:szCs w:val="18"/>
          <w:color w:val="auto"/>
        </w:rPr>
      </w:pPr>
    </w:p>
    <w:p>
      <w:pPr>
        <w:ind w:left="680" w:right="100" w:hanging="220"/>
        <w:spacing w:after="0" w:line="254"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pipeline by developing new compounds and programs for other complement-dependent diseases</w:t>
      </w:r>
      <w:r>
        <w:rPr>
          <w:rFonts w:ascii="Arial" w:cs="Arial" w:eastAsia="Arial" w:hAnsi="Arial"/>
          <w:sz w:val="18"/>
          <w:szCs w:val="18"/>
          <w:color w:val="auto"/>
        </w:rPr>
        <w:t>. By combining our core expertise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C3 with our understanding of immunology and the role of the complement system in disease, we believe that we are well positioned to continue to develop a pipeline of treatments for a broad range of autoimmune and inflammatory diseases. We are developing new product candidates for the treatment of complement-dependent diseases.</w:t>
      </w:r>
    </w:p>
    <w:p>
      <w:pPr>
        <w:spacing w:after="0" w:line="97" w:lineRule="exact"/>
        <w:rPr>
          <w:rFonts w:ascii="Arial" w:cs="Arial" w:eastAsia="Arial" w:hAnsi="Arial"/>
          <w:sz w:val="18"/>
          <w:szCs w:val="18"/>
          <w:color w:val="auto"/>
        </w:rPr>
      </w:pPr>
    </w:p>
    <w:p>
      <w:pPr>
        <w:ind w:left="680" w:right="100" w:hanging="220"/>
        <w:spacing w:after="0" w:line="252"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Develop a custom drug delivery system for systemic administration of APL-2</w:t>
      </w:r>
      <w:r>
        <w:rPr>
          <w:rFonts w:ascii="Arial" w:cs="Arial" w:eastAsia="Arial" w:hAnsi="Arial"/>
          <w:sz w:val="18"/>
          <w:szCs w:val="18"/>
          <w:color w:val="auto"/>
        </w:rPr>
        <w:t>. We are developing a custom, on-body drug delivery system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enable patients to self-administer APL-2 through subcutaneous infusion more easily than with currently available off-the-shelf, FDA-approved or FDA-cleared devices. While our goal is to commercially launch APL-2 in PNH together with the drug delivery system, we can commercialize APL-2 without the custom drug delivery system, in which case marketing approval for APL-2 will not be contingent upon approval of the drug delivery system.</w:t>
      </w:r>
    </w:p>
    <w:p>
      <w:pPr>
        <w:spacing w:after="0" w:line="100" w:lineRule="exact"/>
        <w:rPr>
          <w:rFonts w:ascii="Arial" w:cs="Arial" w:eastAsia="Arial" w:hAnsi="Arial"/>
          <w:sz w:val="18"/>
          <w:szCs w:val="18"/>
          <w:color w:val="auto"/>
        </w:rPr>
      </w:pPr>
    </w:p>
    <w:p>
      <w:pPr>
        <w:ind w:left="680" w:right="120" w:hanging="220"/>
        <w:spacing w:after="0" w:line="257" w:lineRule="auto"/>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commercialization of APL-2</w:t>
      </w:r>
      <w:r>
        <w:rPr>
          <w:rFonts w:ascii="Arial" w:cs="Arial" w:eastAsia="Arial" w:hAnsi="Arial"/>
          <w:sz w:val="18"/>
          <w:szCs w:val="18"/>
          <w:color w:val="auto"/>
        </w:rPr>
        <w:t>. We hold worldwide commercialization rights to APL-2 and our other product candidates. As a result,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flexibility to develop and potentially commercialize products ourselves, or alternatively to seek to enter into collaborations with industry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Programs</w:t>
      </w:r>
    </w:p>
    <w:p>
      <w:pPr>
        <w:spacing w:after="0" w:line="119" w:lineRule="exact"/>
        <w:rPr>
          <w:sz w:val="20"/>
          <w:szCs w:val="20"/>
          <w:color w:val="auto"/>
        </w:rPr>
      </w:pPr>
    </w:p>
    <w:p>
      <w:pPr>
        <w:ind w:right="140" w:firstLine="457"/>
        <w:spacing w:after="0" w:line="297" w:lineRule="auto"/>
        <w:rPr>
          <w:sz w:val="20"/>
          <w:szCs w:val="20"/>
          <w:color w:val="auto"/>
        </w:rPr>
      </w:pPr>
      <w:r>
        <w:rPr>
          <w:rFonts w:ascii="Arial" w:cs="Arial" w:eastAsia="Arial" w:hAnsi="Arial"/>
          <w:sz w:val="17"/>
          <w:szCs w:val="17"/>
          <w:color w:val="auto"/>
        </w:rPr>
        <w:t>Our lead product candidate, APL-2, is a C3 inhibitor. APL-2 is a conjugate of a compstatin analogue, formulated both for intravitreal injection, which is an injection directly into the eye, and systemic administration by subcutaneous injection, which is an injection into the tissue under the skin.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key information about our clinical program for APL-2: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Indication</w:t>
            </w:r>
          </w:p>
        </w:tc>
        <w:tc>
          <w:tcPr>
            <w:tcW w:w="2620" w:type="dxa"/>
            <w:vAlign w:val="bottom"/>
          </w:tcPr>
          <w:p>
            <w:pPr>
              <w:ind w:left="880"/>
              <w:spacing w:after="0"/>
              <w:rPr>
                <w:sz w:val="20"/>
                <w:szCs w:val="20"/>
                <w:color w:val="auto"/>
              </w:rPr>
            </w:pPr>
            <w:r>
              <w:rPr>
                <w:rFonts w:ascii="Arial" w:cs="Arial" w:eastAsia="Arial" w:hAnsi="Arial"/>
                <w:sz w:val="14"/>
                <w:szCs w:val="14"/>
                <w:b w:val="1"/>
                <w:bCs w:val="1"/>
                <w:color w:val="auto"/>
              </w:rPr>
              <w:t>Clinical Trials</w:t>
            </w:r>
          </w:p>
        </w:tc>
        <w:tc>
          <w:tcPr>
            <w:tcW w:w="240" w:type="dxa"/>
            <w:vAlign w:val="bottom"/>
          </w:tcPr>
          <w:p>
            <w:pPr>
              <w:spacing w:after="0"/>
              <w:rPr>
                <w:sz w:val="15"/>
                <w:szCs w:val="15"/>
                <w:color w:val="auto"/>
              </w:rPr>
            </w:pPr>
          </w:p>
        </w:tc>
        <w:tc>
          <w:tcPr>
            <w:tcW w:w="2840" w:type="dxa"/>
            <w:vAlign w:val="bottom"/>
            <w:gridSpan w:val="2"/>
          </w:tcPr>
          <w:p>
            <w:pPr>
              <w:ind w:left="760"/>
              <w:spacing w:after="0"/>
              <w:rPr>
                <w:sz w:val="20"/>
                <w:szCs w:val="20"/>
                <w:color w:val="auto"/>
              </w:rPr>
            </w:pPr>
            <w:r>
              <w:rPr>
                <w:rFonts w:ascii="Arial" w:cs="Arial" w:eastAsia="Arial" w:hAnsi="Arial"/>
                <w:sz w:val="14"/>
                <w:szCs w:val="14"/>
                <w:b w:val="1"/>
                <w:bCs w:val="1"/>
                <w:color w:val="auto"/>
              </w:rPr>
              <w:t>Trial Participants</w:t>
            </w:r>
          </w:p>
        </w:tc>
        <w:tc>
          <w:tcPr>
            <w:tcW w:w="2500" w:type="dxa"/>
            <w:vAlign w:val="bottom"/>
          </w:tcPr>
          <w:p>
            <w:pPr>
              <w:ind w:left="660"/>
              <w:spacing w:after="0"/>
              <w:rPr>
                <w:sz w:val="20"/>
                <w:szCs w:val="20"/>
                <w:color w:val="auto"/>
              </w:rPr>
            </w:pPr>
            <w:r>
              <w:rPr>
                <w:rFonts w:ascii="Arial" w:cs="Arial" w:eastAsia="Arial" w:hAnsi="Arial"/>
                <w:sz w:val="14"/>
                <w:szCs w:val="14"/>
                <w:b w:val="1"/>
                <w:bCs w:val="1"/>
                <w:color w:val="auto"/>
              </w:rPr>
              <w:t>Estimated Timeline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Ophthalmology</w:t>
            </w:r>
          </w:p>
        </w:tc>
        <w:tc>
          <w:tcPr>
            <w:tcW w:w="240" w:type="dxa"/>
            <w:vAlign w:val="bottom"/>
          </w:tcPr>
          <w:p>
            <w:pPr>
              <w:spacing w:after="0"/>
              <w:rPr>
                <w:sz w:val="16"/>
                <w:szCs w:val="16"/>
                <w:color w:val="auto"/>
              </w:rPr>
            </w:pPr>
          </w:p>
        </w:tc>
        <w:tc>
          <w:tcPr>
            <w:tcW w:w="26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(intravitreal)</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GA</w:t>
            </w:r>
          </w:p>
        </w:tc>
        <w:tc>
          <w:tcPr>
            <w:tcW w:w="2620" w:type="dxa"/>
            <w:vAlign w:val="bottom"/>
          </w:tcPr>
          <w:p>
            <w:pPr>
              <w:spacing w:after="0"/>
              <w:rPr>
                <w:sz w:val="20"/>
                <w:szCs w:val="20"/>
                <w:color w:val="auto"/>
              </w:rPr>
            </w:pPr>
            <w:r>
              <w:rPr>
                <w:rFonts w:ascii="Arial" w:cs="Arial" w:eastAsia="Arial" w:hAnsi="Arial"/>
                <w:sz w:val="18"/>
                <w:szCs w:val="18"/>
                <w:color w:val="auto"/>
                <w:w w:val="91"/>
              </w:rPr>
              <w:t>Phase 1 single ascending dose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wet AMD</w:t>
            </w:r>
          </w:p>
        </w:tc>
        <w:tc>
          <w:tcPr>
            <w:tcW w:w="2500" w:type="dxa"/>
            <w:vAlign w:val="bottom"/>
          </w:tcPr>
          <w:p>
            <w:pPr>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2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GA</w:t>
            </w:r>
          </w:p>
        </w:tc>
        <w:tc>
          <w:tcPr>
            <w:tcW w:w="2500" w:type="dxa"/>
            <w:vAlign w:val="bottom"/>
          </w:tcPr>
          <w:p>
            <w:pPr>
              <w:spacing w:after="0"/>
              <w:rPr>
                <w:sz w:val="20"/>
                <w:szCs w:val="20"/>
                <w:color w:val="auto"/>
              </w:rPr>
            </w:pPr>
            <w:r>
              <w:rPr>
                <w:rFonts w:ascii="Arial" w:cs="Arial" w:eastAsia="Arial" w:hAnsi="Arial"/>
                <w:sz w:val="18"/>
                <w:szCs w:val="18"/>
                <w:color w:val="auto"/>
                <w:w w:val="96"/>
              </w:rPr>
              <w:t>Primary endpoint met; 12-month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9"/>
              </w:rPr>
              <w:t>data reported August 2017; 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month data expected 1H 2018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Planned Phase 3 trials</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GA</w:t>
            </w:r>
          </w:p>
        </w:tc>
        <w:tc>
          <w:tcPr>
            <w:tcW w:w="2500" w:type="dxa"/>
            <w:vAlign w:val="bottom"/>
          </w:tcPr>
          <w:p>
            <w:pPr>
              <w:spacing w:after="0"/>
              <w:rPr>
                <w:sz w:val="20"/>
                <w:szCs w:val="20"/>
                <w:color w:val="auto"/>
              </w:rPr>
            </w:pPr>
            <w:r>
              <w:rPr>
                <w:rFonts w:ascii="Arial" w:cs="Arial" w:eastAsia="Arial" w:hAnsi="Arial"/>
                <w:sz w:val="18"/>
                <w:szCs w:val="18"/>
                <w:color w:val="auto"/>
              </w:rPr>
              <w:t>Initiate 2H 2018</w:t>
            </w:r>
          </w:p>
        </w:tc>
        <w:tc>
          <w:tcPr>
            <w:tcW w:w="0" w:type="dxa"/>
            <w:vAlign w:val="bottom"/>
          </w:tcPr>
          <w:p>
            <w:pPr>
              <w:spacing w:after="0"/>
              <w:rPr>
                <w:sz w:val="1"/>
                <w:szCs w:val="1"/>
                <w:color w:val="auto"/>
              </w:rPr>
            </w:pPr>
          </w:p>
        </w:tc>
      </w:tr>
      <w:tr>
        <w:trPr>
          <w:trHeight w:val="221"/>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Wet AMD</w:t>
            </w:r>
          </w:p>
        </w:tc>
        <w:tc>
          <w:tcPr>
            <w:tcW w:w="2620" w:type="dxa"/>
            <w:vAlign w:val="bottom"/>
          </w:tcPr>
          <w:p>
            <w:pPr>
              <w:spacing w:after="0"/>
              <w:rPr>
                <w:sz w:val="20"/>
                <w:szCs w:val="20"/>
                <w:color w:val="auto"/>
              </w:rPr>
            </w:pPr>
            <w:r>
              <w:rPr>
                <w:rFonts w:ascii="Arial" w:cs="Arial" w:eastAsia="Arial" w:hAnsi="Arial"/>
                <w:sz w:val="18"/>
                <w:szCs w:val="18"/>
                <w:color w:val="auto"/>
              </w:rPr>
              <w:t>Planned Phase 2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wet AMD</w:t>
            </w:r>
          </w:p>
        </w:tc>
        <w:tc>
          <w:tcPr>
            <w:tcW w:w="2500" w:type="dxa"/>
            <w:vAlign w:val="bottom"/>
          </w:tcPr>
          <w:p>
            <w:pPr>
              <w:spacing w:after="0"/>
              <w:rPr>
                <w:sz w:val="20"/>
                <w:szCs w:val="20"/>
                <w:color w:val="auto"/>
              </w:rPr>
            </w:pPr>
            <w:r>
              <w:rPr>
                <w:rFonts w:ascii="Arial" w:cs="Arial" w:eastAsia="Arial" w:hAnsi="Arial"/>
                <w:sz w:val="18"/>
                <w:szCs w:val="18"/>
                <w:color w:val="auto"/>
              </w:rPr>
              <w:t>Initiate 1H 2018</w:t>
            </w:r>
          </w:p>
        </w:tc>
        <w:tc>
          <w:tcPr>
            <w:tcW w:w="0" w:type="dxa"/>
            <w:vAlign w:val="bottom"/>
          </w:tcPr>
          <w:p>
            <w:pPr>
              <w:spacing w:after="0"/>
              <w:rPr>
                <w:sz w:val="1"/>
                <w:szCs w:val="1"/>
                <w:color w:val="auto"/>
              </w:rPr>
            </w:pPr>
          </w:p>
        </w:tc>
      </w:tr>
      <w:tr>
        <w:trPr>
          <w:trHeight w:val="219"/>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Hematology</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(systemic)</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PNH</w:t>
            </w:r>
          </w:p>
        </w:tc>
        <w:tc>
          <w:tcPr>
            <w:tcW w:w="2620" w:type="dxa"/>
            <w:vAlign w:val="bottom"/>
          </w:tcPr>
          <w:p>
            <w:pPr>
              <w:spacing w:after="0"/>
              <w:rPr>
                <w:sz w:val="20"/>
                <w:szCs w:val="20"/>
                <w:color w:val="auto"/>
              </w:rPr>
            </w:pPr>
            <w:r>
              <w:rPr>
                <w:rFonts w:ascii="Arial" w:cs="Arial" w:eastAsia="Arial" w:hAnsi="Arial"/>
                <w:sz w:val="18"/>
                <w:szCs w:val="18"/>
                <w:color w:val="auto"/>
                <w:w w:val="91"/>
              </w:rPr>
              <w:t>Phase 1 single ascending dose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Healthy volunteers</w:t>
            </w:r>
          </w:p>
        </w:tc>
        <w:tc>
          <w:tcPr>
            <w:tcW w:w="2500" w:type="dxa"/>
            <w:vAlign w:val="bottom"/>
          </w:tcPr>
          <w:p>
            <w:pPr>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8"/>
              </w:rPr>
              <w:t>Phase 1 multiple ascending dose</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Healthy volunteers</w:t>
            </w:r>
          </w:p>
        </w:tc>
        <w:tc>
          <w:tcPr>
            <w:tcW w:w="2500" w:type="dxa"/>
            <w:vAlign w:val="bottom"/>
          </w:tcPr>
          <w:p>
            <w:pPr>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trial</w:t>
            </w: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1b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Eculizumab-treated patients with</w:t>
            </w:r>
          </w:p>
        </w:tc>
        <w:tc>
          <w:tcPr>
            <w:tcW w:w="2500" w:type="dxa"/>
            <w:vAlign w:val="bottom"/>
          </w:tcPr>
          <w:p>
            <w:pPr>
              <w:spacing w:after="0"/>
              <w:rPr>
                <w:sz w:val="20"/>
                <w:szCs w:val="20"/>
                <w:color w:val="auto"/>
              </w:rPr>
            </w:pPr>
            <w:r>
              <w:rPr>
                <w:rFonts w:ascii="Arial" w:cs="Arial" w:eastAsia="Arial" w:hAnsi="Arial"/>
                <w:sz w:val="18"/>
                <w:szCs w:val="18"/>
                <w:color w:val="auto"/>
              </w:rPr>
              <w:t>12-month data 2H 2017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PNH</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Phase 1b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Treatment-naïve patients with PNH</w:t>
            </w:r>
          </w:p>
        </w:tc>
        <w:tc>
          <w:tcPr>
            <w:tcW w:w="2500" w:type="dxa"/>
            <w:vAlign w:val="bottom"/>
          </w:tcPr>
          <w:p>
            <w:pPr>
              <w:spacing w:after="0"/>
              <w:rPr>
                <w:sz w:val="20"/>
                <w:szCs w:val="20"/>
                <w:color w:val="auto"/>
              </w:rPr>
            </w:pPr>
            <w:r>
              <w:rPr>
                <w:rFonts w:ascii="Arial" w:cs="Arial" w:eastAsia="Arial" w:hAnsi="Arial"/>
                <w:sz w:val="18"/>
                <w:szCs w:val="18"/>
                <w:color w:val="auto"/>
              </w:rPr>
              <w:t>Trial expansion data 1H 2018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Planned Phase 3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PNH</w:t>
            </w:r>
          </w:p>
        </w:tc>
        <w:tc>
          <w:tcPr>
            <w:tcW w:w="2500" w:type="dxa"/>
            <w:vAlign w:val="bottom"/>
          </w:tcPr>
          <w:p>
            <w:pPr>
              <w:spacing w:after="0"/>
              <w:rPr>
                <w:sz w:val="20"/>
                <w:szCs w:val="20"/>
                <w:color w:val="auto"/>
              </w:rPr>
            </w:pPr>
            <w:r>
              <w:rPr>
                <w:rFonts w:ascii="Arial" w:cs="Arial" w:eastAsia="Arial" w:hAnsi="Arial"/>
                <w:sz w:val="18"/>
                <w:szCs w:val="18"/>
                <w:color w:val="auto"/>
              </w:rPr>
              <w:t>Initiate 2H 2018</w:t>
            </w:r>
          </w:p>
        </w:tc>
        <w:tc>
          <w:tcPr>
            <w:tcW w:w="0" w:type="dxa"/>
            <w:vAlign w:val="bottom"/>
          </w:tcPr>
          <w:p>
            <w:pPr>
              <w:spacing w:after="0"/>
              <w:rPr>
                <w:sz w:val="1"/>
                <w:szCs w:val="1"/>
                <w:color w:val="auto"/>
              </w:rPr>
            </w:pPr>
          </w:p>
        </w:tc>
      </w:tr>
      <w:tr>
        <w:trPr>
          <w:trHeight w:val="207"/>
        </w:trPr>
        <w:tc>
          <w:tcPr>
            <w:tcW w:w="3220" w:type="dxa"/>
            <w:vAlign w:val="bottom"/>
            <w:gridSpan w:val="3"/>
          </w:tcPr>
          <w:p>
            <w:pPr>
              <w:spacing w:after="0"/>
              <w:rPr>
                <w:sz w:val="20"/>
                <w:szCs w:val="20"/>
                <w:color w:val="auto"/>
              </w:rPr>
            </w:pPr>
            <w:r>
              <w:rPr>
                <w:rFonts w:ascii="Arial" w:cs="Arial" w:eastAsia="Arial" w:hAnsi="Arial"/>
                <w:sz w:val="18"/>
                <w:szCs w:val="18"/>
                <w:color w:val="auto"/>
              </w:rPr>
              <w:t>AIHA</w:t>
            </w:r>
          </w:p>
        </w:tc>
        <w:tc>
          <w:tcPr>
            <w:tcW w:w="2620" w:type="dxa"/>
            <w:vAlign w:val="bottom"/>
          </w:tcPr>
          <w:p>
            <w:pPr>
              <w:spacing w:after="0"/>
              <w:rPr>
                <w:sz w:val="20"/>
                <w:szCs w:val="20"/>
                <w:color w:val="auto"/>
              </w:rPr>
            </w:pPr>
            <w:r>
              <w:rPr>
                <w:rFonts w:ascii="Arial" w:cs="Arial" w:eastAsia="Arial" w:hAnsi="Arial"/>
                <w:sz w:val="18"/>
                <w:szCs w:val="18"/>
                <w:color w:val="auto"/>
              </w:rPr>
              <w:t>Planned Phase 2 trial</w:t>
            </w: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Patients with AIHA</w:t>
            </w:r>
          </w:p>
        </w:tc>
        <w:tc>
          <w:tcPr>
            <w:tcW w:w="2500" w:type="dxa"/>
            <w:vAlign w:val="bottom"/>
          </w:tcPr>
          <w:p>
            <w:pPr>
              <w:spacing w:after="0"/>
              <w:rPr>
                <w:sz w:val="20"/>
                <w:szCs w:val="20"/>
                <w:color w:val="auto"/>
              </w:rPr>
            </w:pPr>
            <w:r>
              <w:rPr>
                <w:rFonts w:ascii="Arial" w:cs="Arial" w:eastAsia="Arial" w:hAnsi="Arial"/>
                <w:sz w:val="18"/>
                <w:szCs w:val="18"/>
                <w:color w:val="auto"/>
              </w:rPr>
              <w:t>Initiate 1H 2018</w:t>
            </w:r>
          </w:p>
        </w:tc>
        <w:tc>
          <w:tcPr>
            <w:tcW w:w="0" w:type="dxa"/>
            <w:vAlign w:val="bottom"/>
          </w:tcPr>
          <w:p>
            <w:pPr>
              <w:spacing w:after="0"/>
              <w:rPr>
                <w:sz w:val="1"/>
                <w:szCs w:val="1"/>
                <w:color w:val="auto"/>
              </w:rPr>
            </w:pPr>
          </w:p>
        </w:tc>
      </w:tr>
      <w:tr>
        <w:trPr>
          <w:trHeight w:val="219"/>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Nephrology</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(systemic)</w:t>
            </w:r>
          </w:p>
        </w:tc>
        <w:tc>
          <w:tcPr>
            <w:tcW w:w="2620" w:type="dxa"/>
            <w:vAlign w:val="bottom"/>
            <w:vMerge w:val="restart"/>
          </w:tcPr>
          <w:p>
            <w:pPr>
              <w:spacing w:after="0"/>
              <w:rPr>
                <w:sz w:val="20"/>
                <w:szCs w:val="20"/>
                <w:color w:val="auto"/>
              </w:rPr>
            </w:pPr>
            <w:r>
              <w:rPr>
                <w:rFonts w:ascii="Arial" w:cs="Arial" w:eastAsia="Arial" w:hAnsi="Arial"/>
                <w:sz w:val="18"/>
                <w:szCs w:val="18"/>
                <w:color w:val="auto"/>
              </w:rPr>
              <w:t>Planned Phase 2 trial</w:t>
            </w:r>
          </w:p>
        </w:tc>
        <w:tc>
          <w:tcPr>
            <w:tcW w:w="3080" w:type="dxa"/>
            <w:vAlign w:val="bottom"/>
            <w:gridSpan w:val="3"/>
            <w:vMerge w:val="restart"/>
          </w:tcPr>
          <w:p>
            <w:pPr>
              <w:ind w:left="240"/>
              <w:spacing w:after="0"/>
              <w:rPr>
                <w:sz w:val="20"/>
                <w:szCs w:val="20"/>
                <w:color w:val="auto"/>
              </w:rPr>
            </w:pPr>
            <w:r>
              <w:rPr>
                <w:rFonts w:ascii="Arial" w:cs="Arial" w:eastAsia="Arial" w:hAnsi="Arial"/>
                <w:sz w:val="18"/>
                <w:szCs w:val="18"/>
                <w:color w:val="auto"/>
              </w:rPr>
              <w:t>Patients with complement-</w:t>
            </w:r>
          </w:p>
        </w:tc>
        <w:tc>
          <w:tcPr>
            <w:tcW w:w="2500" w:type="dxa"/>
            <w:vAlign w:val="bottom"/>
            <w:vMerge w:val="restart"/>
          </w:tcPr>
          <w:p>
            <w:pPr>
              <w:spacing w:after="0"/>
              <w:rPr>
                <w:sz w:val="20"/>
                <w:szCs w:val="20"/>
                <w:color w:val="auto"/>
              </w:rPr>
            </w:pPr>
            <w:r>
              <w:rPr>
                <w:rFonts w:ascii="Arial" w:cs="Arial" w:eastAsia="Arial" w:hAnsi="Arial"/>
                <w:sz w:val="18"/>
                <w:szCs w:val="18"/>
                <w:color w:val="auto"/>
              </w:rPr>
              <w:t>Initiate 1H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3080" w:type="dxa"/>
            <w:vAlign w:val="bottom"/>
            <w:gridSpan w:val="3"/>
            <w:vMerge w:val="continue"/>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20" w:type="dxa"/>
            <w:vAlign w:val="bottom"/>
            <w:gridSpan w:val="3"/>
          </w:tcPr>
          <w:p>
            <w:pPr>
              <w:spacing w:after="0"/>
              <w:rPr>
                <w:sz w:val="20"/>
                <w:szCs w:val="20"/>
                <w:color w:val="auto"/>
              </w:rPr>
            </w:pPr>
            <w:r>
              <w:rPr>
                <w:rFonts w:ascii="Arial" w:cs="Arial" w:eastAsia="Arial" w:hAnsi="Arial"/>
                <w:sz w:val="18"/>
                <w:szCs w:val="18"/>
                <w:i w:val="1"/>
                <w:iCs w:val="1"/>
                <w:color w:val="auto"/>
              </w:rPr>
              <w:t>Complement-dependent Nephropathies</w:t>
            </w:r>
          </w:p>
        </w:tc>
        <w:tc>
          <w:tcPr>
            <w:tcW w:w="2620" w:type="dxa"/>
            <w:vAlign w:val="bottom"/>
          </w:tcPr>
          <w:p>
            <w:pPr>
              <w:spacing w:after="0"/>
              <w:rPr>
                <w:sz w:val="19"/>
                <w:szCs w:val="19"/>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dependent nephropathies</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Ophthalmology (intravitreal APL-2)</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2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Geographic Atrophy</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200" w:type="dxa"/>
            <w:vAlign w:val="bottom"/>
            <w:gridSpan w:val="2"/>
          </w:tcPr>
          <w:p>
            <w:pPr>
              <w:ind w:left="220"/>
              <w:spacing w:after="0"/>
              <w:rPr>
                <w:sz w:val="20"/>
                <w:szCs w:val="20"/>
                <w:color w:val="auto"/>
              </w:rPr>
            </w:pPr>
            <w:r>
              <w:rPr>
                <w:rFonts w:ascii="Arial" w:cs="Arial" w:eastAsia="Arial" w:hAnsi="Arial"/>
                <w:sz w:val="18"/>
                <w:szCs w:val="18"/>
                <w:b w:val="1"/>
                <w:bCs w:val="1"/>
                <w:i w:val="1"/>
                <w:iCs w:val="1"/>
                <w:color w:val="auto"/>
              </w:rPr>
              <w:t>Background</w:t>
            </w: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GA is a type of advanced age-related macular degeneration, or AMD. AMD is a disorder of the central portion of the retina in the eye, known as the macula, which is responsible for central vision and color perception. AMD affects vision in one or both eyes and results in progressive and chronic degeneration of the macula, often resulting in irreversible vision loss. AMD is a disease of aging, typically occurring after the age of 50. In the early stage of the disease, yellow deposits, or drusen, appear under the retina. Over time, the disease can progress to an intermediate stage where drusen deposits grow larger and other changes reflective of disease progression appear. Patients with intermediate AMD are at risk of progressing to GA or wet AMD. In contrast to intermediate AMD, these advanced forms are associated with progressive and often severe vision loss. GA is characterized by a degenerative process resulting in the progressive loss of retinal cells, which over the course of several years results in blindness.</w:t>
      </w:r>
    </w:p>
    <w:p>
      <w:pPr>
        <w:spacing w:after="0" w:line="185"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Wet AMD is characterized by the rapid abnormal growth of blood vessels beneath the retina and leakage. If left untreated, wet AMD rapidly progresses to severe vision loss. Wet AMD is typically treated with anti-VEGF therapies. Some wet AMD patients require only a few anti-VEGF injections to resolve the condition and do not require further treatment. These patients have good long-term visual outcomes. Other patients become dependent on chronic and repetitive anti-VEGF injections. In a third-party study of wet AMD patients in clinical trials of an anti-VEGF therapy, known as the SEVEN-UP study, 98% of patients dependent on chronic and repetitive anti-VEGF injections developed GA within seven years and GA affected central vision in 90% of these patients. Based on the SEVEN-UP study, we believe that patients with wet AMD who receive chronic anti-VEGF treatments may suffer from significant long-term vision loss as the result of the development of GA.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457"/>
        <w:spacing w:after="0" w:line="267" w:lineRule="auto"/>
        <w:rPr>
          <w:sz w:val="20"/>
          <w:szCs w:val="20"/>
          <w:color w:val="auto"/>
        </w:rPr>
      </w:pPr>
      <w:r>
        <w:rPr>
          <w:rFonts w:ascii="Arial" w:cs="Arial" w:eastAsia="Arial" w:hAnsi="Arial"/>
          <w:sz w:val="18"/>
          <w:szCs w:val="18"/>
          <w:color w:val="auto"/>
        </w:rPr>
        <w:t>According to the Brightfocus Foundation, over 10 million people in the United States have some form of AMD. Based on published studies, we believe that at least one million people in the United States have GA.</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The mechanism by which complement activation is upregulated and can damage the retina is poorly understood. However, we believe that the upregulation of complement activation due to immune dysregulation damages retinal cells in two ways. First, retinal cells are damaged by inflammation caused by increased levels of C3a and C5a. Second, the increased deposition of C3b on the cell surface of retinal cells caused by complement activation, combined with the limited ability of cells to remove C3 activated fragments such as C3b, leads to the accumulation of C3 fragments on the retinal cells. The presence of C3a and C5a, as well as C3 fragment deposition on retinal cells, activates macrophages and microglia. Macrophages are large white blood cells that form part of the immune system that engulf and digest cells, debris and foreign substances. Macrophages also play an important role in modulating other parts of the immune system. Microglia are a type of tissue-residing macrophage located in the brain, spinal cord and retina.</w:t>
      </w:r>
    </w:p>
    <w:p>
      <w:pPr>
        <w:spacing w:after="0" w:line="167"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Because APL-2 both blocks the production of C3a and C5a and prevents the accumulation of C3 fragments on retinal cells through the inhibition of C3, we believe that APL-2 may allow the retinal environment to return to its quiescent state. We do not believe that selective inhibitors of the alternative pathway, such as lampalizumab, a complement factor D inhibitor, which only partially blocks the formation of C3b on the retinal cell surface, or C5 inhibitors, which cannot prevent C3b deposition on retinal cells, can cause the retinal environment to return to its quiescent state.</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113"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color w:val="auto"/>
        </w:rPr>
        <w:t>There are no therapies approved to treat GA. There are, however, a number of therapies in development for GA, and the most advanced is lampalizumab, which is being developed by Roche and is currently in Phase 3 trials. Although lampalizumab showed a treatment effect in its Phase 2 trial, it only had a treatment effect in patients with a certain mutation in the gene encoding complement factor I, or CFI, a component of the alternative pathway, and only when administered monthly, and it was not evaluated in patients with wet AMD in the fellow eye. In September 2017, Roche announced that the first of its two Phase 3 trials of lampalizumab in GA had failed to meet its primary endpoint. In addition, Zimura, a C5 inhibitor developed by Ophthotech Corporation, is in Phase 2/3 trials.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APL-2, with its inhibition of complement activation at the level of C3, may provide the following benefits:</w:t>
      </w:r>
    </w:p>
    <w:p>
      <w:pPr>
        <w:spacing w:after="0" w:line="126" w:lineRule="exact"/>
        <w:rPr>
          <w:sz w:val="20"/>
          <w:szCs w:val="20"/>
          <w:color w:val="auto"/>
        </w:rPr>
      </w:pPr>
    </w:p>
    <w:p>
      <w:pPr>
        <w:ind w:left="680" w:right="160" w:hanging="220"/>
        <w:spacing w:after="0" w:line="25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Prevention or reduction of the rate of retinal cell death progression</w:t>
      </w:r>
      <w:r>
        <w:rPr>
          <w:rFonts w:ascii="Arial" w:cs="Arial" w:eastAsia="Arial" w:hAnsi="Arial"/>
          <w:sz w:val="18"/>
          <w:szCs w:val="18"/>
          <w:color w:val="auto"/>
        </w:rPr>
        <w:t>. We believe APL-2 may mitigate or prevent retinal cell death in GA.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Phase 2 trial of APL-2 in patients with GA, treatment with APL-2 resulted in a significant reduction in the rate of GA lesion growth over 12 months.</w:t>
      </w:r>
    </w:p>
    <w:p>
      <w:pPr>
        <w:spacing w:after="0" w:line="95" w:lineRule="exact"/>
        <w:rPr>
          <w:rFonts w:ascii="Arial" w:cs="Arial" w:eastAsia="Arial" w:hAnsi="Arial"/>
          <w:sz w:val="18"/>
          <w:szCs w:val="18"/>
          <w:color w:val="auto"/>
        </w:rPr>
      </w:pPr>
    </w:p>
    <w:p>
      <w:pPr>
        <w:ind w:left="680" w:right="100" w:hanging="220"/>
        <w:spacing w:after="0" w:line="254"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Potential application to all patients with GA independent of complement pathway causing disease progression. </w:t>
      </w:r>
      <w:r>
        <w:rPr>
          <w:rFonts w:ascii="Arial" w:cs="Arial" w:eastAsia="Arial" w:hAnsi="Arial"/>
          <w:sz w:val="18"/>
          <w:szCs w:val="18"/>
          <w:color w:val="auto"/>
        </w:rPr>
        <w:t>APL-2, by targeting C3,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inhibit all three principal complement activation pathways and may therefore be effective in a broad patient population. We plan to complete an analysis of the 12-month results of the trial, including genetic markers, in the fourth quarter of 2017 and expect that such analysis will be presented at an upcoming major medical meeting.</w:t>
      </w:r>
    </w:p>
    <w:p>
      <w:pPr>
        <w:spacing w:after="0" w:line="97" w:lineRule="exact"/>
        <w:rPr>
          <w:rFonts w:ascii="Arial" w:cs="Arial" w:eastAsia="Arial" w:hAnsi="Arial"/>
          <w:sz w:val="18"/>
          <w:szCs w:val="18"/>
          <w:color w:val="auto"/>
        </w:rPr>
      </w:pPr>
    </w:p>
    <w:p>
      <w:pPr>
        <w:ind w:left="680" w:right="260" w:hanging="220"/>
        <w:spacing w:after="0" w:line="267" w:lineRule="auto"/>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Potential for every other month administration</w:t>
      </w:r>
      <w:r>
        <w:rPr>
          <w:rFonts w:ascii="Arial" w:cs="Arial" w:eastAsia="Arial" w:hAnsi="Arial"/>
          <w:sz w:val="18"/>
          <w:szCs w:val="18"/>
          <w:color w:val="auto"/>
        </w:rPr>
        <w:t>. In our Phase 2 clinical trial of APL-2 in GA, APL-2 met its primary endpoint in both the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every other month APL-2 administration treatment arms.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3" w:lineRule="exact"/>
        <w:rPr>
          <w:sz w:val="20"/>
          <w:szCs w:val="20"/>
          <w:color w:val="auto"/>
        </w:rPr>
      </w:pPr>
    </w:p>
    <w:p>
      <w:pPr>
        <w:ind w:right="180" w:firstLine="457"/>
        <w:spacing w:after="0" w:line="304" w:lineRule="auto"/>
        <w:rPr>
          <w:sz w:val="20"/>
          <w:szCs w:val="20"/>
          <w:color w:val="auto"/>
        </w:rPr>
      </w:pPr>
      <w:r>
        <w:rPr>
          <w:rFonts w:ascii="Arial" w:cs="Arial" w:eastAsia="Arial" w:hAnsi="Arial"/>
          <w:sz w:val="16"/>
          <w:szCs w:val="16"/>
          <w:color w:val="auto"/>
        </w:rPr>
        <w:t>We are conducting a Phase 2 clinical trial of APL-2 in patients with GA. In August 2017, we completed the primary endpoint analysis for the 12-month treatment period in that trial. Prior to the GA trial, we completed a Phase 1 clinical trial of APL-2 in patients with wet AMD in 2016. In November 2014, we submitted an investigational new drug application, or IND, to the FDA for the clinical development of APL-2 for the treatment of GA.</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Phase 2 Clinical Trial in GA</w:t>
      </w:r>
    </w:p>
    <w:p>
      <w:pPr>
        <w:spacing w:after="0" w:line="113"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the third quarter of 2015, we initiated a Phase 2 multicenter, randomized, single-masked, sham-controlled clinical trial of APL-2 in patients with GA at more than 40 clinical sites, primarily located in the United States. We enrolled 246 patients in the trial. Patients were randomized in a 2:2:1:1 manner to receive APL-2 monthly, APL-2 every other month, sham injection monthly or sham injection every other month. Patients in the APL-2 arms received a dose of 15 mg of APL-2 injected intravitreally in a 0.1 cc volume, monthly or every other month for 12 months followed by six months of monitoring after the end of treatment. In the sham-injection cohorts, patients receive a simulated injection. Study eyes received up to 13 injections in the monthly arm, and up to seven injections in the every other month arm. Eyes were evaluated for GA at the end of months two, six and 12 and will be evaluated at the end of month 18, in each case using fundus autofluorescence photographs. Fundus autofluorescence photographs are a standard imaging format used by ophthalmologists to measure and quantify clinical features of geographic atrophy.</w:t>
      </w:r>
    </w:p>
    <w:p>
      <w:pPr>
        <w:spacing w:after="0" w:line="18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are conducting this trial to assess the safety, tolerability, pharmacokinetics, or PK, and evidence of activity of multiple intravitreal injections of APL-2 in patients with GA in at least one eye. The primary efficacy endpoint was change in the square root of GA lesion size from baseline to month 12 in each treatment arm when compared to sham in the modified intent to treat population, which included 84 patients receiving administration of APL-2 every month, 78 patients receiving administration of APL-2 every other month and 80 patients in the sham group. The primary safety endpoint is the number and severity of local and systemic treatment emergent adverse events. The trial is monitored by a safety monitoring committee.</w:t>
      </w:r>
    </w:p>
    <w:p>
      <w:pPr>
        <w:spacing w:after="0" w:line="3" w:lineRule="exact"/>
        <w:rPr>
          <w:sz w:val="20"/>
          <w:szCs w:val="20"/>
          <w:color w:val="auto"/>
        </w:rPr>
      </w:pPr>
    </w:p>
    <w:p>
      <w:pPr>
        <w:ind w:right="40" w:firstLine="457"/>
        <w:spacing w:after="0" w:line="249" w:lineRule="auto"/>
        <w:rPr>
          <w:sz w:val="20"/>
          <w:szCs w:val="20"/>
          <w:color w:val="auto"/>
        </w:rPr>
      </w:pPr>
      <w:r>
        <w:rPr>
          <w:rFonts w:ascii="Arial" w:cs="Arial" w:eastAsia="Arial" w:hAnsi="Arial"/>
          <w:sz w:val="18"/>
          <w:szCs w:val="18"/>
          <w:i w:val="1"/>
          <w:iCs w:val="1"/>
          <w:color w:val="auto"/>
        </w:rPr>
        <w:t>Efficacy Analysis</w:t>
      </w:r>
      <w:r>
        <w:rPr>
          <w:rFonts w:ascii="Arial" w:cs="Arial" w:eastAsia="Arial" w:hAnsi="Arial"/>
          <w:sz w:val="18"/>
          <w:szCs w:val="18"/>
          <w:color w:val="auto"/>
        </w:rPr>
        <w:t>. We announced 12-month results of the Phase 2 trial in August 2017. After 12 months, patients treated monthly with APL-2 showed a</w:t>
      </w:r>
      <w:r>
        <w:rPr>
          <w:rFonts w:ascii="Arial" w:cs="Arial" w:eastAsia="Arial" w:hAnsi="Arial"/>
          <w:sz w:val="18"/>
          <w:szCs w:val="18"/>
          <w:i w:val="1"/>
          <w:iCs w:val="1"/>
          <w:color w:val="auto"/>
        </w:rPr>
        <w:t xml:space="preserve"> </w:t>
      </w:r>
      <w:r>
        <w:rPr>
          <w:rFonts w:ascii="Arial" w:cs="Arial" w:eastAsia="Arial" w:hAnsi="Arial"/>
          <w:sz w:val="18"/>
          <w:szCs w:val="18"/>
          <w:color w:val="auto"/>
        </w:rPr>
        <w:t>29% reduction in the rate of GA lesion growth compared to sham, with a p-value of 0.008, and patients treated every other month showed a 20% reduction compared to sham, with a p-value of 0.067. The rate of GA lesion growth in the sham was consistent with the rate of lesion growth in GA patients in third-party historical studies. These data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149860</wp:posOffset>
            </wp:positionV>
            <wp:extent cx="4453890" cy="2099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5389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EOM = Every other month</w:t>
      </w:r>
    </w:p>
    <w:p>
      <w:pPr>
        <w:spacing w:after="0" w:line="205"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We set statistical significance as a p-value of 0.1 or less, meaning that there is a 1-in-10 or less statistical probability that the observed results occurred by chance rather than as a result of a treatment effect. Because the p-value of these results was less than 0.1, they are statistically significant. We expect that in our planned Phase 3 clinical trials of APL-2 in GA, we will set statistical significant as a p-value of 0.05 or less, meaning that there is a 1-in-20 or less statistical probability that the observed results occurred by chance.</w:t>
      </w:r>
    </w:p>
    <w:p>
      <w:pPr>
        <w:spacing w:after="0" w:line="19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 xml:space="preserve">Additionally, in a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a greater effect was observed during the second six months of the treatment period compared to the first six months. During the second six months, we observed a reduction in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rate of GA lesion growth of 47% with monthly administration compared to sham, with a p-value less than 0.001, and a reduction of 33% with administration every other month compared to sham, with a p-value of 0.01. These results are also statistically significant. This </w:t>
      </w:r>
      <w:r>
        <w:rPr>
          <w:rFonts w:ascii="Arial" w:cs="Arial" w:eastAsia="Arial" w:hAnsi="Arial"/>
          <w:sz w:val="18"/>
          <w:szCs w:val="18"/>
          <w:i w:val="1"/>
          <w:iCs w:val="1"/>
          <w:color w:val="auto"/>
        </w:rPr>
        <w:t>post hoc</w:t>
      </w:r>
      <w:r>
        <w:rPr>
          <w:rFonts w:ascii="Arial" w:cs="Arial" w:eastAsia="Arial" w:hAnsi="Arial"/>
          <w:sz w:val="18"/>
          <w:szCs w:val="18"/>
          <w:color w:val="auto"/>
        </w:rPr>
        <w:t xml:space="preserve"> analysis, shown in the figure below, was conducted in fewer patients than were included in the primary endpoint analysis because only patients with images available at both six and 12 months could be analyzed </w:t>
      </w:r>
      <w:r>
        <w:rPr>
          <w:rFonts w:ascii="Arial" w:cs="Arial" w:eastAsia="Arial" w:hAnsi="Arial"/>
          <w:sz w:val="18"/>
          <w:szCs w:val="18"/>
          <w:i w:val="1"/>
          <w:iCs w:val="1"/>
          <w:color w:val="auto"/>
        </w:rPr>
        <w:t>post hoc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146050</wp:posOffset>
            </wp:positionV>
            <wp:extent cx="3895090" cy="2193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95090" cy="219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The activity of APL-2 was also shown in a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of the impact of APL-2 on patients with GA in both the study eye and the fellow eye, or bilateral GA. A published study has shown that growth rates of GA lesion size are similar in both eyes of patients with bilateral GA. We also made this observation in patients with bilateral GA in the sham group. In the trial, patients with bilateral GA received treatment with APL-2 in one eye and did not receive treatment in the other eye. We conducted this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because a comparison of effects in both eyes of individual patients allows the treatment effect of APL-2 to be analyzed independently of potential differences in the baseline characteristics of patients in each arm of the trial. In the trial, the rate of GA lesion growth in the study eye of patients with bilateral GA receiving administration of APL-2 every month was slower than the rate of growth in their fellow eye, with a p-value of 0.083. For the patients with bilateral GA receiving administration of APL-2 every other month, the rate of GA lesion growth was also slower in the study eye than the rate of growth in their fellow eye, but with a p-value greater than 0.1. In addition, in both treatment groups the rate of GA growth in the untreated fellow eye was slower than in the sham group. These results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1587500</wp:posOffset>
            </wp:positionH>
            <wp:positionV relativeFrom="paragraph">
              <wp:posOffset>141605</wp:posOffset>
            </wp:positionV>
            <wp:extent cx="4090035" cy="1990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90035" cy="199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AM – APL-2 monthly; AEOM – APL-2 every other month.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As part of our review of the data, we also conducted an analysis of the treatment effect as measured by the rate of GA lesion growth in patients treated with APL-2 across multiple genetic subpopulations, including CFI genotypes. We did not observe any difference in treatment effect across the subpopulations.</w:t>
      </w:r>
    </w:p>
    <w:p>
      <w:pPr>
        <w:spacing w:after="0" w:line="1" w:lineRule="exact"/>
        <w:rPr>
          <w:sz w:val="20"/>
          <w:szCs w:val="20"/>
          <w:color w:val="auto"/>
        </w:rPr>
      </w:pPr>
    </w:p>
    <w:p>
      <w:pPr>
        <w:ind w:firstLine="457"/>
        <w:spacing w:after="0" w:line="248" w:lineRule="auto"/>
        <w:rPr>
          <w:sz w:val="20"/>
          <w:szCs w:val="20"/>
          <w:color w:val="auto"/>
        </w:rPr>
      </w:pPr>
      <w:r>
        <w:rPr>
          <w:rFonts w:ascii="Arial" w:cs="Arial" w:eastAsia="Arial" w:hAnsi="Arial"/>
          <w:sz w:val="18"/>
          <w:szCs w:val="18"/>
          <w:i w:val="1"/>
          <w:iCs w:val="1"/>
          <w:color w:val="auto"/>
        </w:rPr>
        <w:t>Safety Analysis</w:t>
      </w:r>
      <w:r>
        <w:rPr>
          <w:rFonts w:ascii="Arial" w:cs="Arial" w:eastAsia="Arial" w:hAnsi="Arial"/>
          <w:sz w:val="18"/>
          <w:szCs w:val="18"/>
          <w:color w:val="auto"/>
        </w:rPr>
        <w:t>. The most frequently reported adverse events in the trial were associated with the injection procedure in the study eye. These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included two cases of confirmed endophthalmitis and one case of presumed endophthalmitis where the culture tested negative for bacterial growth. In the latter case, the patient fully recovered visual acuity. In our Phase 2 trial, we observed an incidence rate of endophthalmitis of 0.21% per injection. We believe the incidence of endophthalmitis may be due in part to our use of a freeze-dried material requiring reconstitution prior to injection during our Phase 2 trial, which introduced an additional risk of contamination. We intend to use a liquid instead of the freeze-dried formulation in our Phase 3 trial, which we believe may reduce the incidence of endophthalmitis.</w:t>
      </w:r>
    </w:p>
    <w:p>
      <w:pPr>
        <w:spacing w:after="0" w:line="199" w:lineRule="exact"/>
        <w:rPr>
          <w:sz w:val="20"/>
          <w:szCs w:val="20"/>
          <w:color w:val="auto"/>
        </w:rPr>
      </w:pPr>
    </w:p>
    <w:p>
      <w:pPr>
        <w:jc w:val="both"/>
        <w:ind w:right="80" w:firstLine="457"/>
        <w:spacing w:after="0" w:line="283" w:lineRule="auto"/>
        <w:rPr>
          <w:sz w:val="20"/>
          <w:szCs w:val="20"/>
          <w:color w:val="auto"/>
        </w:rPr>
      </w:pPr>
      <w:r>
        <w:rPr>
          <w:rFonts w:ascii="Arial" w:cs="Arial" w:eastAsia="Arial" w:hAnsi="Arial"/>
          <w:sz w:val="16"/>
          <w:szCs w:val="16"/>
          <w:color w:val="auto"/>
        </w:rPr>
        <w:t>In addition, we observed a higher incidence of wet, or exudative, AMD in the study eyes treated with wet AMD as compared to sham. In particular, as of August 24, 2017, we observed that 15 patients (18%) receiving administration of APL-2 every month and six patients (8%) receiving administration of APL-2 every other month showed signs of fluid leakage in the retina, or exudation, which is a sign of wet AMD, as compared to one patient (1%) in the sham group.</w:t>
      </w:r>
    </w:p>
    <w:p>
      <w:pPr>
        <w:ind w:right="80"/>
        <w:spacing w:after="0" w:line="249" w:lineRule="auto"/>
        <w:rPr>
          <w:sz w:val="20"/>
          <w:szCs w:val="20"/>
          <w:color w:val="auto"/>
        </w:rPr>
      </w:pPr>
      <w:r>
        <w:rPr>
          <w:rFonts w:ascii="Arial" w:cs="Arial" w:eastAsia="Arial" w:hAnsi="Arial"/>
          <w:sz w:val="18"/>
          <w:szCs w:val="18"/>
          <w:color w:val="auto"/>
        </w:rPr>
        <w:t>This includes two patients receiving administration of APL-2 monthly and one patient receiving APL-2 every other month who developed wet AMD after the 12-month treatment period. We have also observed instances of additional patients experiencing exudation during the six-month monitoring period that follows the 12-month treatment period. As we continue to monitor patients treated with APL-2 during the six-month monitoring period, the number of patients that experienced exudation may increase.</w:t>
      </w:r>
    </w:p>
    <w:p>
      <w:pPr>
        <w:spacing w:after="0" w:line="197" w:lineRule="exact"/>
        <w:rPr>
          <w:sz w:val="20"/>
          <w:szCs w:val="20"/>
          <w:color w:val="auto"/>
        </w:rPr>
      </w:pPr>
    </w:p>
    <w:p>
      <w:pPr>
        <w:ind w:right="100" w:firstLine="457"/>
        <w:spacing w:after="0" w:line="297" w:lineRule="auto"/>
        <w:rPr>
          <w:sz w:val="20"/>
          <w:szCs w:val="20"/>
          <w:color w:val="auto"/>
        </w:rPr>
      </w:pPr>
      <w:r>
        <w:rPr>
          <w:rFonts w:ascii="Arial" w:cs="Arial" w:eastAsia="Arial" w:hAnsi="Arial"/>
          <w:sz w:val="17"/>
          <w:szCs w:val="17"/>
          <w:color w:val="auto"/>
        </w:rPr>
        <w:t>Patients who experienced exudation in the study eye were discontinued from treatment with APL-2 and, in all but one case, treated with standard of care anti-VEGF injections under supervision. There was no observed negative impact on visual acuity resulting from the exudation.</w:t>
      </w:r>
    </w:p>
    <w:p>
      <w:pPr>
        <w:spacing w:after="0" w:line="156"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The development of wet AMD by patients in the trial was communicated to the safety monitoring committee after six months of study data were available. The safety monitoring committee reviewed the cases of wet AMD, and met several times to discuss the study data, including visual acuity, assessed the risks and benefits of continued treatment and decided that the trial should continue as planned. All mandated safety monitoring committee meetings have been held and no further safety monitoring committee meetings are scheduled.</w:t>
      </w:r>
    </w:p>
    <w:p>
      <w:pPr>
        <w:spacing w:after="0" w:line="191" w:lineRule="exact"/>
        <w:rPr>
          <w:sz w:val="20"/>
          <w:szCs w:val="20"/>
          <w:color w:val="auto"/>
        </w:rPr>
      </w:pPr>
    </w:p>
    <w:p>
      <w:pPr>
        <w:ind w:right="200" w:firstLine="457"/>
        <w:spacing w:after="0" w:line="267" w:lineRule="auto"/>
        <w:rPr>
          <w:sz w:val="20"/>
          <w:szCs w:val="20"/>
          <w:color w:val="auto"/>
        </w:rPr>
      </w:pPr>
      <w:r>
        <w:rPr>
          <w:rFonts w:ascii="Arial" w:cs="Arial" w:eastAsia="Arial" w:hAnsi="Arial"/>
          <w:sz w:val="18"/>
          <w:szCs w:val="18"/>
          <w:color w:val="auto"/>
        </w:rPr>
        <w:t>We submitted a safety report to the FDA in April 2017 regarding these events, and the FDA has not communicated any concern or requested additional information with respect to these findings.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457"/>
        <w:spacing w:after="0" w:line="304" w:lineRule="auto"/>
        <w:rPr>
          <w:sz w:val="20"/>
          <w:szCs w:val="20"/>
          <w:color w:val="auto"/>
        </w:rPr>
      </w:pPr>
      <w:r>
        <w:rPr>
          <w:rFonts w:ascii="Arial" w:cs="Arial" w:eastAsia="Arial" w:hAnsi="Arial"/>
          <w:sz w:val="16"/>
          <w:szCs w:val="16"/>
          <w:color w:val="auto"/>
        </w:rPr>
        <w:t xml:space="preserve">We observed a pronounced treatment effect in patients who experienced exudation in the study eye. In a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analysis, a subset of patients who experienced exudation in the study eye, and for whom images were available at baseline, two, six and 12 months, had pronounced reductions in the growth rate of GA lesion size as shown in the figure below. However, given the small number of patients in these groups, this observation was not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122555</wp:posOffset>
            </wp:positionV>
            <wp:extent cx="4547235" cy="2294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47235" cy="229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4"/>
          <w:szCs w:val="14"/>
          <w:color w:val="auto"/>
        </w:rPr>
        <w:t>Sample size for sham-total includes all sham patients and the sample size for all other groups includes patients who had images at baseline, two, six and 12 months.</w:t>
      </w:r>
    </w:p>
    <w:p>
      <w:pPr>
        <w:spacing w:after="0" w:line="205"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 xml:space="preserve">We also observed a treatment effect in patients who did not experience exudation in their study eye. In a </w:t>
      </w:r>
      <w:r>
        <w:rPr>
          <w:rFonts w:ascii="Arial" w:cs="Arial" w:eastAsia="Arial" w:hAnsi="Arial"/>
          <w:sz w:val="17"/>
          <w:szCs w:val="17"/>
          <w:i w:val="1"/>
          <w:iCs w:val="1"/>
          <w:color w:val="auto"/>
        </w:rPr>
        <w:t>post hoc</w:t>
      </w:r>
      <w:r>
        <w:rPr>
          <w:rFonts w:ascii="Arial" w:cs="Arial" w:eastAsia="Arial" w:hAnsi="Arial"/>
          <w:sz w:val="17"/>
          <w:szCs w:val="17"/>
          <w:color w:val="auto"/>
        </w:rPr>
        <w:t xml:space="preserve"> analysis, when patients who experienced exudation in the study eye were excluded from the analysis, 71 patients receiving administration of APL-2 every month showed a 28% reduction in the growth rate of GA lesion size as compared to 80 sham patients, with a p-value of 0.011, and 73 patients receiving administration of APL-2 every other month showed a 24% reduction in the growth rate of GA lesion size as compared to sham, with a p-value of 0.028.</w:t>
      </w:r>
    </w:p>
    <w:p>
      <w:pPr>
        <w:spacing w:after="0" w:line="177"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color w:val="auto"/>
        </w:rPr>
        <w:t xml:space="preserve">If wet AMD is deemed to be a safety concern in Phase 3 trials, we may exclude patients with wet AMD in the fellow eye from our planned Phase 3 trials. In a </w:t>
      </w:r>
      <w:r>
        <w:rPr>
          <w:rFonts w:ascii="Arial" w:cs="Arial" w:eastAsia="Arial" w:hAnsi="Arial"/>
          <w:sz w:val="16"/>
          <w:szCs w:val="16"/>
          <w:i w:val="1"/>
          <w:iCs w:val="1"/>
          <w:color w:val="auto"/>
        </w:rPr>
        <w:t>post hoc</w:t>
      </w:r>
      <w:r>
        <w:rPr>
          <w:rFonts w:ascii="Arial" w:cs="Arial" w:eastAsia="Arial" w:hAnsi="Arial"/>
          <w:sz w:val="16"/>
          <w:szCs w:val="16"/>
          <w:color w:val="auto"/>
        </w:rPr>
        <w:t xml:space="preserve"> analysis, after excluding patients with wet AMD in the fellow eye, five patients (10%) receiving monthly administration of APL-2 and two patients (4%) receiving administration every other month of APL-2 experienced exudation in the study eye. In the Phase 2 trial, a total of 93 patients (36%) had wet AMD in the fellow eye at the start of the trial, and we observed that these patients were more likely to show signs of exudation in the study eye than patients without wet AMD in the fellow eye. Wet AMD was present in 27% in the fellow eye of GA patients in a published third-party study.</w:t>
      </w:r>
    </w:p>
    <w:p>
      <w:pPr>
        <w:spacing w:after="0" w:line="165" w:lineRule="exact"/>
        <w:rPr>
          <w:sz w:val="20"/>
          <w:szCs w:val="20"/>
          <w:color w:val="auto"/>
        </w:rPr>
      </w:pPr>
    </w:p>
    <w:p>
      <w:pPr>
        <w:ind w:right="180" w:firstLine="457"/>
        <w:spacing w:after="0" w:line="267" w:lineRule="auto"/>
        <w:rPr>
          <w:sz w:val="20"/>
          <w:szCs w:val="20"/>
          <w:color w:val="auto"/>
        </w:rPr>
      </w:pPr>
      <w:r>
        <w:rPr>
          <w:rFonts w:ascii="Arial" w:cs="Arial" w:eastAsia="Arial" w:hAnsi="Arial"/>
          <w:sz w:val="18"/>
          <w:szCs w:val="18"/>
          <w:color w:val="auto"/>
        </w:rPr>
        <w:t>We are continuing to analyze the results of the trial and expect that the 12-month results will be presented at an upcoming major medical meeting in the fourth quarter of 2017, and that the 18-month results will be announced in the first half of 2018.</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Phase 1 Clinical Trial</w:t>
      </w:r>
    </w:p>
    <w:p>
      <w:pPr>
        <w:spacing w:after="0" w:line="113"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We conducted a Phase 1 open label, ascending single-dose clinical trial of APL-2 administered by intravitreal injection in patients with wet AMD who were receiving anti-VEGF therapy. We conducted the trial at multiple clinical sites both within and outside the United States to assess safety, tolerability and PK of APL-2. In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this trial, patients received a single dose of APL-2 by intravitreal injection followed by 113 days of monitoring. We originally planned to enroll nine patients in the trial, in three cohorts of three patients each, at doses of 5 mg, 10 mg and 20 mg of APL-2. In August 2015, after completing enrollment of all three cohorts, we expanded the third cohort from three to 12 patients, for a total of 18 patients in this trial.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trial, APL-2 was well tolerated, and no serious adverse events were reported.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results, we determined to evaluate a dose of 15 mg in our Phase 2 trial.</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Planned Phase 3 Clinical Trials</w:t>
      </w:r>
    </w:p>
    <w:p>
      <w:pPr>
        <w:spacing w:after="0" w:line="113"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We plan to discuss our Phase 3 program in GA with the FDA and to initiate Phase 3 clinical trials of APL-2 in GA in the second half of 2018. We are finalizing the design of the Phase 3 trials. We expect that the design of the trials will be comparable to the Phase 2 trial, but expect to enroll more patients and to provide for stratification of patients into subpopulations, as appropriate, based on the data from the Phase 2 trial. If wet AMD is deemed to be a safety concern, we believe that we could address the concern by excluding patients with wet AMD in the fellow eye from our planned Phase 3 trials, since the incidence of wet AMD in the study eyes was predominantly in patients with a history of wet AMD in the fellow eye.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Planned Phase 2 Clinical Trial in Wet AMD</w:t>
      </w:r>
    </w:p>
    <w:p>
      <w:pPr>
        <w:spacing w:after="0" w:line="11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Based on our discussions with key opinion leaders, we believe that neovascularization, with or without exudation, may protect against the growth of GA lesions. In our Phase 2 trial in GA, consistent with this hypothesis, the development of wet AMD in some patients was associated with pronounced reductions in the growth rate of GA lesion size. We observed one patient in the sham control who developed wet AMD, which coincided with the complete cessation of the growth of the patient’s GA lesion.</w:t>
      </w:r>
    </w:p>
    <w:p>
      <w:pPr>
        <w:spacing w:after="0" w:line="2" w:lineRule="exact"/>
        <w:rPr>
          <w:sz w:val="20"/>
          <w:szCs w:val="20"/>
          <w:color w:val="auto"/>
        </w:rPr>
      </w:pPr>
    </w:p>
    <w:p>
      <w:pPr>
        <w:ind w:right="140" w:firstLine="457"/>
        <w:spacing w:after="0" w:line="287" w:lineRule="auto"/>
        <w:rPr>
          <w:sz w:val="20"/>
          <w:szCs w:val="20"/>
          <w:color w:val="auto"/>
        </w:rPr>
      </w:pPr>
      <w:r>
        <w:rPr>
          <w:rFonts w:ascii="Arial" w:cs="Arial" w:eastAsia="Arial" w:hAnsi="Arial"/>
          <w:sz w:val="16"/>
          <w:szCs w:val="16"/>
          <w:color w:val="auto"/>
        </w:rPr>
        <w:t>We plan to initiate a Phase 2 proof-of-concept trial of APL-2 in patients with wet AMD to evaluate the safety of APL-2 when administered with anti-VEGF treatments and then to evaluate whether treatment with APL-2 may allow wet AMD patients to reduce their dependence on anti-VEGF treatments. We currently expect to enroll patients that are dependent on anti-VEGF injections every four to six weeks due to exudation and to treat these patients with APL-2 for a period of one year. We expect that, if exudation does not recur after treatment with APL-2 and anti-VEGF during the treatment period, the patients would stop receiving anti-VEGF injections. We believe that the data from this trial may also support the use of APL-2 in eyes afflicted with both wet AMD and GA.</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3" w:lineRule="exact"/>
        <w:rPr>
          <w:sz w:val="20"/>
          <w:szCs w:val="20"/>
          <w:color w:val="auto"/>
        </w:rPr>
      </w:pPr>
    </w:p>
    <w:p>
      <w:pPr>
        <w:ind w:right="20" w:firstLine="457"/>
        <w:spacing w:after="0" w:line="257" w:lineRule="auto"/>
        <w:rPr>
          <w:sz w:val="20"/>
          <w:szCs w:val="20"/>
          <w:color w:val="auto"/>
        </w:rPr>
      </w:pPr>
      <w:r>
        <w:rPr>
          <w:rFonts w:ascii="Arial" w:cs="Arial" w:eastAsia="Arial" w:hAnsi="Arial"/>
          <w:sz w:val="18"/>
          <w:szCs w:val="18"/>
          <w:color w:val="auto"/>
        </w:rPr>
        <w:t>We have conducted preclinical studies in monkeys to assess the safety of APL-2 injected intravitreally. A full toxicological review, including histopathological examinations of both eyes and of multiple additional tissues from each monkey revealed no evidence of APL-2-related toxicity changes at any of the doses tested.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 (systemic APL-2)</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Paroxysmal Nocturnal Hemoglobinuria</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w:t>
      </w:r>
    </w:p>
    <w:p>
      <w:pPr>
        <w:spacing w:after="0" w:line="113"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color w:val="auto"/>
        </w:rPr>
        <w:t>PNH is a rare, chronic, debilitating blood disorder that is most frequently acquired in early adulthood and usually continues throughout the life of the patient. Some of the prominent symptoms of PNH include severe anemia, a condition that results from having too few red blood cells, severe abdominal pain, severe headaches, back pain, excessive weakness, fatigue and recurrent infections. If not treated, PNH results in the death of approximately 35% of affected individuals within five years of diagnosis and 50% of affected individuals within ten years of diagnosis, primarily due to the formation of life-threatening blood clots inside the blood vessels, or thrombosis. Based on prevalence data published in an abstract in a peer-reviewed journal, we estimate that there are approximately 4,700 patients with PNH in the United States.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PNH is caused by the presence of mutant stem cells in the bone marrow that lack important proteins on their surface that protect against activation of the complement system. In patients with PNH, an autoimmune response targets and eliminates normal stem cells, enabling mutant cells to become dominant in the bone marrow. These mutant stem cells lead to mutant platelets and red blood cells that, unlike normal cells, are overly susceptible to activation or destruction by the complement system. Mutant platelets, activated by the membrane attack complex, increase the risk of thrombosis, which is the leading cause of mortality in patients with PNH. Mutant red blood cells are susceptible to destruction by intravascular and extravascular hemolysis. Intravascular hemolysis, which involves the destruction of blood cells within the blood vessels, is caused by the formation of the membrane attack complex on the surface of red blood cells causing them to rupture. Intravascular hemolysis causes severe anemia and contributes to the risk of thrombosis. Extravascular hemolysis, which involves the destruction of blood cells outside the blood vessels, is caused by C3-related opsonization on red blood cells leading to removal of the cells from the blood stream by the liver and the spleen. Extravascular hemolysis further contributes to severe anemia and transfusion dependency in patients with PNH.</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Therapies and Their Limitations</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only approved drug for the treatment of PNH is eculizumab, marketed as Soliris by Alexion Pharmaceuticals, Inc. Eculizumab had reported worldwide sales of more than $2.8 billion in 2016 for its two approved indications, PNH and atypical hemolytic-uremic syndrome, or aHUS. We believe the price per year for treatment with eculizumab is approximately $500,000 in adults. Eculizumab, which is administered every two weeks intravenously, or directly into the veins, is designed to treat PNH by targeting C5 and preventing the formation of the membrane attack complex and intravascular hemolysis. Many patients with PNH on treatment with eculizumab continue to be anemic. In addition, in a third-party study, 35% to 40% of patients on eculizumab continued to be transfusion dependent for 30 months following the beginning of treatment. We believe that inability of eculizumab to control extravascular hemolysis is responsible in part for these continuing complications.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because APL-2 inhibits complement activation at the level of C3, APL-2 may provide the following benefits in controlling PNH:</w:t>
      </w:r>
    </w:p>
    <w:p>
      <w:pPr>
        <w:spacing w:after="0" w:line="138" w:lineRule="exact"/>
        <w:rPr>
          <w:sz w:val="20"/>
          <w:szCs w:val="20"/>
          <w:color w:val="auto"/>
        </w:rPr>
      </w:pPr>
    </w:p>
    <w:p>
      <w:pPr>
        <w:ind w:left="680" w:right="140" w:hanging="220"/>
        <w:spacing w:after="0" w:line="25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Prevention of intravascular hemolysis and its consequences</w:t>
      </w:r>
      <w:r>
        <w:rPr>
          <w:rFonts w:ascii="Arial" w:cs="Arial" w:eastAsia="Arial" w:hAnsi="Arial"/>
          <w:sz w:val="18"/>
          <w:szCs w:val="18"/>
          <w:color w:val="auto"/>
        </w:rPr>
        <w:t>. APL-2 prevents the formation of the membrane attack complex and may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activation of mutant platelets and intravascular hemolysis, thus reducing the risk of thrombosis, the leading cause of mortality in PNH, as well as reducing anemia.</w:t>
      </w:r>
    </w:p>
    <w:p>
      <w:pPr>
        <w:spacing w:after="0" w:line="95" w:lineRule="exact"/>
        <w:rPr>
          <w:rFonts w:ascii="Arial" w:cs="Arial" w:eastAsia="Arial" w:hAnsi="Arial"/>
          <w:sz w:val="18"/>
          <w:szCs w:val="18"/>
          <w:color w:val="auto"/>
        </w:rPr>
      </w:pPr>
    </w:p>
    <w:p>
      <w:pPr>
        <w:ind w:left="680" w:right="200" w:hanging="220"/>
        <w:spacing w:after="0" w:line="267"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Prevention of extravascular hemolysis and its consequences</w:t>
      </w:r>
      <w:r>
        <w:rPr>
          <w:rFonts w:ascii="Arial" w:cs="Arial" w:eastAsia="Arial" w:hAnsi="Arial"/>
          <w:sz w:val="18"/>
          <w:szCs w:val="18"/>
          <w:color w:val="auto"/>
        </w:rPr>
        <w:t>. APL-2 prevents C3b opsonization, and may thereby prevent extravascular hemolysis,</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reducing anemia and transfusion dependency in patients with PNH.</w:t>
      </w:r>
    </w:p>
    <w:p>
      <w:pPr>
        <w:spacing w:after="0" w:line="86" w:lineRule="exact"/>
        <w:rPr>
          <w:rFonts w:ascii="Arial" w:cs="Arial" w:eastAsia="Arial" w:hAnsi="Arial"/>
          <w:sz w:val="18"/>
          <w:szCs w:val="18"/>
          <w:color w:val="auto"/>
        </w:rPr>
      </w:pPr>
    </w:p>
    <w:p>
      <w:pPr>
        <w:ind w:left="680" w:right="60" w:hanging="220"/>
        <w:spacing w:after="0" w:line="270" w:lineRule="auto"/>
        <w:tabs>
          <w:tab w:leader="none" w:pos="68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Ease and convenience of use</w:t>
      </w:r>
      <w:r>
        <w:rPr>
          <w:rFonts w:ascii="Arial" w:cs="Arial" w:eastAsia="Arial" w:hAnsi="Arial"/>
          <w:sz w:val="17"/>
          <w:szCs w:val="17"/>
          <w:color w:val="auto"/>
        </w:rPr>
        <w:t>. We have formulated APL-2 so that it may be self-administered by patients with PNH by subcutaneous injection.</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APL-2 is stable at room temperature for weeks in liquid, patients will be able to self-administer APL-2 without a visit to the physician. We are initially developing APL-2 for daily administration but plan to explore less frequent dosing regimens. We believe that the ability to self-administer APL-2 on a daily basis could improve the quality of life for patients with PNH. We are developing a drug delivery system to enable patients to self-administer APL-2 and facilitate APL-2’s ease of use and convenience for patients.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3" w:lineRule="exact"/>
        <w:rPr>
          <w:sz w:val="20"/>
          <w:szCs w:val="20"/>
          <w:color w:val="auto"/>
        </w:rPr>
      </w:pPr>
    </w:p>
    <w:p>
      <w:pPr>
        <w:jc w:val="both"/>
        <w:ind w:right="20" w:firstLine="457"/>
        <w:spacing w:after="0" w:line="257" w:lineRule="auto"/>
        <w:rPr>
          <w:sz w:val="20"/>
          <w:szCs w:val="20"/>
          <w:color w:val="auto"/>
        </w:rPr>
      </w:pPr>
      <w:r>
        <w:rPr>
          <w:rFonts w:ascii="Arial" w:cs="Arial" w:eastAsia="Arial" w:hAnsi="Arial"/>
          <w:sz w:val="18"/>
          <w:szCs w:val="18"/>
          <w:color w:val="auto"/>
        </w:rPr>
        <w:t>Our clinical development program is guided by a planned commercial switch-over strategy for APL-2. Under this strategy, following marketing approval, we plan to allow PNH patients on treatment with eculizumab to assess the benefit of APL-2 in co-treatment with eculizumab for a limited time, before deciding to switch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APL-2 monotherapy or to revert to eculizumab monotherapy. We are conducting two clinical trials of APL-2 as part of our PNH program: a Phase 1b clinical trial in patients with PNH being treated with eculizumab and a Phase 1b clinical trial in treatment-naïve patients. These trials are designed to assess safety and tolerability and whether APL-2 has the potential to control PNH. In these trials, we are measuring hemoglobin levels, which are significantly lower in patients with PNH, whether or not treated with eculizumab, and blood reticulocyte count, which is an indicator of extravascular hemolysis. We are also measuring intravascular hemolysis based on lactate dehydrogenase, or LDH, levels, which can be ten times higher than normal in patients with PNH, and the clonal distributions of normal red blood cells and mutant red blood cells unprotected from the membrane attack complex.</w:t>
      </w:r>
    </w:p>
    <w:p>
      <w:pPr>
        <w:spacing w:after="0" w:line="169"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In both Phase 1b trials to date, patients treated with APL-2 have experienced reductions in LDH levels, and improved hemoglobin levels. Furthermore, we have observed lower reticulocyte counts in patients treated with APL-2, which we believe reflects that the bone marrow is producing fewer red blood cells because fewer red blood cells are destroyed by hemolytic activity. We believe that the clonal distribution of red blood cells in treated patients suggests that fewer mutant cells are destroyed by hemolytic activity.</w:t>
      </w:r>
    </w:p>
    <w:p>
      <w:pPr>
        <w:spacing w:after="0" w:line="191" w:lineRule="exact"/>
        <w:rPr>
          <w:sz w:val="20"/>
          <w:szCs w:val="20"/>
          <w:color w:val="auto"/>
        </w:rPr>
      </w:pPr>
    </w:p>
    <w:p>
      <w:pPr>
        <w:jc w:val="both"/>
        <w:ind w:right="140" w:firstLine="457"/>
        <w:spacing w:after="0" w:line="295" w:lineRule="auto"/>
        <w:rPr>
          <w:sz w:val="20"/>
          <w:szCs w:val="20"/>
          <w:color w:val="auto"/>
        </w:rPr>
      </w:pPr>
      <w:r>
        <w:rPr>
          <w:rFonts w:ascii="Arial" w:cs="Arial" w:eastAsia="Arial" w:hAnsi="Arial"/>
          <w:sz w:val="16"/>
          <w:szCs w:val="16"/>
          <w:color w:val="auto"/>
        </w:rPr>
        <w:t>We plan to discuss our proposed Phase 3 program in PNH with the FDA and to initiate a Phase 3 clinical trial in patients with PNH in the second half of 2018. Based on our discussions with the FDA, we believe that we can initiate a Phase 3 trial in PNH as a pivotal trial without having to conduct Phase 2 trials. Our ability to forgo a Phase 2 trial reflects that the design of our Phase 1b trials is comparable to the design of a Phase 2 trial, that the dosing and efficacy data generated from the Phase 1b trials are comparable to the data that would be generated from a Phase 2 trial and that there is a limited PNH patient population.</w:t>
      </w:r>
    </w:p>
    <w:p>
      <w:pPr>
        <w:spacing w:after="0" w:line="162" w:lineRule="exact"/>
        <w:rPr>
          <w:sz w:val="20"/>
          <w:szCs w:val="20"/>
          <w:color w:val="auto"/>
        </w:rPr>
      </w:pPr>
    </w:p>
    <w:p>
      <w:pPr>
        <w:ind w:right="40" w:firstLine="457"/>
        <w:spacing w:after="0" w:line="295" w:lineRule="auto"/>
        <w:rPr>
          <w:sz w:val="20"/>
          <w:szCs w:val="20"/>
          <w:color w:val="auto"/>
        </w:rPr>
      </w:pPr>
      <w:r>
        <w:rPr>
          <w:rFonts w:ascii="Arial" w:cs="Arial" w:eastAsia="Arial" w:hAnsi="Arial"/>
          <w:sz w:val="16"/>
          <w:szCs w:val="16"/>
          <w:color w:val="auto"/>
        </w:rPr>
        <w:t>We expect that the design of the Phase 3 trial will involve switching PNH patients currently being treated with eculizumab to APL-2 as a monotherapy and that the clinical endpoint will compare patients being treated with APL-2 to patients continuing to be treated with eculizumab monotherapy. In addition, we are conducting supporting trials to determine the safety, PK and pharmacodynamic, or PD, of APL-2 in healthy volunteers of Japanese descent and to determine the renal PK in healthy volunteers. We intend to conduct a trial in healthy volunteers to assess the PK of a less frequent dosing regimen.</w:t>
      </w:r>
    </w:p>
    <w:p>
      <w:pPr>
        <w:spacing w:after="0" w:line="162"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In July 2014, we submitted an IND to the FDA for the clinical development of APL-2 for the treatment of PNH. In April 2014, we received orphan drug designation from the FDA for APL-2 for PNH and in December 2016 received fast track designation from the FDA for PNH.</w:t>
      </w:r>
    </w:p>
    <w:p>
      <w:pPr>
        <w:spacing w:after="0" w:line="180"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 xml:space="preserve">In all trials of APL-2 administered systemically by subcutaneous injection, we have monitored the safety of our targeting of C3 closely. Individuals who lack functional levels of C3 or C5 have been shown to be susceptible to infection by certain bacterial species, including </w:t>
      </w:r>
      <w:r>
        <w:rPr>
          <w:rFonts w:ascii="Arial" w:cs="Arial" w:eastAsia="Arial" w:hAnsi="Arial"/>
          <w:sz w:val="16"/>
          <w:szCs w:val="16"/>
          <w:i w:val="1"/>
          <w:iCs w:val="1"/>
          <w:color w:val="auto"/>
        </w:rPr>
        <w:t>Neisseria meningitidis</w:t>
      </w:r>
      <w:r>
        <w:rPr>
          <w:rFonts w:ascii="Arial" w:cs="Arial" w:eastAsia="Arial" w:hAnsi="Arial"/>
          <w:sz w:val="16"/>
          <w:szCs w:val="16"/>
          <w:color w:val="auto"/>
        </w:rPr>
        <w:t xml:space="preserve"> in C5-deficient individuals and </w:t>
      </w:r>
      <w:r>
        <w:rPr>
          <w:rFonts w:ascii="Arial" w:cs="Arial" w:eastAsia="Arial" w:hAnsi="Arial"/>
          <w:sz w:val="16"/>
          <w:szCs w:val="16"/>
          <w:i w:val="1"/>
          <w:iCs w:val="1"/>
          <w:color w:val="auto"/>
        </w:rPr>
        <w:t>Neisseria meningitidis</w:t>
      </w:r>
      <w:r>
        <w:rPr>
          <w:rFonts w:ascii="Arial" w:cs="Arial" w:eastAsia="Arial" w:hAnsi="Arial"/>
          <w:sz w:val="16"/>
          <w:szCs w:val="16"/>
          <w:color w:val="auto"/>
        </w:rPr>
        <w:t xml:space="preserve">, </w:t>
      </w:r>
      <w:r>
        <w:rPr>
          <w:rFonts w:ascii="Arial" w:cs="Arial" w:eastAsia="Arial" w:hAnsi="Arial"/>
          <w:sz w:val="16"/>
          <w:szCs w:val="16"/>
          <w:i w:val="1"/>
          <w:iCs w:val="1"/>
          <w:color w:val="auto"/>
        </w:rPr>
        <w:t>Streptococcus pneumoniae</w:t>
      </w:r>
      <w:r>
        <w:rPr>
          <w:rFonts w:ascii="Arial" w:cs="Arial" w:eastAsia="Arial" w:hAnsi="Arial"/>
          <w:sz w:val="16"/>
          <w:szCs w:val="16"/>
          <w:color w:val="auto"/>
        </w:rPr>
        <w:t xml:space="preserve"> and </w:t>
      </w:r>
      <w:r>
        <w:rPr>
          <w:rFonts w:ascii="Arial" w:cs="Arial" w:eastAsia="Arial" w:hAnsi="Arial"/>
          <w:sz w:val="16"/>
          <w:szCs w:val="16"/>
          <w:i w:val="1"/>
          <w:iCs w:val="1"/>
          <w:color w:val="auto"/>
        </w:rPr>
        <w:t>Haemophilus influenzae</w:t>
      </w:r>
      <w:r>
        <w:rPr>
          <w:rFonts w:ascii="Arial" w:cs="Arial" w:eastAsia="Arial" w:hAnsi="Arial"/>
          <w:sz w:val="16"/>
          <w:szCs w:val="16"/>
          <w:color w:val="auto"/>
        </w:rPr>
        <w:t xml:space="preserve"> in C3-deficient individuals. As a result, we vaccinate subjects in these trials against these three pathogens, which we believe minimizes the risk of infection. In our clinical trials of APL-2 using subcutaneous administration, which we have conducted in more than 70 patients and healthy volunteers, we have not observed any infections of concern.</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Phase 1b Clinical Trial with Patients on Eculizumab</w:t>
      </w:r>
    </w:p>
    <w:p>
      <w:pPr>
        <w:spacing w:after="0" w:line="113"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We are conducting a Phase 1b open-label, single and multiple ascending dose clinical trial of APL-2 in patients with PNH who are receiving eculizumab that we initiated in February 2015. We are conducting this trial at multiple clinical sites in the United States.</w:t>
      </w:r>
    </w:p>
    <w:p>
      <w:pPr>
        <w:spacing w:after="0" w:line="180"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In this clinical trial, doses of APL-2 are administered by subcutaneous injection to patients with PNH who are concurrently being treated with eculizumab at varying doses according to the treating physicians’ recommendations. We initially enrolled eight patients with PNH who participated in one of four cohorts. Each cohort was composed of two patients. The first two cohorts received a single dose of APL-2 ranging from 25 mg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to 50 mg, and then, after a 28-day monitoring period, received daily doses of APL-2 for an additional 28 consecutive days at doses ranging from 5 mg/day to 30 mg/day. The other two cohorts received daily doses of 180 mg and 270 mg. Based on the combined safety and PD data from this and our other trials of APL-2, we amended the protocol to increase the number of patients in the fourth cohort to six and to provide that patients in the fourth cohort would receive a dose of 270 mg/day for up to two years.</w:t>
      </w:r>
    </w:p>
    <w:p>
      <w:pPr>
        <w:spacing w:after="0" w:line="191" w:lineRule="exact"/>
        <w:rPr>
          <w:sz w:val="20"/>
          <w:szCs w:val="20"/>
          <w:color w:val="auto"/>
        </w:rPr>
      </w:pPr>
    </w:p>
    <w:p>
      <w:pPr>
        <w:ind w:right="20" w:firstLine="457"/>
        <w:spacing w:after="0" w:line="251" w:lineRule="auto"/>
        <w:rPr>
          <w:sz w:val="20"/>
          <w:szCs w:val="20"/>
          <w:color w:val="auto"/>
        </w:rPr>
      </w:pPr>
      <w:r>
        <w:rPr>
          <w:rFonts w:ascii="Arial" w:cs="Arial" w:eastAsia="Arial" w:hAnsi="Arial"/>
          <w:sz w:val="18"/>
          <w:szCs w:val="18"/>
          <w:color w:val="auto"/>
        </w:rPr>
        <w:t>APL-2 has been generally well tolerated by these patients with 12 serious adverse events reported across three patients. Only one of these serious adverse events was noted as possibly related to the administration of APL-2. The patient with this serious adverse event experienced liver pain and elevated liver enzyme levels. As a result, treatment with APL-2 was temporarily discontinued but treatment with eculizumab continued. This discontinuation was followed by a recurrence of anemia and required a blood transfusion. Treatment with APL-2 was reinitiated at a dose of 180 mg and then increased to 270 mg, and the patient’s hemoglobin levels increased. The patient later underwent surgery to improve the flow of bile. This intervention resulted in a lowering of the liver enzyme levels, which thereafter remained low.</w:t>
      </w:r>
    </w:p>
    <w:p>
      <w:pPr>
        <w:spacing w:after="0" w:line="195" w:lineRule="exact"/>
        <w:rPr>
          <w:sz w:val="20"/>
          <w:szCs w:val="20"/>
          <w:color w:val="auto"/>
        </w:rPr>
      </w:pPr>
    </w:p>
    <w:p>
      <w:pPr>
        <w:jc w:val="both"/>
        <w:ind w:right="440" w:firstLine="457"/>
        <w:spacing w:after="0" w:line="295" w:lineRule="auto"/>
        <w:rPr>
          <w:sz w:val="20"/>
          <w:szCs w:val="20"/>
          <w:color w:val="auto"/>
        </w:rPr>
      </w:pPr>
      <w:r>
        <w:rPr>
          <w:rFonts w:ascii="Arial" w:cs="Arial" w:eastAsia="Arial" w:hAnsi="Arial"/>
          <w:sz w:val="16"/>
          <w:szCs w:val="16"/>
          <w:color w:val="auto"/>
        </w:rPr>
        <w:t>The first two cohorts, in which patients received a dose of 5 mg/day or 30 mg/day of APL-2 for 28 days, did not show evidence of pharmacological activity. In the third cohort, in which patients received a dose of 180 mg/day, there were relevant changes in hematological indicators. Hemoglobin levels increased in both patients during the first two weeks of treatment and remained stable until the end of treatment on Day 28. There was also a reduction in reticulocyte counts. No patient required a red blood cell transfusion during the dosing period, in contrast to the period prior to the start of dosing.</w:t>
      </w:r>
    </w:p>
    <w:p>
      <w:pPr>
        <w:spacing w:after="0" w:line="162" w:lineRule="exact"/>
        <w:rPr>
          <w:sz w:val="20"/>
          <w:szCs w:val="20"/>
          <w:color w:val="auto"/>
        </w:rPr>
      </w:pPr>
    </w:p>
    <w:p>
      <w:pPr>
        <w:ind w:firstLine="457"/>
        <w:spacing w:after="0" w:line="251" w:lineRule="auto"/>
        <w:rPr>
          <w:sz w:val="20"/>
          <w:szCs w:val="20"/>
          <w:color w:val="auto"/>
        </w:rPr>
      </w:pPr>
      <w:r>
        <w:rPr>
          <w:rFonts w:ascii="Arial" w:cs="Arial" w:eastAsia="Arial" w:hAnsi="Arial"/>
          <w:sz w:val="18"/>
          <w:szCs w:val="18"/>
          <w:color w:val="auto"/>
        </w:rPr>
        <w:t>In the fourth cohort, six patients received single doses of 270 mg/day of APL-2 for 28 days. After 28 days of treatment, all six patients experienced clinical improvement associated with relevant changes in hematological indicators and APL-2 treatment was continued. Hemoglobin levels increased and reticulocyte counts decreased in all six patients, and reached the normal range in five of the six patients. LDH levels decreased in all six patients. Additionally, C3 fragment deposition on mutant red blood cells was reduced in these patients. We have continued to monitor the patients in the fourth cohort, and during the six-month period following the 28-day monitoring period, the patients’ hemoglobin levels have remained in the normal range and LDH levels have continued to decrease.</w:t>
      </w:r>
    </w:p>
    <w:p>
      <w:pPr>
        <w:spacing w:after="0" w:line="195"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As of August 30, 2017, four of the six patients receiving doses of APL-2 of 270 mg/day remain on treatment in the trial, having received doses of APL-2 for between 305 and 380 days. As of August 30, 2017, two patients have stopped dosing with APL-2. After 205 days of dosing, we decided to discontinue treatment for one patient following complications from an elective surgery. Neither the complications nor the surgery were related to APL-2. After 253 days of dosing, a second patient discontinued treatment due to pregnancy.</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Phase 1b Clinical Trial with Treatment-Naïve Patients</w:t>
      </w:r>
    </w:p>
    <w:p>
      <w:pPr>
        <w:spacing w:after="0" w:line="113" w:lineRule="exact"/>
        <w:rPr>
          <w:sz w:val="20"/>
          <w:szCs w:val="20"/>
          <w:color w:val="auto"/>
        </w:rPr>
      </w:pPr>
    </w:p>
    <w:p>
      <w:pPr>
        <w:ind w:right="560" w:firstLine="457"/>
        <w:spacing w:after="0" w:line="267" w:lineRule="auto"/>
        <w:rPr>
          <w:sz w:val="20"/>
          <w:szCs w:val="20"/>
          <w:color w:val="auto"/>
        </w:rPr>
      </w:pPr>
      <w:r>
        <w:rPr>
          <w:rFonts w:ascii="Arial" w:cs="Arial" w:eastAsia="Arial" w:hAnsi="Arial"/>
          <w:sz w:val="18"/>
          <w:szCs w:val="18"/>
          <w:color w:val="auto"/>
        </w:rPr>
        <w:t>We are conducting a Phase 1b open-label clinical trial of APL-2 in treatment-naïve patients with PNH that we initiated in December 2015. We are conducting this trial at multiple clinical sites outside of the United States.</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We enrolled two cohorts of patients with PNH in this trial at doses of 180 mg/day of APL-2 for the first cohort of two patients and 270 mg/day for the second cohort of three patients. In this clinical trial, doses of APL-2 were administered by subcutaneous injection for up to 28 consecutive days. Based on the evidence of safety and activity observed during the first 28 days of treatment, we extended the administration period for the patients in the second cohort to one year, and increased the number of patients that may be enrolled in the second cohort. As of August 30, 2017, APL-2 had been generally well tolerated in these patients with five serious adverse events reported, each of which was considered unlikely to be related to administration of APL-2. In late October 2017, we learned that one patient with concomitant aplastic anemia developed bone marrow failure after one year of treatment with APL-2. Development of bone marrow failure is a known risk in patients with PNH. In third-party studies, bone marrow failure occurred in between 15% and 30% of PNH patients, regardless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5"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treatment with eculizumab. We do not believe that the bone marrow failure in this patient is related to the administration of APL-2, and the patient is continuing treatment with APL-2.</w:t>
      </w:r>
    </w:p>
    <w:p>
      <w:pPr>
        <w:spacing w:after="0" w:line="180"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In the first cohort in this trial, two treatment-naïve patients with PNH completed 28 days of treatment with daily doses of 180 mg/day of APL-2 administered by subcutaneous injection. Reductions in LDH levels were observed in both patients from Day 1 to Day 29. Hemoglobin levels were maintained above 80 g/L in both patients and neither required a transfusion during the dosing period. Both, however, required transfusions within four weeks of stopping APL-2.</w:t>
      </w:r>
    </w:p>
    <w:p>
      <w:pPr>
        <w:spacing w:after="0" w:line="191"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In the second cohort in this trial, three enrolled treatment-naïve patients completed the initial 28-day treatment period with daily doses of 270 mg/day of APL-2 administered by subcutaneous injection. All three patients demonstrated reductions in LDH levels to within two times the upper limit of normal. All patients treated met the pre-determined criteria to continue dosing. Of the three patients, one has continued dosing through August 30, 2017, one continued dosing for more than 300 days before withdrawing for unrelated medical reasons, and one withdrew consent for personal reasons. As of August 30, 2017, the patient who has continued dosing has been dosed with APL-2 for more than 300 days and has consented to receive further dosing. This is the patient who developed bone marrow failure. We plan to begin enrollment of up to 20 additional patients in the second cohort in the fourth quarter of 2017 and to report data from this study expansion in the first half of 2018.</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Natural History Study</w:t>
      </w:r>
    </w:p>
    <w:p>
      <w:pPr>
        <w:spacing w:after="0" w:line="113"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We are conducting a natural history study of patients with PNH to assemble a registry of patients, which will provide pre-treatment clinical data to support our planned Phase 3 clinical trials. This single-center, observational, prospective natural history study will enroll approximately 48 patients with PNH. All patients will be followed for six months to collect and track clinically relevant endpoints, which we expect will help with the understanding of disease progression. Outcomes reported by both physicians and patients include transfusion frequency, thrombotic events, functional and sleep quality assessments and laboratory data.</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Supporting Studies</w:t>
      </w:r>
    </w:p>
    <w:p>
      <w:pPr>
        <w:spacing w:after="0" w:line="113" w:lineRule="exact"/>
        <w:rPr>
          <w:sz w:val="20"/>
          <w:szCs w:val="20"/>
          <w:color w:val="auto"/>
        </w:rPr>
      </w:pPr>
    </w:p>
    <w:p>
      <w:pPr>
        <w:ind w:right="80" w:firstLine="457"/>
        <w:spacing w:after="0" w:line="257" w:lineRule="auto"/>
        <w:rPr>
          <w:sz w:val="20"/>
          <w:szCs w:val="20"/>
          <w:color w:val="auto"/>
        </w:rPr>
      </w:pPr>
      <w:r>
        <w:rPr>
          <w:rFonts w:ascii="Arial" w:cs="Arial" w:eastAsia="Arial" w:hAnsi="Arial"/>
          <w:sz w:val="18"/>
          <w:szCs w:val="18"/>
          <w:color w:val="auto"/>
        </w:rPr>
        <w:t>We are conducting a Phase 1 trial to assess the safety and tolerability of APL-2 in patients with renal impairment. The study will initially include one cohort of eight patients with severe renal impairment and a second cohort of eight control patients and will evaluate various PK endpoints, in addition to safety and tolerability endpoints.</w:t>
      </w:r>
    </w:p>
    <w:p>
      <w:pPr>
        <w:spacing w:after="0" w:line="188"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We are conducting a Phase 1 trial to determine the safety, PK and PD of twice-weekly and once-weekly subcutaneous administration of APL-2 in healthy volunteers. We intend to evaluate whether less frequent administration provides comparable PK and PD profiles to daily subcutaneous administration and may enable less frequent dosing in upcoming clinical trials.</w:t>
      </w:r>
    </w:p>
    <w:p>
      <w:pPr>
        <w:spacing w:after="0" w:line="188"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We are conducting a Phase 1 trial to determine the safety, PK and PD of APL-2 in healthy volunteers of Japanese descent. We intend to evaluate whether APL-2 will have comparable PK and PD profiles in this population.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Completed Phase 1 Clinical Trials—Single and Multiple Ascending Dose in Healthy Volunteers</w:t>
      </w:r>
    </w:p>
    <w:p>
      <w:pPr>
        <w:spacing w:after="0" w:line="113" w:lineRule="exact"/>
        <w:rPr>
          <w:sz w:val="20"/>
          <w:szCs w:val="20"/>
          <w:color w:val="auto"/>
        </w:rPr>
      </w:pPr>
    </w:p>
    <w:p>
      <w:pPr>
        <w:ind w:right="100" w:firstLine="457"/>
        <w:spacing w:after="0" w:line="297" w:lineRule="auto"/>
        <w:rPr>
          <w:sz w:val="20"/>
          <w:szCs w:val="20"/>
          <w:color w:val="auto"/>
        </w:rPr>
      </w:pPr>
      <w:r>
        <w:rPr>
          <w:rFonts w:ascii="Arial" w:cs="Arial" w:eastAsia="Arial" w:hAnsi="Arial"/>
          <w:sz w:val="17"/>
          <w:szCs w:val="17"/>
          <w:color w:val="auto"/>
        </w:rPr>
        <w:t>We have completed both single ascending and multiple ascending dose Phase 1 randomized, double-blind, placebo-controlled clinical trials of APL-2 in healthy volunteers. We conducted the trials at a single site in Australia to assess the safety, tolerability, PK and PD of APL-2.</w:t>
      </w:r>
    </w:p>
    <w:p>
      <w:pPr>
        <w:spacing w:after="0" w:line="156" w:lineRule="exact"/>
        <w:rPr>
          <w:sz w:val="20"/>
          <w:szCs w:val="20"/>
          <w:color w:val="auto"/>
        </w:rPr>
      </w:pPr>
    </w:p>
    <w:p>
      <w:pPr>
        <w:ind w:right="500" w:firstLine="457"/>
        <w:spacing w:after="0" w:line="267" w:lineRule="auto"/>
        <w:rPr>
          <w:sz w:val="20"/>
          <w:szCs w:val="20"/>
          <w:color w:val="auto"/>
        </w:rPr>
      </w:pPr>
      <w:r>
        <w:rPr>
          <w:rFonts w:ascii="Arial" w:cs="Arial" w:eastAsia="Arial" w:hAnsi="Arial"/>
          <w:sz w:val="18"/>
          <w:szCs w:val="18"/>
          <w:color w:val="auto"/>
        </w:rPr>
        <w:t>In the Phase 1 single ascending dose trial, APL-2 was administered by subcutaneous injection to healthy volunteers on the first day of the trial and followed by either 29 or 43 days of monitoring depending on dosing</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level. We enrolled 31 subjects in this trial. These subjects participated in one of six cohorts at doses ranging from 45 mg to 1440 mg. In the Phase 1 multiple ascending dose trial, APL-2 was administered by subcutaneous injection to healthy volunteers daily for 28 consecutive days followed by 56 days of monitoring after last dosing. We enrolled 20 subjects in this trial. These subjects participated in one of four cohorts at doses ranging from 30 mg to 270 mg/day.</w:t>
      </w:r>
    </w:p>
    <w:p>
      <w:pPr>
        <w:spacing w:after="0" w:line="154" w:lineRule="exact"/>
        <w:rPr>
          <w:sz w:val="20"/>
          <w:szCs w:val="20"/>
          <w:color w:val="auto"/>
        </w:rPr>
      </w:pPr>
    </w:p>
    <w:p>
      <w:pPr>
        <w:ind w:right="160" w:firstLine="457"/>
        <w:spacing w:after="0" w:line="297" w:lineRule="auto"/>
        <w:rPr>
          <w:sz w:val="20"/>
          <w:szCs w:val="20"/>
          <w:color w:val="auto"/>
        </w:rPr>
      </w:pPr>
      <w:r>
        <w:rPr>
          <w:rFonts w:ascii="Arial" w:cs="Arial" w:eastAsia="Arial" w:hAnsi="Arial"/>
          <w:sz w:val="17"/>
          <w:szCs w:val="17"/>
          <w:color w:val="auto"/>
        </w:rPr>
        <w:t>A total of 24 subjects received single doses of APL-2 at doses up to 1440 mg and 16 subjects received multiple doses of APL-2 for 28 consecutive days at doses up to 270 mg/day. A total of eleven subjects received either single or multiple administrations of a placebo in these trials.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observed the following in the trials:</w:t>
      </w:r>
    </w:p>
    <w:p>
      <w:pPr>
        <w:spacing w:after="0" w:line="126" w:lineRule="exact"/>
        <w:rPr>
          <w:sz w:val="20"/>
          <w:szCs w:val="20"/>
          <w:color w:val="auto"/>
        </w:rPr>
      </w:pPr>
    </w:p>
    <w:p>
      <w:pPr>
        <w:ind w:left="680" w:hanging="2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APL-2 was well tolerated in both trials with no serious adverse events reported;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PK of APL-2 in humans was in line with our expectations derived from preclinical data, with little inter-subject variability observed;</w:t>
      </w:r>
    </w:p>
    <w:p>
      <w:pPr>
        <w:spacing w:after="0" w:line="126" w:lineRule="exact"/>
        <w:rPr>
          <w:rFonts w:ascii="Arial" w:cs="Arial" w:eastAsia="Arial" w:hAnsi="Arial"/>
          <w:sz w:val="18"/>
          <w:szCs w:val="18"/>
          <w:color w:val="auto"/>
        </w:rPr>
      </w:pPr>
    </w:p>
    <w:p>
      <w:pPr>
        <w:ind w:left="680" w:right="340" w:hanging="220"/>
        <w:spacing w:after="0" w:line="267"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multiple ascending dose trial, the plasma concentration of APL-2 increased over time, reaching maximum concentration after the last day of administration on day 28;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both trials, we observed a dose-dependent increase in C3 that is indicative of APL-2 binding to C3.</w:t>
      </w:r>
    </w:p>
    <w:p>
      <w:pPr>
        <w:spacing w:after="0" w:line="220" w:lineRule="exact"/>
        <w:rPr>
          <w:sz w:val="20"/>
          <w:szCs w:val="20"/>
          <w:color w:val="auto"/>
        </w:rPr>
      </w:pPr>
    </w:p>
    <w:p>
      <w:pPr>
        <w:ind w:right="80" w:firstLine="457"/>
        <w:spacing w:after="0" w:line="288" w:lineRule="auto"/>
        <w:rPr>
          <w:sz w:val="20"/>
          <w:szCs w:val="20"/>
          <w:color w:val="auto"/>
        </w:rPr>
      </w:pPr>
      <w:r>
        <w:rPr>
          <w:rFonts w:ascii="Arial" w:cs="Arial" w:eastAsia="Arial" w:hAnsi="Arial"/>
          <w:sz w:val="16"/>
          <w:szCs w:val="16"/>
          <w:color w:val="auto"/>
        </w:rPr>
        <w:t xml:space="preserve">In these trials, we assessed inhibition of hemolysis of red blood cells by using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serum-induced hemolysis. In the multiple ascending dose trial, at a dose level of 180 mg/day of APL-2, reduction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serum-induced hemolysis was observed as early as seven days after initiation of treatment, continued for the duration of treatment, and reached a maximum of more than 80% in two of the four subjects who received 180/mg day of APL-2 and of more than 60% in the other two subjects. At the dose level of 270 mg/day of APL-2, reduction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serum-induced hemolysis was observed as early as seven days after initiation of treatment, continued for the duration of treatment, and reached a maximum reduction of more than 90% in three of the four subjects who received 270 mg/day of APL-2. The fourth subject on active treatment had a more moderate reduction compared to placebo.</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We have conducted numerous preclinical studies of APL-2 in animals and in laboratory samples to assess the safety of APL-2, including repeat-dose subcutaneous and intravenous toxicity studies of APL-2 in rats, rabbits and monkeys for durations of up to nine months. In these studies, there were no significant macroscopically observable or clinical pathology drug-related changes in any species at any of the doses tested. Similarly, there was no evidence of a potential for adverse effects on myocardial conduction, cardiovascular and respiratory systems in either species and no genotoxicity potential was observed. In addition, no signs of infection were observed in any of the studies that we conducted. The main toxicity observed at the highest doses tested was microscopic kidney damage, likely resulting from accumulation of APL-2 in the kidney, which is one of the organs we believe to be responsible for its clearance from the body.</w:t>
      </w:r>
    </w:p>
    <w:p>
      <w:pPr>
        <w:spacing w:after="0" w:line="198"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 xml:space="preserve">While there is no animal model of PNH, APL-2 inhibited both hemolysis of red blood cells by the membrane attack complex and C3 fragment deposition on the surface of these cells in preclinical studies that we conducted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on blood samples from patients with PNH.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Hemolytic Anemia (Systemic APL-2)</w:t>
      </w:r>
    </w:p>
    <w:p>
      <w:pPr>
        <w:spacing w:after="0" w:line="1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7"/>
          <w:szCs w:val="17"/>
          <w:color w:val="auto"/>
        </w:rPr>
        <w:t>Autoimmune hemolytic anemia, or AIHA, comprises a group of rare, autoimmune diseases characterized by autoantibody-initiated premature destruction of red blood cells and classified by the type of immunoglobulin involved in causing the disease and its thermal optimum for binding red blood cells. Complement plays a major role in red blood cell destruction in AIHA through extravascular hemolysis, which corresponds to the removal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and destruction of opsonized red blood cells from the blood vessels by the spleen or liver, and intravascular hemolysis, which corresponds to the destruction of the red blood cells following the formation of the membrane attack complex in the membrane of the red blood cells in the blood vessels. We are developing APL-2 as a therapy for two subtypes of AIHA: cold agglutinin disease, or CAD, and warm antibody AIHA, or wAIHA.</w:t>
      </w:r>
    </w:p>
    <w:p>
      <w:pPr>
        <w:spacing w:after="0" w:line="172" w:lineRule="exact"/>
        <w:rPr>
          <w:sz w:val="20"/>
          <w:szCs w:val="20"/>
          <w:color w:val="auto"/>
        </w:rPr>
      </w:pPr>
    </w:p>
    <w:p>
      <w:pPr>
        <w:ind w:right="280" w:firstLine="457"/>
        <w:spacing w:after="0" w:line="331" w:lineRule="auto"/>
        <w:rPr>
          <w:sz w:val="20"/>
          <w:szCs w:val="20"/>
          <w:color w:val="auto"/>
        </w:rPr>
      </w:pPr>
      <w:r>
        <w:rPr>
          <w:rFonts w:ascii="Arial" w:cs="Arial" w:eastAsia="Arial" w:hAnsi="Arial"/>
          <w:sz w:val="16"/>
          <w:szCs w:val="16"/>
          <w:color w:val="auto"/>
        </w:rPr>
        <w:t>There is no FDA-approved drug therapy specifically for either subtype of AIHA. The primary and secondary therapies, which include corticosteroids, splenectomy, alkylating agents and immunosuppressive drugs, are associated with low response rates, relapses and clinically significant adverse effects.</w:t>
      </w:r>
    </w:p>
    <w:p>
      <w:pPr>
        <w:spacing w:after="0" w:line="133" w:lineRule="exact"/>
        <w:rPr>
          <w:sz w:val="20"/>
          <w:szCs w:val="20"/>
          <w:color w:val="auto"/>
        </w:rPr>
      </w:pPr>
    </w:p>
    <w:p>
      <w:pPr>
        <w:ind w:right="160" w:firstLine="457"/>
        <w:spacing w:after="0" w:line="297" w:lineRule="auto"/>
        <w:rPr>
          <w:sz w:val="20"/>
          <w:szCs w:val="20"/>
          <w:color w:val="auto"/>
        </w:rPr>
      </w:pPr>
      <w:r>
        <w:rPr>
          <w:rFonts w:ascii="Arial" w:cs="Arial" w:eastAsia="Arial" w:hAnsi="Arial"/>
          <w:sz w:val="17"/>
          <w:szCs w:val="17"/>
          <w:color w:val="auto"/>
        </w:rPr>
        <w:t>We believe that C3 inhibition has the potential to prevent C3-related opsonization and extravascular hemolysis in AIHA patients, and that inhibiting the complement system by targeting C3 may have the same impact, if not greater, as other complement pathway drugs in these diseases.</w:t>
      </w:r>
    </w:p>
    <w:p>
      <w:pPr>
        <w:spacing w:after="0" w:line="156"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We plan to begin a Phase 2 clinical trial in patients with AIHA in the first half of 2018 to assess safety, tolerability and preliminary evidence of activity of C3 complement inhibition with APL-2 in these patients. This trial will be conducted under our existing IND for PNH.</w:t>
      </w:r>
    </w:p>
    <w:p>
      <w:pPr>
        <w:spacing w:after="0" w:line="180"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The Phase 2 clinical trial will be an open-label, prospective, 12-month pilot trial in patients with a primary diagnosis of wAIHA or CAD. The trial will consist of 12 patients, six patients with wAIHA in cohort 1 and six patients with CAD in cohort 2. Patients will be given vaccinations and prophylactic antibiotics. Patients in each cohort will be randomly (1:1) assigned to receive either 270 mg/day or 360 mg/day of APL-2 treatment for up to 12 months. Dose escalation from 270 mg/day to 360 mg/day or de-escalation from 360 mg/day to 270 mg/day may occur after thorough evaluation of available safety and laboratory assessment. Primary efficacy endpoints will include change from baseline hemoglobin levels, number of red blood cell transfusions during the trial, change from baseline in absolute reticulocyte count, LDH, haptoglobin, indirect bilirubin, APL-2 serum concentration and other PK parameters, change in quality of life scores, and measurements of complement levels and C3 deposition on red blood cells.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Nephrology (systemic APL-2)</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Complement-Dependent Nephropathies</w:t>
      </w:r>
    </w:p>
    <w:p>
      <w:pPr>
        <w:spacing w:after="0" w:line="11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IgA nephropathy, or IgAN, lupus nephritis, idiopathic membranous nephropathy and C3 glomerulopathy are diseases caused by activation of complement pathways. In all of these diseases, immune complexes (autoantibody-antigen complexes) or C3 are deposited in the portion of the kidney known as the glomeruli, which is responsible for blood filtration. These deposits lead to activation of either all three or two of the three principal pathways of the complement system: classical, lectin and alternative. By targeting C3 at the point of convergence of all three pathways, we believe APL-2 has the potential to prevent C3 activation and C3-mediated inflammatory response responsible for the renal manifestations of injury common to all these diseases. We met with the FDA in October 2017 in a pre-IND meeting and plan to submit an IND to the FDA and to begin a Phase 2 clinical trial in patients with complement-dependent nephropathies in the first half of 2018 to assess safety, tolerability and preliminary evidence of activity of C3 complement inhibition with APL-2.</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Systemic Administration Drug Delivery System</w:t>
      </w:r>
    </w:p>
    <w:p>
      <w:pPr>
        <w:spacing w:after="0" w:line="119" w:lineRule="exact"/>
        <w:rPr>
          <w:sz w:val="20"/>
          <w:szCs w:val="20"/>
          <w:color w:val="auto"/>
        </w:rPr>
      </w:pPr>
    </w:p>
    <w:p>
      <w:pPr>
        <w:ind w:firstLine="457"/>
        <w:spacing w:after="0" w:line="295" w:lineRule="auto"/>
        <w:rPr>
          <w:sz w:val="20"/>
          <w:szCs w:val="20"/>
          <w:color w:val="auto"/>
        </w:rPr>
      </w:pPr>
      <w:r>
        <w:rPr>
          <w:rFonts w:ascii="Arial" w:cs="Arial" w:eastAsia="Arial" w:hAnsi="Arial"/>
          <w:sz w:val="16"/>
          <w:szCs w:val="16"/>
          <w:color w:val="auto"/>
        </w:rPr>
        <w:t>In our clinical trials, we are currently using an off-the-shelf, FDA-cleared device that enables patients to self-administer APL-2 through subcutaneous infusion. In addition, we are developing, with a third-party manufacturer, a custom, on-body drug delivery system that would further improve the ease of self-administration of APL-2. While our goal is to commercially launch APL-2 in PNH together with the custom drug delivery system, we can commercialize APL-2 without the custom drug delivery system, in which case marketing approval for APL-2 will not be contingent upon approval of the drug delivery system.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9"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in a variety of ways, including by pursuing patent protection in certain jurisdictions where it is available. For example, we file U.S. and certain foreign patent applications related to our proprietary technology, inventions and improvements that are important to the development of our business. We also rely on trade secrets, know-how, continuing technological innovation and in-licensing opportunities to develop and maintain our proprietary position.</w:t>
      </w:r>
    </w:p>
    <w:p>
      <w:pPr>
        <w:spacing w:after="0" w:line="165"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We have developed our lead product candidate, APL-2, which is an analog of the cyclic peptide compstatin, based on technology that we have exclusively licensed from the Trustees of the University of Pennsylvania, or Penn, including a license agreement with Penn that was assigned to us in connection with our acquisition of the assets of Potentia in September 2015. The intellectual property in-licensed under our two license agreements with Penn includes four U.S. patents and two pending U.S. patent applications, including original filings, continuations and divisional applications, and numerous foreign counterparts, with claims granted or pending in Europe, Japan and elsewhere. These licensed patent rights include issued patents with claims that recite a class of compounds generically covering our lead product candidate, APL-2, and that specifically recite the active component. These patents have terms that extend to 2026.</w:t>
      </w:r>
    </w:p>
    <w:p>
      <w:pPr>
        <w:spacing w:after="0" w:line="198"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 xml:space="preserve">In addition to the intellectual property licensed from Penn, as of June 30, 2017, we own a total of six U.S. patents and 19 pending U.S. patent applications, including original filings, continuations and divisional applications, as well as numerous foreign counterparts of many of these patents and patent applications. Our patent applications include families of US and foreign applications relating, for example, to certain compstatin analogs with a prolonged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half-life, including APL-2, and/or to methods of treatment and dosing regimens for treating particular complement-dependent diseases. Patents issuing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these applications would expire in 2032 or 2033. Our patent applications also include families relating in part to particular doses and dosing regimens for intravitreally or subcutaneously administered APL-2. Patents based on these applications would expire between 2036 and 2038. Finally, the filings include certain U.S. and foreign patents and patent applications relating to methods of treating eye disorders associated with complement activation, which we acquired in the acquisition of Potentia’s assets. These acquired Potentia patent rights include issued U.S. patents with claims to methods of treating AMD by administration of compstatin analogs and a granted European patent with claims to a class of compstatin analogs for use in treatment of macular degeneration. These patents have terms that extend into 2026.</w:t>
      </w:r>
    </w:p>
    <w:p>
      <w:pPr>
        <w:spacing w:after="0" w:line="189" w:lineRule="exact"/>
        <w:rPr>
          <w:sz w:val="20"/>
          <w:szCs w:val="20"/>
          <w:color w:val="auto"/>
        </w:rPr>
      </w:pPr>
    </w:p>
    <w:p>
      <w:pPr>
        <w:jc w:val="both"/>
        <w:ind w:right="80" w:firstLine="457"/>
        <w:spacing w:after="0" w:line="283"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w:t>
      </w:r>
    </w:p>
    <w:p>
      <w:pPr>
        <w:ind w:right="180"/>
        <w:spacing w:after="0" w:line="266" w:lineRule="auto"/>
        <w:rPr>
          <w:sz w:val="20"/>
          <w:szCs w:val="20"/>
          <w:color w:val="auto"/>
        </w:rPr>
      </w:pPr>
      <w:r>
        <w:rPr>
          <w:rFonts w:ascii="Arial" w:cs="Arial" w:eastAsia="Arial" w:hAnsi="Arial"/>
          <w:sz w:val="17"/>
          <w:szCs w:val="17"/>
          <w:color w:val="auto"/>
        </w:rPr>
        <w:t>Patent and Trademark Office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83"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Similar provisions are available in the European Union and certain other foreign jurisdictions to extend the term of a patent that covers an approved drug. In the future, if and when our product candidates, including APL-2, receive approval by the FDA or foreign regulatory authorities, we expect to apply for patent term</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5"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7"/>
          <w:szCs w:val="17"/>
          <w:color w:val="auto"/>
        </w:rPr>
        <w:t>extensions on issued patents covering those products, depending upon the length of the clinical trials for each drug and other factors. Expiration dates referred to above are without regard to potential patent term adjustment or extension or other market exclusivity that may be available to us.</w:t>
      </w:r>
    </w:p>
    <w:p>
      <w:pPr>
        <w:spacing w:after="0" w:line="156" w:lineRule="exact"/>
        <w:rPr>
          <w:sz w:val="20"/>
          <w:szCs w:val="20"/>
          <w:color w:val="auto"/>
        </w:rPr>
      </w:pPr>
    </w:p>
    <w:p>
      <w:pPr>
        <w:ind w:right="200" w:firstLine="457"/>
        <w:spacing w:after="0" w:line="257" w:lineRule="auto"/>
        <w:rPr>
          <w:sz w:val="20"/>
          <w:szCs w:val="20"/>
          <w:color w:val="auto"/>
        </w:rPr>
      </w:pPr>
      <w:r>
        <w:rPr>
          <w:rFonts w:ascii="Arial" w:cs="Arial" w:eastAsia="Arial" w:hAnsi="Arial"/>
          <w:sz w:val="18"/>
          <w:szCs w:val="18"/>
          <w:color w:val="auto"/>
        </w:rPr>
        <w:t>We granted rights to use our intellectual property to manage our Phase 1 and 2 clinical trials in Australia and exclusive rights to distribute our product within Australia, South Korea, Singapore, Indonesia, Malaysia, the Philippines, Thailand, Vietnam and New Zealand to our wholly-owned subsidiary, Apellis Australia Pty Ltd.</w:t>
      </w:r>
    </w:p>
    <w:p>
      <w:pPr>
        <w:spacing w:after="0" w:line="188"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We may rely, in some circumstances, 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License Agreement with The Trustees of the University of Pennsylvania (Non-ophthalmic Fields of Use)</w:t>
      </w:r>
    </w:p>
    <w:p>
      <w:pPr>
        <w:spacing w:after="0" w:line="113" w:lineRule="exact"/>
        <w:rPr>
          <w:sz w:val="20"/>
          <w:szCs w:val="20"/>
          <w:color w:val="auto"/>
        </w:rPr>
      </w:pPr>
    </w:p>
    <w:p>
      <w:pPr>
        <w:ind w:right="100" w:firstLine="457"/>
        <w:spacing w:after="0" w:line="279" w:lineRule="auto"/>
        <w:rPr>
          <w:sz w:val="20"/>
          <w:szCs w:val="20"/>
          <w:color w:val="auto"/>
        </w:rPr>
      </w:pPr>
      <w:r>
        <w:rPr>
          <w:rFonts w:ascii="Arial" w:cs="Arial" w:eastAsia="Arial" w:hAnsi="Arial"/>
          <w:sz w:val="17"/>
          <w:szCs w:val="17"/>
          <w:color w:val="auto"/>
        </w:rPr>
        <w:t>In March 2008, Apellis AG entered into an agreement with Penn for an exclusive worldwide license, under specified patent rights controlled by Penn, to develop and commercialize products covered by the licensed patent rights for all fields except the treatment of ophthalmic indications. This license was assigned to us in 2010 in connection with our acquisition of Apellis AG, and we have the right to grant sublicenses under this license.</w:t>
      </w:r>
    </w:p>
    <w:p>
      <w:pPr>
        <w:spacing w:after="0" w:line="172" w:lineRule="exact"/>
        <w:rPr>
          <w:sz w:val="20"/>
          <w:szCs w:val="20"/>
          <w:color w:val="auto"/>
        </w:rPr>
      </w:pPr>
    </w:p>
    <w:p>
      <w:pPr>
        <w:ind w:right="280" w:firstLine="457"/>
        <w:spacing w:after="0" w:line="267" w:lineRule="auto"/>
        <w:rPr>
          <w:sz w:val="20"/>
          <w:szCs w:val="20"/>
          <w:color w:val="auto"/>
        </w:rPr>
      </w:pPr>
      <w:r>
        <w:rPr>
          <w:rFonts w:ascii="Arial" w:cs="Arial" w:eastAsia="Arial" w:hAnsi="Arial"/>
          <w:sz w:val="18"/>
          <w:szCs w:val="18"/>
          <w:color w:val="auto"/>
        </w:rPr>
        <w:t>The patent rights licensed to us by Penn include patents with claims that recite a class of compounds generically covering our lead compound, APL-2, and specifically recite APL-1.</w:t>
      </w:r>
    </w:p>
    <w:p>
      <w:pPr>
        <w:spacing w:after="0" w:line="180"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In exchange for the rights licensed from Penn, Apellis AG transferred to Penn shares of Potentia common stock that it had purchased from Potentia with a $250,000 promissory note in 2008. In 2010, Apellis AG assigned its Penn license to us together with the promissory note. We repaid the promissory note in full in 2013.</w:t>
      </w:r>
    </w:p>
    <w:p>
      <w:pPr>
        <w:spacing w:after="0" w:line="188"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Under the license agreement, we are obligated to make a $100,000 annual license maintenance payment to Penn until the first commercial sale of a licensed product, some of which may become creditable against milestone payments under specified circumstances. We may also become obligated to make payments to Penn aggregating up to $1,650,000 based on achieving specified development and regulatory approval milestones and up to $2,500,000 based on achieving specified annual sales milestones with respect to each of the first two licensed products,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79" w:lineRule="exact"/>
        <w:rPr>
          <w:sz w:val="20"/>
          <w:szCs w:val="20"/>
          <w:color w:val="auto"/>
        </w:rPr>
      </w:pPr>
    </w:p>
    <w:p>
      <w:pPr>
        <w:ind w:right="60" w:firstLine="457"/>
        <w:spacing w:after="0" w:line="257" w:lineRule="auto"/>
        <w:rPr>
          <w:sz w:val="20"/>
          <w:szCs w:val="20"/>
          <w:color w:val="auto"/>
        </w:rPr>
      </w:pPr>
      <w:r>
        <w:rPr>
          <w:rFonts w:ascii="Arial" w:cs="Arial" w:eastAsia="Arial" w:hAnsi="Arial"/>
          <w:sz w:val="18"/>
          <w:szCs w:val="18"/>
          <w:color w:val="auto"/>
        </w:rPr>
        <w:t>Our royalty obligation with respect to each licensed product in a country extends until the later of the expiration of the last-to-expire patent licensed from Penn covering the licensed product in the country or the expiration of a specified number of years after the first commercial sale of the licensed product in the country.</w:t>
      </w:r>
    </w:p>
    <w:p>
      <w:pPr>
        <w:spacing w:after="0" w:line="188" w:lineRule="exact"/>
        <w:rPr>
          <w:sz w:val="20"/>
          <w:szCs w:val="20"/>
          <w:color w:val="auto"/>
        </w:rPr>
      </w:pPr>
    </w:p>
    <w:p>
      <w:pPr>
        <w:ind w:right="20" w:firstLine="457"/>
        <w:spacing w:after="0" w:line="331" w:lineRule="auto"/>
        <w:rPr>
          <w:sz w:val="20"/>
          <w:szCs w:val="20"/>
          <w:color w:val="auto"/>
        </w:rPr>
      </w:pPr>
      <w:r>
        <w:rPr>
          <w:rFonts w:ascii="Arial" w:cs="Arial" w:eastAsia="Arial" w:hAnsi="Arial"/>
          <w:sz w:val="16"/>
          <w:szCs w:val="16"/>
          <w:color w:val="auto"/>
        </w:rPr>
        <w:t>The agreement obligates us to use commercially reasonable efforts to develop licensed products in accordance with a development plan, which we update annually, and a development milestone timetable specified in the agreement and to use commercially reasonable efforts to commercialize licensed products.</w:t>
      </w:r>
    </w:p>
    <w:p>
      <w:pPr>
        <w:spacing w:after="0" w:line="133" w:lineRule="exact"/>
        <w:rPr>
          <w:sz w:val="20"/>
          <w:szCs w:val="20"/>
          <w:color w:val="auto"/>
        </w:rPr>
      </w:pPr>
    </w:p>
    <w:p>
      <w:pPr>
        <w:ind w:right="340" w:firstLine="457"/>
        <w:spacing w:after="0" w:line="257" w:lineRule="auto"/>
        <w:rPr>
          <w:sz w:val="20"/>
          <w:szCs w:val="20"/>
          <w:color w:val="auto"/>
        </w:rPr>
      </w:pPr>
      <w:r>
        <w:rPr>
          <w:rFonts w:ascii="Arial" w:cs="Arial" w:eastAsia="Arial" w:hAnsi="Arial"/>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Amended and Restated Patent License Agreement with The Trustees of the University of Pennsylvania (Ophthalmic Field of Use)</w:t>
      </w:r>
    </w:p>
    <w:p>
      <w:pPr>
        <w:spacing w:after="0" w:line="113" w:lineRule="exact"/>
        <w:rPr>
          <w:sz w:val="20"/>
          <w:szCs w:val="20"/>
          <w:color w:val="auto"/>
        </w:rPr>
      </w:pPr>
    </w:p>
    <w:p>
      <w:pPr>
        <w:ind w:right="100" w:firstLine="457"/>
        <w:spacing w:after="0" w:line="365" w:lineRule="auto"/>
        <w:rPr>
          <w:sz w:val="20"/>
          <w:szCs w:val="20"/>
          <w:color w:val="auto"/>
        </w:rPr>
      </w:pPr>
      <w:r>
        <w:rPr>
          <w:rFonts w:ascii="Arial" w:cs="Arial" w:eastAsia="Arial" w:hAnsi="Arial"/>
          <w:sz w:val="14"/>
          <w:szCs w:val="14"/>
          <w:color w:val="auto"/>
        </w:rPr>
        <w:t>At the same time that it entered into the agreement with Apellis AG, Penn licensed rights to the same portfolio of cases to Potentia, to develop and commercialize products covered by the licensed patent rights for the treatment of ophthalmic indications. In September 2015, Potentia assigned the license agreement between Potentia and Penn to us in connection with our acquisition of the assets of Potentia pursuant to an asset purchase agreement with Potentia.</w:t>
      </w:r>
    </w:p>
    <w:p>
      <w:pPr>
        <w:spacing w:after="0" w:line="11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Upon Potentia’s assignment of the license to us, we became the licensee and are obligated to make a $100,000 annual license maintenance payment to Penn until the first commercial sale of a licensed product. We also became obligated to make payments to Penn aggregating up to $3,200,000 based on achieving specified development and regulatory approval milestones and up to $5,000,000 based on achieving specified annual sales milestones with respect to each licensed product, and to pay low single-digit royalties to Penn based on net sales of each licensed product by us and our affiliates and sublicensees and specified minimum quarterly royalty thresholds. In addition, we are obligated to pay Penn a specified portion of income we receive from sublicensees.</w:t>
      </w:r>
    </w:p>
    <w:p>
      <w:pPr>
        <w:spacing w:after="0" w:line="165" w:lineRule="exact"/>
        <w:rPr>
          <w:sz w:val="20"/>
          <w:szCs w:val="20"/>
          <w:color w:val="auto"/>
        </w:rPr>
      </w:pPr>
    </w:p>
    <w:p>
      <w:pPr>
        <w:ind w:right="120" w:firstLine="457"/>
        <w:spacing w:after="0" w:line="331" w:lineRule="auto"/>
        <w:rPr>
          <w:sz w:val="20"/>
          <w:szCs w:val="20"/>
          <w:color w:val="auto"/>
        </w:rPr>
      </w:pPr>
      <w:r>
        <w:rPr>
          <w:rFonts w:ascii="Arial" w:cs="Arial" w:eastAsia="Arial" w:hAnsi="Arial"/>
          <w:sz w:val="16"/>
          <w:szCs w:val="16"/>
          <w:color w:val="auto"/>
        </w:rPr>
        <w:t>Our royalty obligation with respect to each licensed product in a country will extend until the later of the expiration of the last-to-expire patent licensed from Penn covering the licensed product in the country or the tenth anniversary of the first commercial sale of the licensed product in the country.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the right to grant sublicenses under the license.</w:t>
      </w:r>
    </w:p>
    <w:p>
      <w:pPr>
        <w:spacing w:after="0" w:line="220" w:lineRule="exact"/>
        <w:rPr>
          <w:sz w:val="20"/>
          <w:szCs w:val="20"/>
          <w:color w:val="auto"/>
        </w:rPr>
      </w:pPr>
    </w:p>
    <w:p>
      <w:pPr>
        <w:ind w:right="40" w:firstLine="457"/>
        <w:spacing w:after="0" w:line="331" w:lineRule="auto"/>
        <w:rPr>
          <w:sz w:val="20"/>
          <w:szCs w:val="20"/>
          <w:color w:val="auto"/>
        </w:rPr>
      </w:pPr>
      <w:r>
        <w:rPr>
          <w:rFonts w:ascii="Arial" w:cs="Arial" w:eastAsia="Arial" w:hAnsi="Arial"/>
          <w:sz w:val="16"/>
          <w:szCs w:val="16"/>
          <w:color w:val="auto"/>
        </w:rPr>
        <w:t>We also are obligated to use commercially reasonable efforts to develop licensed products in accordance with a development plan, which we will update annually, and a development milestone timetable specified in the agreement and to use commercially reasonable efforts to commercialize licensed products.</w:t>
      </w:r>
    </w:p>
    <w:p>
      <w:pPr>
        <w:spacing w:after="0" w:line="133" w:lineRule="exact"/>
        <w:rPr>
          <w:sz w:val="20"/>
          <w:szCs w:val="20"/>
          <w:color w:val="auto"/>
        </w:rPr>
      </w:pPr>
    </w:p>
    <w:p>
      <w:pPr>
        <w:ind w:right="260" w:firstLine="457"/>
        <w:spacing w:after="0" w:line="257" w:lineRule="auto"/>
        <w:rPr>
          <w:sz w:val="20"/>
          <w:szCs w:val="20"/>
          <w:color w:val="auto"/>
        </w:rPr>
      </w:pPr>
      <w:r>
        <w:rPr>
          <w:rFonts w:ascii="Arial" w:cs="Arial" w:eastAsia="Arial" w:hAnsi="Arial"/>
          <w:sz w:val="18"/>
          <w:szCs w:val="18"/>
          <w:color w:val="auto"/>
        </w:rPr>
        <w:t>Penn has the right to terminate the agreement if we breach the agreement and fail to cure our breach within specified cure periods or in the event of specified bankruptcy, insolvency and liquidation events. We have the right to terminate the agreement for our convenience at any time on 60 days’ notice to Penn.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1"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There are a number of currently marketed products and product candidates in preclinical research and clinical development by third parties to treat the various diseases that we are targeting. In general, these products and product candidates can be categorized based on their proposed mechanisms of action. The mechanisms of action for these product candidates include inflammation suppression by agents such as complement inhibitors and corticosteroids, as well as immune modulators, visual cycle modulators, anti-amyloid agents, antioxidants, neuroprotectants, cell and gene therapies and vascular and interstitial tissue remodeling agents.</w:t>
      </w:r>
    </w:p>
    <w:p>
      <w:pPr>
        <w:spacing w:after="0" w:line="193" w:lineRule="exact"/>
        <w:rPr>
          <w:sz w:val="20"/>
          <w:szCs w:val="20"/>
          <w:color w:val="auto"/>
        </w:rPr>
      </w:pPr>
    </w:p>
    <w:p>
      <w:pPr>
        <w:ind w:right="200" w:firstLine="457"/>
        <w:spacing w:after="0" w:line="267" w:lineRule="auto"/>
        <w:rPr>
          <w:sz w:val="20"/>
          <w:szCs w:val="20"/>
          <w:color w:val="auto"/>
        </w:rPr>
      </w:pPr>
      <w:r>
        <w:rPr>
          <w:rFonts w:ascii="Arial" w:cs="Arial" w:eastAsia="Arial" w:hAnsi="Arial"/>
          <w:sz w:val="18"/>
          <w:szCs w:val="18"/>
          <w:color w:val="auto"/>
        </w:rPr>
        <w:t>If our lead product candidate is approved for the indications for which we are currently undertaking or planning clinical trials, it will compete with the products and product candidates discussed below.</w:t>
      </w:r>
    </w:p>
    <w:p>
      <w:pPr>
        <w:spacing w:after="0" w:line="73" w:lineRule="exact"/>
        <w:rPr>
          <w:sz w:val="20"/>
          <w:szCs w:val="20"/>
          <w:color w:val="auto"/>
        </w:rPr>
      </w:pPr>
    </w:p>
    <w:p>
      <w:pPr>
        <w:ind w:right="460" w:firstLine="457"/>
        <w:spacing w:after="0" w:line="267" w:lineRule="auto"/>
        <w:rPr>
          <w:sz w:val="20"/>
          <w:szCs w:val="20"/>
          <w:color w:val="auto"/>
        </w:rPr>
      </w:pPr>
      <w:r>
        <w:rPr>
          <w:rFonts w:ascii="Arial" w:cs="Arial" w:eastAsia="Arial" w:hAnsi="Arial"/>
          <w:sz w:val="18"/>
          <w:szCs w:val="18"/>
          <w:b w:val="1"/>
          <w:bCs w:val="1"/>
          <w:i w:val="1"/>
          <w:iCs w:val="1"/>
          <w:color w:val="auto"/>
        </w:rPr>
        <w:t>GA</w:t>
      </w:r>
      <w:r>
        <w:rPr>
          <w:rFonts w:ascii="Arial" w:cs="Arial" w:eastAsia="Arial" w:hAnsi="Arial"/>
          <w:sz w:val="18"/>
          <w:szCs w:val="18"/>
          <w:color w:val="auto"/>
        </w:rPr>
        <w:t>. There are currently no approved treatments for GA. We are aware that there are a number of companies that are actively developing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for the treatment of GA, including the following</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5"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product candidates that are in clinical development: lampalizumab, a factor D complement inhibitor for the treatment of GA being developed by Roche that is in Phase 3 clinical trials; CLG561, an anti-properdin monoclonal antibody being developed as a monotherapy or adjunctive therapy with LFG316, an anti-C5 monoclonal antibody being developed by Novartis AG that is in Phase 2 clinical trials; Zimura, a C5 inhibitor being developed by Ophthotech Corporation that is in Phase 2/3 clinical trials; and other product candidates that do not target the complement system that are in Phase 2 clinical trials, including compounds being developed by Allergan PLC and Regenerative Patch Technologies. In September 2017, Roche announced that the first of two Phase 3 trials of lampalizumab in GA had failed to meet its primary endpoint.</w:t>
      </w:r>
    </w:p>
    <w:p>
      <w:pPr>
        <w:spacing w:after="0" w:line="195"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b w:val="1"/>
          <w:bCs w:val="1"/>
          <w:i w:val="1"/>
          <w:iCs w:val="1"/>
          <w:color w:val="auto"/>
        </w:rPr>
        <w:t xml:space="preserve">PNH. </w:t>
      </w:r>
      <w:r>
        <w:rPr>
          <w:rFonts w:ascii="Arial" w:cs="Arial" w:eastAsia="Arial" w:hAnsi="Arial"/>
          <w:sz w:val="18"/>
          <w:szCs w:val="18"/>
          <w:color w:val="auto"/>
        </w:rPr>
        <w:t>Eculizumab, a C5 complement inhibitor, which is marketed as Soliris by Alexion Pharmaceuticals, Inc., is the only drug approved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PNH. Alexion is also developing ALXN1210 for patients with PNH which is currently in Phase 3 trials. ALXN1210 is designed to be longer acting than eculizumab. In addition, we are aware that there are a number of other companies that are actively developing product candidates for the treatment of PNH, including the following:</w:t>
      </w:r>
    </w:p>
    <w:p>
      <w:pPr>
        <w:spacing w:after="0" w:line="97" w:lineRule="exact"/>
        <w:rPr>
          <w:sz w:val="20"/>
          <w:szCs w:val="20"/>
          <w:color w:val="auto"/>
        </w:rPr>
      </w:pPr>
    </w:p>
    <w:p>
      <w:pPr>
        <w:ind w:left="680" w:hanging="220"/>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product candidate directed at C3 complement inhibition that is currently in preclinical development by Amyndas Pharmaceuticals SA;</w:t>
      </w:r>
    </w:p>
    <w:p>
      <w:pPr>
        <w:spacing w:after="0" w:line="126" w:lineRule="exact"/>
        <w:rPr>
          <w:rFonts w:ascii="Arial" w:cs="Arial" w:eastAsia="Arial" w:hAnsi="Arial"/>
          <w:sz w:val="18"/>
          <w:szCs w:val="18"/>
          <w:color w:val="auto"/>
        </w:rPr>
      </w:pPr>
    </w:p>
    <w:p>
      <w:pPr>
        <w:ind w:left="680" w:right="140" w:hanging="220"/>
        <w:spacing w:after="0" w:line="254"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candidates directed at C5 complement inhibition such as ALN-CC5, an RNAi therapeutic targeting C5 being developed by Alnylam Pharmaceuticals, Inc. that is in early clinical trials, Coversin, a small protein inhibitor of C5 being developed by Akari Therapeutics, Plc. that is in Phase 2 clinical trials, Ra101495, a cyclic peptide inhibitor of C5 that is currently in Phase 2 development by Ra Pharmaceuticals, Inc., and LFG316, an anti-C5 monoclonal antibody that is currently in Phase 2 trials by Novartis;</w:t>
      </w:r>
    </w:p>
    <w:p>
      <w:pPr>
        <w:spacing w:after="0" w:line="97" w:lineRule="exact"/>
        <w:rPr>
          <w:rFonts w:ascii="Arial" w:cs="Arial" w:eastAsia="Arial" w:hAnsi="Arial"/>
          <w:sz w:val="18"/>
          <w:szCs w:val="18"/>
          <w:color w:val="auto"/>
        </w:rPr>
      </w:pPr>
    </w:p>
    <w:p>
      <w:pPr>
        <w:ind w:left="680" w:right="100" w:hanging="220"/>
        <w:spacing w:after="0" w:line="257" w:lineRule="auto"/>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product candidates directed at other mechanisms of complement inhibition such as NM-9405, an anti-properdin antibody in preclinical development by NovelMed Therapeutics, Inc., and ACH-4471 (previously ACH-CFDIS), an orally available small molecule inhibitor of complement factor D, that is currently in early clinical development by Achillion Pharmaceuticals, Inc.; and</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Amgen is developing ABP959, a biosimilar for eculizumab that is in early clinical development.</w:t>
      </w:r>
    </w:p>
    <w:p>
      <w:pPr>
        <w:spacing w:after="0" w:line="2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AIHA.</w:t>
      </w:r>
      <w:r>
        <w:rPr>
          <w:sz w:val="20"/>
          <w:szCs w:val="20"/>
          <w:color w:val="auto"/>
        </w:rPr>
        <w:tab/>
      </w:r>
      <w:r>
        <w:rPr>
          <w:rFonts w:ascii="Arial" w:cs="Arial" w:eastAsia="Arial" w:hAnsi="Arial"/>
          <w:sz w:val="16"/>
          <w:szCs w:val="16"/>
          <w:color w:val="auto"/>
        </w:rPr>
        <w:t>There are no currently marketed drug treatments for AIHA, but there are currently treatments in development for AIHA, including:</w:t>
      </w:r>
    </w:p>
    <w:p>
      <w:pPr>
        <w:spacing w:after="0" w:line="126" w:lineRule="exact"/>
        <w:rPr>
          <w:sz w:val="20"/>
          <w:szCs w:val="20"/>
          <w:color w:val="auto"/>
        </w:rPr>
      </w:pPr>
    </w:p>
    <w:p>
      <w:pPr>
        <w:ind w:left="680" w:hanging="220"/>
        <w:spacing w:after="0"/>
        <w:tabs>
          <w:tab w:leader="none" w:pos="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Fostamatinib, a spleen tyrosine kinase inhibitor being developed by Rigel Pharmaceuticals, Inc. is now in Phase 2 trials in AIHA patients; and</w:t>
      </w:r>
    </w:p>
    <w:p>
      <w:pPr>
        <w:spacing w:after="0" w:line="137" w:lineRule="exact"/>
        <w:rPr>
          <w:rFonts w:ascii="Arial" w:cs="Arial" w:eastAsia="Arial" w:hAnsi="Arial"/>
          <w:sz w:val="17"/>
          <w:szCs w:val="17"/>
          <w:color w:val="auto"/>
        </w:rPr>
      </w:pPr>
    </w:p>
    <w:p>
      <w:pPr>
        <w:ind w:left="680" w:right="220" w:hanging="220"/>
        <w:spacing w:after="0" w:line="267" w:lineRule="auto"/>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TNT-009/BIVV009, a C1s monoclonal antibody inhibitor, which is being developed by Bioverativ Inc., and is in early clinical trials in patients with CAD.</w:t>
      </w:r>
    </w:p>
    <w:p>
      <w:pPr>
        <w:spacing w:after="0" w:line="180" w:lineRule="exact"/>
        <w:rPr>
          <w:sz w:val="20"/>
          <w:szCs w:val="20"/>
          <w:color w:val="auto"/>
        </w:rPr>
      </w:pPr>
    </w:p>
    <w:p>
      <w:pPr>
        <w:jc w:val="both"/>
        <w:ind w:right="200" w:firstLine="457"/>
        <w:spacing w:after="0" w:line="257" w:lineRule="auto"/>
        <w:rPr>
          <w:sz w:val="20"/>
          <w:szCs w:val="20"/>
          <w:color w:val="auto"/>
        </w:rPr>
      </w:pPr>
      <w:r>
        <w:rPr>
          <w:rFonts w:ascii="Arial" w:cs="Arial" w:eastAsia="Arial" w:hAnsi="Arial"/>
          <w:sz w:val="18"/>
          <w:szCs w:val="18"/>
          <w:b w:val="1"/>
          <w:bCs w:val="1"/>
          <w:i w:val="1"/>
          <w:iCs w:val="1"/>
          <w:color w:val="auto"/>
        </w:rPr>
        <w:t xml:space="preserve">Complement-Dependent Nephropathies. </w:t>
      </w:r>
      <w:r>
        <w:rPr>
          <w:rFonts w:ascii="Arial" w:cs="Arial" w:eastAsia="Arial" w:hAnsi="Arial"/>
          <w:sz w:val="18"/>
          <w:szCs w:val="18"/>
          <w:color w:val="auto"/>
        </w:rPr>
        <w:t>There are no currently marketed drug treatments for complement-dependent nephropathies, but OMS721,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monoclonal antibody to mannose-binding lectin-associated serine protease-2 (MASP-2) that blocks the lectin pathway, is being developed by Omeros Corp. as a treatment for IgAN and is entering Phase 3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1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We hold worldwide commercialization rights to all our product candidates. 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 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9"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our product candidates. Although we intend to rely on third-party contract manufacturers to produce our products, we have recruited personnel with experience to manage the third-party contract manufacturers producing our product candidates and other product candidates or products that we may develop in the future.</w:t>
      </w:r>
    </w:p>
    <w:p>
      <w:pPr>
        <w:spacing w:after="0" w:line="172" w:lineRule="exact"/>
        <w:rPr>
          <w:sz w:val="20"/>
          <w:szCs w:val="20"/>
          <w:color w:val="auto"/>
        </w:rPr>
      </w:pPr>
    </w:p>
    <w:p>
      <w:pPr>
        <w:jc w:val="both"/>
        <w:ind w:right="200" w:firstLine="457"/>
        <w:spacing w:after="0" w:line="304" w:lineRule="auto"/>
        <w:rPr>
          <w:sz w:val="20"/>
          <w:szCs w:val="20"/>
          <w:color w:val="auto"/>
        </w:rPr>
      </w:pPr>
      <w:r>
        <w:rPr>
          <w:rFonts w:ascii="Arial" w:cs="Arial" w:eastAsia="Arial" w:hAnsi="Arial"/>
          <w:sz w:val="16"/>
          <w:szCs w:val="16"/>
          <w:color w:val="auto"/>
        </w:rPr>
        <w:t>The process for manufacturing our product candidates consists of chemical synthesis, purification using liquid chromatography, and freeze drying into solid form. Each of these steps involves a relatively routine chemical engineering process. We expect the costs associated with manufacturing drug substance for our product candidates may be comparable to the current manufacturing costs for other similarly sized peptide-based components.</w:t>
      </w:r>
    </w:p>
    <w:p>
      <w:pPr>
        <w:spacing w:after="0" w:line="154" w:lineRule="exact"/>
        <w:rPr>
          <w:sz w:val="20"/>
          <w:szCs w:val="20"/>
          <w:color w:val="auto"/>
        </w:rPr>
      </w:pPr>
    </w:p>
    <w:p>
      <w:pPr>
        <w:ind w:right="480" w:firstLine="457"/>
        <w:spacing w:after="0" w:line="267" w:lineRule="auto"/>
        <w:rPr>
          <w:sz w:val="20"/>
          <w:szCs w:val="20"/>
          <w:color w:val="auto"/>
        </w:rPr>
      </w:pPr>
      <w:r>
        <w:rPr>
          <w:rFonts w:ascii="Arial" w:cs="Arial" w:eastAsia="Arial" w:hAnsi="Arial"/>
          <w:sz w:val="18"/>
          <w:szCs w:val="18"/>
          <w:color w:val="auto"/>
        </w:rPr>
        <w:t>We currently engage a third-party manufacturer to provide clinical supplies of APL-2 and a different third-party manufacturer to provide fill-finish services for APL-2.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19" w:lineRule="exact"/>
        <w:rPr>
          <w:sz w:val="20"/>
          <w:szCs w:val="20"/>
          <w:color w:val="auto"/>
        </w:rPr>
      </w:pPr>
    </w:p>
    <w:p>
      <w:pPr>
        <w:ind w:right="140" w:firstLine="457"/>
        <w:spacing w:after="0" w:line="29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Review and Approval of Drugs in the United States</w:t>
      </w:r>
    </w:p>
    <w:p>
      <w:pPr>
        <w:spacing w:after="0" w:line="113"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applicant seeking approval to market and distribute a new drug product in the United States must typically undertake the following:</w:t>
      </w:r>
    </w:p>
    <w:p>
      <w:pPr>
        <w:spacing w:after="0" w:line="126" w:lineRule="exact"/>
        <w:rPr>
          <w:sz w:val="20"/>
          <w:szCs w:val="20"/>
          <w:color w:val="auto"/>
        </w:rPr>
      </w:pPr>
    </w:p>
    <w:p>
      <w:pPr>
        <w:ind w:left="680" w:right="360" w:hanging="220"/>
        <w:spacing w:after="0" w:line="267"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representing each clinical site before each clinical trial may be initiated;</w:t>
      </w:r>
    </w:p>
    <w:p>
      <w:pPr>
        <w:spacing w:after="0" w:line="126" w:lineRule="exact"/>
        <w:rPr>
          <w:rFonts w:ascii="Arial" w:cs="Arial" w:eastAsia="Arial" w:hAnsi="Arial"/>
          <w:sz w:val="18"/>
          <w:szCs w:val="18"/>
          <w:color w:val="auto"/>
        </w:rPr>
      </w:pPr>
    </w:p>
    <w:p>
      <w:pPr>
        <w:ind w:left="680" w:right="460" w:hanging="220"/>
        <w:spacing w:after="0" w:line="267"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26" w:lineRule="exact"/>
        <w:rPr>
          <w:rFonts w:ascii="Arial" w:cs="Arial" w:eastAsia="Arial" w:hAnsi="Arial"/>
          <w:sz w:val="18"/>
          <w:szCs w:val="18"/>
          <w:color w:val="auto"/>
        </w:rPr>
      </w:pPr>
    </w:p>
    <w:p>
      <w:pPr>
        <w:ind w:left="680" w:right="280" w:hanging="220"/>
        <w:spacing w:after="0" w:line="267" w:lineRule="auto"/>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current Good Manufacturing</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5"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500"/>
        <w:spacing w:after="0" w:line="267" w:lineRule="auto"/>
        <w:rPr>
          <w:sz w:val="20"/>
          <w:szCs w:val="20"/>
          <w:color w:val="auto"/>
        </w:rPr>
      </w:pPr>
      <w:r>
        <w:rPr>
          <w:rFonts w:ascii="Arial" w:cs="Arial" w:eastAsia="Arial" w:hAnsi="Arial"/>
          <w:sz w:val="18"/>
          <w:szCs w:val="18"/>
          <w:color w:val="auto"/>
        </w:rPr>
        <w:t>Practices, or cGMP, requirements and to assure that the facilities, methods and controls are adequate to preserve the product’s identity, strength, quality and purity;</w:t>
      </w:r>
    </w:p>
    <w:p>
      <w:pPr>
        <w:spacing w:after="0" w:line="86" w:lineRule="exact"/>
        <w:rPr>
          <w:sz w:val="20"/>
          <w:szCs w:val="20"/>
          <w:color w:val="auto"/>
        </w:rPr>
      </w:pPr>
    </w:p>
    <w:p>
      <w:pPr>
        <w:ind w:left="680" w:hanging="220"/>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and</w:t>
      </w:r>
    </w:p>
    <w:p>
      <w:pPr>
        <w:spacing w:after="0" w:line="126" w:lineRule="exact"/>
        <w:rPr>
          <w:rFonts w:ascii="Arial" w:cs="Arial" w:eastAsia="Arial" w:hAnsi="Arial"/>
          <w:sz w:val="18"/>
          <w:szCs w:val="18"/>
          <w:color w:val="auto"/>
        </w:rPr>
      </w:pPr>
    </w:p>
    <w:p>
      <w:pPr>
        <w:ind w:left="680" w:right="160" w:hanging="220"/>
        <w:spacing w:after="0" w:line="267" w:lineRule="auto"/>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post-approval studies required by the FDA.</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Preclinical Studies</w:t>
      </w:r>
    </w:p>
    <w:p>
      <w:pPr>
        <w:spacing w:after="0" w:line="113"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 xml:space="preserve">Preclinical studies include laboratory evaluation of the purity and stability of the manufactured drug substance or active pharmaceutical ingredient and the formulated drug or drug product,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may continue after the IND is submitted.</w:t>
      </w:r>
    </w:p>
    <w:p>
      <w:pPr>
        <w:spacing w:after="0" w:line="17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IND and IRB Processes</w:t>
      </w:r>
    </w:p>
    <w:p>
      <w:pPr>
        <w:spacing w:after="0" w:line="113"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w:t>
      </w:r>
    </w:p>
    <w:p>
      <w:pPr>
        <w:spacing w:after="0" w:line="184" w:lineRule="exact"/>
        <w:rPr>
          <w:sz w:val="20"/>
          <w:szCs w:val="20"/>
          <w:color w:val="auto"/>
        </w:rPr>
      </w:pPr>
    </w:p>
    <w:p>
      <w:pPr>
        <w:ind w:right="80" w:firstLine="457"/>
        <w:spacing w:after="0" w:line="252"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8"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certain FDA requirements in order to use the study as support for an IND or application for marketing approval.</w:t>
      </w:r>
    </w:p>
    <w:p>
      <w:pPr>
        <w:spacing w:after="0" w:line="172"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65" w:lineRule="exact"/>
        <w:rPr>
          <w:sz w:val="20"/>
          <w:szCs w:val="20"/>
          <w:color w:val="auto"/>
        </w:rPr>
      </w:pPr>
    </w:p>
    <w:p>
      <w:pPr>
        <w:ind w:right="100" w:firstLine="457"/>
        <w:spacing w:after="0" w:line="252"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93" w:lineRule="exact"/>
        <w:rPr>
          <w:sz w:val="20"/>
          <w:szCs w:val="20"/>
          <w:color w:val="auto"/>
        </w:rPr>
      </w:pPr>
    </w:p>
    <w:p>
      <w:pPr>
        <w:ind w:right="1000" w:firstLine="457"/>
        <w:spacing w:after="0" w:line="26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3" w:lineRule="exact"/>
        <w:rPr>
          <w:sz w:val="20"/>
          <w:szCs w:val="20"/>
          <w:color w:val="auto"/>
        </w:rPr>
      </w:pPr>
    </w:p>
    <w:p>
      <w:pPr>
        <w:ind w:right="160" w:firstLine="457"/>
        <w:spacing w:after="0" w:line="295"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the following sequential phases, which may overlap or be combined:</w:t>
      </w:r>
    </w:p>
    <w:p>
      <w:pPr>
        <w:spacing w:after="0" w:line="126" w:lineRule="exact"/>
        <w:rPr>
          <w:sz w:val="20"/>
          <w:szCs w:val="20"/>
          <w:color w:val="auto"/>
        </w:rPr>
      </w:pPr>
    </w:p>
    <w:p>
      <w:pPr>
        <w:ind w:left="680" w:right="440" w:hanging="220"/>
        <w:spacing w:after="0" w:line="25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95" w:lineRule="exact"/>
        <w:rPr>
          <w:rFonts w:ascii="Arial" w:cs="Arial" w:eastAsia="Arial" w:hAnsi="Arial"/>
          <w:sz w:val="18"/>
          <w:szCs w:val="18"/>
          <w:color w:val="auto"/>
        </w:rPr>
      </w:pPr>
    </w:p>
    <w:p>
      <w:pPr>
        <w:ind w:left="680" w:right="380" w:hanging="220"/>
        <w:spacing w:after="0" w:line="297"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62" w:lineRule="exact"/>
        <w:rPr>
          <w:rFonts w:ascii="Arial" w:cs="Arial" w:eastAsia="Arial" w:hAnsi="Arial"/>
          <w:sz w:val="17"/>
          <w:szCs w:val="17"/>
          <w:color w:val="auto"/>
        </w:rPr>
      </w:pPr>
    </w:p>
    <w:p>
      <w:pPr>
        <w:ind w:left="680" w:right="260" w:hanging="220"/>
        <w:spacing w:after="0" w:line="257" w:lineRule="auto"/>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260" w:hanging="220"/>
        <w:spacing w:after="0" w:line="267" w:lineRule="auto"/>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84"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Submission of an NDA to the FDA</w:t>
      </w:r>
    </w:p>
    <w:p>
      <w:pPr>
        <w:spacing w:after="0" w:line="113"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and the sponsor of an approved NDA is also subject to annual product and establishment user fees. These fees are typically increased annually. Certain exceptions and waivers are available for some of these fees, such as an exception from the application fee for products with orphan designation and a waiver for certain small businesses, an exception from the establishment fee when the establishment does not engage in manufacturing the product during a particular fiscal year, and an exception from the product fee for a product that is the same as another product approved under an abbreviated pathway.</w:t>
      </w:r>
    </w:p>
    <w:p>
      <w:pPr>
        <w:spacing w:after="0" w:line="19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81"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or will be manufactured. These pre-approval inspections may cover all facilities associated with an NDA submission, including drug component manufacturing (such as active pharmaceutical ingredients), finished drug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5"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product manufacturing, and control testing laboratories. The FDA will not approve an application unless it determines that the manufacturing processes and facilities comply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or FDARA, the FDA must implement a protocol to expedite review of responses to inspection reports pertaining to certain drug applications, including applications for drugs in a shortage or drugs for which approval is dependent on remediation of conditions identified in the inspection report.</w:t>
      </w:r>
    </w:p>
    <w:p>
      <w:pPr>
        <w:spacing w:after="0" w:line="16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81" w:lineRule="exact"/>
        <w:rPr>
          <w:sz w:val="20"/>
          <w:szCs w:val="20"/>
          <w:color w:val="auto"/>
        </w:rPr>
      </w:pPr>
    </w:p>
    <w:p>
      <w:pPr>
        <w:ind w:right="440" w:firstLine="457"/>
        <w:spacing w:after="0" w:line="254" w:lineRule="auto"/>
        <w:rPr>
          <w:sz w:val="20"/>
          <w:szCs w:val="20"/>
          <w:color w:val="auto"/>
        </w:rPr>
      </w:pPr>
      <w:r>
        <w:rPr>
          <w:rFonts w:ascii="Arial" w:cs="Arial" w:eastAsia="Arial" w:hAnsi="Arial"/>
          <w:sz w:val="18"/>
          <w:szCs w:val="18"/>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3" w:lineRule="exact"/>
        <w:rPr>
          <w:sz w:val="20"/>
          <w:szCs w:val="20"/>
          <w:color w:val="auto"/>
        </w:rPr>
      </w:pPr>
    </w:p>
    <w:p>
      <w:pPr>
        <w:ind w:right="200" w:firstLine="457"/>
        <w:spacing w:after="0" w:line="257"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w:t>
      </w:r>
    </w:p>
    <w:p>
      <w:pPr>
        <w:spacing w:after="0" w:line="18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Accelerated Approval Pathway</w:t>
      </w:r>
    </w:p>
    <w:p>
      <w:pPr>
        <w:spacing w:after="0" w:line="113"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79" w:lineRule="exact"/>
        <w:rPr>
          <w:sz w:val="20"/>
          <w:szCs w:val="20"/>
          <w:color w:val="auto"/>
        </w:rPr>
      </w:pPr>
    </w:p>
    <w:p>
      <w:pPr>
        <w:ind w:right="80" w:firstLine="457"/>
        <w:spacing w:after="0" w:line="250"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198" w:lineRule="exact"/>
        <w:rPr>
          <w:sz w:val="20"/>
          <w:szCs w:val="20"/>
          <w:color w:val="auto"/>
        </w:rPr>
      </w:pPr>
    </w:p>
    <w:p>
      <w:pPr>
        <w:ind w:right="220" w:firstLine="457"/>
        <w:spacing w:after="0" w:line="252"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93"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FDA’s Decision on an NDA</w:t>
      </w:r>
    </w:p>
    <w:p>
      <w:pPr>
        <w:spacing w:after="0" w:line="113"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5"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2"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Post-Approval Requirements</w:t>
      </w:r>
    </w:p>
    <w:p>
      <w:pPr>
        <w:spacing w:after="0" w:line="113"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81"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9"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7" w:lineRule="exact"/>
        <w:rPr>
          <w:sz w:val="20"/>
          <w:szCs w:val="20"/>
          <w:color w:val="auto"/>
        </w:rPr>
      </w:pPr>
    </w:p>
    <w:p>
      <w:pPr>
        <w:ind w:left="680" w:hanging="220"/>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37" w:lineRule="exact"/>
        <w:rPr>
          <w:rFonts w:ascii="Arial" w:cs="Arial" w:eastAsia="Arial" w:hAnsi="Arial"/>
          <w:sz w:val="17"/>
          <w:szCs w:val="17"/>
          <w:color w:val="auto"/>
        </w:rPr>
      </w:pPr>
    </w:p>
    <w:p>
      <w:pPr>
        <w:ind w:left="680" w:hanging="220"/>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0" w:lineRule="exact"/>
        <w:rPr>
          <w:sz w:val="20"/>
          <w:szCs w:val="20"/>
          <w:color w:val="auto"/>
        </w:rPr>
      </w:pPr>
    </w:p>
    <w:p>
      <w:pPr>
        <w:ind w:right="600" w:firstLine="457"/>
        <w:spacing w:after="0" w:line="267"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2"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and its implementation regulations, as well as the Drug Supply Chain Security Act, or DSCSA, which regulates the distribution of and tracing of prescription drugs and prescription drug samples at the federal level, and sets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3"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In 1984, with passage of the Hatch-Waxman Amendments to the FDCA,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77"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91"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93" w:lineRule="exact"/>
        <w:rPr>
          <w:sz w:val="20"/>
          <w:szCs w:val="20"/>
          <w:color w:val="auto"/>
        </w:rPr>
      </w:pPr>
    </w:p>
    <w:p>
      <w:pPr>
        <w:jc w:val="both"/>
        <w:ind w:right="360" w:firstLine="457"/>
        <w:spacing w:after="0" w:line="257" w:lineRule="auto"/>
        <w:rPr>
          <w:sz w:val="20"/>
          <w:szCs w:val="20"/>
          <w:color w:val="auto"/>
        </w:rPr>
      </w:pPr>
      <w:r>
        <w:rPr>
          <w:rFonts w:ascii="Arial" w:cs="Arial" w:eastAsia="Arial" w:hAnsi="Arial"/>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91"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198" w:lineRule="exact"/>
        <w:rPr>
          <w:sz w:val="20"/>
          <w:szCs w:val="20"/>
          <w:color w:val="auto"/>
        </w:rPr>
      </w:pPr>
    </w:p>
    <w:p>
      <w:pPr>
        <w:ind w:right="140" w:firstLine="457"/>
        <w:spacing w:after="0" w:line="295" w:lineRule="auto"/>
        <w:rPr>
          <w:sz w:val="20"/>
          <w:szCs w:val="20"/>
          <w:color w:val="auto"/>
        </w:rPr>
      </w:pPr>
      <w:r>
        <w:rPr>
          <w:rFonts w:ascii="Arial" w:cs="Arial" w:eastAsia="Arial" w:hAnsi="Arial"/>
          <w:sz w:val="16"/>
          <w:szCs w:val="16"/>
          <w:color w:val="auto"/>
        </w:rPr>
        <w:t>Under FDARA, a priority review track will be established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3"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26" w:lineRule="exact"/>
        <w:rPr>
          <w:sz w:val="20"/>
          <w:szCs w:val="20"/>
          <w:color w:val="auto"/>
        </w:rPr>
      </w:pPr>
    </w:p>
    <w:p>
      <w:pPr>
        <w:ind w:left="680" w:hanging="220"/>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0"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9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color w:val="auto"/>
        </w:rPr>
        <w:t>If the ANDA applicant has provided a Paragraph IV certification to the FDA, the applicant must also send notice of the Paragraph IV certification to the NDA and patent holders once the ANDA has been accepted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Pediatric Studies and Exclusivity</w:t>
      </w:r>
    </w:p>
    <w:p>
      <w:pPr>
        <w:spacing w:after="0" w:line="113"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or the FDASIA, in 2012,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260" w:firstLine="457"/>
        <w:spacing w:after="0" w:line="257" w:lineRule="auto"/>
        <w:rPr>
          <w:sz w:val="20"/>
          <w:szCs w:val="20"/>
          <w:color w:val="auto"/>
        </w:rPr>
      </w:pPr>
      <w:r>
        <w:rPr>
          <w:rFonts w:ascii="Arial" w:cs="Arial" w:eastAsia="Arial" w:hAnsi="Arial"/>
          <w:sz w:val="18"/>
          <w:szCs w:val="18"/>
          <w:color w:val="auto"/>
        </w:rPr>
        <w:t>In addition, FDARA requires the FDA to meet early in the development process to discuss pediatric study plans with drug sponsors. The legislation requires the FDA to meet with drug sponsors by no later than the end-of-phase 1 meeting for serious or life-threatening diseases and by no later than 90 days after the FDA’s receipt of the study plan.</w:t>
      </w:r>
    </w:p>
    <w:p>
      <w:pPr>
        <w:spacing w:after="0" w:line="188"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1"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3" w:lineRule="exact"/>
        <w:rPr>
          <w:sz w:val="20"/>
          <w:szCs w:val="20"/>
          <w:color w:val="auto"/>
        </w:rPr>
      </w:pPr>
    </w:p>
    <w:p>
      <w:pPr>
        <w:ind w:right="300" w:firstLine="457"/>
        <w:spacing w:after="0" w:line="304"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 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84" w:lineRule="exact"/>
        <w:rPr>
          <w:sz w:val="20"/>
          <w:szCs w:val="20"/>
          <w:color w:val="auto"/>
        </w:rPr>
      </w:pPr>
    </w:p>
    <w:p>
      <w:pPr>
        <w:ind w:right="120" w:firstLine="457"/>
        <w:spacing w:after="0" w:line="295" w:lineRule="auto"/>
        <w:rPr>
          <w:sz w:val="20"/>
          <w:szCs w:val="20"/>
          <w:color w:val="auto"/>
        </w:rPr>
      </w:pPr>
      <w:r>
        <w:rPr>
          <w:rFonts w:ascii="Arial" w:cs="Arial" w:eastAsia="Arial" w:hAnsi="Arial"/>
          <w:sz w:val="16"/>
          <w:szCs w:val="16"/>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 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3"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Act, which permits a patent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Review and Approval of Medical Devices in the United States</w:t>
      </w:r>
    </w:p>
    <w:p>
      <w:pPr>
        <w:spacing w:after="0" w:line="113"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 xml:space="preserve">Medical devices in the United States are strictly regulated by the FDA. Under the FDCA, a medical device is defined as an instrument, apparatus, implement, machine, contrivance, implant,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60" w:lineRule="exact"/>
        <w:rPr>
          <w:sz w:val="20"/>
          <w:szCs w:val="20"/>
          <w:color w:val="auto"/>
        </w:rPr>
      </w:pPr>
    </w:p>
    <w:p>
      <w:pPr>
        <w:ind w:right="700" w:firstLine="457"/>
        <w:spacing w:after="0" w:line="267" w:lineRule="auto"/>
        <w:rPr>
          <w:sz w:val="20"/>
          <w:szCs w:val="20"/>
          <w:color w:val="auto"/>
        </w:rPr>
      </w:pPr>
      <w:r>
        <w:rPr>
          <w:rFonts w:ascii="Arial" w:cs="Arial" w:eastAsia="Arial" w:hAnsi="Arial"/>
          <w:sz w:val="18"/>
          <w:szCs w:val="18"/>
          <w:color w:val="auto"/>
        </w:rPr>
        <w:t>Unless an exemption applies, a new medical device may not be marketed in the United States until it has been cleared through filing of a 510(k) premarket notification, or 510(k), or approved by the FDA pursuant to 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5"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premarket approval application, or PMA.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 notification and adherence to the Quality System Regulation, or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 device, are subject to most of the aforementioned requirements as well as to premarket approval.</w:t>
      </w:r>
    </w:p>
    <w:p>
      <w:pPr>
        <w:spacing w:after="0" w:line="167"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w:t>
      </w:r>
    </w:p>
    <w:p>
      <w:pPr>
        <w:spacing w:after="0" w:line="172"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 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 material, the nature of the “new” material will determine whether a traditional or Special 510(k) is necessary.</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Review and Approval of Combination Products in the United States</w:t>
      </w:r>
    </w:p>
    <w:p>
      <w:pPr>
        <w:spacing w:after="0" w:line="113" w:lineRule="exact"/>
        <w:rPr>
          <w:sz w:val="20"/>
          <w:szCs w:val="20"/>
          <w:color w:val="auto"/>
        </w:rPr>
      </w:pPr>
    </w:p>
    <w:p>
      <w:pPr>
        <w:ind w:right="260" w:firstLine="457"/>
        <w:spacing w:after="0" w:line="331" w:lineRule="auto"/>
        <w:rPr>
          <w:sz w:val="20"/>
          <w:szCs w:val="20"/>
          <w:color w:val="auto"/>
        </w:rPr>
      </w:pPr>
      <w:r>
        <w:rPr>
          <w:rFonts w:ascii="Arial" w:cs="Arial" w:eastAsia="Arial" w:hAnsi="Arial"/>
          <w:sz w:val="16"/>
          <w:szCs w:val="16"/>
          <w:color w:val="auto"/>
        </w:rPr>
        <w:t>Certain products may be comprised of components that would normally be regulated under different types of regulatory authorities, and frequently by different Centers at the FDA. These products are known as combination products. Under regulations issued by the FDA, a combination product may be:</w:t>
      </w:r>
    </w:p>
    <w:p>
      <w:pPr>
        <w:spacing w:after="0" w:line="39" w:lineRule="exact"/>
        <w:rPr>
          <w:sz w:val="20"/>
          <w:szCs w:val="20"/>
          <w:color w:val="auto"/>
        </w:rPr>
      </w:pPr>
    </w:p>
    <w:p>
      <w:pPr>
        <w:ind w:left="680" w:right="160" w:hanging="220"/>
        <w:spacing w:after="0" w:line="267"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w:t>
      </w:r>
    </w:p>
    <w:p>
      <w:pPr>
        <w:spacing w:after="0" w:line="126" w:lineRule="exact"/>
        <w:rPr>
          <w:rFonts w:ascii="Arial" w:cs="Arial" w:eastAsia="Arial" w:hAnsi="Arial"/>
          <w:sz w:val="18"/>
          <w:szCs w:val="18"/>
          <w:color w:val="auto"/>
        </w:rPr>
      </w:pPr>
    </w:p>
    <w:p>
      <w:pPr>
        <w:ind w:left="680" w:hanging="220"/>
        <w:spacing w:after="0" w:line="254"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97" w:lineRule="exact"/>
        <w:rPr>
          <w:rFonts w:ascii="Arial" w:cs="Arial" w:eastAsia="Arial" w:hAnsi="Arial"/>
          <w:sz w:val="18"/>
          <w:szCs w:val="18"/>
          <w:color w:val="auto"/>
        </w:rPr>
      </w:pPr>
    </w:p>
    <w:p>
      <w:pPr>
        <w:ind w:left="680" w:right="460" w:hanging="220"/>
        <w:spacing w:after="0" w:line="297"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5"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device-drug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Review and Approval of Drug Products in the European Union</w:t>
      </w:r>
    </w:p>
    <w:p>
      <w:pPr>
        <w:spacing w:after="0" w:line="113"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Procedures Governing Approval of Drug Products in the European Union</w:t>
      </w:r>
    </w:p>
    <w:p>
      <w:pPr>
        <w:spacing w:after="0" w:line="113"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65"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To obtain marketing approval of a product under European Union regulatory systems, an applicant must submit a marketing authorization application, or 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69"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European Medicines Agency, or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when a medicinal product is of major interest from the point of view of public health and in particular from the viewpoint of therapeutic innovation. In this circumstance, the EMA ensures that the opinion of the CHMP is given within 150 days.</w:t>
      </w:r>
    </w:p>
    <w:p>
      <w:pPr>
        <w:spacing w:after="0" w:line="180" w:lineRule="exact"/>
        <w:rPr>
          <w:sz w:val="20"/>
          <w:szCs w:val="20"/>
          <w:color w:val="auto"/>
        </w:rPr>
      </w:pPr>
    </w:p>
    <w:p>
      <w:pPr>
        <w:ind w:firstLine="457"/>
        <w:spacing w:after="0" w:line="287" w:lineRule="auto"/>
        <w:rPr>
          <w:sz w:val="20"/>
          <w:szCs w:val="20"/>
          <w:color w:val="auto"/>
        </w:rPr>
      </w:pPr>
      <w:r>
        <w:rPr>
          <w:rFonts w:ascii="Arial" w:cs="Arial" w:eastAsia="Arial" w:hAnsi="Arial"/>
          <w:sz w:val="16"/>
          <w:szCs w:val="16"/>
          <w:color w:val="auto"/>
        </w:rPr>
        <w:t>The decentralized procedure is available to applicants who wish to market a product in various E.U. member states where such product has not previously 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67" w:lineRule="exact"/>
        <w:rPr>
          <w:sz w:val="20"/>
          <w:szCs w:val="20"/>
          <w:color w:val="auto"/>
        </w:rPr>
      </w:pPr>
    </w:p>
    <w:p>
      <w:pPr>
        <w:ind w:right="100" w:firstLine="457"/>
        <w:spacing w:after="0" w:line="412" w:lineRule="auto"/>
        <w:rPr>
          <w:sz w:val="20"/>
          <w:szCs w:val="20"/>
          <w:color w:val="auto"/>
        </w:rPr>
      </w:pPr>
      <w:r>
        <w:rPr>
          <w:rFonts w:ascii="Arial" w:cs="Arial" w:eastAsia="Arial" w:hAnsi="Arial"/>
          <w:sz w:val="14"/>
          <w:szCs w:val="14"/>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Clinical Trial Approval</w:t>
      </w:r>
    </w:p>
    <w:p>
      <w:pPr>
        <w:spacing w:after="0" w:line="11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Requirements for the conduct of clinical trials in the European Union including Good Clinical Practice, or GCP, are set forth in the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each E.U. member state in which a study is planned to be conducted. To this end, a clinical trial application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85"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In April 2014, the European Union passed the new Clinical Trials Regulation, (EU) No 536/2014, which will replace the current Clinical Trials Directive 2001/20/EC. To ensure that the rules for clinical trials are identical throughout the European Union, the new E.U. clinical trials legislation was passed as a regulation that is directly applicable in all E.U. member states. All clinical trials performed in the European Union are required to be conducted in accordance with the Clinical Trials Directive 2001/20/EC until the new Clinical Trials Regulation (EU) No 536/2014 becomes applicable. According to the current plans of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old system.</w:t>
      </w:r>
    </w:p>
    <w:p>
      <w:pPr>
        <w:spacing w:after="0" w:line="18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The new Clinical Trials Regulation aims to simplify and streamline the approval of clinical trial in the European Union. The main characteristics of the regulation include: a streamlined application procedure via a single entry point, the E.U. portal; a single set of documents to be prepared and submitted for 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parts—Part I is assessed jointly by all member states concerned.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3" w:lineRule="exact"/>
        <w:rPr>
          <w:sz w:val="20"/>
          <w:szCs w:val="20"/>
          <w:color w:val="auto"/>
        </w:rPr>
      </w:pPr>
    </w:p>
    <w:p>
      <w:pPr>
        <w:ind w:right="20" w:firstLine="457"/>
        <w:spacing w:after="0" w:line="266"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spacing w:after="0" w:line="184"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3" w:lineRule="exact"/>
        <w:rPr>
          <w:sz w:val="20"/>
          <w:szCs w:val="20"/>
          <w:color w:val="auto"/>
        </w:rPr>
      </w:pPr>
    </w:p>
    <w:p>
      <w:pPr>
        <w:ind w:firstLine="457"/>
        <w:spacing w:after="0" w:line="250" w:lineRule="auto"/>
        <w:rPr>
          <w:sz w:val="20"/>
          <w:szCs w:val="20"/>
          <w:color w:val="auto"/>
        </w:rPr>
      </w:pPr>
      <w:r>
        <w:rPr>
          <w:rFonts w:ascii="Arial" w:cs="Arial" w:eastAsia="Arial" w:hAnsi="Arial"/>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European Union market (in case of centralized procedure) or on the market of the authorizing member state within three years after authorization ceases to be valid (the so-called sunset clause).</w:t>
      </w:r>
    </w:p>
    <w:p>
      <w:pPr>
        <w:spacing w:after="0" w:line="3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Regulation 141/2000 provides that a drug shall be designated as an orphan drug if its sponsor can establish: that the product is intended for the diagnosis, prevention or treatment of a life-threatening or chronically debilitating condition affecting not more than five in ten thousand persons in the European Community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European Community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Community or, if such method exists, the drug will be of significant benefit to those affected by that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Regulation 847/2000 sets out criteria and procedures governing designation of orphan drugs in the European Union. Specifically, an application for designation as an orphan product can be made any time prior to the filing of an application for approval to market the product. Marketing authorization for an orphan drug leads to a ten-year period of market exclusivity. 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“clinically relevant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pursuant to Regulation 141/2000 shall be eligible for incentives made available by the European Community and by the member states to support research into, and the development and availability of, orphan drugs.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3" w:lineRule="exact"/>
        <w:rPr>
          <w:sz w:val="20"/>
          <w:szCs w:val="20"/>
          <w:color w:val="auto"/>
        </w:rPr>
      </w:pPr>
    </w:p>
    <w:p>
      <w:pPr>
        <w:ind w:right="60" w:firstLine="457"/>
        <w:spacing w:after="0" w:line="250" w:lineRule="auto"/>
        <w:rPr>
          <w:sz w:val="20"/>
          <w:szCs w:val="20"/>
          <w:color w:val="auto"/>
        </w:rPr>
      </w:pPr>
      <w:r>
        <w:rPr>
          <w:rFonts w:ascii="Arial" w:cs="Arial" w:eastAsia="Arial" w:hAnsi="Arial"/>
          <w:sz w:val="18"/>
          <w:szCs w:val="18"/>
          <w:color w:val="auto"/>
        </w:rPr>
        <w:t>On June 23, 2016, the electorate in the United Kingdom (U.K.) voted in favor of leaving the European Union (commonly referred to as “Brexit”). Thereafter, on March 29, 2017, the country formally notified the European Union of its intention to withdraw pursuant to Article 50 of the Lisbon Treaty. The withdrawal of the U.K. from the European Union will take effect either on the effective date of the withdrawal agreement or, in the absence of agreement, two years after the U.K. provides a notice of withdrawal pursuant to the E.U. Treaty. Since the regulatory framework for pharmaceutical products in the U.K.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and the approval of product candidates in the U.K. It remains to be seen how, if at all, Brexit will impact regulatory requirements for product candidates and products in the U.K.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19"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67"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 reimbursement may not be sufficient to maintain price levels high enough to realize an appropriate return on investment in product development.</w:t>
      </w:r>
    </w:p>
    <w:p>
      <w:pPr>
        <w:spacing w:after="0" w:line="169"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drugs have been a focus in this effort. Governments have shown significant interest in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93" w:lineRule="exact"/>
        <w:rPr>
          <w:sz w:val="20"/>
          <w:szCs w:val="20"/>
          <w:color w:val="auto"/>
        </w:rPr>
      </w:pPr>
    </w:p>
    <w:p>
      <w:pPr>
        <w:ind w:right="40" w:firstLine="457"/>
        <w:spacing w:after="0" w:line="295" w:lineRule="auto"/>
        <w:rPr>
          <w:sz w:val="20"/>
          <w:szCs w:val="20"/>
          <w:color w:val="auto"/>
        </w:rPr>
      </w:pPr>
      <w:r>
        <w:rPr>
          <w:rFonts w:ascii="Arial" w:cs="Arial" w:eastAsia="Arial" w:hAnsi="Arial"/>
          <w:sz w:val="16"/>
          <w:szCs w:val="16"/>
          <w:color w:val="auto"/>
        </w:rPr>
        <w:t>Outside the United States, ensuring adequate coverage and payment for our product candidates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62"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119" w:lineRule="exact"/>
        <w:rPr>
          <w:sz w:val="20"/>
          <w:szCs w:val="20"/>
          <w:color w:val="auto"/>
        </w:rPr>
      </w:pPr>
    </w:p>
    <w:p>
      <w:pPr>
        <w:ind w:right="240" w:firstLine="457"/>
        <w:spacing w:after="0" w:line="25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97" w:lineRule="exact"/>
        <w:rPr>
          <w:sz w:val="20"/>
          <w:szCs w:val="20"/>
          <w:color w:val="auto"/>
        </w:rPr>
      </w:pPr>
    </w:p>
    <w:p>
      <w:pPr>
        <w:ind w:left="680" w:right="140" w:hanging="220"/>
        <w:spacing w:after="0" w:line="254"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97" w:lineRule="exact"/>
        <w:rPr>
          <w:rFonts w:ascii="Arial" w:cs="Arial" w:eastAsia="Arial" w:hAnsi="Arial"/>
          <w:sz w:val="18"/>
          <w:szCs w:val="18"/>
          <w:color w:val="auto"/>
        </w:rPr>
      </w:pPr>
    </w:p>
    <w:p>
      <w:pPr>
        <w:ind w:left="680" w:right="120" w:hanging="220"/>
        <w:spacing w:after="0" w:line="304" w:lineRule="auto"/>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0" w:lineRule="exact"/>
        <w:rPr>
          <w:rFonts w:ascii="Arial" w:cs="Arial" w:eastAsia="Arial" w:hAnsi="Arial"/>
          <w:sz w:val="16"/>
          <w:szCs w:val="16"/>
          <w:color w:val="auto"/>
        </w:rPr>
      </w:pPr>
    </w:p>
    <w:p>
      <w:pPr>
        <w:ind w:left="680" w:hanging="220"/>
        <w:spacing w:after="0" w:line="257"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5"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80" w:hanging="220"/>
        <w:spacing w:after="0" w:line="254"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97" w:lineRule="exact"/>
        <w:rPr>
          <w:rFonts w:ascii="Arial" w:cs="Arial" w:eastAsia="Arial" w:hAnsi="Arial"/>
          <w:sz w:val="18"/>
          <w:szCs w:val="18"/>
          <w:color w:val="auto"/>
        </w:rPr>
      </w:pPr>
    </w:p>
    <w:p>
      <w:pPr>
        <w:ind w:left="680" w:right="20" w:hanging="220"/>
        <w:spacing w:after="0" w:line="269" w:lineRule="auto"/>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85" w:lineRule="exact"/>
        <w:rPr>
          <w:rFonts w:ascii="Arial" w:cs="Arial" w:eastAsia="Arial" w:hAnsi="Arial"/>
          <w:sz w:val="17"/>
          <w:szCs w:val="17"/>
          <w:color w:val="auto"/>
        </w:rPr>
      </w:pPr>
    </w:p>
    <w:p>
      <w:pPr>
        <w:ind w:left="680" w:right="200" w:hanging="220"/>
        <w:spacing w:after="0" w:line="26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0" w:lineRule="exact"/>
        <w:rPr>
          <w:sz w:val="20"/>
          <w:szCs w:val="20"/>
          <w:color w:val="auto"/>
        </w:rPr>
      </w:pPr>
    </w:p>
    <w:p>
      <w:pPr>
        <w:ind w:right="20" w:firstLine="457"/>
        <w:spacing w:after="0" w:line="295"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19" w:lineRule="exact"/>
        <w:rPr>
          <w:sz w:val="20"/>
          <w:szCs w:val="20"/>
          <w:color w:val="auto"/>
        </w:rPr>
      </w:pPr>
    </w:p>
    <w:p>
      <w:pPr>
        <w:jc w:val="both"/>
        <w:ind w:right="300" w:firstLine="457"/>
        <w:spacing w:after="0" w:line="279" w:lineRule="auto"/>
        <w:rPr>
          <w:sz w:val="20"/>
          <w:szCs w:val="20"/>
          <w:color w:val="auto"/>
        </w:rPr>
      </w:pPr>
      <w:r>
        <w:rPr>
          <w:rFonts w:ascii="Arial" w:cs="Arial" w:eastAsia="Arial" w:hAnsi="Arial"/>
          <w:sz w:val="17"/>
          <w:szCs w:val="17"/>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72" w:lineRule="exact"/>
        <w:rPr>
          <w:sz w:val="20"/>
          <w:szCs w:val="20"/>
          <w:color w:val="auto"/>
        </w:rPr>
      </w:pPr>
    </w:p>
    <w:p>
      <w:pPr>
        <w:ind w:right="140" w:firstLine="457"/>
        <w:spacing w:after="0" w:line="331" w:lineRule="auto"/>
        <w:rPr>
          <w:sz w:val="20"/>
          <w:szCs w:val="20"/>
          <w:color w:val="auto"/>
        </w:rPr>
      </w:pPr>
      <w:r>
        <w:rPr>
          <w:rFonts w:ascii="Arial" w:cs="Arial" w:eastAsia="Arial" w:hAnsi="Arial"/>
          <w:sz w:val="16"/>
          <w:szCs w:val="16"/>
          <w:color w:val="auto"/>
        </w:rPr>
        <w:t>In March 2010, the United States Congress enacted the Affordable Care Act, or ACA, which, among other things, includes changes to the coverage and payment for drug products under government health care programs. Among the provisions of the ACA of importance to our potential product candidates are:</w:t>
      </w:r>
    </w:p>
    <w:p>
      <w:pPr>
        <w:spacing w:after="0" w:line="39" w:lineRule="exact"/>
        <w:rPr>
          <w:sz w:val="20"/>
          <w:szCs w:val="20"/>
          <w:color w:val="auto"/>
        </w:rPr>
      </w:pPr>
    </w:p>
    <w:p>
      <w:pPr>
        <w:ind w:left="680" w:right="80" w:hanging="220"/>
        <w:spacing w:after="0" w:line="26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86" w:lineRule="exact"/>
        <w:rPr>
          <w:rFonts w:ascii="Arial" w:cs="Arial" w:eastAsia="Arial" w:hAnsi="Arial"/>
          <w:sz w:val="18"/>
          <w:szCs w:val="18"/>
          <w:color w:val="auto"/>
        </w:rPr>
      </w:pPr>
    </w:p>
    <w:p>
      <w:pPr>
        <w:ind w:left="680" w:right="120" w:hanging="220"/>
        <w:spacing w:after="0" w:line="297"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2" w:lineRule="exact"/>
        <w:rPr>
          <w:rFonts w:ascii="Arial" w:cs="Arial" w:eastAsia="Arial" w:hAnsi="Arial"/>
          <w:sz w:val="17"/>
          <w:szCs w:val="17"/>
          <w:color w:val="auto"/>
        </w:rPr>
      </w:pPr>
    </w:p>
    <w:p>
      <w:pPr>
        <w:ind w:left="680" w:right="220" w:hanging="220"/>
        <w:spacing w:after="0" w:line="25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95" w:lineRule="exact"/>
        <w:rPr>
          <w:rFonts w:ascii="Arial" w:cs="Arial" w:eastAsia="Arial" w:hAnsi="Arial"/>
          <w:sz w:val="18"/>
          <w:szCs w:val="18"/>
          <w:color w:val="auto"/>
        </w:rPr>
      </w:pPr>
    </w:p>
    <w:p>
      <w:pPr>
        <w:ind w:left="680" w:right="280" w:hanging="220"/>
        <w:spacing w:after="0" w:line="26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26" w:lineRule="exact"/>
        <w:rPr>
          <w:rFonts w:ascii="Arial" w:cs="Arial" w:eastAsia="Arial" w:hAnsi="Arial"/>
          <w:sz w:val="18"/>
          <w:szCs w:val="18"/>
          <w:color w:val="auto"/>
        </w:rPr>
      </w:pPr>
    </w:p>
    <w:p>
      <w:pPr>
        <w:ind w:left="680" w:hanging="220"/>
        <w:spacing w:after="0" w:line="26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during their coverage gap period as a condition for the manufacturers’ outpatient drugs to be covered under Medicare Part D; and</w:t>
      </w:r>
    </w:p>
    <w:p>
      <w:pPr>
        <w:spacing w:after="0" w:line="126" w:lineRule="exact"/>
        <w:rPr>
          <w:sz w:val="20"/>
          <w:szCs w:val="20"/>
          <w:color w:val="auto"/>
        </w:rPr>
      </w:pPr>
    </w:p>
    <w:p>
      <w:pPr>
        <w:ind w:left="680" w:right="160" w:hanging="220"/>
        <w:spacing w:after="0" w:line="267" w:lineRule="auto"/>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will remain in effect through 2024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95"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 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were passed by the U.S. Senate.</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or CSR, payments to insurance companies until Congress approves the appropriation of funds for such CSR payments. The loss of the CSR payments is expected to increase premiums on certain policies issued by qualified health plans under the ACA.</w:t>
      </w:r>
    </w:p>
    <w:p>
      <w:pPr>
        <w:spacing w:after="0" w:line="181"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A bipartisan bill to appropriate funds for CSR payments was introduced in the Senate, but the future of that bill is uncertain. Further, each chamber of the Congress has put forth multiple bills designed to repeal or repeal and replace portions of the ACA. Although none of these measures have been enacted by Congress to date, Congress may consider other legislation to repeal and replace elements of the ACA. The Congress will likely consider other legislation to replace elements of the ACA, during the next Congressional session. We will continue to evaluate the effect that the ACA and its possible repeal and replacement could have on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Boards</w:t>
      </w:r>
    </w:p>
    <w:p>
      <w:pPr>
        <w:spacing w:after="0" w:line="11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Our scientific advisory board includes physicians and scientists recognized as authorities in the areas of hematology, neurology, ophthalmology and pulmonology. Our scientific advisory board meets annually and provides scientific and clinical insights and strategic guidance to us as we continue to advance our product candidates through research and development.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19"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Our facilities consist of office space of approximately 7,125 square feet in Crestwood, Kentucky under a lease that expires in July 2018, office space of approximately 6,125 square feet in Waltham, Massachusetts under a lease that expires in June 2022, office space of approximately 1,250 square feet in Cambridge, Massachusetts under a lease that expires in October 2018, and office space of approximately 1,875 square feet in San Francisco, California under a lease that expires in June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jc w:val="both"/>
        <w:ind w:right="120" w:firstLine="457"/>
        <w:spacing w:after="0" w:line="257" w:lineRule="auto"/>
        <w:rPr>
          <w:sz w:val="20"/>
          <w:szCs w:val="20"/>
          <w:color w:val="auto"/>
        </w:rPr>
      </w:pPr>
      <w:r>
        <w:rPr>
          <w:rFonts w:ascii="Arial" w:cs="Arial" w:eastAsia="Arial" w:hAnsi="Arial"/>
          <w:sz w:val="18"/>
          <w:szCs w:val="18"/>
          <w:color w:val="auto"/>
        </w:rPr>
        <w:t>As of September 30, 2017, we had 28 full-time or part-time employees, including three employees with M.D./Ph.D. degrees, two employees with M.D. degrees and three employees with Ph.D. degrees. None of our employees are represented by labor unions or covered by collective bargaining agreements. We consider the relationship with our employees to be good.</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455" w:right="3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as of the date of this prospectus and position of each of our executive officers and directors.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66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Francois, M.D., Ph.D.</w:t>
            </w: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73"/>
              </w:rPr>
              <w:t>Cedric</w:t>
            </w:r>
          </w:p>
        </w:tc>
        <w:tc>
          <w:tcPr>
            <w:tcW w:w="46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220" w:type="dxa"/>
            <w:vAlign w:val="bottom"/>
            <w:vMerge w:val="continue"/>
            <w:shd w:val="clear" w:color="auto" w:fill="CCEEFF"/>
          </w:tcPr>
          <w:p>
            <w:pPr>
              <w:spacing w:after="0"/>
              <w:rPr>
                <w:sz w:val="17"/>
                <w:szCs w:val="17"/>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Axon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Timothy Sullivan</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Federico Grossi, M.D., Ph.D.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of Clinical Development</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Nicole Perry</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Watson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Gerald Chan, D.Sc.(3)</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Adelman, M.D.*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Bihua Chen*</w:t>
            </w:r>
          </w:p>
        </w:tc>
        <w:tc>
          <w:tcPr>
            <w:tcW w:w="24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Sinclair Dunlop(1)(3)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8"/>
                <w:szCs w:val="18"/>
                <w:color w:val="auto"/>
              </w:rPr>
              <w:t>Maha Katabi, Ph.D.*</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Machiels(1)(2)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5020" w:type="dxa"/>
            <w:vAlign w:val="bottom"/>
            <w:gridSpan w:val="2"/>
          </w:tcPr>
          <w:p>
            <w:pPr>
              <w:spacing w:after="0"/>
              <w:rPr>
                <w:sz w:val="20"/>
                <w:szCs w:val="20"/>
                <w:color w:val="auto"/>
              </w:rPr>
            </w:pPr>
            <w:r>
              <w:rPr>
                <w:rFonts w:ascii="Arial" w:cs="Arial" w:eastAsia="Arial" w:hAnsi="Arial"/>
                <w:sz w:val="18"/>
                <w:szCs w:val="18"/>
                <w:color w:val="auto"/>
              </w:rPr>
              <w:t>Stephanie Monaghan O’Brien(1)(2)(3)</w:t>
            </w:r>
          </w:p>
        </w:tc>
        <w:tc>
          <w:tcPr>
            <w:tcW w:w="240" w:type="dxa"/>
            <w:vAlign w:val="bottom"/>
          </w:tcPr>
          <w:p>
            <w:pPr>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83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3" w:lineRule="exact"/>
        <w:rPr>
          <w:sz w:val="20"/>
          <w:szCs w:val="20"/>
          <w:color w:val="auto"/>
        </w:rPr>
      </w:pPr>
    </w:p>
    <w:p>
      <w:pPr>
        <w:ind w:left="440" w:hanging="433"/>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6" w:lineRule="exact"/>
        <w:rPr>
          <w:sz w:val="20"/>
          <w:szCs w:val="20"/>
          <w:color w:val="auto"/>
        </w:rPr>
      </w:pPr>
    </w:p>
    <w:p>
      <w:pPr>
        <w:ind w:left="440" w:right="260" w:hanging="433"/>
        <w:spacing w:after="0" w:line="254"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Dr. Adelman, Ms. Chen and Dr. Katabi resigned from our board of directors effective immediately prior to the effectiveness of the registration statement of which this prospectus forms a part.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b w:val="1"/>
          <w:bCs w:val="1"/>
          <w:i w:val="1"/>
          <w:iCs w:val="1"/>
          <w:color w:val="auto"/>
        </w:rPr>
        <w:t>Cedric Francois, M.D., Ph.D.</w:t>
      </w:r>
      <w:r>
        <w:rPr>
          <w:rFonts w:ascii="Arial" w:cs="Arial" w:eastAsia="Arial" w:hAnsi="Arial"/>
          <w:sz w:val="16"/>
          <w:szCs w:val="16"/>
          <w:color w:val="auto"/>
        </w:rPr>
        <w:t>, is a co-founder of our company and has served as a member of our board of directors and as our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since our inception. Prior to co-founding our company, Dr. Francois co-founded Potentia Pharmaceuticals, Inc., or Potentia, a private biotechnology company, the assets of which we purchased in September 2015. Dr. Francois has served as President and Chief Executive Officer at Potentia since 2001 and has served as a director of Potentia since 2003. Dr. Francois received his M.D. from the University of Leuven in Belgium and his Ph.D. in physiology from the University of Louisville. Following postgraduate training in pediatric and transplant surgery, Dr. Francois was a member of the research team that performed the first successful hand transplantation and of the Louisville Face Transplant Team, whose work supported hand transplantation in Lyon, France. We believe that Dr. Francois is qualified to serve on our board of directors because of his expertise and extensive leadership experience in immunology and immune system-mediated diseases and his extensive knowledge of our company based on his role as co-founder and Chief Executive Officer.</w:t>
      </w:r>
    </w:p>
    <w:p>
      <w:pPr>
        <w:spacing w:after="0" w:line="172" w:lineRule="exact"/>
        <w:rPr>
          <w:sz w:val="20"/>
          <w:szCs w:val="20"/>
          <w:color w:val="auto"/>
        </w:rPr>
      </w:pPr>
    </w:p>
    <w:p>
      <w:pPr>
        <w:ind w:right="100" w:firstLine="457"/>
        <w:spacing w:after="0" w:line="279" w:lineRule="auto"/>
        <w:rPr>
          <w:sz w:val="20"/>
          <w:szCs w:val="20"/>
          <w:color w:val="auto"/>
        </w:rPr>
      </w:pPr>
      <w:r>
        <w:rPr>
          <w:rFonts w:ascii="Arial" w:cs="Arial" w:eastAsia="Arial" w:hAnsi="Arial"/>
          <w:sz w:val="17"/>
          <w:szCs w:val="17"/>
          <w:b w:val="1"/>
          <w:bCs w:val="1"/>
          <w:i w:val="1"/>
          <w:iCs w:val="1"/>
          <w:color w:val="auto"/>
        </w:rPr>
        <w:t>Pascal Deschatelets, Ph.D.</w:t>
      </w:r>
      <w:r>
        <w:rPr>
          <w:rFonts w:ascii="Arial" w:cs="Arial" w:eastAsia="Arial" w:hAnsi="Arial"/>
          <w:sz w:val="17"/>
          <w:szCs w:val="17"/>
          <w:color w:val="auto"/>
        </w:rPr>
        <w:t>, is a co-founder of our company and has served as our Chief Operating Officer since our inception. Dr. Deschatelets also co-founded Potentia and served as its Chief Operating Officer from 2001 to September 2016. Dr. Deschatelets received his Ph.D. in organic chemistry from the University of Montreal and his post-doctoral training in the laboratory of Dr. George Whitesides at Harvard University.</w:t>
      </w:r>
    </w:p>
    <w:p>
      <w:pPr>
        <w:spacing w:after="0" w:line="172" w:lineRule="exact"/>
        <w:rPr>
          <w:sz w:val="20"/>
          <w:szCs w:val="20"/>
          <w:color w:val="auto"/>
        </w:rPr>
      </w:pPr>
    </w:p>
    <w:p>
      <w:pPr>
        <w:ind w:right="200" w:firstLine="457"/>
        <w:spacing w:after="0" w:line="252" w:lineRule="auto"/>
        <w:rPr>
          <w:sz w:val="20"/>
          <w:szCs w:val="20"/>
          <w:color w:val="auto"/>
        </w:rPr>
      </w:pPr>
      <w:r>
        <w:rPr>
          <w:rFonts w:ascii="Arial" w:cs="Arial" w:eastAsia="Arial" w:hAnsi="Arial"/>
          <w:sz w:val="18"/>
          <w:szCs w:val="18"/>
          <w:b w:val="1"/>
          <w:bCs w:val="1"/>
          <w:i w:val="1"/>
          <w:iCs w:val="1"/>
          <w:color w:val="auto"/>
        </w:rPr>
        <w:t xml:space="preserve">Steven Axon </w:t>
      </w:r>
      <w:r>
        <w:rPr>
          <w:rFonts w:ascii="Arial" w:cs="Arial" w:eastAsia="Arial" w:hAnsi="Arial"/>
          <w:sz w:val="18"/>
          <w:szCs w:val="18"/>
          <w:color w:val="auto"/>
        </w:rPr>
        <w:t>has served as our Chief Business Officer since January 2017. From 2005 to July 2016, Mr. Axon served at Merck Serono in Geneva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Boston in leadership roles in Corporate Strategy, Alliance Management and Business Development. Most recently, Mr. Axon served as Senior Vice President, Business Development with global responsibility for all late stage and commercial transactions. Prior to this, Mr. Axon was Global Head of Alliance Management with responsibility for over 40 strategic research and development collaborations. Prior to joining Merck Serono, Mr. Axon was Director of Strategy and Business Development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Serono in Geneva from 2005 until its acquisition by Merck KGaA in 2007. During the transition, Mr. Axon served as the Serono business lead for the Merck Serono integration. Mr. Axon received a B.Sc. and M.Sc. in biomechanical and biomedical engineering from the University of Toronto and his M.B.A. from the International Institute for Management Development in Lausanne, Switzerland.</w:t>
      </w:r>
    </w:p>
    <w:p>
      <w:pPr>
        <w:spacing w:after="0" w:line="2" w:lineRule="exact"/>
        <w:rPr>
          <w:sz w:val="20"/>
          <w:szCs w:val="20"/>
          <w:color w:val="auto"/>
        </w:rPr>
      </w:pPr>
    </w:p>
    <w:p>
      <w:pPr>
        <w:ind w:right="40" w:firstLine="457"/>
        <w:spacing w:after="0" w:line="287" w:lineRule="auto"/>
        <w:rPr>
          <w:sz w:val="20"/>
          <w:szCs w:val="20"/>
          <w:color w:val="auto"/>
        </w:rPr>
      </w:pPr>
      <w:r>
        <w:rPr>
          <w:rFonts w:ascii="Arial" w:cs="Arial" w:eastAsia="Arial" w:hAnsi="Arial"/>
          <w:sz w:val="16"/>
          <w:szCs w:val="16"/>
          <w:b w:val="1"/>
          <w:bCs w:val="1"/>
          <w:i w:val="1"/>
          <w:iCs w:val="1"/>
          <w:color w:val="auto"/>
        </w:rPr>
        <w:t xml:space="preserve">Timothy Sullivan </w:t>
      </w:r>
      <w:r>
        <w:rPr>
          <w:rFonts w:ascii="Arial" w:cs="Arial" w:eastAsia="Arial" w:hAnsi="Arial"/>
          <w:sz w:val="16"/>
          <w:szCs w:val="16"/>
          <w:color w:val="auto"/>
        </w:rPr>
        <w:t>has served as our Chief Financial Officer and Treasurer since October 2017. From January 2014 to October 2017, Mr. Sullivan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Partner at AJU IB Investment, a venture capital firm, at which he led the firm’s investments in life sciences companies. Prior to joining AJU IB Investment, from December 2011 to January 2014, Mr. Sullivan was Managing Director, Head of Life Sciences at RBS Citizens. Mr. Sullivan was an observer on our board of directors from November 2014 until October 2017. Mr. Sullivan has previously served as a director of G1 Therapeutics, Inc. and Molecular Templates, Inc. Mr. Sullivan received his M.B.A. from the Columbia Business School and his B.A. in Biology from Harvard University.</w:t>
      </w:r>
    </w:p>
    <w:p>
      <w:pPr>
        <w:spacing w:after="0" w:line="169" w:lineRule="exact"/>
        <w:rPr>
          <w:sz w:val="20"/>
          <w:szCs w:val="20"/>
          <w:color w:val="auto"/>
        </w:rPr>
      </w:pPr>
    </w:p>
    <w:p>
      <w:pPr>
        <w:ind w:firstLine="457"/>
        <w:spacing w:after="0" w:line="288" w:lineRule="auto"/>
        <w:rPr>
          <w:sz w:val="20"/>
          <w:szCs w:val="20"/>
          <w:color w:val="auto"/>
        </w:rPr>
      </w:pPr>
      <w:r>
        <w:rPr>
          <w:rFonts w:ascii="Arial" w:cs="Arial" w:eastAsia="Arial" w:hAnsi="Arial"/>
          <w:sz w:val="16"/>
          <w:szCs w:val="16"/>
          <w:b w:val="1"/>
          <w:bCs w:val="1"/>
          <w:i w:val="1"/>
          <w:iCs w:val="1"/>
          <w:color w:val="auto"/>
        </w:rPr>
        <w:t xml:space="preserve">Federico Grossi, M.D., Ph.D. </w:t>
      </w:r>
      <w:r>
        <w:rPr>
          <w:rFonts w:ascii="Arial" w:cs="Arial" w:eastAsia="Arial" w:hAnsi="Arial"/>
          <w:sz w:val="16"/>
          <w:szCs w:val="16"/>
          <w:color w:val="auto"/>
        </w:rPr>
        <w:t>has served as our Senior Vice President of Clinical Development since October 2017, having previously served 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Clinical Development from October 2014 to October 2017 and as our Clinical Research Director from April 2010 to June 2012. Dr. Grossi served as Executive Vice President of Potentia from October 2013 to September 2014, and as Clinical Research Director of Potentia from 2006 to April 2010. From June 2012 to October 2014, Dr. Grossi worked as an independent early stage clinical research consultant. Dr. Grossi received his M.D. from the University of Córdoba in Argentina and his Ph.D. in physiology from the University of Louisville. Following his post-graduate training in surgery, where he developed his expertise in microsurgery and composite tissue transplantation, Dr. Grossi joined the Plastic Surgery Research Laboratory at the University of Louisville.</w:t>
      </w:r>
    </w:p>
    <w:p>
      <w:pPr>
        <w:spacing w:after="0" w:line="169" w:lineRule="exact"/>
        <w:rPr>
          <w:sz w:val="20"/>
          <w:szCs w:val="20"/>
          <w:color w:val="auto"/>
        </w:rPr>
      </w:pPr>
    </w:p>
    <w:p>
      <w:pPr>
        <w:ind w:right="320" w:firstLine="457"/>
        <w:spacing w:after="0" w:line="291" w:lineRule="auto"/>
        <w:rPr>
          <w:sz w:val="20"/>
          <w:szCs w:val="20"/>
          <w:color w:val="auto"/>
        </w:rPr>
      </w:pPr>
      <w:r>
        <w:rPr>
          <w:rFonts w:ascii="Arial" w:cs="Arial" w:eastAsia="Arial" w:hAnsi="Arial"/>
          <w:sz w:val="16"/>
          <w:szCs w:val="16"/>
          <w:b w:val="1"/>
          <w:bCs w:val="1"/>
          <w:i w:val="1"/>
          <w:iCs w:val="1"/>
          <w:color w:val="auto"/>
        </w:rPr>
        <w:t xml:space="preserve">Nicole Perry </w:t>
      </w:r>
      <w:r>
        <w:rPr>
          <w:rFonts w:ascii="Arial" w:cs="Arial" w:eastAsia="Arial" w:hAnsi="Arial"/>
          <w:sz w:val="16"/>
          <w:szCs w:val="16"/>
          <w:color w:val="auto"/>
        </w:rPr>
        <w:t>has served as our Vice President of Finance since April 2015. From April 2015 to June 2015, Ms. Perry also served as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at Revon Systems, LLC, or Revon, a private health care technology platform company. From August 2000 to April 2015, Ms. Perry worked as an independent consultant providing services to clients primarily in the areas of financial reporting, internal control compliance and as a liaison with external accountants, bankers and legal counsel. Prior to having her consulting practice, Ms. Perry worked in the audit practices of PricewaterhouseCoopers and Deloitte. Ms. Perry is a Certified Public Accountant and received her B.B.A. in accounting, with distinction, from the University of Oklahoma.</w:t>
      </w:r>
    </w:p>
    <w:p>
      <w:pPr>
        <w:spacing w:after="0" w:line="165"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b w:val="1"/>
          <w:bCs w:val="1"/>
          <w:i w:val="1"/>
          <w:iCs w:val="1"/>
          <w:color w:val="auto"/>
        </w:rPr>
        <w:t xml:space="preserve">David Watson </w:t>
      </w:r>
      <w:r>
        <w:rPr>
          <w:rFonts w:ascii="Arial" w:cs="Arial" w:eastAsia="Arial" w:hAnsi="Arial"/>
          <w:sz w:val="17"/>
          <w:szCs w:val="17"/>
          <w:color w:val="auto"/>
        </w:rPr>
        <w:t>has served as our General Counsel and Vice President of Corporate Development since January 2014. From January 2014 to June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Watson also served as General Counsel and Executive Vice President of Revon. From 2006 to December 2013, Mr. Watson was a member at the law firm Frost Brown Todd LLC, where his practice included equity finance, mergers and acquisitions and securities transactions. Mr. Watson received his B.A. from Harvard College, his J.D. from Vanderbilt Law School and his M.A. in mathematics from the University of Kentucky.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Non-Management Directors</w:t>
      </w:r>
    </w:p>
    <w:p>
      <w:pPr>
        <w:spacing w:after="0" w:line="1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b w:val="1"/>
          <w:bCs w:val="1"/>
          <w:i w:val="1"/>
          <w:iCs w:val="1"/>
          <w:color w:val="auto"/>
        </w:rPr>
        <w:t>Gerald Chan</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D.Sc. </w:t>
      </w:r>
      <w:r>
        <w:rPr>
          <w:rFonts w:ascii="Arial" w:cs="Arial" w:eastAsia="Arial" w:hAnsi="Arial"/>
          <w:sz w:val="16"/>
          <w:szCs w:val="16"/>
          <w:color w:val="auto"/>
        </w:rPr>
        <w:t>has served as a member of our board of directors and as Chairman since July 2013. Dr. Chan co-founded Morningside, a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group with venture, private equity and property investments, in 1986. He has served as a member of the Global Advisory Council of the International Society for Stem Cell Research since 2008, the Global Advisory Council of Harvard University since 2012, the Dean’s Board of Advisors of the Harvard School of Public Health since 2011, the advisory board of the Johns Hopkins Nanjing Center since 2004 and has chaired the Innovation Advisory Committee of Wellcome Trust since 2016. Dr. Chan also has been a member of the board of directors of Hang Lung Group Limited since 1986, and Aduro Biotech Inc. since 2014. Dr. Chan received his B.S. and M.S. degrees in engineering from the University of California, Los Angeles, and his Master’s degree in medical radiological physics and Doctor of Science degree in radiation biology from Harvard University. He did his post-doctoral training at the Dana-Farber Cancer Institute. Dr. Chan was elected to membership in the American Academy of Arts and Sciences in 2017. We believe that Dr. Chan is qualified to serve on our board of directors because of his extensive experience in life science investments and serving on boards of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5"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 xml:space="preserve">Robert Adelman, M.D. </w:t>
      </w:r>
      <w:r>
        <w:rPr>
          <w:rFonts w:ascii="Arial" w:cs="Arial" w:eastAsia="Arial" w:hAnsi="Arial"/>
          <w:sz w:val="14"/>
          <w:szCs w:val="14"/>
          <w:color w:val="auto"/>
        </w:rPr>
        <w:t>has served as a member of our board of directors since 2016. Since 2010, Dr. Adelman has served as Managing Partner at venBio</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Partners LLC, or venBio, a life sciences investment firm, which he co-founded in 2009. Prior to co-founding venBio, Dr. Adelman worked at OrbiMed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Advisors LLC from 2002 to 2008, where he led numerous investments in both private and public companies across three venture capital funds. In addition,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Dr. Adelman previously served on the boards of directors of Seragon Pharmaceuticals, Inc. and Aragon Pharmaceuticals, Inc. until the sale of such companies in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2012 and 2013, respectively. Dr. Adelman received his B.A. from University of California at Berkeley and his M.D. from Yale University, performed his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residency at Cornell University Medical Center, and practiced surgery in New York and New Jersey. We believe that Dr. Adelman is qualified to serve on our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because of his extensive experience in financial management and investment in public and private companies in the life sciences industry.</w:t>
      </w:r>
    </w:p>
    <w:p>
      <w:pPr>
        <w:spacing w:after="0" w:line="232"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b w:val="1"/>
          <w:bCs w:val="1"/>
          <w:i w:val="1"/>
          <w:iCs w:val="1"/>
          <w:color w:val="auto"/>
        </w:rPr>
        <w:t xml:space="preserve">Bihua Chen </w:t>
      </w:r>
      <w:r>
        <w:rPr>
          <w:rFonts w:ascii="Arial" w:cs="Arial" w:eastAsia="Arial" w:hAnsi="Arial"/>
          <w:sz w:val="16"/>
          <w:szCs w:val="16"/>
          <w:color w:val="auto"/>
        </w:rPr>
        <w:t>has served as a member of our board of directors since December 2015. Ms. Chen is the founder of Cormorant Asset Management, LLC,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Cormorant, and has been its portfolio manager since Cormorant’s inception in 2013. Prior to founding Cormorant, from 2005 to 2010, Ms. Chen managed a separately managed account focused on the healthcare sector as a sub-adviser to Millennium, a large, multi-strategy hedge fund based in New York. Previously, from 2002 to 2005, Ms. Chen was a healthcare analyst/sector portfolio manager for American Express Asset Management Boston. Ms. Chen has also served as a portfolio manager for the Asterion Life Science Fund from 2001 to 2002, an equity analyst/portfolio manager for Bellevue Research from 2000 to 2001, and an equity analyst for Putnam Investments from 1998 to 2001. Ms. Chen received her M.B.A. from The Wharton School, University of Pennsylvania, her M.Sc. in molecular biology from the Graduate School of Biomedical Science at Cornell Medical College and her B.S. in genetics and genetic engineering from Fudan University, Shanghai, China. We believe that Ms. Chen is qualified to serve on our board of directors because of her strong background in financial management and investment in public and private companies in life sciences.</w:t>
      </w:r>
    </w:p>
    <w:p>
      <w:pPr>
        <w:spacing w:after="0" w:line="174"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b w:val="1"/>
          <w:bCs w:val="1"/>
          <w:i w:val="1"/>
          <w:iCs w:val="1"/>
          <w:color w:val="auto"/>
        </w:rPr>
        <w:t xml:space="preserve">A. Sinclair Dunlop </w:t>
      </w:r>
      <w:r>
        <w:rPr>
          <w:rFonts w:ascii="Arial" w:cs="Arial" w:eastAsia="Arial" w:hAnsi="Arial"/>
          <w:sz w:val="16"/>
          <w:szCs w:val="16"/>
          <w:color w:val="auto"/>
        </w:rPr>
        <w:t>has served as a member of our board of directors since March 2010. Mr. Dunlop is a co-founder of venture capital fund Epidarex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and has served as the Managing Partner since July 2010. Since 2005, Mr. Dunlop has served as the Managing Partner of venture capital fund Masa Life Science Ventures, LP. Mr. Dunlop currently serves on the board of directors of several private companies, including Potentia. Mr. Dunlop received his M.B.A. from Columbia Business School where he was the R.C. Kopf British-American Fellow in international business. He also received an M.A. with Honors in political economy from the University of Glasgow and an M.A. in international relations from the Maxwell School of Citizenship and Public Affairs at Syracuse University. We believe that Mr. Dunlop is qualified to serve on our board of directors because of his extensive investment and business experience.</w:t>
      </w:r>
    </w:p>
    <w:p>
      <w:pPr>
        <w:spacing w:after="0" w:line="169"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b w:val="1"/>
          <w:bCs w:val="1"/>
          <w:i w:val="1"/>
          <w:iCs w:val="1"/>
          <w:color w:val="auto"/>
        </w:rPr>
        <w:t>Maha Katabi, Ph.D</w:t>
      </w:r>
      <w:r>
        <w:rPr>
          <w:rFonts w:ascii="Arial" w:cs="Arial" w:eastAsia="Arial" w:hAnsi="Arial"/>
          <w:sz w:val="17"/>
          <w:szCs w:val="17"/>
          <w:color w:val="auto"/>
        </w:rPr>
        <w:t>., CFA, has served on our board of directors since August 2017. Dr. Katabi is a Private Equity Partner at Sectoral Asset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healthcare focused investment fund, where she is the portfolio manager for the New Emerging Medical Opportunities Fund and is responsible for investments in private healthcare companies. Prior to joining Sectoral in 2008, Dr. Katabi was a Vice President at Ventures West where she focused on early-stage venture investments in the life sciences industry. Dr. Katabi has previously served on the board of directors of MacroGenics and Resonant Medical, Inc. and currently serves on the boards of Effector Therapeutics, Inc., F2G Ltd, and Exactis Innovation. She received a Ph.D. in Pharmacology in 1999 at McGill University. She obtained her CFA charter in 2011. We believe that Dr. Katabi is qualified to serve on our board of directors because of her investment experience in the healthcare sector and her financial expertise.</w:t>
      </w:r>
    </w:p>
    <w:p>
      <w:pPr>
        <w:spacing w:after="0" w:line="185"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b w:val="1"/>
          <w:bCs w:val="1"/>
          <w:i w:val="1"/>
          <w:iCs w:val="1"/>
          <w:color w:val="auto"/>
        </w:rPr>
        <w:t xml:space="preserve">Alec Machiels </w:t>
      </w:r>
      <w:r>
        <w:rPr>
          <w:rFonts w:ascii="Arial" w:cs="Arial" w:eastAsia="Arial" w:hAnsi="Arial"/>
          <w:sz w:val="17"/>
          <w:szCs w:val="17"/>
          <w:color w:val="auto"/>
        </w:rPr>
        <w:t>is a co-founder of our company and has served as a member of our board of directors since September 2009. Since 2006, Mr. Machiels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a Partner at Pegasus Capital Advisors, L.P., a private equity firm that he joined in 2002. Mr. Machiels is currently a director of Potentia, which he co-founded; Mr. Machiels serves on the board of directors of Creative Realities Inc. and the board of directors of several private companies. Mr. Machiels previously served on the board of directors of Molycorp, Inc. He started his career as a financial analyst in the Financial Services Group at Goldman Sachs International in London and in the Private Equity Group at Goldman, Sachs &amp; Co. in New York from July 1996 until June 1999. Mr. Machiels received an M.B.A. from Harvard Business School in 2001. Mr. Machiels also received a license in law from KU</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Leuven Law School in Belgium and a masters in international economics from Konstanz University in Germany. We believe that Mr. Machiels is qualified to serve on our board of directors because of his strong background in financial management and investment in businesses and his experience serving on the boards of both public and private companies.</w:t>
      </w:r>
    </w:p>
    <w:p>
      <w:pPr>
        <w:spacing w:after="0" w:line="188"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b w:val="1"/>
          <w:bCs w:val="1"/>
          <w:i w:val="1"/>
          <w:iCs w:val="1"/>
          <w:color w:val="auto"/>
        </w:rPr>
        <w:t xml:space="preserve">Stephanie Monaghan O’Brien </w:t>
      </w:r>
      <w:r>
        <w:rPr>
          <w:rFonts w:ascii="Arial" w:cs="Arial" w:eastAsia="Arial" w:hAnsi="Arial"/>
          <w:sz w:val="16"/>
          <w:szCs w:val="16"/>
          <w:color w:val="auto"/>
        </w:rPr>
        <w:t>has served as a member of our board of directors since July 2013. Ms. O’Brien has been a member of the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at Morningside since 1997. She has served as a director of Aduro Biotech Inc. since 2011, and as a director of numerous private nonclinical and clinical-stage companies developing drugs across a broad spectrum of therapeutic focus, including oncology and immunotherapy, and has extensive experience providing operational and management oversight to venture-backed technology companies. She has also facilitated multiple financings for public and private companies such as Dendreon Corporation, BioVex Group, Inc., Stealth Biotherapeutics Inc. and Sohu.com. Prior to joining Morningside, Ms. O’Brien spent nine years as a corporate lawyer with Hale and Dorr in its Boston and Washington, D.C. offices, working primarily on public offerings, venture capital finances and start-up companies. She previously worked at Chase Manhattan Bank, working in international portfolio analysis. She received her A.B., cum laude, from Harvard College and her J.D. from New York University School of Law. We believe that Ms. O’Brien is qualified to serve on our board of directors because of her strong background working with biotechnology companies and her extensive experience serving on the boards of both public and private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Our board of directors currently consists of five members following the resignations of Dr. Adelman, Ms. Chen and Dr. Katabi upon the effectiveness of the registration statement of which this prospectus forms a part. Our directors hold office until their successors have been elected and qualified or until the earlier of their resignation or removal.</w:t>
      </w:r>
    </w:p>
    <w:p>
      <w:pPr>
        <w:spacing w:after="0" w:line="188" w:lineRule="exact"/>
        <w:rPr>
          <w:sz w:val="20"/>
          <w:szCs w:val="20"/>
          <w:color w:val="auto"/>
        </w:rPr>
      </w:pPr>
    </w:p>
    <w:p>
      <w:pPr>
        <w:ind w:firstLine="457"/>
        <w:spacing w:after="0" w:line="331" w:lineRule="auto"/>
        <w:rPr>
          <w:sz w:val="20"/>
          <w:szCs w:val="20"/>
          <w:color w:val="auto"/>
        </w:rPr>
      </w:pPr>
      <w:r>
        <w:rPr>
          <w:rFonts w:ascii="Arial" w:cs="Arial" w:eastAsia="Arial" w:hAnsi="Arial"/>
          <w:sz w:val="16"/>
          <w:szCs w:val="16"/>
          <w:color w:val="auto"/>
        </w:rPr>
        <w:t>Our directors were elected to and currently serve on the board of directors pursuant to a voting agreement among us and our stockholders. This agreement will terminate upon the closing of this offering, after which there will be no further contractual obligations regarding the election of our directors.</w:t>
      </w:r>
    </w:p>
    <w:p>
      <w:pPr>
        <w:spacing w:after="0" w:line="133" w:lineRule="exact"/>
        <w:rPr>
          <w:sz w:val="20"/>
          <w:szCs w:val="20"/>
          <w:color w:val="auto"/>
        </w:rPr>
      </w:pPr>
    </w:p>
    <w:p>
      <w:pPr>
        <w:ind w:right="20" w:firstLine="457"/>
        <w:spacing w:after="0" w:line="257" w:lineRule="auto"/>
        <w:rPr>
          <w:sz w:val="20"/>
          <w:szCs w:val="20"/>
          <w:color w:val="auto"/>
        </w:rPr>
      </w:pPr>
      <w:r>
        <w:rPr>
          <w:rFonts w:ascii="Arial" w:cs="Arial" w:eastAsia="Arial" w:hAnsi="Arial"/>
          <w:sz w:val="18"/>
          <w:szCs w:val="18"/>
          <w:color w:val="auto"/>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95" w:lineRule="exact"/>
        <w:rPr>
          <w:sz w:val="20"/>
          <w:szCs w:val="20"/>
          <w:color w:val="auto"/>
        </w:rPr>
      </w:pPr>
    </w:p>
    <w:p>
      <w:pPr>
        <w:ind w:left="680" w:hanging="220"/>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class I director will be Stephanie Monaghan O’Brien, and her term will expire at the annual meeting of stockholders to be held in 2018;</w:t>
      </w:r>
    </w:p>
    <w:p>
      <w:pPr>
        <w:spacing w:after="0" w:line="137" w:lineRule="exact"/>
        <w:rPr>
          <w:rFonts w:ascii="Arial" w:cs="Arial" w:eastAsia="Arial" w:hAnsi="Arial"/>
          <w:sz w:val="17"/>
          <w:szCs w:val="17"/>
          <w:color w:val="auto"/>
        </w:rPr>
      </w:pPr>
    </w:p>
    <w:p>
      <w:pPr>
        <w:ind w:left="680" w:right="40" w:hanging="220"/>
        <w:spacing w:after="0" w:line="26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will be A. Sinclair Dunlop and Alec Machiels, and their term will expire at the annual meeting of stockholders to be held in 2019;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class III directors will be Gerald Chan and Cedric Francois, and their term will expire at the annual meeting of stockholders to be held in 2020.</w:t>
      </w:r>
    </w:p>
    <w:p>
      <w:pPr>
        <w:spacing w:after="0" w:line="243"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3" w:lineRule="exact"/>
        <w:rPr>
          <w:sz w:val="20"/>
          <w:szCs w:val="20"/>
          <w:color w:val="auto"/>
        </w:rPr>
      </w:pPr>
    </w:p>
    <w:p>
      <w:pPr>
        <w:ind w:right="540" w:firstLine="457"/>
        <w:spacing w:after="0" w:line="267" w:lineRule="auto"/>
        <w:rPr>
          <w:sz w:val="20"/>
          <w:szCs w:val="20"/>
          <w:color w:val="auto"/>
        </w:rPr>
      </w:pPr>
      <w:r>
        <w:rPr>
          <w:rFonts w:ascii="Arial" w:cs="Arial" w:eastAsia="Arial" w:hAnsi="Arial"/>
          <w:sz w:val="18"/>
          <w:szCs w:val="18"/>
          <w:color w:val="auto"/>
        </w:rPr>
        <w:t>Applicable rules of the NASDAQ Stock Market LLC, or NASDAQ, require a majority of a listed company’s board of directors to be comprised of independent directors within one year of listing. In addition, the NASDAQ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77"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In October 2017,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Cedric Francois,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Francois is not deemed to be an independent director under these rules because he is our President and Chief Executive Officer.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are no family relationships among any of our directors or executive officers, other than Drs. Francois and Grossi, who are brothers-in-law.</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19" w:lineRule="exact"/>
        <w:rPr>
          <w:sz w:val="20"/>
          <w:szCs w:val="20"/>
          <w:color w:val="auto"/>
        </w:rPr>
      </w:pPr>
    </w:p>
    <w:p>
      <w:pPr>
        <w:ind w:right="240" w:firstLine="457"/>
        <w:spacing w:after="0" w:line="26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operates under a charter that has been approved by our board of directors.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0" w:lineRule="exact"/>
        <w:rPr>
          <w:sz w:val="20"/>
          <w:szCs w:val="20"/>
          <w:color w:val="auto"/>
        </w:rPr>
      </w:pPr>
    </w:p>
    <w:p>
      <w:pPr>
        <w:ind w:right="20" w:firstLine="457"/>
        <w:spacing w:after="0" w:line="267" w:lineRule="auto"/>
        <w:rPr>
          <w:sz w:val="20"/>
          <w:szCs w:val="20"/>
          <w:color w:val="auto"/>
        </w:rPr>
      </w:pPr>
      <w:r>
        <w:rPr>
          <w:rFonts w:ascii="Arial" w:cs="Arial" w:eastAsia="Arial" w:hAnsi="Arial"/>
          <w:sz w:val="18"/>
          <w:szCs w:val="18"/>
          <w:color w:val="auto"/>
        </w:rPr>
        <w:t>The members of our audit committee are Alec Machiels, A. Sinclair Dunlop and Stephanie Monaghan O’Brien, and Mr. Machiels is the chair of the audit committee. Our audit committee’s responsibilities include:</w:t>
      </w:r>
    </w:p>
    <w:p>
      <w:pPr>
        <w:spacing w:after="0" w:line="86" w:lineRule="exact"/>
        <w:rPr>
          <w:sz w:val="20"/>
          <w:szCs w:val="20"/>
          <w:color w:val="auto"/>
        </w:rPr>
      </w:pPr>
    </w:p>
    <w:p>
      <w:pPr>
        <w:ind w:left="680" w:hanging="220"/>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that firm;</w:t>
      </w:r>
    </w:p>
    <w:p>
      <w:pPr>
        <w:spacing w:after="0" w:line="149" w:lineRule="exact"/>
        <w:rPr>
          <w:rFonts w:ascii="Arial" w:cs="Arial" w:eastAsia="Arial" w:hAnsi="Arial"/>
          <w:sz w:val="16"/>
          <w:szCs w:val="16"/>
          <w:color w:val="auto"/>
        </w:rPr>
      </w:pPr>
    </w:p>
    <w:p>
      <w:pPr>
        <w:ind w:left="680" w:right="160" w:hanging="220"/>
        <w:spacing w:after="0" w:line="267" w:lineRule="auto"/>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Securities and Exchange Commission, or SEC, rules.</w:t>
      </w:r>
    </w:p>
    <w:p>
      <w:pPr>
        <w:spacing w:after="0" w:line="220"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0" w:lineRule="exact"/>
        <w:rPr>
          <w:sz w:val="20"/>
          <w:szCs w:val="20"/>
          <w:color w:val="auto"/>
        </w:rPr>
      </w:pPr>
    </w:p>
    <w:p>
      <w:pPr>
        <w:ind w:right="140" w:firstLine="457"/>
        <w:spacing w:after="0" w:line="279" w:lineRule="auto"/>
        <w:rPr>
          <w:sz w:val="20"/>
          <w:szCs w:val="20"/>
          <w:color w:val="auto"/>
        </w:rPr>
      </w:pPr>
      <w:r>
        <w:rPr>
          <w:rFonts w:ascii="Arial" w:cs="Arial" w:eastAsia="Arial" w:hAnsi="Arial"/>
          <w:sz w:val="17"/>
          <w:szCs w:val="17"/>
          <w:color w:val="auto"/>
        </w:rPr>
        <w:t>Our board of directors has determined that Mr. Machiels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0" w:lineRule="exact"/>
        <w:rPr>
          <w:sz w:val="20"/>
          <w:szCs w:val="20"/>
          <w:color w:val="auto"/>
        </w:rPr>
      </w:pPr>
    </w:p>
    <w:p>
      <w:pPr>
        <w:ind w:right="280" w:firstLine="457"/>
        <w:spacing w:after="0" w:line="267" w:lineRule="auto"/>
        <w:rPr>
          <w:sz w:val="20"/>
          <w:szCs w:val="20"/>
          <w:color w:val="auto"/>
        </w:rPr>
      </w:pPr>
      <w:r>
        <w:rPr>
          <w:rFonts w:ascii="Arial" w:cs="Arial" w:eastAsia="Arial" w:hAnsi="Arial"/>
          <w:sz w:val="18"/>
          <w:szCs w:val="18"/>
          <w:color w:val="auto"/>
        </w:rPr>
        <w:t>The members of our compensation committee are Stephanie Monaghan O’Brien and Alec Machiels, and Ms. O’Brien is the chair of the compensation committee. Our compensation committee’s responsibilities include:</w:t>
      </w:r>
    </w:p>
    <w:p>
      <w:pPr>
        <w:spacing w:after="0" w:line="86" w:lineRule="exact"/>
        <w:rPr>
          <w:sz w:val="20"/>
          <w:szCs w:val="20"/>
          <w:color w:val="auto"/>
        </w:rPr>
      </w:pPr>
    </w:p>
    <w:p>
      <w:pPr>
        <w:ind w:left="680" w:right="120" w:hanging="220"/>
        <w:spacing w:after="0" w:line="267"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 and management succession planning;</w:t>
      </w:r>
    </w:p>
    <w:p>
      <w:pPr>
        <w:spacing w:after="0" w:line="149" w:lineRule="exact"/>
        <w:rPr>
          <w:rFonts w:ascii="Arial" w:cs="Arial" w:eastAsia="Arial" w:hAnsi="Arial"/>
          <w:sz w:val="16"/>
          <w:szCs w:val="16"/>
          <w:color w:val="auto"/>
        </w:rPr>
      </w:pPr>
    </w:p>
    <w:p>
      <w:pPr>
        <w:ind w:left="680" w:right="320" w:hanging="220"/>
        <w:spacing w:after="0" w:line="267" w:lineRule="auto"/>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0"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We believe that the composition of our compensation committee meets the requirements for independence under current NASDAQ and SEC rules and regulations.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members of our nominating and corporate governance committee are Gerald Chan, A. Sinclair Dunlop and Stephanie Monaghan O’Brien, and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Dr. Chan is the chair of the nominating and corporate governance committee. Our nominating and corporate governance committee’s responsibilities include:</w:t>
      </w:r>
    </w:p>
    <w:p>
      <w:pPr>
        <w:spacing w:after="0" w:line="138" w:lineRule="exact"/>
        <w:rPr>
          <w:sz w:val="20"/>
          <w:szCs w:val="20"/>
          <w:color w:val="auto"/>
        </w:rPr>
      </w:pPr>
    </w:p>
    <w:p>
      <w:pPr>
        <w:ind w:left="680" w:hanging="220"/>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126" w:lineRule="exact"/>
        <w:rPr>
          <w:rFonts w:ascii="Arial" w:cs="Arial" w:eastAsia="Arial" w:hAnsi="Arial"/>
          <w:sz w:val="18"/>
          <w:szCs w:val="18"/>
          <w:color w:val="auto"/>
        </w:rPr>
      </w:pPr>
    </w:p>
    <w:p>
      <w:pPr>
        <w:ind w:left="5580" w:right="1340" w:hanging="5120"/>
        <w:spacing w:after="0" w:line="437" w:lineRule="auto"/>
        <w:tabs>
          <w:tab w:leader="none" w:pos="6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board’s committees; 130</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our board leadership structure and board committee structure;</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and recommending corporate governance guidelines to our board of directors;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0" w:lineRule="exact"/>
        <w:rPr>
          <w:sz w:val="20"/>
          <w:szCs w:val="20"/>
          <w:color w:val="auto"/>
        </w:rPr>
      </w:pPr>
    </w:p>
    <w:p>
      <w:pPr>
        <w:ind w:right="620" w:firstLine="457"/>
        <w:spacing w:after="0" w:line="267" w:lineRule="auto"/>
        <w:rPr>
          <w:sz w:val="20"/>
          <w:szCs w:val="20"/>
          <w:color w:val="auto"/>
        </w:rPr>
      </w:pPr>
      <w:r>
        <w:rPr>
          <w:rFonts w:ascii="Arial" w:cs="Arial" w:eastAsia="Arial" w:hAnsi="Arial"/>
          <w:sz w:val="18"/>
          <w:szCs w:val="18"/>
          <w:color w:val="auto"/>
        </w:rPr>
        <w:t>We believe that the composition of our nominating and corporate governance committee meets the requirements for independence under current NASDAQ and SEC rules and regulations.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9" w:lineRule="exact"/>
        <w:rPr>
          <w:sz w:val="20"/>
          <w:szCs w:val="20"/>
          <w:color w:val="auto"/>
        </w:rPr>
      </w:pPr>
    </w:p>
    <w:p>
      <w:pPr>
        <w:ind w:firstLine="457"/>
        <w:spacing w:after="0" w:line="304" w:lineRule="auto"/>
        <w:rPr>
          <w:sz w:val="20"/>
          <w:szCs w:val="20"/>
          <w:color w:val="auto"/>
        </w:rPr>
      </w:pPr>
      <w:r>
        <w:rPr>
          <w:rFonts w:ascii="Arial" w:cs="Arial" w:eastAsia="Arial" w:hAnsi="Arial"/>
          <w:sz w:val="16"/>
          <w:szCs w:val="16"/>
          <w:color w:val="auto"/>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jc w:val="both"/>
        <w:ind w:right="240" w:firstLine="457"/>
        <w:spacing w:after="0" w:line="25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which is located at www.apellis.com.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40"/>
          </w:cols>
          <w:pgMar w:left="240" w:top="455" w:right="3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6"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2016. Our named executive officers for 2016 were Cedric Francois, Pascal Deschatelets and David Watson. This section also provides qualitative information regarding the manner and context in which compensation is awarded to and earned by our executive officers and is intended to place in perspective the data presented in the tables and narrative that follow.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regarding compensation awarded to, earned by or paid to our named executive officers during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9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tcPr>
          <w:p>
            <w:pPr>
              <w:jc w:val="right"/>
              <w:ind w:right="11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720" w:type="dxa"/>
            <w:vAlign w:val="bottom"/>
          </w:tcPr>
          <w:p>
            <w:pPr>
              <w:jc w:val="right"/>
              <w:ind w:right="120"/>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Cedric Francois, M.D.,</w:t>
            </w:r>
          </w:p>
        </w:tc>
        <w:tc>
          <w:tcPr>
            <w:tcW w:w="53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Ph.D.(3)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2016</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325,000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2"/>
              </w:rPr>
              <w:t>882,511</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1,497,511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708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250,000</w:t>
            </w: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567,737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952,737</w:t>
            </w:r>
          </w:p>
        </w:tc>
        <w:tc>
          <w:tcPr>
            <w:tcW w:w="0" w:type="dxa"/>
            <w:vAlign w:val="bottom"/>
          </w:tcPr>
          <w:p>
            <w:pPr>
              <w:spacing w:after="0"/>
              <w:rPr>
                <w:sz w:val="1"/>
                <w:szCs w:val="1"/>
                <w:color w:val="auto"/>
              </w:rPr>
            </w:pPr>
          </w:p>
        </w:tc>
      </w:tr>
      <w:tr>
        <w:trPr>
          <w:trHeight w:val="224"/>
        </w:trPr>
        <w:tc>
          <w:tcPr>
            <w:tcW w:w="70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7080" w:type="dxa"/>
            <w:vAlign w:val="bottom"/>
            <w:gridSpan w:val="2"/>
          </w:tcPr>
          <w:p>
            <w:pPr>
              <w:spacing w:after="0"/>
              <w:rPr>
                <w:sz w:val="20"/>
                <w:szCs w:val="20"/>
                <w:color w:val="auto"/>
              </w:rPr>
            </w:pPr>
            <w:r>
              <w:rPr>
                <w:rFonts w:ascii="Arial" w:cs="Arial" w:eastAsia="Arial" w:hAnsi="Arial"/>
                <w:sz w:val="18"/>
                <w:szCs w:val="18"/>
                <w:color w:val="auto"/>
              </w:rPr>
              <w:t>David Watson</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2016</w:t>
            </w:r>
          </w:p>
        </w:tc>
        <w:tc>
          <w:tcPr>
            <w:tcW w:w="16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153,750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39,000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251,250</w:t>
            </w:r>
          </w:p>
        </w:tc>
        <w:tc>
          <w:tcPr>
            <w:tcW w:w="0" w:type="dxa"/>
            <w:vAlign w:val="bottom"/>
          </w:tcPr>
          <w:p>
            <w:pPr>
              <w:spacing w:after="0"/>
              <w:rPr>
                <w:sz w:val="1"/>
                <w:szCs w:val="1"/>
                <w:color w:val="auto"/>
              </w:rPr>
            </w:pPr>
          </w:p>
        </w:tc>
      </w:tr>
      <w:tr>
        <w:trPr>
          <w:trHeight w:val="224"/>
        </w:trPr>
        <w:tc>
          <w:tcPr>
            <w:tcW w:w="708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 &amp; Vice President of Corporate Development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283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40" w:hanging="433"/>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amounts reported in the “Bonus” column represent discretionary annual cash bonuses awarded to our named executive officers.</w:t>
      </w:r>
    </w:p>
    <w:p>
      <w:pPr>
        <w:spacing w:after="0" w:line="17" w:lineRule="exact"/>
        <w:rPr>
          <w:rFonts w:ascii="Arial" w:cs="Arial" w:eastAsia="Arial" w:hAnsi="Arial"/>
          <w:sz w:val="18"/>
          <w:szCs w:val="18"/>
          <w:color w:val="auto"/>
        </w:rPr>
      </w:pPr>
    </w:p>
    <w:p>
      <w:pPr>
        <w:ind w:left="440" w:right="200" w:hanging="433"/>
        <w:spacing w:after="0" w:line="278" w:lineRule="auto"/>
        <w:tabs>
          <w:tab w:leader="none" w:pos="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amounts reported in the “Options Awards” column reflect the aggregate grant date fair value of share-based compensation awarded during the year computed in accordance with the provisions of Financial Accounting Standards Board Accounting Standards Codification, or ASC, Topic 718.</w:t>
      </w:r>
    </w:p>
    <w:p>
      <w:pPr>
        <w:ind w:left="440" w:hanging="433"/>
        <w:spacing w:after="0"/>
        <w:tabs>
          <w:tab w:leader="none" w:pos="4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Dr. Francois also serves as a member of our board of directors but does not receive any additional compensation for his service as a director.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19"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In 2016, we paid annual base salaries of $325,000 to Dr. Francois, $250,000 to Dr. Deschatelets and $153,750 to Mr. Watson. 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1" w:lineRule="exact"/>
        <w:rPr>
          <w:sz w:val="20"/>
          <w:szCs w:val="20"/>
          <w:color w:val="auto"/>
        </w:rPr>
      </w:pPr>
    </w:p>
    <w:p>
      <w:pPr>
        <w:ind w:right="60" w:firstLine="457"/>
        <w:spacing w:after="0" w:line="257" w:lineRule="auto"/>
        <w:rPr>
          <w:sz w:val="20"/>
          <w:szCs w:val="20"/>
          <w:color w:val="auto"/>
        </w:rPr>
      </w:pPr>
      <w:r>
        <w:rPr>
          <w:rFonts w:ascii="Arial" w:cs="Arial" w:eastAsia="Arial" w:hAnsi="Arial"/>
          <w:sz w:val="18"/>
          <w:szCs w:val="18"/>
          <w:color w:val="auto"/>
        </w:rPr>
        <w:t>We do not have a formal performance-based bonus plan. From time to time, our board of directors has approved discretionary annual cash bonuses to our named executive officers with respect to their prior year performance. In 2016, Dr. Francois, Dr. Deschatelets and Mr. Watson received cash bonuses of $290,000, $135,000 and $39,000, respectively, for services performed during 2016.</w:t>
      </w:r>
    </w:p>
    <w:p>
      <w:pPr>
        <w:spacing w:after="0" w:line="188" w:lineRule="exact"/>
        <w:rPr>
          <w:sz w:val="20"/>
          <w:szCs w:val="20"/>
          <w:color w:val="auto"/>
        </w:rPr>
      </w:pPr>
    </w:p>
    <w:p>
      <w:pPr>
        <w:ind w:right="40" w:firstLine="457"/>
        <w:spacing w:after="0" w:line="291"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to them in the form of stock options. In February 2016, our board of directors granted options to purchase 353,625, 227,494 and 23,441 shares of common stock to Dr. Francois, Dr. Deschatelets and Mr. Watson, respectively. In August 2017, our board of directors granted options to purchase 421,940, 187,529 and 23,441 shares of common stock to Dr. Francois, Dr. Deschatelets and Mr. Watson, respectively.</w:t>
      </w:r>
    </w:p>
    <w:p>
      <w:pPr>
        <w:spacing w:after="0" w:line="188"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In October 2017, we entered into an offer letter with Timothy Sullivan in connection with his appointment as the Chief Financial Officer of our company. Under the offer letter, Mr. Sullivan is entitled to receive an annual base salary of $325,000 and is eligible for a discretionary annual bonus of up to 20% of his annualized base salary. We also granted Mr. Sullivan options to purchase 398,499 shares of our common stock with an exercise price equal to $10.03 per share. These options will vest as to 25% of the shares underlying the options on the first anniversary of the grant, with the remaining 75% of the shares underlying the options vesting in equal monthly installments thereafter through the fourth anniversary of the grant, subject to continued service. All shares subject to vesting under this option grant will vest in full and become immediately exercisable upon the closing of a change in control of our company.</w:t>
      </w:r>
    </w:p>
    <w:p>
      <w:pPr>
        <w:spacing w:after="0" w:line="169" w:lineRule="exact"/>
        <w:rPr>
          <w:sz w:val="20"/>
          <w:szCs w:val="20"/>
          <w:color w:val="auto"/>
        </w:rPr>
      </w:pPr>
    </w:p>
    <w:p>
      <w:pPr>
        <w:ind w:right="380" w:firstLine="457"/>
        <w:spacing w:after="0" w:line="267" w:lineRule="auto"/>
        <w:rPr>
          <w:sz w:val="20"/>
          <w:szCs w:val="20"/>
          <w:color w:val="auto"/>
        </w:rPr>
      </w:pPr>
      <w:r>
        <w:rPr>
          <w:rFonts w:ascii="Arial" w:cs="Arial" w:eastAsia="Arial" w:hAnsi="Arial"/>
          <w:sz w:val="18"/>
          <w:szCs w:val="18"/>
          <w:color w:val="auto"/>
        </w:rPr>
        <w:t>Except for the benefits described above, we do not provide perquisites or personal benefits to our named executive officers. We do, however, pay the premiums for life and medical insurance for all of our employees, including our named executive officers.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6"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December 31, 2016, which consisted entirely of stock options: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40" w:type="dxa"/>
            <w:vAlign w:val="bottom"/>
            <w:gridSpan w:val="2"/>
          </w:tcPr>
          <w:p>
            <w:pPr>
              <w:jc w:val="center"/>
              <w:ind w:right="1000"/>
              <w:spacing w:after="0" w:line="118" w:lineRule="exact"/>
              <w:rPr>
                <w:sz w:val="20"/>
                <w:szCs w:val="20"/>
                <w:color w:val="auto"/>
              </w:rPr>
            </w:pPr>
            <w:r>
              <w:rPr>
                <w:rFonts w:ascii="Arial" w:cs="Arial" w:eastAsia="Arial" w:hAnsi="Arial"/>
                <w:sz w:val="13"/>
                <w:szCs w:val="13"/>
                <w:b w:val="1"/>
                <w:bCs w:val="1"/>
                <w:color w:val="auto"/>
                <w:w w:val="97"/>
              </w:rPr>
              <w:t>Number of Securities</w:t>
            </w:r>
          </w:p>
        </w:tc>
        <w:tc>
          <w:tcPr>
            <w:tcW w:w="2080" w:type="dxa"/>
            <w:vAlign w:val="bottom"/>
            <w:gridSpan w:val="2"/>
          </w:tcPr>
          <w:p>
            <w:pPr>
              <w:jc w:val="center"/>
              <w:ind w:right="600"/>
              <w:spacing w:after="0" w:line="118" w:lineRule="exact"/>
              <w:rPr>
                <w:sz w:val="20"/>
                <w:szCs w:val="20"/>
                <w:color w:val="auto"/>
              </w:rPr>
            </w:pPr>
            <w:r>
              <w:rPr>
                <w:rFonts w:ascii="Arial" w:cs="Arial" w:eastAsia="Arial" w:hAnsi="Arial"/>
                <w:sz w:val="13"/>
                <w:szCs w:val="13"/>
                <w:b w:val="1"/>
                <w:bCs w:val="1"/>
                <w:color w:val="auto"/>
                <w:w w:val="97"/>
              </w:rPr>
              <w:t>Number of Securities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40" w:type="dxa"/>
            <w:vAlign w:val="bottom"/>
            <w:gridSpan w:val="2"/>
          </w:tcPr>
          <w:p>
            <w:pPr>
              <w:jc w:val="center"/>
              <w:ind w:right="980"/>
              <w:spacing w:after="0" w:line="147" w:lineRule="exact"/>
              <w:rPr>
                <w:sz w:val="20"/>
                <w:szCs w:val="20"/>
                <w:color w:val="auto"/>
              </w:rPr>
            </w:pPr>
            <w:r>
              <w:rPr>
                <w:rFonts w:ascii="Arial" w:cs="Arial" w:eastAsia="Arial" w:hAnsi="Arial"/>
                <w:sz w:val="14"/>
                <w:szCs w:val="14"/>
                <w:b w:val="1"/>
                <w:bCs w:val="1"/>
                <w:color w:val="auto"/>
                <w:w w:val="91"/>
              </w:rPr>
              <w:t>Underlying Unexercised</w:t>
            </w:r>
          </w:p>
        </w:tc>
        <w:tc>
          <w:tcPr>
            <w:tcW w:w="20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Underlying Unexercised</w:t>
            </w:r>
          </w:p>
        </w:tc>
        <w:tc>
          <w:tcPr>
            <w:tcW w:w="380" w:type="dxa"/>
            <w:vAlign w:val="bottom"/>
          </w:tcPr>
          <w:p>
            <w:pPr>
              <w:spacing w:after="0"/>
              <w:rPr>
                <w:sz w:val="12"/>
                <w:szCs w:val="12"/>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Exercise</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40" w:type="dxa"/>
            <w:vAlign w:val="bottom"/>
            <w:gridSpan w:val="2"/>
          </w:tcPr>
          <w:p>
            <w:pPr>
              <w:jc w:val="center"/>
              <w:ind w:right="1000"/>
              <w:spacing w:after="0" w:line="147" w:lineRule="exact"/>
              <w:rPr>
                <w:sz w:val="20"/>
                <w:szCs w:val="20"/>
                <w:color w:val="auto"/>
              </w:rPr>
            </w:pPr>
            <w:r>
              <w:rPr>
                <w:rFonts w:ascii="Arial" w:cs="Arial" w:eastAsia="Arial" w:hAnsi="Arial"/>
                <w:sz w:val="14"/>
                <w:szCs w:val="14"/>
                <w:b w:val="1"/>
                <w:bCs w:val="1"/>
                <w:color w:val="auto"/>
                <w:w w:val="90"/>
              </w:rPr>
              <w:t>Options</w:t>
            </w:r>
          </w:p>
        </w:tc>
        <w:tc>
          <w:tcPr>
            <w:tcW w:w="208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40" w:type="dxa"/>
            <w:vAlign w:val="bottom"/>
            <w:gridSpan w:val="2"/>
          </w:tcPr>
          <w:p>
            <w:pPr>
              <w:jc w:val="center"/>
              <w:ind w:right="980"/>
              <w:spacing w:after="0" w:line="147" w:lineRule="exact"/>
              <w:rPr>
                <w:sz w:val="20"/>
                <w:szCs w:val="20"/>
                <w:color w:val="auto"/>
              </w:rPr>
            </w:pPr>
            <w:r>
              <w:rPr>
                <w:rFonts w:ascii="Arial" w:cs="Arial" w:eastAsia="Arial" w:hAnsi="Arial"/>
                <w:sz w:val="14"/>
                <w:szCs w:val="14"/>
                <w:b w:val="1"/>
                <w:bCs w:val="1"/>
                <w:color w:val="auto"/>
                <w:w w:val="89"/>
              </w:rPr>
              <w:t>Exercisable</w:t>
            </w:r>
          </w:p>
        </w:tc>
        <w:tc>
          <w:tcPr>
            <w:tcW w:w="208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w w:val="88"/>
              </w:rPr>
              <w:t>Unexercisable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960"/>
              <w:spacing w:after="0" w:line="147" w:lineRule="exact"/>
              <w:rPr>
                <w:sz w:val="20"/>
                <w:szCs w:val="20"/>
                <w:color w:val="auto"/>
              </w:rPr>
            </w:pPr>
            <w:r>
              <w:rPr>
                <w:rFonts w:ascii="Arial" w:cs="Arial" w:eastAsia="Arial" w:hAnsi="Arial"/>
                <w:sz w:val="14"/>
                <w:szCs w:val="14"/>
                <w:b w:val="1"/>
                <w:bCs w:val="1"/>
                <w:color w:val="auto"/>
                <w:w w:val="87"/>
              </w:rPr>
              <w:t>Price</w:t>
            </w: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9"/>
        </w:trPr>
        <w:tc>
          <w:tcPr>
            <w:tcW w:w="400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2"/>
              </w:rPr>
              <w:t>($/share)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6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Francois, M.D., Ph.D.</w:t>
            </w:r>
          </w:p>
        </w:tc>
        <w:tc>
          <w:tcPr>
            <w:tcW w:w="146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73"/>
              </w:rPr>
              <w:t>Cedric</w:t>
            </w:r>
          </w:p>
        </w:tc>
        <w:tc>
          <w:tcPr>
            <w:tcW w:w="364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980" w:type="dxa"/>
            <w:vAlign w:val="bottom"/>
            <w:vMerge w:val="continue"/>
            <w:shd w:val="clear" w:color="auto" w:fill="CCEEFF"/>
          </w:tcPr>
          <w:p>
            <w:pPr>
              <w:spacing w:after="0"/>
              <w:rPr>
                <w:sz w:val="17"/>
                <w:szCs w:val="17"/>
                <w:color w:val="auto"/>
              </w:rPr>
            </w:pP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353,625(2)</w:t>
            </w:r>
          </w:p>
        </w:tc>
        <w:tc>
          <w:tcPr>
            <w:tcW w:w="3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40" w:type="dxa"/>
            <w:vAlign w:val="bottom"/>
            <w:gridSpan w:val="2"/>
          </w:tcPr>
          <w:p>
            <w:pPr>
              <w:jc w:val="right"/>
              <w:ind w:right="780"/>
              <w:spacing w:after="0"/>
              <w:rPr>
                <w:sz w:val="20"/>
                <w:szCs w:val="20"/>
                <w:color w:val="auto"/>
              </w:rPr>
            </w:pPr>
            <w:r>
              <w:rPr>
                <w:rFonts w:ascii="Arial" w:cs="Arial" w:eastAsia="Arial" w:hAnsi="Arial"/>
                <w:sz w:val="18"/>
                <w:szCs w:val="18"/>
                <w:color w:val="auto"/>
              </w:rPr>
              <w:t>386,779(1)</w:t>
            </w:r>
          </w:p>
        </w:tc>
        <w:tc>
          <w:tcPr>
            <w:tcW w:w="2080" w:type="dxa"/>
            <w:vAlign w:val="bottom"/>
            <w:gridSpan w:val="2"/>
          </w:tcPr>
          <w:p>
            <w:pPr>
              <w:jc w:val="right"/>
              <w:ind w:right="600"/>
              <w:spacing w:after="0"/>
              <w:rPr>
                <w:sz w:val="20"/>
                <w:szCs w:val="20"/>
                <w:color w:val="auto"/>
              </w:rPr>
            </w:pPr>
            <w:r>
              <w:rPr>
                <w:rFonts w:ascii="Arial" w:cs="Arial" w:eastAsia="Arial" w:hAnsi="Arial"/>
                <w:sz w:val="18"/>
                <w:szCs w:val="18"/>
                <w:color w:val="auto"/>
              </w:rPr>
              <w:t>128,926</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2.67</w:t>
            </w:r>
          </w:p>
        </w:tc>
        <w:tc>
          <w:tcPr>
            <w:tcW w:w="740" w:type="dxa"/>
            <w:vAlign w:val="bottom"/>
          </w:tcPr>
          <w:p>
            <w:pPr>
              <w:jc w:val="right"/>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13"/>
        </w:trPr>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468,823</w:t>
            </w:r>
          </w:p>
        </w:tc>
        <w:tc>
          <w:tcPr>
            <w:tcW w:w="2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2.14</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13"/>
        </w:trPr>
        <w:tc>
          <w:tcPr>
            <w:tcW w:w="4000" w:type="dxa"/>
            <w:vAlign w:val="bottom"/>
            <w:gridSpan w:val="2"/>
          </w:tcPr>
          <w:p>
            <w:pPr>
              <w:spacing w:after="0"/>
              <w:rPr>
                <w:sz w:val="20"/>
                <w:szCs w:val="20"/>
                <w:color w:val="auto"/>
              </w:rPr>
            </w:pPr>
            <w:r>
              <w:rPr>
                <w:rFonts w:ascii="Arial" w:cs="Arial" w:eastAsia="Arial" w:hAnsi="Arial"/>
                <w:sz w:val="18"/>
                <w:szCs w:val="18"/>
                <w:color w:val="auto"/>
              </w:rPr>
              <w:t>Pascal Deschatelets, Ph.D.</w:t>
            </w:r>
          </w:p>
        </w:tc>
        <w:tc>
          <w:tcPr>
            <w:tcW w:w="24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00"/>
              <w:spacing w:after="0"/>
              <w:rPr>
                <w:sz w:val="20"/>
                <w:szCs w:val="20"/>
                <w:color w:val="auto"/>
              </w:rPr>
            </w:pPr>
            <w:r>
              <w:rPr>
                <w:rFonts w:ascii="Arial" w:cs="Arial" w:eastAsia="Arial" w:hAnsi="Arial"/>
                <w:sz w:val="18"/>
                <w:szCs w:val="18"/>
                <w:color w:val="auto"/>
              </w:rPr>
              <w:t>227,494(4)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3.76</w:t>
            </w:r>
          </w:p>
        </w:tc>
        <w:tc>
          <w:tcPr>
            <w:tcW w:w="740" w:type="dxa"/>
            <w:vAlign w:val="bottom"/>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3"/>
        </w:trPr>
        <w:tc>
          <w:tcPr>
            <w:tcW w:w="3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298,874(1)</w:t>
            </w:r>
          </w:p>
        </w:tc>
        <w:tc>
          <w:tcPr>
            <w:tcW w:w="2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99,625</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40" w:type="dxa"/>
            <w:vAlign w:val="bottom"/>
            <w:gridSpan w:val="2"/>
          </w:tcPr>
          <w:p>
            <w:pPr>
              <w:jc w:val="right"/>
              <w:ind w:right="980"/>
              <w:spacing w:after="0"/>
              <w:rPr>
                <w:sz w:val="20"/>
                <w:szCs w:val="20"/>
                <w:color w:val="auto"/>
              </w:rPr>
            </w:pPr>
            <w:r>
              <w:rPr>
                <w:rFonts w:ascii="Arial" w:cs="Arial" w:eastAsia="Arial" w:hAnsi="Arial"/>
                <w:sz w:val="18"/>
                <w:szCs w:val="18"/>
                <w:color w:val="auto"/>
              </w:rPr>
              <w:t>234,411</w:t>
            </w:r>
          </w:p>
        </w:tc>
        <w:tc>
          <w:tcPr>
            <w:tcW w:w="20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2.14</w:t>
            </w:r>
          </w:p>
        </w:tc>
        <w:tc>
          <w:tcPr>
            <w:tcW w:w="740" w:type="dxa"/>
            <w:vAlign w:val="bottom"/>
          </w:tcPr>
          <w:p>
            <w:pPr>
              <w:jc w:val="right"/>
              <w:spacing w:after="0"/>
              <w:rPr>
                <w:sz w:val="20"/>
                <w:szCs w:val="20"/>
                <w:color w:val="auto"/>
              </w:rPr>
            </w:pPr>
            <w:r>
              <w:rPr>
                <w:rFonts w:ascii="Arial" w:cs="Arial" w:eastAsia="Arial" w:hAnsi="Arial"/>
                <w:sz w:val="18"/>
                <w:szCs w:val="18"/>
                <w:color w:val="auto"/>
              </w:rPr>
              <w:t>5/12/20</w:t>
            </w:r>
          </w:p>
        </w:tc>
        <w:tc>
          <w:tcPr>
            <w:tcW w:w="0" w:type="dxa"/>
            <w:vAlign w:val="bottom"/>
          </w:tcPr>
          <w:p>
            <w:pPr>
              <w:spacing w:after="0"/>
              <w:rPr>
                <w:sz w:val="1"/>
                <w:szCs w:val="1"/>
                <w:color w:val="auto"/>
              </w:rPr>
            </w:pPr>
          </w:p>
        </w:tc>
      </w:tr>
      <w:tr>
        <w:trPr>
          <w:trHeight w:val="213"/>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Watson</w:t>
            </w:r>
          </w:p>
        </w:tc>
        <w:tc>
          <w:tcPr>
            <w:tcW w:w="24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23,441(4)</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3.76</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440" w:type="dxa"/>
            <w:vAlign w:val="bottom"/>
            <w:gridSpan w:val="2"/>
          </w:tcPr>
          <w:p>
            <w:pPr>
              <w:jc w:val="right"/>
              <w:ind w:right="780"/>
              <w:spacing w:after="0"/>
              <w:rPr>
                <w:sz w:val="20"/>
                <w:szCs w:val="20"/>
                <w:color w:val="auto"/>
              </w:rPr>
            </w:pPr>
            <w:r>
              <w:rPr>
                <w:rFonts w:ascii="Arial" w:cs="Arial" w:eastAsia="Arial" w:hAnsi="Arial"/>
                <w:sz w:val="18"/>
                <w:szCs w:val="18"/>
                <w:color w:val="auto"/>
              </w:rPr>
              <w:t>51,277(3)</w:t>
            </w:r>
          </w:p>
        </w:tc>
        <w:tc>
          <w:tcPr>
            <w:tcW w:w="2080" w:type="dxa"/>
            <w:vAlign w:val="bottom"/>
            <w:gridSpan w:val="2"/>
          </w:tcPr>
          <w:p>
            <w:pPr>
              <w:jc w:val="right"/>
              <w:ind w:right="600"/>
              <w:spacing w:after="0"/>
              <w:rPr>
                <w:sz w:val="20"/>
                <w:szCs w:val="20"/>
                <w:color w:val="auto"/>
              </w:rPr>
            </w:pPr>
            <w:r>
              <w:rPr>
                <w:rFonts w:ascii="Arial" w:cs="Arial" w:eastAsia="Arial" w:hAnsi="Arial"/>
                <w:sz w:val="18"/>
                <w:szCs w:val="18"/>
                <w:color w:val="auto"/>
              </w:rPr>
              <w:t>19,045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2.67</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12/31/23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83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3" w:lineRule="exact"/>
        <w:rPr>
          <w:sz w:val="20"/>
          <w:szCs w:val="20"/>
          <w:color w:val="auto"/>
        </w:rPr>
      </w:pPr>
    </w:p>
    <w:p>
      <w:pPr>
        <w:ind w:left="440" w:right="360" w:hanging="433"/>
        <w:spacing w:after="0" w:line="283"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Granted on December 5, 2013 and vested as to 25% of the shares underlying the option on December 5, 2014. The remaining 75% of the shares underlying the option will vest in equal monthly installments thereafter through December 5, 2017, subject to continued service. All shares subject to vesting under this option grant will vest in full and become immediately exercisable upon the closing of a change in control of our company.</w:t>
      </w:r>
    </w:p>
    <w:p>
      <w:pPr>
        <w:ind w:left="440" w:right="140" w:hanging="433"/>
        <w:spacing w:after="0" w:line="278" w:lineRule="auto"/>
        <w:tabs>
          <w:tab w:leader="none" w:pos="4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Granted on February 8, 2016. This option grant will vest as to 25% of the shares underlying the option on February 8, 2017. The remaining 75% of the shares underlying the option will vest in equal monthly installments thereafter through February 8, 2020, subject to continued service. All shares subject to vesting under this option grant will vest in full and become immediately exercisable upon the closing of a change in control of our company.</w:t>
      </w:r>
    </w:p>
    <w:p>
      <w:pPr>
        <w:ind w:left="440" w:right="20" w:hanging="433"/>
        <w:spacing w:after="0" w:line="272" w:lineRule="auto"/>
        <w:tabs>
          <w:tab w:leader="none" w:pos="4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Granted on January 1, 2014 and vested as to 25% of the shares underlying the option on January 1, 2015. The remaining 75% of the shares underlying the option will vest in equal monthly installments thereafter through January 1, 2018, subject to continued service. All shares subject to vesting under this option grant will vest in full and become immediately exercisable upon the closing of a change in control of our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right="20" w:hanging="433"/>
        <w:spacing w:after="0" w:line="273" w:lineRule="auto"/>
        <w:tabs>
          <w:tab w:leader="none" w:pos="4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Granted on February 8, 2016. This option grant will vest as to 25% of the shares underlying the option on February 8, 2017. The remaining 75% of the shares underlying the option will vest in equal monthly installments thereafter through February 8, 2020, subject to continued service. Upon a termination without cause or a resignation for good reason of the executive officer within 12 months after the closing of a change of control of our company, 50% of the shares subject to vesting under this option grant will vest in full and become immediately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in Control Arrangements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currently have employment agreements with our named executive officers, although we may enter into such agreements in the future.</w:t>
      </w:r>
    </w:p>
    <w:p>
      <w:pPr>
        <w:spacing w:after="0" w:line="231"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Under our 2010 equity incentive plan, as amended to date, or the 2010 plan, upon a change in control (as defined in the 2010 plan) any outstanding awards then held by a named executive officer which are unexercisable or otherwise unvested or subject to lapse restrictions will automatically be deemed exercisable or vested or no longer subject to lapse restrictions (as the case may be). We do not have any other agreements with our named executive officers that provide for payments upon termination, retirement or in connection with a change in control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119" w:lineRule="exact"/>
        <w:rPr>
          <w:sz w:val="20"/>
          <w:szCs w:val="20"/>
          <w:color w:val="auto"/>
        </w:rPr>
      </w:pPr>
    </w:p>
    <w:p>
      <w:pPr>
        <w:ind w:right="260" w:firstLine="457"/>
        <w:spacing w:after="0" w:line="304" w:lineRule="auto"/>
        <w:rPr>
          <w:sz w:val="20"/>
          <w:szCs w:val="20"/>
          <w:color w:val="auto"/>
        </w:rPr>
      </w:pPr>
      <w:r>
        <w:rPr>
          <w:rFonts w:ascii="Arial" w:cs="Arial" w:eastAsia="Arial" w:hAnsi="Arial"/>
          <w:sz w:val="16"/>
          <w:szCs w:val="16"/>
          <w:color w:val="auto"/>
        </w:rPr>
        <w:t>The equity incentive plans described in this section are our 2017 stock incentive plan, or the 2017 plan, our 2017 employee stock purchase plan, or the 2017 ESPP, and our 2010 plan. Prior to this offering, we granted awards to eligible participants under the 2010 plan. Following the effectiveness of the registration statement of which this prospectus forms a part, we expect to grant awards to eligible participants only under the 2017 plan.</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1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October 2017, our board of directors adopted and our stockholders approved the 2017 plan, which became effective immediately upon the effectiveness of the registration statement of which this prospectus forms a part. The 2017 plan provides for the grant of incentive stock options, nonstatutory stock options, stock appreciation rights, awards of restricted stock, restricted stock units and other stock-based awards. The number of shares of our common stock reserved for issuance under the 2017 plan is the sum of (i) 1,359,587 shares plus (ii) an additional number of shares of our common stock equal to the sum of (a) the number of shares of our common stock reserved for issuance under the 2010 plan that remained available for future issuance immediately prior to the effectiveness of the 2017 plan, which was 299,567 shares, and (b) the number of shares of our common stock subject to outstanding awards under our 2010 plan upon effectiveness of the 2017 plan that expire, terminate or are otherwise surrendered, cancelled, forfeited or repurchased by us at their original issuance price pursuant to a contractual repurchase right plus (iii) an annual increase, to be added the first day of each fiscal year, beginning with the fiscal year ending December 31, 2018 and continuing until, and including, the fiscal year ending December 31, 2027, equal to the lowest of 4,219,409 shares of our common stock, 4.0% of the number of shares of our common stock outstanding on the first day of the fiscal year and an amount determined by our board of directors. Our employees, officers, directors, consultants and advisors are eligible to receive awards under the 2017 plan; however, incentive stock options may only be granted to our employees.</w:t>
      </w:r>
    </w:p>
    <w:p>
      <w:pPr>
        <w:spacing w:after="0" w:line="184" w:lineRule="exact"/>
        <w:rPr>
          <w:sz w:val="20"/>
          <w:szCs w:val="20"/>
          <w:color w:val="auto"/>
        </w:rPr>
      </w:pPr>
    </w:p>
    <w:p>
      <w:pPr>
        <w:ind w:right="80" w:firstLine="457"/>
        <w:spacing w:after="0" w:line="267" w:lineRule="auto"/>
        <w:rPr>
          <w:sz w:val="20"/>
          <w:szCs w:val="20"/>
          <w:color w:val="auto"/>
        </w:rPr>
      </w:pPr>
      <w:r>
        <w:rPr>
          <w:rFonts w:ascii="Arial" w:cs="Arial" w:eastAsia="Arial" w:hAnsi="Arial"/>
          <w:sz w:val="18"/>
          <w:szCs w:val="18"/>
          <w:color w:val="auto"/>
        </w:rPr>
        <w:t>Pursuant to the terms of the 2017 plan, our board of directors (or a committee delegated by our board of directors) administers the 2017 plan and, subject to any limitations set forth in the 2017 plan, will select the recipients of awards and determine:</w:t>
      </w:r>
    </w:p>
    <w:p>
      <w:pPr>
        <w:spacing w:after="0" w:line="86" w:lineRule="exact"/>
        <w:rPr>
          <w:sz w:val="20"/>
          <w:szCs w:val="20"/>
          <w:color w:val="auto"/>
        </w:rPr>
      </w:pPr>
    </w:p>
    <w:p>
      <w:pPr>
        <w:ind w:left="680" w:hanging="220"/>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of shares of common stock covered by options and the dates upon which those options become exercisable;</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type of options to be granted;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 of options, which price must be at least equal to the fair market value of our common stock on the date of grant;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duration of options, which may not be in excess of ten years;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methods of payment of the exercise price of options; and</w:t>
      </w:r>
    </w:p>
    <w:p>
      <w:pPr>
        <w:spacing w:after="0" w:line="126" w:lineRule="exact"/>
        <w:rPr>
          <w:rFonts w:ascii="Arial" w:cs="Arial" w:eastAsia="Arial" w:hAnsi="Arial"/>
          <w:sz w:val="18"/>
          <w:szCs w:val="18"/>
          <w:color w:val="auto"/>
        </w:rPr>
      </w:pPr>
    </w:p>
    <w:p>
      <w:pPr>
        <w:ind w:left="680" w:right="120" w:hanging="220"/>
        <w:spacing w:after="0" w:line="254" w:lineRule="auto"/>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shares of our common stock subject to, and the terms of, any stock appreciation rights, awards of restricted stock, restricted stock units or other stock-based awards, including the issue price, conditions for repurchase, repurchase price and performance conditions (though the measurement price of stock appreciation rights must be at least equal to the fair market value of our common stock on the date of grant and the duration of such awards may not be in excess of ten years), if any.</w:t>
      </w:r>
    </w:p>
    <w:p>
      <w:pPr>
        <w:spacing w:after="0" w:line="191"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If our board of directors delegates authority to an executive officer to grant awards under the 2017 plan, the executive officer will have the power to make awards to all of our employees, except executive officers. Our board of directors will fix the terms of the awards to be granted by such executive officer, including the exercise price of such awards (or a formula for establishing such price), and the maximum number of shares subject to awards that such executive officer may make.</w:t>
      </w:r>
    </w:p>
    <w:p>
      <w:pPr>
        <w:spacing w:after="0" w:line="191" w:lineRule="exact"/>
        <w:rPr>
          <w:sz w:val="20"/>
          <w:szCs w:val="20"/>
          <w:color w:val="auto"/>
        </w:rPr>
      </w:pPr>
    </w:p>
    <w:p>
      <w:pPr>
        <w:ind w:right="160" w:firstLine="457"/>
        <w:spacing w:after="0" w:line="279" w:lineRule="auto"/>
        <w:rPr>
          <w:sz w:val="20"/>
          <w:szCs w:val="20"/>
          <w:color w:val="auto"/>
        </w:rPr>
      </w:pPr>
      <w:r>
        <w:rPr>
          <w:rFonts w:ascii="Arial" w:cs="Arial" w:eastAsia="Arial" w:hAnsi="Arial"/>
          <w:sz w:val="17"/>
          <w:szCs w:val="17"/>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by the 2017 plan to make equitable adjustments (or make substitute awards, if applicable), in a manner determined by our board, to:</w:t>
      </w:r>
    </w:p>
    <w:p>
      <w:pPr>
        <w:spacing w:after="0" w:line="78" w:lineRule="exact"/>
        <w:rPr>
          <w:sz w:val="20"/>
          <w:szCs w:val="20"/>
          <w:color w:val="auto"/>
        </w:rPr>
      </w:pPr>
    </w:p>
    <w:p>
      <w:pPr>
        <w:ind w:left="680" w:hanging="22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and class of securities available under the 2017 plan;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 counting rules under the 2017 plan;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number and class of securities and exercise price per share of each outstanding option;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 and per-share provisions and measurement price of each outstanding stock appreciation right;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number of shares and the repurchase price per share subject to each outstanding restricted stock award or restricted stock unit award; and</w:t>
      </w:r>
    </w:p>
    <w:p>
      <w:pPr>
        <w:spacing w:after="0" w:line="137" w:lineRule="exact"/>
        <w:rPr>
          <w:rFonts w:ascii="Arial" w:cs="Arial" w:eastAsia="Arial" w:hAnsi="Arial"/>
          <w:sz w:val="17"/>
          <w:szCs w:val="17"/>
          <w:color w:val="auto"/>
        </w:rPr>
      </w:pPr>
    </w:p>
    <w:p>
      <w:pPr>
        <w:ind w:left="680" w:hanging="220"/>
        <w:spacing w:after="0"/>
        <w:tabs>
          <w:tab w:leader="none" w:pos="6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share and per-share related provisions and purchase price, if any, of any outstanding other stock-based award.</w:t>
      </w:r>
    </w:p>
    <w:p>
      <w:pPr>
        <w:spacing w:after="0" w:line="220" w:lineRule="exact"/>
        <w:rPr>
          <w:sz w:val="20"/>
          <w:szCs w:val="20"/>
          <w:color w:val="auto"/>
        </w:rPr>
      </w:pPr>
    </w:p>
    <w:p>
      <w:pPr>
        <w:ind w:right="100" w:firstLine="457"/>
        <w:spacing w:after="0" w:line="279" w:lineRule="auto"/>
        <w:rPr>
          <w:sz w:val="20"/>
          <w:szCs w:val="20"/>
          <w:color w:val="auto"/>
        </w:rPr>
      </w:pPr>
      <w:r>
        <w:rPr>
          <w:rFonts w:ascii="Arial" w:cs="Arial" w:eastAsia="Arial" w:hAnsi="Arial"/>
          <w:sz w:val="17"/>
          <w:szCs w:val="17"/>
          <w:color w:val="auto"/>
        </w:rPr>
        <w:t>Upon a merger or other reorganization event (as defined in our 2017 plan), our board of directors, may, on such terms as our board determines (except to the extent specifically provided otherwise in an applicable award agreement or other agreement between the participant and us), take any one or more of the following actions pursuant to the 2017 plan, as to some or all outstanding awards, other than restricted stock awards:</w:t>
      </w:r>
    </w:p>
    <w:p>
      <w:pPr>
        <w:spacing w:after="0" w:line="78" w:lineRule="exact"/>
        <w:rPr>
          <w:sz w:val="20"/>
          <w:szCs w:val="20"/>
          <w:color w:val="auto"/>
        </w:rPr>
      </w:pPr>
    </w:p>
    <w:p>
      <w:pPr>
        <w:ind w:left="680" w:right="120" w:hanging="220"/>
        <w:spacing w:after="0" w:line="26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all outstanding awards will be assumed or substantially equivalent awards will be substituted by the successor corporation (or an affiliate thereof);</w:t>
      </w:r>
    </w:p>
    <w:p>
      <w:pPr>
        <w:spacing w:after="0" w:line="86" w:lineRule="exact"/>
        <w:rPr>
          <w:rFonts w:ascii="Arial" w:cs="Arial" w:eastAsia="Arial" w:hAnsi="Arial"/>
          <w:sz w:val="18"/>
          <w:szCs w:val="18"/>
          <w:color w:val="auto"/>
        </w:rPr>
      </w:pPr>
    </w:p>
    <w:p>
      <w:pPr>
        <w:ind w:left="680" w:right="380" w:hanging="220"/>
        <w:spacing w:after="0" w:line="26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unvested and/or unexercised options or other awards will terminate immediately prior to the consummation of such transaction unless exercised by the participant;</w:t>
      </w:r>
    </w:p>
    <w:p>
      <w:pPr>
        <w:spacing w:after="0" w:line="86" w:lineRule="exact"/>
        <w:rPr>
          <w:rFonts w:ascii="Arial" w:cs="Arial" w:eastAsia="Arial" w:hAnsi="Arial"/>
          <w:sz w:val="18"/>
          <w:szCs w:val="18"/>
          <w:color w:val="auto"/>
        </w:rPr>
      </w:pPr>
    </w:p>
    <w:p>
      <w:pPr>
        <w:ind w:left="680" w:hanging="220"/>
        <w:spacing w:after="0" w:line="267"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the reorganization event;</w:t>
      </w:r>
    </w:p>
    <w:p>
      <w:pPr>
        <w:spacing w:after="0" w:line="86" w:lineRule="exact"/>
        <w:rPr>
          <w:rFonts w:ascii="Arial" w:cs="Arial" w:eastAsia="Arial" w:hAnsi="Arial"/>
          <w:sz w:val="18"/>
          <w:szCs w:val="18"/>
          <w:color w:val="auto"/>
        </w:rPr>
      </w:pPr>
    </w:p>
    <w:p>
      <w:pPr>
        <w:ind w:left="680" w:right="180" w:hanging="220"/>
        <w:spacing w:after="0" w:line="251" w:lineRule="auto"/>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of a reorganization event pursuant to which holders of our common stock will receive a cash payment for each share surrendered in the reorganization event, make or provide for a cash payment to the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line="267" w:lineRule="auto"/>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awards convert into the right to receive liquidation proceeds (if applicable, net of exercise, measurement or purchase price thereof and any applicable tax withholdings); or</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not obligated by the 2017 plan to treat all awards, all awards held by a participant, or all awards of the same type, identically.</w:t>
      </w:r>
    </w:p>
    <w:p>
      <w:pPr>
        <w:spacing w:after="0" w:line="243" w:lineRule="exact"/>
        <w:rPr>
          <w:sz w:val="20"/>
          <w:szCs w:val="20"/>
          <w:color w:val="auto"/>
        </w:rPr>
      </w:pPr>
    </w:p>
    <w:p>
      <w:pPr>
        <w:ind w:right="140" w:firstLine="457"/>
        <w:spacing w:after="0" w:line="267" w:lineRule="auto"/>
        <w:rPr>
          <w:sz w:val="20"/>
          <w:szCs w:val="20"/>
          <w:color w:val="auto"/>
        </w:rPr>
      </w:pPr>
      <w:r>
        <w:rPr>
          <w:rFonts w:ascii="Arial" w:cs="Arial" w:eastAsia="Arial" w:hAnsi="Arial"/>
          <w:sz w:val="18"/>
          <w:szCs w:val="18"/>
          <w:color w:val="auto"/>
        </w:rPr>
        <w:t>In the case of certain restricted stock units, no assumption or substitution is permitted, and the restricted stock units will instead be settled in accordance with the terms of the applicable restricted stock unit agreement.</w:t>
      </w:r>
    </w:p>
    <w:p>
      <w:pPr>
        <w:spacing w:after="0" w:line="180"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Upon the occurrence of a reorganization event other than a liquidation or dissolution, the repurchase and other rights under each outstanding restricted stock award will continue for the benefit of the successor company and will, unless our board of directors may otherwise determine, apply to the cash, securities or other property which our common stock is converted into or exchanged for pursuant to the reorganization event, unless our board provided for the termination or deemed satisfaction of such repurchase or other rights under the restricted stock award agreement or any other agreement between the participant and us. Upon the occurrence of a reorganization event involving a liquidation or dissolution, all restrictions and conditions on each outstanding restricted stock award will automatically be deemed terminated or satisfied, unless otherwise provided in the agreement evidencing the restricted stock award or in any other agreement between the participant and us.</w:t>
      </w:r>
    </w:p>
    <w:p>
      <w:pPr>
        <w:spacing w:after="0" w:line="185" w:lineRule="exact"/>
        <w:rPr>
          <w:sz w:val="20"/>
          <w:szCs w:val="20"/>
          <w:color w:val="auto"/>
        </w:rPr>
      </w:pPr>
    </w:p>
    <w:p>
      <w:pPr>
        <w:ind w:right="380" w:firstLine="457"/>
        <w:spacing w:after="0" w:line="267" w:lineRule="auto"/>
        <w:rPr>
          <w:sz w:val="20"/>
          <w:szCs w:val="20"/>
          <w:color w:val="auto"/>
        </w:rPr>
      </w:pPr>
      <w:r>
        <w:rPr>
          <w:rFonts w:ascii="Arial" w:cs="Arial" w:eastAsia="Arial" w:hAnsi="Arial"/>
          <w:sz w:val="18"/>
          <w:szCs w:val="18"/>
          <w:color w:val="auto"/>
        </w:rPr>
        <w:t>Our board of directors may at any time provide that any award under the 2017 plan shall become immediately exercisable in whole or in part, free of some or all restrictions or conditions, or otherwise realizable in whole or in part, as the case may be.</w:t>
      </w:r>
    </w:p>
    <w:p>
      <w:pPr>
        <w:spacing w:after="0" w:line="180" w:lineRule="exact"/>
        <w:rPr>
          <w:sz w:val="20"/>
          <w:szCs w:val="20"/>
          <w:color w:val="auto"/>
        </w:rPr>
      </w:pPr>
    </w:p>
    <w:p>
      <w:pPr>
        <w:ind w:right="320" w:firstLine="457"/>
        <w:spacing w:after="0" w:line="252" w:lineRule="auto"/>
        <w:rPr>
          <w:sz w:val="20"/>
          <w:szCs w:val="20"/>
          <w:color w:val="auto"/>
        </w:rPr>
      </w:pPr>
      <w:r>
        <w:rPr>
          <w:rFonts w:ascii="Arial" w:cs="Arial" w:eastAsia="Arial" w:hAnsi="Arial"/>
          <w:sz w:val="18"/>
          <w:szCs w:val="18"/>
          <w:color w:val="auto"/>
        </w:rPr>
        <w:t>Except with respect to certain actions requiring stockholder approval under the Internal Revenue Code or NASDAQ rules, our board of directors may amend, modify or terminate any outstanding award under the 2017 plan, including but not limited to, substituting therefor another award of the same or a different type, changing the date of exercise or realization, and converting an incentive stock option into a nonstatutory stock option, subject to certain participant consent requirements. Unless our stockholders approve such action, the 2017 plan provides that we may not (except as otherwise permitted in connection with a change in capitalization or reorganization event):</w:t>
      </w:r>
    </w:p>
    <w:p>
      <w:pPr>
        <w:spacing w:after="0" w:line="100" w:lineRule="exact"/>
        <w:rPr>
          <w:sz w:val="20"/>
          <w:szCs w:val="20"/>
          <w:color w:val="auto"/>
        </w:rPr>
      </w:pPr>
    </w:p>
    <w:p>
      <w:pPr>
        <w:ind w:left="680" w:right="40" w:hanging="220"/>
        <w:spacing w:after="0" w:line="26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any outstanding stock option or stock appreciation right granted under the 2017 plan to provide an exercise or measurement price per share that is lower than the then-current exercise or measurement price per share of such outstanding award;</w:t>
      </w:r>
    </w:p>
    <w:p>
      <w:pPr>
        <w:spacing w:after="0" w:line="86" w:lineRule="exact"/>
        <w:rPr>
          <w:rFonts w:ascii="Arial" w:cs="Arial" w:eastAsia="Arial" w:hAnsi="Arial"/>
          <w:sz w:val="18"/>
          <w:szCs w:val="18"/>
          <w:color w:val="auto"/>
        </w:rPr>
      </w:pPr>
    </w:p>
    <w:p>
      <w:pPr>
        <w:ind w:left="680" w:right="200" w:hanging="220"/>
        <w:spacing w:after="0" w:line="273" w:lineRule="auto"/>
        <w:tabs>
          <w:tab w:leader="none" w:pos="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cancel any outstanding option or stock appreciation right (whether or not granted under the 2017 plan) and grant in substitution therefor new awards under the 2017 plan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84" w:lineRule="exact"/>
        <w:rPr>
          <w:rFonts w:ascii="Arial" w:cs="Arial" w:eastAsia="Arial" w:hAnsi="Arial"/>
          <w:sz w:val="17"/>
          <w:szCs w:val="17"/>
          <w:color w:val="auto"/>
        </w:rPr>
      </w:pPr>
    </w:p>
    <w:p>
      <w:pPr>
        <w:ind w:left="680" w:right="220" w:hanging="220"/>
        <w:spacing w:after="0" w:line="267" w:lineRule="auto"/>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cancel in exchange for a cash payment any outstanding option or stock appreciation right with an exercise or measurement price per share above the then-current fair market value of our common stock; or</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take any other action that constitutes a “repricing” within the meaning of the NASDAQ rules.</w:t>
      </w:r>
    </w:p>
    <w:p>
      <w:pPr>
        <w:spacing w:after="0" w:line="220" w:lineRule="exact"/>
        <w:rPr>
          <w:sz w:val="20"/>
          <w:szCs w:val="20"/>
          <w:color w:val="auto"/>
        </w:rPr>
      </w:pPr>
    </w:p>
    <w:p>
      <w:pPr>
        <w:ind w:right="500" w:firstLine="457"/>
        <w:spacing w:after="0" w:line="331" w:lineRule="auto"/>
        <w:rPr>
          <w:sz w:val="20"/>
          <w:szCs w:val="20"/>
          <w:color w:val="auto"/>
        </w:rPr>
      </w:pPr>
      <w:r>
        <w:rPr>
          <w:rFonts w:ascii="Arial" w:cs="Arial" w:eastAsia="Arial" w:hAnsi="Arial"/>
          <w:sz w:val="16"/>
          <w:szCs w:val="16"/>
          <w:color w:val="auto"/>
        </w:rPr>
        <w:t>No award may be granted under the 2017 plan after 10 years from the effective date of this offering. Our board of directors may amend, suspend or terminate the 2017 plan at any time, except that stockholder approval will be required to comply with applicable law or stock market requirements.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2010 Equity Incentive Plan</w:t>
      </w:r>
    </w:p>
    <w:p>
      <w:pPr>
        <w:spacing w:after="0" w:line="113"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Our 2010 plan was adopted by our board of directors in May 2010 and approved by our stockholders in December 2010. An amendment to the 2010 plan to increase the number of shares underlying the 2010 plan from 1,172,058 shares to 2,437,880 shares was adopted by our board of directors in July 2013, and approved by our stockholders in July 2013. A second amendment to the 2010 plan to increase the number of shares underlying the 2010 plan from 2,437,880 shares to 3,375,527 shares was adopted by our board of directors, and approved by our stockholders, in November 2014. A third amendment to the 2010 plan to provide the compensation committee with the ability to vest awards at the time of a change of control was adopted by our board of directors in February 2016. A fourth amendment to the 2010 plan to increase the number of shares underlying the 2010 plan from 3,375,527 shares to 4,781,997 shares was adopted by our board of directors in June 2016, and approved by our stockholders, in September 2016. A fifth amendment to the 2010 plan to increase the number of shares underlying the 2010 plan from 4,781,997 shares to 6,188,466 shares was adopted by our board of directors and approved by our stockholders in August 2017. Our 2010 plan provides for the grant of incentive stock options, nonqualified stock options, restricted stock awards, stock appreciation rights, performance share awards, performance stock units, dividend equivalents, stock payments, deferred stock, restricted stock units, other stock-based awards and performance bonus awards. Our employees, directors, and consultants are eligible to receive awards under our 2010 plan; however, incentive stock options may only be granted to our employees. Our board of directors (or a committee delegated by our board of directors) administers the 2010 plan.</w:t>
      </w:r>
    </w:p>
    <w:p>
      <w:pPr>
        <w:spacing w:after="0" w:line="170" w:lineRule="exact"/>
        <w:rPr>
          <w:sz w:val="20"/>
          <w:szCs w:val="20"/>
          <w:color w:val="auto"/>
        </w:rPr>
      </w:pPr>
    </w:p>
    <w:p>
      <w:pPr>
        <w:ind w:firstLine="457"/>
        <w:spacing w:after="0" w:line="304" w:lineRule="auto"/>
        <w:rPr>
          <w:sz w:val="20"/>
          <w:szCs w:val="20"/>
          <w:color w:val="auto"/>
        </w:rPr>
      </w:pPr>
      <w:r>
        <w:rPr>
          <w:rFonts w:ascii="Arial" w:cs="Arial" w:eastAsia="Arial" w:hAnsi="Arial"/>
          <w:sz w:val="16"/>
          <w:szCs w:val="16"/>
          <w:color w:val="auto"/>
        </w:rPr>
        <w:t>The 2010 plan provides that a maximum of 6,188,466 shares of our common stock are authorized for issuance under the plan. The 2010 plan expires on May 12, 2020, and no incentive stock options or other awards may be granted under the 2010 plan after such date. Our board of directors may terminate, amend or modify the 2010 plan at any time, except that stockholder approval may be required to comply with applicable law or stock market requirements.</w:t>
      </w:r>
    </w:p>
    <w:p>
      <w:pPr>
        <w:spacing w:after="0" w:line="154"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In the event of any change in the outstanding shares of our stock by reason of any stock dividend or split, reorganization, recapitalization, merger, consolidation, spin-off, combination or transaction or exchange of shares of stock or other corporate exchange, or any distribution to our stockholders of shares of stock or cash other than regular cash dividends or any transaction similar to the foregoing, we shall make such substitution or adjustment, if any, as our board of directors deems to be equitable, as to:</w:t>
      </w:r>
    </w:p>
    <w:p>
      <w:pPr>
        <w:spacing w:after="0" w:line="97" w:lineRule="exact"/>
        <w:rPr>
          <w:sz w:val="20"/>
          <w:szCs w:val="20"/>
          <w:color w:val="auto"/>
        </w:rPr>
      </w:pPr>
    </w:p>
    <w:p>
      <w:pPr>
        <w:ind w:left="680" w:hanging="220"/>
        <w:spacing w:after="0"/>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number and kind of shares of stock or other securities issued or reserved for issuance pursuant to the 2010 plan or pursuant to outstanding awards;</w:t>
      </w:r>
    </w:p>
    <w:p>
      <w:pPr>
        <w:spacing w:after="0" w:line="172" w:lineRule="exact"/>
        <w:rPr>
          <w:rFonts w:ascii="Arial" w:cs="Arial" w:eastAsia="Arial" w:hAnsi="Arial"/>
          <w:sz w:val="14"/>
          <w:szCs w:val="14"/>
          <w:color w:val="auto"/>
        </w:rPr>
      </w:pPr>
    </w:p>
    <w:p>
      <w:pPr>
        <w:ind w:left="680" w:right="60" w:hanging="220"/>
        <w:spacing w:after="0" w:line="267"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maximum number of shares of stock for which options or stock appreciation rights may be granted during a calendar year to any participant in the 2010 plan;</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maximum amount of a performance-based award that may be granted during a calendar year to any participant;</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exercise price of any option or stock appreciation right;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affected terms of such awards under the 2010 plan.</w:t>
      </w:r>
    </w:p>
    <w:p>
      <w:pPr>
        <w:spacing w:after="0" w:line="220" w:lineRule="exact"/>
        <w:rPr>
          <w:sz w:val="20"/>
          <w:szCs w:val="20"/>
          <w:color w:val="auto"/>
        </w:rPr>
      </w:pPr>
    </w:p>
    <w:p>
      <w:pPr>
        <w:jc w:val="both"/>
        <w:ind w:right="80" w:firstLine="457"/>
        <w:spacing w:after="0" w:line="254" w:lineRule="auto"/>
        <w:rPr>
          <w:sz w:val="20"/>
          <w:szCs w:val="20"/>
          <w:color w:val="auto"/>
        </w:rPr>
      </w:pPr>
      <w:r>
        <w:rPr>
          <w:rFonts w:ascii="Arial" w:cs="Arial" w:eastAsia="Arial" w:hAnsi="Arial"/>
          <w:sz w:val="18"/>
          <w:szCs w:val="18"/>
          <w:color w:val="auto"/>
        </w:rPr>
        <w:t>Immediately prior to any change of control, as defined in the 2010 plan, or at such earlier date as provided thereunder, any outstanding awards then held by participants which are unexercisable or otherwise unvested or subject to lapse restrictions shall automatically be deemed exercisable or vested or no longer subject to lapse restrictions (as the case may be). In addition, prior to such change of control, the board of directors shall take one of the following actions with respect to each award issued under the 2010 plan:</w:t>
      </w:r>
    </w:p>
    <w:p>
      <w:pPr>
        <w:spacing w:after="0" w:line="97" w:lineRule="exact"/>
        <w:rPr>
          <w:sz w:val="20"/>
          <w:szCs w:val="20"/>
          <w:color w:val="auto"/>
        </w:rPr>
      </w:pPr>
    </w:p>
    <w:p>
      <w:pPr>
        <w:ind w:left="680" w:right="240" w:hanging="220"/>
        <w:spacing w:after="0" w:line="26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for the termination of such award in exchange for a cash payment equal to the fair value thereof (as determined in the sole discretion of the board of directors and pursuant to the terms of the 2010 plan);</w:t>
      </w:r>
    </w:p>
    <w:p>
      <w:pPr>
        <w:spacing w:after="0" w:line="86" w:lineRule="exact"/>
        <w:rPr>
          <w:rFonts w:ascii="Arial" w:cs="Arial" w:eastAsia="Arial" w:hAnsi="Arial"/>
          <w:sz w:val="18"/>
          <w:szCs w:val="18"/>
          <w:color w:val="auto"/>
        </w:rPr>
      </w:pPr>
    </w:p>
    <w:p>
      <w:pPr>
        <w:ind w:left="680" w:right="220" w:hanging="220"/>
        <w:spacing w:after="0" w:line="25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such award shall be canceled and the participant shall receive in substitution therefor similar fully vested options, rights or awards covering the stock of the successor or surviving or acquiring entity, or a parent or subsidiary thereof, with appropriate adjustments as to the number and kind of shares and prices;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5"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100" w:hanging="220"/>
        <w:spacing w:after="0" w:line="257" w:lineRule="auto"/>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with respect to any award that must be exercised to obtain the benefits thereunder, that for a period of at least fifteen days prior to the change of control, such award shall be exercisable as to all shares of stock subject thereto and that upon the occurrence of the change of control, such award shall terminate and be of no further force and effect; or</w:t>
      </w:r>
    </w:p>
    <w:p>
      <w:pPr>
        <w:spacing w:after="0" w:line="95" w:lineRule="exact"/>
        <w:rPr>
          <w:rFonts w:ascii="Arial" w:cs="Arial" w:eastAsia="Arial" w:hAnsi="Arial"/>
          <w:sz w:val="18"/>
          <w:szCs w:val="18"/>
          <w:color w:val="auto"/>
        </w:rPr>
      </w:pPr>
    </w:p>
    <w:p>
      <w:pPr>
        <w:ind w:left="680" w:right="320" w:hanging="220"/>
        <w:spacing w:after="0" w:line="297" w:lineRule="auto"/>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change of control occurs and our company is the surviving entity in a reorganization, merger or consolidation, to specify that the award, now fully vested and exercisable, shall remain outstanding upon the other terms stated in the applicable award agreement.</w:t>
      </w:r>
    </w:p>
    <w:p>
      <w:pPr>
        <w:spacing w:after="0" w:line="156"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8"/>
          <w:szCs w:val="18"/>
          <w:color w:val="auto"/>
        </w:rPr>
        <w:t>Our board of directors is not obligated by the 2010 plan to treat all awards, all awards held by a participant, or all awards of the same type, identically. In addition, the board may, in its sole discretion, accelerate the exercisability of any award or waive the forfeiture thereof, except in the case of performance-based awards.</w:t>
      </w:r>
    </w:p>
    <w:p>
      <w:pPr>
        <w:spacing w:after="0" w:line="188" w:lineRule="exact"/>
        <w:rPr>
          <w:sz w:val="20"/>
          <w:szCs w:val="20"/>
          <w:color w:val="auto"/>
        </w:rPr>
      </w:pPr>
    </w:p>
    <w:p>
      <w:pPr>
        <w:ind w:firstLine="457"/>
        <w:spacing w:after="0" w:line="304" w:lineRule="auto"/>
        <w:rPr>
          <w:sz w:val="20"/>
          <w:szCs w:val="20"/>
          <w:color w:val="auto"/>
        </w:rPr>
      </w:pPr>
      <w:r>
        <w:rPr>
          <w:rFonts w:ascii="Arial" w:cs="Arial" w:eastAsia="Arial" w:hAnsi="Arial"/>
          <w:sz w:val="16"/>
          <w:szCs w:val="16"/>
          <w:color w:val="auto"/>
        </w:rPr>
        <w:t>In January 2016, our board of directors approved the repricing of 93,762 stock options that had exercise prices between $6.81 and $6.89 per share, to the estimated fair value of common stock, determined to be an exercise price of $3.76 per share. We repriced these options to align stock option exercise prices with the fair market value of common stock at that time and maintain our equity awards as an important retention tool for our key employees.</w:t>
      </w:r>
    </w:p>
    <w:p>
      <w:pPr>
        <w:spacing w:after="0" w:line="154"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As of September 30, 2017, there were options to purchase 5,152,119 shares of our common stock outstanding under the 2010 plan, at a weighted-average exercise price of $3.03 per share, and options to purchase 45,270 shares of our common stock had been exercised. Since September 30, 2017, we have granted additional options to purchase an aggregate of 738,392 shares of our common stock under our 2010 equity incentive plan, at an exercise price of $10.03. Effective upon the effectiveness of our 2017 plan, we will no longer grant stock options or other awards under the 2010 plan. However, any shares of common stock subject to awards under our 2010 plan that expire, terminate, or are otherwise surrendered, canceled, forfeited or repurchased without having been fully exercised or resulting in any common stock being issued will become available for issuance under our 2017 plan.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13"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In October 2017, our board of directors adopted and our stockholders approved the 2017 ESPP, which became effective immediately upon the effectiveness of the registration statement of which this prospectus forms a part. The 2017 ESPP will be administered by our board of directors or by a committee appointed by our board of directors. The 2017 ESPP initially provides participating employees with the opportunity to purchase up to an aggregate of 468,823 shares of our common stock. The number of shares of our common stock reserved for issuance under the 2017 ESPP will automatically increase on the first day of each fiscal year, beginning with the fiscal year ending December 31, 2018 and continuing until, and including, the fiscal year ending December 31, 2027, equal to the lowest of (i) 937,646 shares of our common stock, (ii) 1.0% of the number of shares of our common stock outstanding on the first day of the fiscal year and (iii) an amount determined by our board of directors.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employees or employees of any designated subsidiary, as defined in the 2017 ESPP, are eligible to participate in the 2017 ESPP, provided that:</w:t>
      </w:r>
    </w:p>
    <w:p>
      <w:pPr>
        <w:spacing w:after="0" w:line="149" w:lineRule="exact"/>
        <w:rPr>
          <w:sz w:val="20"/>
          <w:szCs w:val="20"/>
          <w:color w:val="auto"/>
        </w:rPr>
      </w:pPr>
    </w:p>
    <w:p>
      <w:pPr>
        <w:ind w:left="680" w:hanging="220"/>
        <w:spacing w:after="0"/>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person is customarily employed by us or a designated subsidiary for more than 20 hours a week and for more than six months in a calendar year;</w:t>
      </w:r>
    </w:p>
    <w:p>
      <w:pPr>
        <w:spacing w:after="0" w:line="149" w:lineRule="exact"/>
        <w:rPr>
          <w:rFonts w:ascii="Arial" w:cs="Arial" w:eastAsia="Arial" w:hAnsi="Arial"/>
          <w:sz w:val="16"/>
          <w:szCs w:val="16"/>
          <w:color w:val="auto"/>
        </w:rPr>
      </w:pPr>
    </w:p>
    <w:p>
      <w:pPr>
        <w:ind w:left="680" w:hanging="220"/>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person has been employed by us or by a designated subsidiary for at least three months prior to enrolling in the 2017 ESPP;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2017 ESPP.</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457"/>
        <w:spacing w:after="0" w:line="304" w:lineRule="auto"/>
        <w:rPr>
          <w:sz w:val="20"/>
          <w:szCs w:val="20"/>
          <w:color w:val="auto"/>
        </w:rPr>
      </w:pPr>
      <w:r>
        <w:rPr>
          <w:rFonts w:ascii="Arial" w:cs="Arial" w:eastAsia="Arial" w:hAnsi="Arial"/>
          <w:sz w:val="16"/>
          <w:szCs w:val="16"/>
          <w:color w:val="auto"/>
        </w:rPr>
        <w:t>No employee may purchase shares of our common stock under the 2017 ESPP and any of our other employee stock purchase plans in excess of $25,000 of the fair market value of our common stock (as of the date of the option grant) in any calendar year. In addition, no employee may purchase shares of our common stock under the 2017 ESPP that would result in the employee owning 5% or more of the total combined voting power or value of our stock.</w:t>
      </w:r>
    </w:p>
    <w:p>
      <w:pPr>
        <w:spacing w:after="0" w:line="154" w:lineRule="exact"/>
        <w:rPr>
          <w:sz w:val="20"/>
          <w:szCs w:val="20"/>
          <w:color w:val="auto"/>
        </w:rPr>
      </w:pPr>
    </w:p>
    <w:p>
      <w:pPr>
        <w:ind w:right="200" w:firstLine="457"/>
        <w:spacing w:after="0" w:line="254" w:lineRule="auto"/>
        <w:rPr>
          <w:sz w:val="20"/>
          <w:szCs w:val="20"/>
          <w:color w:val="auto"/>
        </w:rPr>
      </w:pPr>
      <w:r>
        <w:rPr>
          <w:rFonts w:ascii="Arial" w:cs="Arial" w:eastAsia="Arial" w:hAnsi="Arial"/>
          <w:sz w:val="18"/>
          <w:szCs w:val="18"/>
          <w:color w:val="auto"/>
        </w:rPr>
        <w:t>We expect to make one or more offerings to our eligible employees to purchase stock under the 2017 ESPP beginning at such time as our board of directors may determine. Each offering will consist of a six-month offering period during which payroll deductions will be made and held for the purchase of our common stock at the end of the offering period. Our board of directors may, at its discretion, choose a different period of not more than 12 months for offerings.</w:t>
      </w:r>
    </w:p>
    <w:p>
      <w:pPr>
        <w:spacing w:after="0" w:line="19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On the commencement date of each offering period, each eligible employee may authorize up to a maximum of 15% of his or her compensation to be deducted by us during the offering period. Each employee who continues to be a participant in the 2017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2017 ESPP, the purchase price shall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last business day of the offering period.</w:t>
      </w:r>
    </w:p>
    <w:p>
      <w:pPr>
        <w:spacing w:after="0" w:line="185" w:lineRule="exact"/>
        <w:rPr>
          <w:sz w:val="20"/>
          <w:szCs w:val="20"/>
          <w:color w:val="auto"/>
        </w:rPr>
      </w:pPr>
    </w:p>
    <w:p>
      <w:pPr>
        <w:ind w:right="100" w:firstLine="457"/>
        <w:spacing w:after="0" w:line="252" w:lineRule="auto"/>
        <w:rPr>
          <w:sz w:val="20"/>
          <w:szCs w:val="20"/>
          <w:color w:val="auto"/>
        </w:rPr>
      </w:pPr>
      <w:r>
        <w:rPr>
          <w:rFonts w:ascii="Arial" w:cs="Arial" w:eastAsia="Arial" w:hAnsi="Arial"/>
          <w:sz w:val="18"/>
          <w:szCs w:val="18"/>
          <w:color w:val="auto"/>
        </w:rPr>
        <w:t>An employee may for any reason withdraw from participation in an offering prior to the end of an offering period and permanently draw out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made and the balance in the employee’s account will be paid to the employee.</w:t>
      </w:r>
    </w:p>
    <w:p>
      <w:pPr>
        <w:spacing w:after="0" w:line="193"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We will be required to make equitable adjustments to the number and class of securities available under the 2017 ESPP, the share limitations under the 2017 ESPP, and the purchase price for an offering period under the 2017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91"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In connection with a merger or other reorganization event, as defined in the 2017 ESPP, our board of directors or a committee of our board of directors may take any one or more of the following actions as to outstanding options to purchase shares of our common stock under the 2017 ESPP on such terms as our board or committee determines:</w:t>
      </w:r>
    </w:p>
    <w:p>
      <w:pPr>
        <w:spacing w:after="0" w:line="95" w:lineRule="exact"/>
        <w:rPr>
          <w:sz w:val="20"/>
          <w:szCs w:val="20"/>
          <w:color w:val="auto"/>
        </w:rPr>
      </w:pPr>
    </w:p>
    <w:p>
      <w:pPr>
        <w:ind w:left="680" w:right="500" w:hanging="220"/>
        <w:spacing w:after="0" w:line="26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options shall be assumed, or substantially equivalent options shall be substituted, by the acquiring or succeeding corporation (or an affiliate thereof);</w:t>
      </w:r>
    </w:p>
    <w:p>
      <w:pPr>
        <w:spacing w:after="0" w:line="86" w:lineRule="exact"/>
        <w:rPr>
          <w:rFonts w:ascii="Arial" w:cs="Arial" w:eastAsia="Arial" w:hAnsi="Arial"/>
          <w:sz w:val="18"/>
          <w:szCs w:val="18"/>
          <w:color w:val="auto"/>
        </w:rPr>
      </w:pPr>
    </w:p>
    <w:p>
      <w:pPr>
        <w:ind w:left="680" w:right="60" w:hanging="220"/>
        <w:spacing w:after="0" w:line="304" w:lineRule="auto"/>
        <w:tabs>
          <w:tab w:leader="none" w:pos="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our board or committee in such notice, which date shall not be less than ten days preceding the effective date of the reorganization event;</w:t>
      </w:r>
    </w:p>
    <w:p>
      <w:pPr>
        <w:spacing w:after="0" w:line="60" w:lineRule="exact"/>
        <w:rPr>
          <w:rFonts w:ascii="Arial" w:cs="Arial" w:eastAsia="Arial" w:hAnsi="Arial"/>
          <w:sz w:val="16"/>
          <w:szCs w:val="16"/>
          <w:color w:val="auto"/>
        </w:rPr>
      </w:pPr>
    </w:p>
    <w:p>
      <w:pPr>
        <w:ind w:left="680" w:right="280" w:hanging="220"/>
        <w:spacing w:after="0" w:line="267" w:lineRule="auto"/>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5"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80" w:hanging="220"/>
        <w:spacing w:after="0" w:line="250"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acquisition price is treated as the fair market value of our common stock on the last day of the applicable offering period for purposes of determining the purchase price and where the number of shares that could be purchased is subject to the applicable limitations under the 2017 ESPP minus (2) the result of multiplying such number of shares by the purchase price; and/or</w:t>
      </w:r>
    </w:p>
    <w:p>
      <w:pPr>
        <w:spacing w:after="0" w:line="102" w:lineRule="exact"/>
        <w:rPr>
          <w:rFonts w:ascii="Arial" w:cs="Arial" w:eastAsia="Arial" w:hAnsi="Arial"/>
          <w:sz w:val="18"/>
          <w:szCs w:val="18"/>
          <w:color w:val="auto"/>
        </w:rPr>
      </w:pPr>
    </w:p>
    <w:p>
      <w:pPr>
        <w:ind w:left="680" w:right="160" w:hanging="220"/>
        <w:spacing w:after="0" w:line="267" w:lineRule="auto"/>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that, in connection with our liquidation or dissolution, options shall convert into the right to receive liquidation proceeds (net of the purchase price thereof).</w:t>
      </w:r>
    </w:p>
    <w:p>
      <w:pPr>
        <w:spacing w:after="0" w:line="180"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Our board of directors may at any time, and from time to time, amend or suspend the 2017 ESPP or any portion thereof. We will obtain stockholder approval for any amendment if such approval is required by Section 423 of the Internal Revenue Code. Further, our board of directors may not make any amendment that would cause the 2017 ESPP to fail to comply with Section 423 of the Internal Revenue Code. The 2017 ESPP may be terminated at any time by our board of directors. Upon termination, we will refund all amounts in the accounts of participating employees.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Retirement Plan</w:t>
      </w:r>
    </w:p>
    <w:p>
      <w:pPr>
        <w:spacing w:after="0" w:line="119"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We maintain a 401(k) retirement plan that is intended to be a tax-qualified defined contribution plan under Section 401(k) of the Code. In general, all of our full-time employees are eligible to participate, beginning on the first day of the month following commencement of their employment. The 401(k) plan includes a salary deferral arrangement pursuant to which participants may elect to reduce their current compensation by up to the statutorily prescribed limit, equal to $18,000 in 2017, and have the amount of the reduction contributed to the 401(k)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19"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Our certificate of incorporation, which will become effective upon the closing of this offering, limits the personal liability of directors for breach of fiduciary duty to the maximum extent permitted by the General Corporation Law of the State of Delaware and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97" w:lineRule="exact"/>
        <w:rPr>
          <w:sz w:val="20"/>
          <w:szCs w:val="20"/>
          <w:color w:val="auto"/>
        </w:rPr>
      </w:pPr>
    </w:p>
    <w:p>
      <w:pPr>
        <w:ind w:left="680" w:hanging="220"/>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0"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such amendment or repeal. If the General Corporation Law of the State of Delaware is amended to provide for further limitations on the personal liability of directors of corporations, then the personal liability of our directors will be further limited to the greatest extent permitted by the General Corporation Law of the State of Delaware.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8"/>
          <w:szCs w:val="18"/>
          <w:color w:val="auto"/>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88" w:lineRule="exact"/>
        <w:rPr>
          <w:sz w:val="20"/>
          <w:szCs w:val="20"/>
          <w:color w:val="auto"/>
        </w:rPr>
      </w:pPr>
    </w:p>
    <w:p>
      <w:pPr>
        <w:ind w:right="120" w:firstLine="457"/>
        <w:spacing w:after="0" w:line="252" w:lineRule="auto"/>
        <w:rPr>
          <w:sz w:val="20"/>
          <w:szCs w:val="20"/>
          <w:color w:val="auto"/>
        </w:rPr>
      </w:pPr>
      <w:r>
        <w:rPr>
          <w:rFonts w:ascii="Arial" w:cs="Arial" w:eastAsia="Arial" w:hAnsi="Arial"/>
          <w:sz w:val="18"/>
          <w:szCs w:val="18"/>
          <w:color w:val="auto"/>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directors and executive officers prior to the completion of this offering. These indemnification agreements may require us, among other things, to indemnify each such director or officer for some expenses, including attorneys’ fees, judgments, fines and settlement amounts incurred by him or her in any action or proceeding arising out of his or her service as one of our directors or officers.</w:t>
      </w:r>
    </w:p>
    <w:p>
      <w:pPr>
        <w:spacing w:after="0" w:line="193"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0" w:lineRule="exact"/>
        <w:rPr>
          <w:sz w:val="20"/>
          <w:szCs w:val="20"/>
          <w:color w:val="auto"/>
        </w:rPr>
      </w:pPr>
    </w:p>
    <w:p>
      <w:pPr>
        <w:ind w:right="280" w:firstLine="457"/>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executive officers or persons controlling us, in the opinion of the SEC, such indemnification is against public policy as expressed in the Securities Act and is therefore unenforceable.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19" w:lineRule="exact"/>
        <w:rPr>
          <w:sz w:val="20"/>
          <w:szCs w:val="20"/>
          <w:color w:val="auto"/>
        </w:rPr>
      </w:pPr>
    </w:p>
    <w:p>
      <w:pPr>
        <w:jc w:val="both"/>
        <w:ind w:right="60" w:firstLine="457"/>
        <w:spacing w:after="0" w:line="252"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subsequent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We currently do not have a formal non-employee director compensation policy. During and prior to 2016, we did not pay cash compensation to any non-employee director for his or her service as a director. We reimburse our non-employee directors for reasonable travel and out-of-pocket expenses incurred in connection with attending board of director and committee meetings.</w:t>
      </w:r>
    </w:p>
    <w:p>
      <w:pPr>
        <w:spacing w:after="0" w:line="188"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On December 5, 2013, we granted Mr. Machiels an option to purchase 187,529 shares of our common stock, at an exercise price of $2.67 per share, for his service as a director. The option vests over four years, with 25% of the shares underlying the option having vested on December 5, 2014 and the remainder vesting in equal monthly installments thereafter. This stock option had a grant date fair value of $272,000, computed in accordance with ASC Topic 718. See Note 9 to our audited consolidated financial statements appearing at the end of this prospectus regarding assumptions underlying the valuation of equity awards. With the exception of this stock option grant, we have made no other equity awards to Mr. Machiels or to our other non-employee directors.</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We do not pay any compensation to our President and Chief Executive Officer in connection with his service on our board of directors. The compensation that we pay to our President and Chief Executive Officer is discussed earlier in this “Executive Compensation” section.</w:t>
      </w:r>
    </w:p>
    <w:p>
      <w:pPr>
        <w:spacing w:after="0" w:line="180"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In October 2017, our board of directors adopted a director compensation program, which became effective upon the effectiveness of the registration statement of which this prospectus forms a part. Under this director compensation program, we will pay our non-employee directors a cash retainer for service on the board of directors and for service on each committee on which the director is a member. The chairman of each committee and the chairman of the board of directors will receive higher retainers for such service. These fees will be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payable in arrears in four equal quarterly installments on the last day of each quarter, provided that the amount of such payment will be prorated for any portion of such quarter that the director is not serving on our board of directors, on such committee or in such position, and no fee shall be payable in respect of any period prior to the time of this offering. The fees paid to non-employee directors for service on the board of directors and for service on each committee of the board of directors on which the director is a member will be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Member</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Chairman</w:t>
            </w:r>
          </w:p>
        </w:tc>
        <w:tc>
          <w:tcPr>
            <w:tcW w:w="0" w:type="dxa"/>
            <w:vAlign w:val="bottom"/>
          </w:tcPr>
          <w:p>
            <w:pPr>
              <w:spacing w:after="0"/>
              <w:rPr>
                <w:sz w:val="1"/>
                <w:szCs w:val="1"/>
                <w:color w:val="auto"/>
              </w:rPr>
            </w:pPr>
          </w:p>
        </w:tc>
      </w:tr>
      <w:tr>
        <w:trPr>
          <w:trHeight w:val="147"/>
        </w:trPr>
        <w:tc>
          <w:tcPr>
            <w:tcW w:w="94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47"/>
        </w:trPr>
        <w:tc>
          <w:tcPr>
            <w:tcW w:w="9440" w:type="dxa"/>
            <w:vAlign w:val="bottom"/>
          </w:tcPr>
          <w:p>
            <w:pPr>
              <w:spacing w:after="0"/>
              <w:rPr>
                <w:sz w:val="12"/>
                <w:szCs w:val="12"/>
                <w:color w:val="auto"/>
              </w:rPr>
            </w:pPr>
          </w:p>
        </w:tc>
        <w:tc>
          <w:tcPr>
            <w:tcW w:w="122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Annual Fee</w:t>
            </w: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4"/>
                <w:szCs w:val="14"/>
                <w:b w:val="1"/>
                <w:bCs w:val="1"/>
                <w:color w:val="auto"/>
                <w:w w:val="90"/>
              </w:rPr>
              <w:t>Annual Fee</w:t>
            </w:r>
          </w:p>
        </w:tc>
        <w:tc>
          <w:tcPr>
            <w:tcW w:w="0" w:type="dxa"/>
            <w:vAlign w:val="bottom"/>
          </w:tcPr>
          <w:p>
            <w:pPr>
              <w:spacing w:after="0"/>
              <w:rPr>
                <w:sz w:val="1"/>
                <w:szCs w:val="1"/>
                <w:color w:val="auto"/>
              </w:rPr>
            </w:pPr>
          </w:p>
        </w:tc>
      </w:tr>
      <w:tr>
        <w:trPr>
          <w:trHeight w:val="169"/>
        </w:trPr>
        <w:tc>
          <w:tcPr>
            <w:tcW w:w="9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94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Board of Directors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440" w:type="dxa"/>
            <w:vAlign w:val="bottom"/>
          </w:tcPr>
          <w:p>
            <w:pPr>
              <w:spacing w:after="0"/>
              <w:rPr>
                <w:sz w:val="20"/>
                <w:szCs w:val="20"/>
                <w:color w:val="auto"/>
              </w:rPr>
            </w:pPr>
            <w:r>
              <w:rPr>
                <w:rFonts w:ascii="Arial" w:cs="Arial" w:eastAsia="Arial" w:hAnsi="Arial"/>
                <w:sz w:val="18"/>
                <w:szCs w:val="18"/>
                <w:color w:val="auto"/>
              </w:rPr>
              <w:t>Audit Committee</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3"/>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944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We also will continue to reimburse our non-employee directors for reasonable travel and out-of-pocket expenses incurred in connection with attending our board of director and committee meetings.</w:t>
      </w:r>
    </w:p>
    <w:p>
      <w:pPr>
        <w:spacing w:after="0" w:line="18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In addition, under our director compensation program, each non-employee director then serving on our board of directors received under the 2017 Plan options to purchase 121,894 shares of our common stock. Each of these options vested with respect to 50% of such options immediately upon the effectiveness of the registration statement of which this prospectus forms a part, and will vest with respect to the balance of the options in 12 equal monthly installments with the first installment vesting at the end of the one-month period following the effective date of such registration statement. After the closing of this offering, each non-employee director will receive under the 2017 Plan an option to purchase 35,161 shares of our common stock upon his or her initial election to the board of directors. Each of these options will vest with respect to one-third of the award on each of the first, second and third anniversaries of the grant date, subject to the non-employee director’s continued service as a director. Further, on January 1st of each year, beginning on January 1, 2019, each non-employee director that has served on our board of directors for at least six months will receive an option to purchase 17,580 shares of our common stock. Each of these options will vest in four equal quarterly installments on April 1, July 1 and October 1 of the year in which the grant is made and on January 1 of the following year, unless otherwise provided at the time of grant, subject to the non-employee director’s continued service as a director. All options issued to our non-employee directors under our director compensation program will become exercisable in full upon a change in control of our company, will be granted at an exercise price per share equal to the fair market value of our common stock on the date of grant, and will have a term of ten years.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5"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6" w:lineRule="exact"/>
        <w:rPr>
          <w:sz w:val="20"/>
          <w:szCs w:val="20"/>
          <w:color w:val="auto"/>
        </w:rPr>
      </w:pPr>
    </w:p>
    <w:p>
      <w:pPr>
        <w:ind w:right="120" w:firstLine="457"/>
        <w:spacing w:after="0" w:line="304" w:lineRule="auto"/>
        <w:rPr>
          <w:sz w:val="20"/>
          <w:szCs w:val="20"/>
          <w:color w:val="auto"/>
        </w:rPr>
      </w:pPr>
      <w:r>
        <w:rPr>
          <w:rFonts w:ascii="Arial" w:cs="Arial" w:eastAsia="Arial" w:hAnsi="Arial"/>
          <w:sz w:val="16"/>
          <w:szCs w:val="16"/>
          <w:color w:val="auto"/>
        </w:rPr>
        <w:t>Since January 1, 2014, we have engaged in the following transactions in which the amount involved exceeded $120,000 and any of our directors or executive officers or beneficial holders of more than 5% of any class of our voting securities, or any immediate family member of the foregoing persons, had a material interest. We believe that all of these transactions were on terms comparable to terms that could have been obtained from unrelated third parties.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Convertible Preferred Stock Financings</w:t>
      </w:r>
    </w:p>
    <w:p>
      <w:pPr>
        <w:spacing w:after="0" w:line="119"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In closings that occurred in August 2013, July 2014 and September 2014, we issued and sold an aggregate of 14,393,979 shares of our series C convertible preferred stock at a price per share of $1.25, for an aggregate purchase price of $18.0 million. The following table sets forth the number of shares of our series C convertible preferred stock purchased in these closings by our directors, officers, or 5% stockholders and their respective affiliates and the aggregate purchase price paid for such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Shares of Series C</w:t>
            </w:r>
          </w:p>
        </w:tc>
        <w:tc>
          <w:tcPr>
            <w:tcW w:w="4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7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Convertible Preferred Stock</w:t>
            </w:r>
          </w:p>
        </w:tc>
        <w:tc>
          <w:tcPr>
            <w:tcW w:w="4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840" w:type="dxa"/>
            <w:vAlign w:val="bottom"/>
            <w:gridSpan w:val="4"/>
            <w:vMerge w:val="continue"/>
          </w:tcPr>
          <w:p>
            <w:pPr>
              <w:spacing w:after="0"/>
              <w:rPr>
                <w:sz w:val="14"/>
                <w:szCs w:val="14"/>
                <w:color w:val="auto"/>
              </w:rPr>
            </w:pPr>
          </w:p>
        </w:tc>
        <w:tc>
          <w:tcPr>
            <w:tcW w:w="2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Morningside Venture Investments, Ltd.(1)(2)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11,200,000</w:t>
            </w:r>
          </w:p>
        </w:tc>
        <w:tc>
          <w:tcPr>
            <w:tcW w:w="4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$ 14,000,000</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Epidarex Capital I, LP(3)</w:t>
            </w:r>
          </w:p>
        </w:tc>
        <w:tc>
          <w:tcPr>
            <w:tcW w:w="1720" w:type="dxa"/>
            <w:vAlign w:val="bottom"/>
          </w:tcPr>
          <w:p>
            <w:pPr>
              <w:jc w:val="right"/>
              <w:spacing w:after="0"/>
              <w:rPr>
                <w:sz w:val="20"/>
                <w:szCs w:val="20"/>
                <w:color w:val="auto"/>
              </w:rPr>
            </w:pPr>
            <w:r>
              <w:rPr>
                <w:rFonts w:ascii="Arial" w:cs="Arial" w:eastAsia="Arial" w:hAnsi="Arial"/>
                <w:sz w:val="18"/>
                <w:szCs w:val="18"/>
                <w:color w:val="auto"/>
              </w:rPr>
              <w:t>320,000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11,520,000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$ 14,400,000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40" w:hanging="433"/>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Dunlop is a member of our board of directors who is an affiliate of Epidarex Capital I, LP, or Epidarex.</w:t>
      </w:r>
    </w:p>
    <w:p>
      <w:pPr>
        <w:spacing w:after="0" w:line="209"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In closings that occurred in December 2014, January 2015, March 2015 and May 2015, we issued and sold an aggregate of 11,821,432 shares of our series C convertible preferred stock at a price per share of $1.50, for an aggregate purchase price of $17.7 million. The following table sets forth the number of shares of our series C convertible preferred stock purchased in these closings by our 5% stockholders and their affiliates and the aggregate purchase price paid for such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Shares of Series C</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7"/>
        </w:trPr>
        <w:tc>
          <w:tcPr>
            <w:tcW w:w="7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Convertible Preferred Stock</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40" w:type="dxa"/>
            <w:vAlign w:val="bottom"/>
            <w:gridSpan w:val="4"/>
            <w:vMerge w:val="continue"/>
          </w:tcPr>
          <w:p>
            <w:pPr>
              <w:spacing w:after="0"/>
              <w:rPr>
                <w:sz w:val="13"/>
                <w:szCs w:val="13"/>
                <w:color w:val="auto"/>
              </w:rPr>
            </w:pPr>
          </w:p>
        </w:tc>
        <w:tc>
          <w:tcPr>
            <w:tcW w:w="216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3"/>
                <w:szCs w:val="13"/>
                <w:color w:val="auto"/>
              </w:rPr>
            </w:pPr>
          </w:p>
        </w:tc>
        <w:tc>
          <w:tcPr>
            <w:tcW w:w="9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w w:val="92"/>
              </w:rPr>
              <w:t>Purchase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782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Morningside Venture Investments, Ltd.(1)(2)</w:t>
            </w:r>
          </w:p>
        </w:tc>
        <w:tc>
          <w:tcPr>
            <w:tcW w:w="1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6,000,000</w:t>
            </w: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9,000,000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AJU Life Science Overseas Expansion Platform Fund(1)</w:t>
            </w:r>
          </w:p>
        </w:tc>
        <w:tc>
          <w:tcPr>
            <w:tcW w:w="1720" w:type="dxa"/>
            <w:vAlign w:val="bottom"/>
          </w:tcPr>
          <w:p>
            <w:pPr>
              <w:jc w:val="right"/>
              <w:spacing w:after="0"/>
              <w:rPr>
                <w:sz w:val="20"/>
                <w:szCs w:val="20"/>
                <w:color w:val="auto"/>
              </w:rPr>
            </w:pPr>
            <w:r>
              <w:rPr>
                <w:rFonts w:ascii="Arial" w:cs="Arial" w:eastAsia="Arial" w:hAnsi="Arial"/>
                <w:sz w:val="18"/>
                <w:szCs w:val="18"/>
                <w:color w:val="auto"/>
              </w:rPr>
              <w:t>4,000,000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40" w:hanging="433"/>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Convertible Preferred Stock Financings</w:t>
      </w:r>
    </w:p>
    <w:p>
      <w:pPr>
        <w:spacing w:after="0" w:line="119"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In closings that occurred in December 2015 and January 2016, we issued and sold an aggregate of 21,099,351 shares of our series D convertible preferred stock at a price per share of $2.234, for an aggregate purchase price of $47.1 million. The following table sets forth the number of shares of our series D convertible preferred stock purchased in these closings by directors, executive officers or 5% stockholders and their respective affiliates and the aggregate purchase price paid for such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of Series 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7"/>
        </w:trPr>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Convertible Preferred Stock</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20" w:type="dxa"/>
            <w:vAlign w:val="bottom"/>
            <w:gridSpan w:val="3"/>
            <w:vMerge w:val="continue"/>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Purchase Price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0" w:type="dxa"/>
            <w:vAlign w:val="bottom"/>
            <w:tcBorders>
              <w:lef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Morningside Venture Investments, Ltd.(1)(2)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4,476,275</w:t>
            </w:r>
          </w:p>
        </w:tc>
        <w:tc>
          <w:tcPr>
            <w:tcW w:w="1000" w:type="dxa"/>
            <w:vAlign w:val="bottom"/>
            <w:tcBorders>
              <w:lef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9,999,998</w:t>
            </w:r>
          </w:p>
        </w:tc>
        <w:tc>
          <w:tcPr>
            <w:tcW w:w="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3"/>
          </w:tcPr>
          <w:p>
            <w:pPr>
              <w:spacing w:after="0"/>
              <w:rPr>
                <w:sz w:val="20"/>
                <w:szCs w:val="20"/>
                <w:color w:val="auto"/>
              </w:rPr>
            </w:pPr>
            <w:r>
              <w:rPr>
                <w:rFonts w:ascii="Arial" w:cs="Arial" w:eastAsia="Arial" w:hAnsi="Arial"/>
                <w:sz w:val="18"/>
                <w:szCs w:val="18"/>
                <w:color w:val="auto"/>
              </w:rPr>
              <w:t>venBio Global Strategic Fund II LP(1)(3)</w:t>
            </w:r>
          </w:p>
        </w:tc>
        <w:tc>
          <w:tcPr>
            <w:tcW w:w="1720" w:type="dxa"/>
            <w:vAlign w:val="bottom"/>
          </w:tcPr>
          <w:p>
            <w:pPr>
              <w:jc w:val="right"/>
              <w:spacing w:after="0"/>
              <w:rPr>
                <w:sz w:val="20"/>
                <w:szCs w:val="20"/>
                <w:color w:val="auto"/>
              </w:rPr>
            </w:pPr>
            <w:r>
              <w:rPr>
                <w:rFonts w:ascii="Arial" w:cs="Arial" w:eastAsia="Arial" w:hAnsi="Arial"/>
                <w:sz w:val="18"/>
                <w:szCs w:val="18"/>
                <w:color w:val="auto"/>
              </w:rPr>
              <w:t>6,714,413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14,999,998</w:t>
            </w:r>
          </w:p>
        </w:tc>
        <w:tc>
          <w:tcPr>
            <w:tcW w:w="0" w:type="dxa"/>
            <w:vAlign w:val="bottom"/>
          </w:tcPr>
          <w:p>
            <w:pPr>
              <w:spacing w:after="0"/>
              <w:rPr>
                <w:sz w:val="1"/>
                <w:szCs w:val="1"/>
                <w:color w:val="auto"/>
              </w:rPr>
            </w:pPr>
          </w:p>
        </w:tc>
      </w:tr>
      <w:tr>
        <w:trPr>
          <w:trHeight w:val="213"/>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Cormorant Private Health Care Fund I, LP(1)(4)</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3,357,206</w:t>
            </w:r>
          </w:p>
        </w:tc>
        <w:tc>
          <w:tcPr>
            <w:tcW w:w="10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7,499,998</w:t>
            </w:r>
          </w:p>
        </w:tc>
        <w:tc>
          <w:tcPr>
            <w:tcW w:w="0" w:type="dxa"/>
            <w:vAlign w:val="bottom"/>
          </w:tcPr>
          <w:p>
            <w:pPr>
              <w:spacing w:after="0"/>
              <w:rPr>
                <w:sz w:val="1"/>
                <w:szCs w:val="1"/>
                <w:color w:val="auto"/>
              </w:rPr>
            </w:pPr>
          </w:p>
        </w:tc>
      </w:tr>
      <w:tr>
        <w:trPr>
          <w:trHeight w:val="213"/>
        </w:trPr>
        <w:tc>
          <w:tcPr>
            <w:tcW w:w="7720" w:type="dxa"/>
            <w:vAlign w:val="bottom"/>
            <w:gridSpan w:val="3"/>
          </w:tcPr>
          <w:p>
            <w:pPr>
              <w:spacing w:after="0"/>
              <w:rPr>
                <w:sz w:val="20"/>
                <w:szCs w:val="20"/>
                <w:color w:val="auto"/>
              </w:rPr>
            </w:pPr>
            <w:r>
              <w:rPr>
                <w:rFonts w:ascii="Arial" w:cs="Arial" w:eastAsia="Arial" w:hAnsi="Arial"/>
                <w:sz w:val="18"/>
                <w:szCs w:val="18"/>
                <w:color w:val="auto"/>
              </w:rPr>
              <w:t>Cormorant Global Healthcare Master Fund(1)(4)</w:t>
            </w:r>
          </w:p>
        </w:tc>
        <w:tc>
          <w:tcPr>
            <w:tcW w:w="1720" w:type="dxa"/>
            <w:vAlign w:val="bottom"/>
          </w:tcPr>
          <w:p>
            <w:pPr>
              <w:jc w:val="right"/>
              <w:spacing w:after="0"/>
              <w:rPr>
                <w:sz w:val="20"/>
                <w:szCs w:val="20"/>
                <w:color w:val="auto"/>
              </w:rPr>
            </w:pPr>
            <w:r>
              <w:rPr>
                <w:rFonts w:ascii="Arial" w:cs="Arial" w:eastAsia="Arial" w:hAnsi="Arial"/>
                <w:sz w:val="18"/>
                <w:szCs w:val="18"/>
                <w:color w:val="auto"/>
              </w:rPr>
              <w:t>1,119,069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2,500,000</w:t>
            </w:r>
          </w:p>
        </w:tc>
        <w:tc>
          <w:tcPr>
            <w:tcW w:w="0" w:type="dxa"/>
            <w:vAlign w:val="bottom"/>
          </w:tcPr>
          <w:p>
            <w:pPr>
              <w:spacing w:after="0"/>
              <w:rPr>
                <w:sz w:val="1"/>
                <w:szCs w:val="1"/>
                <w:color w:val="auto"/>
              </w:rPr>
            </w:pPr>
          </w:p>
        </w:tc>
      </w:tr>
      <w:tr>
        <w:trPr>
          <w:trHeight w:val="213"/>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Hillhouse WHP Holdings Ltd.(1)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4,476,275</w:t>
            </w:r>
          </w:p>
        </w:tc>
        <w:tc>
          <w:tcPr>
            <w:tcW w:w="10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9,999,998</w:t>
            </w:r>
          </w:p>
        </w:tc>
        <w:tc>
          <w:tcPr>
            <w:tcW w:w="0" w:type="dxa"/>
            <w:vAlign w:val="bottom"/>
          </w:tcPr>
          <w:p>
            <w:pPr>
              <w:spacing w:after="0"/>
              <w:rPr>
                <w:sz w:val="1"/>
                <w:szCs w:val="1"/>
                <w:color w:val="auto"/>
              </w:rPr>
            </w:pPr>
          </w:p>
        </w:tc>
      </w:tr>
      <w:tr>
        <w:trPr>
          <w:trHeight w:val="213"/>
        </w:trPr>
        <w:tc>
          <w:tcPr>
            <w:tcW w:w="7720" w:type="dxa"/>
            <w:vAlign w:val="bottom"/>
            <w:gridSpan w:val="3"/>
          </w:tcPr>
          <w:p>
            <w:pPr>
              <w:spacing w:after="0"/>
              <w:rPr>
                <w:sz w:val="20"/>
                <w:szCs w:val="20"/>
                <w:color w:val="auto"/>
              </w:rPr>
            </w:pPr>
            <w:r>
              <w:rPr>
                <w:rFonts w:ascii="Arial" w:cs="Arial" w:eastAsia="Arial" w:hAnsi="Arial"/>
                <w:sz w:val="18"/>
                <w:szCs w:val="18"/>
                <w:color w:val="auto"/>
              </w:rPr>
              <w:t>AJU Life Science Overseas Expansion Platform Fund(1)</w:t>
            </w:r>
          </w:p>
        </w:tc>
        <w:tc>
          <w:tcPr>
            <w:tcW w:w="1720" w:type="dxa"/>
            <w:vAlign w:val="bottom"/>
          </w:tcPr>
          <w:p>
            <w:pPr>
              <w:jc w:val="right"/>
              <w:spacing w:after="0"/>
              <w:rPr>
                <w:sz w:val="20"/>
                <w:szCs w:val="20"/>
                <w:color w:val="auto"/>
              </w:rPr>
            </w:pPr>
            <w:r>
              <w:rPr>
                <w:rFonts w:ascii="Arial" w:cs="Arial" w:eastAsia="Arial" w:hAnsi="Arial"/>
                <w:sz w:val="18"/>
                <w:szCs w:val="18"/>
                <w:color w:val="auto"/>
              </w:rPr>
              <w:t>888,969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1,985,957</w:t>
            </w:r>
          </w:p>
        </w:tc>
        <w:tc>
          <w:tcPr>
            <w:tcW w:w="0" w:type="dxa"/>
            <w:vAlign w:val="bottom"/>
          </w:tcPr>
          <w:p>
            <w:pPr>
              <w:spacing w:after="0"/>
              <w:rPr>
                <w:sz w:val="1"/>
                <w:szCs w:val="1"/>
                <w:color w:val="auto"/>
              </w:rPr>
            </w:pPr>
          </w:p>
        </w:tc>
      </w:tr>
      <w:tr>
        <w:trPr>
          <w:trHeight w:val="213"/>
        </w:trPr>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Epidarex Capital I, LP(1)(5)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67,144</w:t>
            </w:r>
          </w:p>
        </w:tc>
        <w:tc>
          <w:tcPr>
            <w:tcW w:w="10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20" w:type="dxa"/>
            <w:vAlign w:val="bottom"/>
            <w:gridSpan w:val="3"/>
            <w:vMerge w:val="continue"/>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21,099,351</w:t>
            </w:r>
          </w:p>
        </w:tc>
        <w:tc>
          <w:tcPr>
            <w:tcW w:w="10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47,135,950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5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40" w:hanging="433"/>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Adelman was a member of our board of directors who was designated by venBio.</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Ms. Chen was a member of our board of directors who was designated by Cormorant.</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Dunlop is a member of our board of directors who is an affiliate of Epidarex.</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Convertible Preferred Stock Financing</w:t>
      </w:r>
    </w:p>
    <w:p>
      <w:pPr>
        <w:spacing w:after="0" w:line="119" w:lineRule="exact"/>
        <w:rPr>
          <w:sz w:val="20"/>
          <w:szCs w:val="20"/>
          <w:color w:val="auto"/>
        </w:rPr>
      </w:pPr>
    </w:p>
    <w:p>
      <w:pPr>
        <w:ind w:right="380" w:firstLine="457"/>
        <w:spacing w:after="0" w:line="304" w:lineRule="auto"/>
        <w:rPr>
          <w:sz w:val="20"/>
          <w:szCs w:val="20"/>
          <w:color w:val="auto"/>
        </w:rPr>
      </w:pPr>
      <w:r>
        <w:rPr>
          <w:rFonts w:ascii="Arial" w:cs="Arial" w:eastAsia="Arial" w:hAnsi="Arial"/>
          <w:sz w:val="16"/>
          <w:szCs w:val="16"/>
          <w:color w:val="auto"/>
        </w:rPr>
        <w:t>In August 2017, we issued and sold an aggregate of 7,792,035 shares of our series E convertible preferred stock at a price per share of $2.571, for an aggregate purchase price of $20.0 million. The following table sets forth the number of shares of our series E convertible preferred stock purchased by directors, executive officers or 5% stockholders and their respective affiliates and the aggregate purchase price paid for such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Shares of Series 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7"/>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gridSpan w:val="3"/>
          </w:tcPr>
          <w:p>
            <w:pPr>
              <w:jc w:val="right"/>
              <w:ind w:right="540"/>
              <w:spacing w:after="0" w:line="147" w:lineRule="exact"/>
              <w:rPr>
                <w:sz w:val="20"/>
                <w:szCs w:val="20"/>
                <w:color w:val="auto"/>
              </w:rPr>
            </w:pPr>
            <w:r>
              <w:rPr>
                <w:rFonts w:ascii="Arial" w:cs="Arial" w:eastAsia="Arial" w:hAnsi="Arial"/>
                <w:sz w:val="14"/>
                <w:szCs w:val="14"/>
                <w:b w:val="1"/>
                <w:bCs w:val="1"/>
                <w:color w:val="auto"/>
                <w:w w:val="91"/>
              </w:rPr>
              <w:t>Convertible Preferred 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40" w:type="dxa"/>
            <w:vAlign w:val="bottom"/>
            <w:gridSpan w:val="3"/>
            <w:vMerge w:val="continue"/>
          </w:tcPr>
          <w:p>
            <w:pPr>
              <w:spacing w:after="0"/>
              <w:rPr>
                <w:sz w:val="13"/>
                <w:szCs w:val="13"/>
                <w:color w:val="auto"/>
              </w:rPr>
            </w:pPr>
          </w:p>
        </w:tc>
        <w:tc>
          <w:tcPr>
            <w:tcW w:w="2260" w:type="dxa"/>
            <w:vAlign w:val="bottom"/>
            <w:gridSpan w:val="3"/>
          </w:tcPr>
          <w:p>
            <w:pPr>
              <w:jc w:val="center"/>
              <w:ind w:right="540"/>
              <w:spacing w:after="0" w:line="156" w:lineRule="exact"/>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3"/>
                <w:szCs w:val="13"/>
                <w:color w:val="auto"/>
              </w:rPr>
            </w:pPr>
          </w:p>
        </w:tc>
        <w:tc>
          <w:tcPr>
            <w:tcW w:w="9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w w:val="92"/>
              </w:rPr>
              <w:t>Purchase Price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4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Morningside Venture Investments, Ltd.(1)(2)</w:t>
            </w:r>
          </w:p>
        </w:tc>
        <w:tc>
          <w:tcPr>
            <w:tcW w:w="1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259,302</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666,665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gridSpan w:val="3"/>
          </w:tcPr>
          <w:p>
            <w:pPr>
              <w:spacing w:after="0"/>
              <w:rPr>
                <w:sz w:val="20"/>
                <w:szCs w:val="20"/>
                <w:color w:val="auto"/>
              </w:rPr>
            </w:pPr>
            <w:r>
              <w:rPr>
                <w:rFonts w:ascii="Arial" w:cs="Arial" w:eastAsia="Arial" w:hAnsi="Arial"/>
                <w:sz w:val="18"/>
                <w:szCs w:val="18"/>
                <w:color w:val="auto"/>
              </w:rPr>
              <w:t>venBio Global Strategic Fund II LP(1)(3)</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648,256</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1,666,666</w:t>
            </w:r>
          </w:p>
        </w:tc>
        <w:tc>
          <w:tcPr>
            <w:tcW w:w="0" w:type="dxa"/>
            <w:vAlign w:val="bottom"/>
          </w:tcPr>
          <w:p>
            <w:pPr>
              <w:spacing w:after="0"/>
              <w:rPr>
                <w:sz w:val="1"/>
                <w:szCs w:val="1"/>
                <w:color w:val="auto"/>
              </w:rPr>
            </w:pPr>
          </w:p>
        </w:tc>
      </w:tr>
      <w:tr>
        <w:trPr>
          <w:trHeight w:val="213"/>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venBio Select Fund LLC(1)(3)</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388,953</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999,998</w:t>
            </w:r>
          </w:p>
        </w:tc>
        <w:tc>
          <w:tcPr>
            <w:tcW w:w="0" w:type="dxa"/>
            <w:vAlign w:val="bottom"/>
          </w:tcPr>
          <w:p>
            <w:pPr>
              <w:spacing w:after="0"/>
              <w:rPr>
                <w:sz w:val="1"/>
                <w:szCs w:val="1"/>
                <w:color w:val="auto"/>
              </w:rPr>
            </w:pPr>
          </w:p>
        </w:tc>
      </w:tr>
      <w:tr>
        <w:trPr>
          <w:trHeight w:val="213"/>
        </w:trPr>
        <w:tc>
          <w:tcPr>
            <w:tcW w:w="7640" w:type="dxa"/>
            <w:vAlign w:val="bottom"/>
            <w:gridSpan w:val="3"/>
          </w:tcPr>
          <w:p>
            <w:pPr>
              <w:spacing w:after="0"/>
              <w:rPr>
                <w:sz w:val="20"/>
                <w:szCs w:val="20"/>
                <w:color w:val="auto"/>
              </w:rPr>
            </w:pPr>
            <w:r>
              <w:rPr>
                <w:rFonts w:ascii="Arial" w:cs="Arial" w:eastAsia="Arial" w:hAnsi="Arial"/>
                <w:sz w:val="18"/>
                <w:szCs w:val="18"/>
                <w:color w:val="auto"/>
              </w:rPr>
              <w:t>Cormorant Private Health Care Fund I, LP(1)(4)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523,986</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1,347,168</w:t>
            </w:r>
          </w:p>
        </w:tc>
        <w:tc>
          <w:tcPr>
            <w:tcW w:w="0" w:type="dxa"/>
            <w:vAlign w:val="bottom"/>
          </w:tcPr>
          <w:p>
            <w:pPr>
              <w:spacing w:after="0"/>
              <w:rPr>
                <w:sz w:val="1"/>
                <w:szCs w:val="1"/>
                <w:color w:val="auto"/>
              </w:rPr>
            </w:pPr>
          </w:p>
        </w:tc>
      </w:tr>
      <w:tr>
        <w:trPr>
          <w:trHeight w:val="213"/>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Cormorant Global Healthcare Master Fund(1)(4)</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102,878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264,499</w:t>
            </w:r>
          </w:p>
        </w:tc>
        <w:tc>
          <w:tcPr>
            <w:tcW w:w="0" w:type="dxa"/>
            <w:vAlign w:val="bottom"/>
          </w:tcPr>
          <w:p>
            <w:pPr>
              <w:spacing w:after="0"/>
              <w:rPr>
                <w:sz w:val="1"/>
                <w:szCs w:val="1"/>
                <w:color w:val="auto"/>
              </w:rPr>
            </w:pPr>
          </w:p>
        </w:tc>
      </w:tr>
      <w:tr>
        <w:trPr>
          <w:trHeight w:val="213"/>
        </w:trPr>
        <w:tc>
          <w:tcPr>
            <w:tcW w:w="7640" w:type="dxa"/>
            <w:vAlign w:val="bottom"/>
            <w:gridSpan w:val="3"/>
          </w:tcPr>
          <w:p>
            <w:pPr>
              <w:spacing w:after="0"/>
              <w:rPr>
                <w:sz w:val="20"/>
                <w:szCs w:val="20"/>
                <w:color w:val="auto"/>
              </w:rPr>
            </w:pPr>
            <w:r>
              <w:rPr>
                <w:rFonts w:ascii="Arial" w:cs="Arial" w:eastAsia="Arial" w:hAnsi="Arial"/>
                <w:sz w:val="18"/>
                <w:szCs w:val="18"/>
                <w:color w:val="auto"/>
              </w:rPr>
              <w:t>CRMA SPV LP(1)(4)</w:t>
            </w:r>
          </w:p>
        </w:tc>
        <w:tc>
          <w:tcPr>
            <w:tcW w:w="2260" w:type="dxa"/>
            <w:vAlign w:val="bottom"/>
            <w:gridSpan w:val="3"/>
          </w:tcPr>
          <w:p>
            <w:pPr>
              <w:jc w:val="right"/>
              <w:ind w:right="540"/>
              <w:spacing w:after="0"/>
              <w:rPr>
                <w:sz w:val="20"/>
                <w:szCs w:val="20"/>
                <w:color w:val="auto"/>
              </w:rPr>
            </w:pPr>
            <w:r>
              <w:rPr>
                <w:rFonts w:ascii="Arial" w:cs="Arial" w:eastAsia="Arial" w:hAnsi="Arial"/>
                <w:sz w:val="18"/>
                <w:szCs w:val="18"/>
                <w:color w:val="auto"/>
              </w:rPr>
              <w:t>21,392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54,998</w:t>
            </w:r>
          </w:p>
        </w:tc>
        <w:tc>
          <w:tcPr>
            <w:tcW w:w="0" w:type="dxa"/>
            <w:vAlign w:val="bottom"/>
          </w:tcPr>
          <w:p>
            <w:pPr>
              <w:spacing w:after="0"/>
              <w:rPr>
                <w:sz w:val="1"/>
                <w:szCs w:val="1"/>
                <w:color w:val="auto"/>
              </w:rPr>
            </w:pPr>
          </w:p>
        </w:tc>
      </w:tr>
      <w:tr>
        <w:trPr>
          <w:trHeight w:val="213"/>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Emerging Medical Opportunities Fund III, L.P. (Sectoral) (1)(5)</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1,037,209</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2,666,664</w:t>
            </w:r>
          </w:p>
        </w:tc>
        <w:tc>
          <w:tcPr>
            <w:tcW w:w="0" w:type="dxa"/>
            <w:vAlign w:val="bottom"/>
          </w:tcPr>
          <w:p>
            <w:pPr>
              <w:spacing w:after="0"/>
              <w:rPr>
                <w:sz w:val="1"/>
                <w:szCs w:val="1"/>
                <w:color w:val="auto"/>
              </w:rPr>
            </w:pPr>
          </w:p>
        </w:tc>
      </w:tr>
      <w:tr>
        <w:trPr>
          <w:trHeight w:val="213"/>
        </w:trPr>
        <w:tc>
          <w:tcPr>
            <w:tcW w:w="7640" w:type="dxa"/>
            <w:vAlign w:val="bottom"/>
            <w:gridSpan w:val="3"/>
          </w:tcPr>
          <w:p>
            <w:pPr>
              <w:spacing w:after="0"/>
              <w:rPr>
                <w:sz w:val="20"/>
                <w:szCs w:val="20"/>
                <w:color w:val="auto"/>
              </w:rPr>
            </w:pPr>
            <w:r>
              <w:rPr>
                <w:rFonts w:ascii="Arial" w:cs="Arial" w:eastAsia="Arial" w:hAnsi="Arial"/>
                <w:sz w:val="18"/>
                <w:szCs w:val="18"/>
                <w:color w:val="auto"/>
              </w:rPr>
              <w:t>Sectoral Asset Management Holding Ltd.(1)(5)</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259,302</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666,665</w:t>
            </w:r>
          </w:p>
        </w:tc>
        <w:tc>
          <w:tcPr>
            <w:tcW w:w="0" w:type="dxa"/>
            <w:vAlign w:val="bottom"/>
          </w:tcPr>
          <w:p>
            <w:pPr>
              <w:spacing w:after="0"/>
              <w:rPr>
                <w:sz w:val="1"/>
                <w:szCs w:val="1"/>
                <w:color w:val="auto"/>
              </w:rPr>
            </w:pPr>
          </w:p>
        </w:tc>
      </w:tr>
      <w:tr>
        <w:trPr>
          <w:trHeight w:val="213"/>
        </w:trPr>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Epidarex Capital I, LP(1)(6)</w:t>
            </w:r>
          </w:p>
        </w:tc>
        <w:tc>
          <w:tcPr>
            <w:tcW w:w="2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12,965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640" w:type="dxa"/>
            <w:vAlign w:val="bottom"/>
            <w:gridSpan w:val="3"/>
            <w:vMerge w:val="continue"/>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3,254,242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8,366,658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440" w:hanging="433"/>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See “Principal Stockholders” for more information about shares held by this entity.</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Chan and Ms. O’Brien are members of our board of directors who have been designated by MVIL.</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Dr. Adelman was a member of our board of directors who was designated by venBio.</w:t>
      </w:r>
    </w:p>
    <w:p>
      <w:pPr>
        <w:spacing w:after="0" w:line="6" w:lineRule="exact"/>
        <w:rPr>
          <w:rFonts w:ascii="Arial" w:cs="Arial" w:eastAsia="Arial" w:hAnsi="Arial"/>
          <w:sz w:val="18"/>
          <w:szCs w:val="18"/>
          <w:color w:val="auto"/>
        </w:rPr>
      </w:pPr>
    </w:p>
    <w:p>
      <w:pPr>
        <w:ind w:left="440" w:hanging="433"/>
        <w:spacing w:after="0"/>
        <w:tabs>
          <w:tab w:leader="none" w:pos="4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Ms. Chen was a member of our board of directors who was designated by Cormorant.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hanging="433"/>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Katabi was a member of our board of directors who was designated by Sectoral.</w:t>
      </w:r>
    </w:p>
    <w:p>
      <w:pPr>
        <w:spacing w:after="0" w:line="17" w:lineRule="exact"/>
        <w:rPr>
          <w:rFonts w:ascii="Arial" w:cs="Arial" w:eastAsia="Arial" w:hAnsi="Arial"/>
          <w:sz w:val="18"/>
          <w:szCs w:val="18"/>
          <w:color w:val="auto"/>
        </w:rPr>
      </w:pPr>
    </w:p>
    <w:p>
      <w:pPr>
        <w:ind w:left="440" w:hanging="433"/>
        <w:spacing w:after="0"/>
        <w:tabs>
          <w:tab w:leader="none" w:pos="4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Dunlop is a member of our board of directors who is an affiliate of Epidarex.</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Offering</w:t>
      </w:r>
    </w:p>
    <w:p>
      <w:pPr>
        <w:spacing w:after="0" w:line="1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an aggregate of approximately $70.0 million in shares of our common stock in this offering at the initial public offering price. Based on these indications of interest, these potential purchasers would purchase an aggregate of approximately 5,000,000 of the 10,714,000 shares offered in this offering.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 Transactions</w:t>
      </w:r>
    </w:p>
    <w:p>
      <w:pPr>
        <w:spacing w:after="0" w:line="102" w:lineRule="exact"/>
        <w:rPr>
          <w:sz w:val="20"/>
          <w:szCs w:val="20"/>
          <w:color w:val="auto"/>
        </w:rPr>
      </w:pPr>
    </w:p>
    <w:p>
      <w:pPr>
        <w:jc w:val="both"/>
        <w:ind w:right="200" w:firstLine="457"/>
        <w:spacing w:after="0" w:line="304" w:lineRule="auto"/>
        <w:rPr>
          <w:sz w:val="20"/>
          <w:szCs w:val="20"/>
          <w:color w:val="auto"/>
        </w:rPr>
      </w:pPr>
      <w:r>
        <w:rPr>
          <w:rFonts w:ascii="Arial" w:cs="Arial" w:eastAsia="Arial" w:hAnsi="Arial"/>
          <w:sz w:val="16"/>
          <w:szCs w:val="16"/>
          <w:color w:val="auto"/>
        </w:rPr>
        <w:t>Dr. Francois and Messrs. Machiels and Dunlop, members of our board of directors, are members of the board of directors of Potentia. Dr. Francois, our Chief Executive Officer, is also the Chief Executive Officer of Potentia. Dr. Deschatelets, our Chief Operating Officer, is also the Chief Operating Officer of Potentia. These officers and directors beneficially own, in the aggregate, approximately 28.6% of the outstanding common stock of Potentia.</w:t>
      </w:r>
    </w:p>
    <w:p>
      <w:pPr>
        <w:spacing w:after="0" w:line="154"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In September 2014, we entered into an asset purchase agreement with Potentia pursuant to which we agreed to acquire the assets of Potentia, primarily consisting of its license agreement with Penn, providing us with an exclusive license, under specified patent rights controlled by Penn, to develop and commercialize products covered by the licensed patent rights for ophthalmic indications. In September 2015, we completed the purchase of Potentia’s assets. Upon the closing, we issued to Potentia 3,844,352 shares of our common stock. If, as we expect, Potentia distributes the shares of our common stock it holds to its stockholders, a portion of those shares will be distributed to certain of our officers and directors at a future time after the closing of this offering. The allocation of these shares to Potentia stockholders upon distribution is substantially dependent upon the valuation of the shares at the time such shares are distributed to the stockholders of Potentia.</w:t>
      </w:r>
    </w:p>
    <w:p>
      <w:pPr>
        <w:spacing w:after="0" w:line="185"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Pursuant to a voting agreement that we entered into with Potentia in September 2015 in connection with the closing of the asset purchase, Potentia agreed that in any matters submitted to a vote of the holders of our common stock, Potentia would vote the 3,844,352 shares received as consideration for the asset purchase in the same ratio as the remaining holders of our common stock vote their shares. The voting agreement will terminate upon the closing of this offering.</w:t>
      </w:r>
    </w:p>
    <w:p>
      <w:pPr>
        <w:spacing w:after="0" w:line="191" w:lineRule="exact"/>
        <w:rPr>
          <w:sz w:val="20"/>
          <w:szCs w:val="20"/>
          <w:color w:val="auto"/>
        </w:rPr>
      </w:pPr>
    </w:p>
    <w:p>
      <w:pPr>
        <w:ind w:right="140" w:firstLine="457"/>
        <w:spacing w:after="0" w:line="297" w:lineRule="auto"/>
        <w:rPr>
          <w:sz w:val="20"/>
          <w:szCs w:val="20"/>
          <w:color w:val="auto"/>
        </w:rPr>
      </w:pPr>
      <w:r>
        <w:rPr>
          <w:rFonts w:ascii="Arial" w:cs="Arial" w:eastAsia="Arial" w:hAnsi="Arial"/>
          <w:sz w:val="17"/>
          <w:szCs w:val="17"/>
          <w:color w:val="auto"/>
        </w:rPr>
        <w:t>Under the asset purchase agreement, we assumed the payment obligations of Potentia under contracts with third-party vendors providing legal, research or clinical development services with respect to ongoing development activities. We have satisfied all such payment obligations.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Danforth Advisors</w:t>
      </w:r>
    </w:p>
    <w:p>
      <w:pPr>
        <w:spacing w:after="0" w:line="119"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In August 2015, we engaged Danforth Advisors, LLC, or Danforth, a consulting firm specializing in providing financial and strategic support to life sciences companies and a controlled affiliate of Daniel Geffken, who served as our interim Chief Financial Officer from August 2015 until October 2017. Pursuant to a consulting agreement effective September 2015, we paid professional fees to Danforth of $114,654 in 2015 and $173,304 in 2016 and $83,424 for the first six months of 2017. Mr. Geffken has been granted options with an aggregate grant date fair value of $87,750, as computed in accordance with ASC Topic 718.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Relationship with Federico Grossi</w:t>
      </w:r>
    </w:p>
    <w:p>
      <w:pPr>
        <w:spacing w:after="0" w:line="119" w:lineRule="exact"/>
        <w:rPr>
          <w:sz w:val="20"/>
          <w:szCs w:val="20"/>
          <w:color w:val="auto"/>
        </w:rPr>
      </w:pPr>
    </w:p>
    <w:p>
      <w:pPr>
        <w:ind w:right="600" w:firstLine="457"/>
        <w:spacing w:after="0" w:line="267" w:lineRule="auto"/>
        <w:rPr>
          <w:sz w:val="20"/>
          <w:szCs w:val="20"/>
          <w:color w:val="auto"/>
        </w:rPr>
      </w:pPr>
      <w:r>
        <w:rPr>
          <w:rFonts w:ascii="Arial" w:cs="Arial" w:eastAsia="Arial" w:hAnsi="Arial"/>
          <w:sz w:val="18"/>
          <w:szCs w:val="18"/>
          <w:color w:val="auto"/>
        </w:rPr>
        <w:t>Federico Grossi, our Senior Vice President of Clinical Development, is the brother-in-law of Dr. Francois. Dr. Grossi has been an employee since September 2014 and currently receives an annual salary of $300,000.</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color w:val="auto"/>
        </w:rPr>
        <w:t>Since September 1, 2014 and as of December 31, 2016, Dr. Grossi has received total salary compensation of $485,281 and has been granted options with an aggregate grant date fair value of $401,250, as computed in accordance with ASC Topic 718.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19" w:lineRule="exact"/>
        <w:rPr>
          <w:sz w:val="20"/>
          <w:szCs w:val="20"/>
          <w:color w:val="auto"/>
        </w:rPr>
      </w:pPr>
    </w:p>
    <w:p>
      <w:pPr>
        <w:ind w:firstLine="457"/>
        <w:spacing w:after="0" w:line="295" w:lineRule="auto"/>
        <w:rPr>
          <w:sz w:val="20"/>
          <w:szCs w:val="20"/>
          <w:color w:val="auto"/>
        </w:rPr>
      </w:pPr>
      <w:r>
        <w:rPr>
          <w:rFonts w:ascii="Arial" w:cs="Arial" w:eastAsia="Arial" w:hAnsi="Arial"/>
          <w:sz w:val="16"/>
          <w:szCs w:val="16"/>
          <w:color w:val="auto"/>
        </w:rPr>
        <w:t>We are a party to an investors’ rights agreement, dated as of August 7, 2017, with holders of our preferred stock, including some of our directors and 5% stockholders and their affiliates and entities affiliated with our officers and directors. The investors’ rights agreement provides these holders the right, following the completion of this offering, to demand that we file a registration statement or request that their shares be covered by a registration statement that we are otherwise filing. See “Description of Capital Stock—Registration Rights” for additional information regarding these registration rights.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9" w:lineRule="exact"/>
        <w:rPr>
          <w:sz w:val="20"/>
          <w:szCs w:val="20"/>
          <w:color w:val="auto"/>
        </w:rPr>
      </w:pPr>
    </w:p>
    <w:p>
      <w:pPr>
        <w:jc w:val="both"/>
        <w:ind w:right="100" w:firstLine="457"/>
        <w:spacing w:after="0" w:line="304"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we will indemnify our directors and officers to the fullest extent permitted by Delaware law. In addition, we intend to enter into indemnification agreements with each of our directors prior to the completion of this offering. See “Executive Compensation—Limitations on Liability and Indemnification” for additional information regarding these agreements.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19"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Our board of directors has adopted written policies and procedures, which became effective as of the date of this prospectus,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91" w:lineRule="exact"/>
        <w:rPr>
          <w:sz w:val="20"/>
          <w:szCs w:val="20"/>
          <w:color w:val="auto"/>
        </w:rPr>
      </w:pPr>
    </w:p>
    <w:p>
      <w:pPr>
        <w:ind w:right="140" w:firstLine="457"/>
        <w:spacing w:after="0" w:line="336" w:lineRule="auto"/>
        <w:rPr>
          <w:sz w:val="20"/>
          <w:szCs w:val="20"/>
          <w:color w:val="auto"/>
        </w:rPr>
      </w:pPr>
      <w:r>
        <w:rPr>
          <w:rFonts w:ascii="Arial" w:cs="Arial" w:eastAsia="Arial" w:hAnsi="Arial"/>
          <w:sz w:val="14"/>
          <w:szCs w:val="14"/>
          <w:color w:val="auto"/>
        </w:rPr>
        <w:t>If a related person proposes to enter into such a transaction, arrangement or relationship, which we refer to as a “related person transaction,” the related person must report the proposed related person transaction to our principal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41" w:lineRule="exact"/>
        <w:rPr>
          <w:sz w:val="20"/>
          <w:szCs w:val="20"/>
          <w:color w:val="auto"/>
        </w:rPr>
      </w:pPr>
    </w:p>
    <w:p>
      <w:pPr>
        <w:ind w:right="620" w:firstLine="457"/>
        <w:spacing w:after="0" w:line="331"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39" w:lineRule="exact"/>
        <w:rPr>
          <w:sz w:val="20"/>
          <w:szCs w:val="20"/>
          <w:color w:val="auto"/>
        </w:rPr>
      </w:pPr>
    </w:p>
    <w:p>
      <w:pPr>
        <w:ind w:left="680" w:hanging="22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137" w:lineRule="exact"/>
        <w:rPr>
          <w:rFonts w:ascii="Arial" w:cs="Arial" w:eastAsia="Arial" w:hAnsi="Arial"/>
          <w:sz w:val="17"/>
          <w:szCs w:val="17"/>
          <w:color w:val="auto"/>
        </w:rPr>
      </w:pPr>
    </w:p>
    <w:p>
      <w:pPr>
        <w:ind w:left="680" w:hanging="22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that could have been reached with an unrelated third party;</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5"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26" w:lineRule="exact"/>
        <w:rPr>
          <w:rFonts w:ascii="Arial" w:cs="Arial" w:eastAsia="Arial" w:hAnsi="Arial"/>
          <w:sz w:val="18"/>
          <w:szCs w:val="18"/>
          <w:color w:val="auto"/>
        </w:rPr>
      </w:pPr>
    </w:p>
    <w:p>
      <w:pPr>
        <w:ind w:left="680" w:right="20" w:hanging="220"/>
        <w:spacing w:after="0" w:line="267" w:lineRule="auto"/>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8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8"/>
          <w:szCs w:val="18"/>
          <w:color w:val="auto"/>
        </w:rPr>
        <w:t>The audit committee may approve or ratify the transaction only if the committee determines that, under all of the circumstances, the transaction is in our best interests. The committee may impose any conditions on the related person transaction that it deems appropriate.</w:t>
      </w:r>
    </w:p>
    <w:p>
      <w:pPr>
        <w:spacing w:after="0" w:line="180"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the compensation committee in the manner specified in its charter.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September 30, 2017 by:</w:t>
      </w:r>
    </w:p>
    <w:p>
      <w:pPr>
        <w:spacing w:after="0" w:line="126" w:lineRule="exact"/>
        <w:rPr>
          <w:sz w:val="20"/>
          <w:szCs w:val="20"/>
          <w:color w:val="auto"/>
        </w:rPr>
      </w:pPr>
    </w:p>
    <w:p>
      <w:pPr>
        <w:ind w:left="680" w:hanging="220"/>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0" w:lineRule="exact"/>
        <w:rPr>
          <w:sz w:val="20"/>
          <w:szCs w:val="20"/>
          <w:color w:val="auto"/>
        </w:rPr>
      </w:pPr>
    </w:p>
    <w:p>
      <w:pPr>
        <w:ind w:right="280" w:firstLine="457"/>
        <w:spacing w:after="0" w:line="251" w:lineRule="auto"/>
        <w:rPr>
          <w:sz w:val="20"/>
          <w:szCs w:val="20"/>
          <w:color w:val="auto"/>
        </w:rPr>
      </w:pPr>
      <w:r>
        <w:rPr>
          <w:rFonts w:ascii="Arial" w:cs="Arial" w:eastAsia="Arial" w:hAnsi="Arial"/>
          <w:sz w:val="18"/>
          <w:szCs w:val="18"/>
          <w:color w:val="auto"/>
        </w:rPr>
        <w:t>The column entitled “Percentage of Shares Beneficially Owned—Before Offering” is based on a total of 38,542,937 shares of our common stock outstanding as of September 30, 2017, assuming the automatic conversion of all outstanding shares of our preferred stock into an aggregate of 30,070,034 shares of our common stock upon the closing of this offering. The column entitled “Percentage of Shares Beneficially Owned—After Offering” is based on 49,256,937 shares of our common stock to be outstanding after this offering, including the 10,714,000 shares of our common stock that we are selling in this offering, but not including any additional shares issuable upon exercise of outstanding options or warrants or any exercise by the underwriters of their over-allotment option.</w:t>
      </w:r>
    </w:p>
    <w:p>
      <w:pPr>
        <w:spacing w:after="0" w:line="195"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or warrants that are currently exercisable or exercisable within 60 days after September 30, 2017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Apellis Pharmaceuticals, Inc., 6400 Westwind Way, Suite A, Crestwood, Kentucky 40014.</w:t>
      </w:r>
    </w:p>
    <w:p>
      <w:pPr>
        <w:spacing w:after="0" w:line="198"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Certain of our existing stockholders and their affiliated entities have indicated an interest in purchasing an aggregate of approximately $70.0 million in shares of our common stock in this offering at the initial public offering price.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following table does not reflect any potential purchases by these potential purchasers. If any shares are purchased by our existing principal stockholders or their affiliated entities, the number and percentage of shares of our common stock beneficially owned by them after this offering will differ from those set forth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860"/>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7"/>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880" w:type="dxa"/>
            <w:vAlign w:val="bottom"/>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680" w:type="dxa"/>
            <w:vAlign w:val="bottom"/>
            <w:tcBorders>
              <w:top w:val="single" w:sz="8" w:color="auto"/>
            </w:tcBorders>
            <w:gridSpan w:val="2"/>
          </w:tcPr>
          <w:p>
            <w:pPr>
              <w:jc w:val="right"/>
              <w:ind w:right="200"/>
              <w:spacing w:after="0" w:line="118" w:lineRule="exact"/>
              <w:rPr>
                <w:sz w:val="20"/>
                <w:szCs w:val="20"/>
                <w:color w:val="auto"/>
              </w:rPr>
            </w:pPr>
            <w:r>
              <w:rPr>
                <w:rFonts w:ascii="Arial" w:cs="Arial" w:eastAsia="Arial" w:hAnsi="Arial"/>
                <w:sz w:val="13"/>
                <w:szCs w:val="13"/>
                <w:b w:val="1"/>
                <w:bCs w:val="1"/>
                <w:color w:val="auto"/>
              </w:rPr>
              <w:t>Before</w:t>
            </w:r>
          </w:p>
        </w:tc>
        <w:tc>
          <w:tcPr>
            <w:tcW w:w="5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31"/>
              <w:spacing w:after="0" w:line="118" w:lineRule="exact"/>
              <w:rPr>
                <w:sz w:val="20"/>
                <w:szCs w:val="20"/>
                <w:color w:val="auto"/>
              </w:rPr>
            </w:pPr>
            <w:r>
              <w:rPr>
                <w:rFonts w:ascii="Arial" w:cs="Arial" w:eastAsia="Arial" w:hAnsi="Arial"/>
                <w:sz w:val="13"/>
                <w:szCs w:val="13"/>
                <w:b w:val="1"/>
                <w:bCs w:val="1"/>
                <w:color w:val="auto"/>
              </w:rPr>
              <w:t>After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2880" w:type="dxa"/>
            <w:vAlign w:val="bottom"/>
          </w:tcPr>
          <w:p>
            <w:pPr>
              <w:spacing w:after="0"/>
              <w:rPr>
                <w:sz w:val="14"/>
                <w:szCs w:val="1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Beneficially Owned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Offering</w:t>
            </w:r>
          </w:p>
        </w:tc>
        <w:tc>
          <w:tcPr>
            <w:tcW w:w="5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3"/>
        </w:trPr>
        <w:tc>
          <w:tcPr>
            <w:tcW w:w="16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5% Stockholders</w:t>
            </w:r>
          </w:p>
        </w:tc>
        <w:tc>
          <w:tcPr>
            <w:tcW w:w="322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8"/>
                <w:szCs w:val="18"/>
                <w:color w:val="auto"/>
              </w:rPr>
              <w:t>Morningside Venture Investments, Ltd.(1)</w:t>
            </w:r>
          </w:p>
        </w:tc>
        <w:tc>
          <w:tcPr>
            <w:tcW w:w="4620" w:type="dxa"/>
            <w:vAlign w:val="bottom"/>
            <w:gridSpan w:val="3"/>
          </w:tcPr>
          <w:p>
            <w:pPr>
              <w:jc w:val="right"/>
              <w:ind w:right="560"/>
              <w:spacing w:after="0"/>
              <w:rPr>
                <w:sz w:val="20"/>
                <w:szCs w:val="20"/>
                <w:color w:val="auto"/>
              </w:rPr>
            </w:pPr>
            <w:r>
              <w:rPr>
                <w:rFonts w:ascii="Arial" w:cs="Arial" w:eastAsia="Arial" w:hAnsi="Arial"/>
                <w:sz w:val="18"/>
                <w:szCs w:val="18"/>
                <w:color w:val="auto"/>
              </w:rPr>
              <w:t>10,778,303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 Holdings, LLC(2)</w:t>
            </w:r>
          </w:p>
        </w:tc>
        <w:tc>
          <w:tcPr>
            <w:tcW w:w="4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3,826,601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8"/>
                <w:szCs w:val="18"/>
                <w:color w:val="auto"/>
              </w:rPr>
              <w:t>venBio Global Strategic Fund II LP(3)</w:t>
            </w:r>
          </w:p>
        </w:tc>
        <w:tc>
          <w:tcPr>
            <w:tcW w:w="4620" w:type="dxa"/>
            <w:vAlign w:val="bottom"/>
            <w:gridSpan w:val="3"/>
          </w:tcPr>
          <w:p>
            <w:pPr>
              <w:jc w:val="right"/>
              <w:ind w:right="560"/>
              <w:spacing w:after="0"/>
              <w:rPr>
                <w:sz w:val="20"/>
                <w:szCs w:val="20"/>
                <w:color w:val="auto"/>
              </w:rPr>
            </w:pPr>
            <w:r>
              <w:rPr>
                <w:rFonts w:ascii="Arial" w:cs="Arial" w:eastAsia="Arial" w:hAnsi="Arial"/>
                <w:sz w:val="18"/>
                <w:szCs w:val="18"/>
                <w:color w:val="auto"/>
              </w:rPr>
              <w:t>3,451,790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Funds(4)</w:t>
            </w:r>
          </w:p>
        </w:tc>
        <w:tc>
          <w:tcPr>
            <w:tcW w:w="4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2,402,498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3"/>
        </w:trPr>
        <w:tc>
          <w:tcPr>
            <w:tcW w:w="4820" w:type="dxa"/>
            <w:vAlign w:val="bottom"/>
            <w:gridSpan w:val="2"/>
          </w:tcPr>
          <w:p>
            <w:pPr>
              <w:spacing w:after="0"/>
              <w:rPr>
                <w:sz w:val="20"/>
                <w:szCs w:val="20"/>
                <w:color w:val="auto"/>
              </w:rPr>
            </w:pPr>
            <w:r>
              <w:rPr>
                <w:rFonts w:ascii="Arial" w:cs="Arial" w:eastAsia="Arial" w:hAnsi="Arial"/>
                <w:sz w:val="18"/>
                <w:szCs w:val="18"/>
                <w:color w:val="auto"/>
              </w:rPr>
              <w:t>AJU Life Science Overseas Expansion Platform Fund(5)</w:t>
            </w:r>
          </w:p>
        </w:tc>
        <w:tc>
          <w:tcPr>
            <w:tcW w:w="4620" w:type="dxa"/>
            <w:vAlign w:val="bottom"/>
            <w:gridSpan w:val="3"/>
          </w:tcPr>
          <w:p>
            <w:pPr>
              <w:jc w:val="right"/>
              <w:ind w:right="560"/>
              <w:spacing w:after="0"/>
              <w:rPr>
                <w:sz w:val="20"/>
                <w:szCs w:val="20"/>
                <w:color w:val="auto"/>
              </w:rPr>
            </w:pPr>
            <w:r>
              <w:rPr>
                <w:rFonts w:ascii="Arial" w:cs="Arial" w:eastAsia="Arial" w:hAnsi="Arial"/>
                <w:sz w:val="18"/>
                <w:szCs w:val="18"/>
                <w:color w:val="auto"/>
              </w:rPr>
              <w:t>2,292,062</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3"/>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Hillhouse WHP Holdings Limited(6)</w:t>
            </w:r>
          </w:p>
        </w:tc>
        <w:tc>
          <w:tcPr>
            <w:tcW w:w="4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2,098,581</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59"/>
        </w:trPr>
        <w:tc>
          <w:tcPr>
            <w:tcW w:w="1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80" w:type="dxa"/>
            <w:vAlign w:val="bottom"/>
          </w:tcPr>
          <w:p>
            <w:pPr>
              <w:jc w:val="right"/>
              <w:ind w:right="1771"/>
              <w:spacing w:after="0"/>
              <w:rPr>
                <w:sz w:val="20"/>
                <w:szCs w:val="20"/>
                <w:color w:val="auto"/>
              </w:rPr>
            </w:pPr>
            <w:r>
              <w:rPr>
                <w:rFonts w:ascii="Arial" w:cs="Arial" w:eastAsia="Arial" w:hAnsi="Arial"/>
                <w:sz w:val="18"/>
                <w:szCs w:val="18"/>
                <w:color w:val="auto"/>
              </w:rPr>
              <w:t>148</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tcPr>
          <w:p>
            <w:pPr>
              <w:jc w:val="center"/>
              <w:ind w:right="561"/>
              <w:spacing w:after="0" w:line="147"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6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7"/>
        </w:trPr>
        <w:tc>
          <w:tcPr>
            <w:tcW w:w="7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760" w:type="dxa"/>
            <w:vAlign w:val="bottom"/>
            <w:gridSpan w:val="2"/>
            <w:vMerge w:val="continue"/>
          </w:tcPr>
          <w:p>
            <w:pPr>
              <w:spacing w:after="0"/>
              <w:rPr>
                <w:sz w:val="10"/>
                <w:szCs w:val="10"/>
                <w:color w:val="auto"/>
              </w:rPr>
            </w:pPr>
          </w:p>
        </w:tc>
        <w:tc>
          <w:tcPr>
            <w:tcW w:w="580" w:type="dxa"/>
            <w:vAlign w:val="bottom"/>
            <w:tcBorders>
              <w:top w:val="single" w:sz="8" w:color="auto"/>
            </w:tcBorders>
          </w:tcPr>
          <w:p>
            <w:pPr>
              <w:jc w:val="right"/>
              <w:ind w:right="36"/>
              <w:spacing w:after="0" w:line="118"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1"/>
              <w:spacing w:after="0" w:line="118" w:lineRule="exact"/>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69"/>
        </w:trPr>
        <w:tc>
          <w:tcPr>
            <w:tcW w:w="7960" w:type="dxa"/>
            <w:vAlign w:val="bottom"/>
            <w:gridSpan w:val="2"/>
            <w:vMerge w:val="continue"/>
          </w:tcPr>
          <w:p>
            <w:pPr>
              <w:spacing w:after="0"/>
              <w:rPr>
                <w:sz w:val="14"/>
                <w:szCs w:val="14"/>
                <w:color w:val="auto"/>
              </w:rPr>
            </w:pPr>
          </w:p>
        </w:tc>
        <w:tc>
          <w:tcPr>
            <w:tcW w:w="17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0"/>
              </w:rPr>
              <w:t>Beneficially Owned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Offering</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9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1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8"/>
                <w:szCs w:val="18"/>
                <w:color w:val="auto"/>
              </w:rPr>
              <w:t>Cedric Francois, M.D., Ph.D.(7)(16)</w:t>
            </w:r>
          </w:p>
        </w:tc>
        <w:tc>
          <w:tcPr>
            <w:tcW w:w="1180" w:type="dxa"/>
            <w:vAlign w:val="bottom"/>
          </w:tcPr>
          <w:p>
            <w:pPr>
              <w:jc w:val="right"/>
              <w:spacing w:after="0"/>
              <w:rPr>
                <w:sz w:val="20"/>
                <w:szCs w:val="20"/>
                <w:color w:val="auto"/>
              </w:rPr>
            </w:pPr>
            <w:r>
              <w:rPr>
                <w:rFonts w:ascii="Arial" w:cs="Arial" w:eastAsia="Arial" w:hAnsi="Arial"/>
                <w:sz w:val="18"/>
                <w:szCs w:val="18"/>
                <w:color w:val="auto"/>
              </w:rPr>
              <w:t>1,692,902</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3"/>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Pascal Deschatelets, Ph.D.(8)(16)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1,285,589</w:t>
            </w:r>
          </w:p>
        </w:tc>
        <w:tc>
          <w:tcPr>
            <w:tcW w:w="5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8"/>
                <w:szCs w:val="18"/>
                <w:color w:val="auto"/>
              </w:rPr>
              <w:t>David Watson(9)</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77,648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Adelman(10)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3,451,790</w:t>
            </w:r>
          </w:p>
        </w:tc>
        <w:tc>
          <w:tcPr>
            <w:tcW w:w="5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8"/>
                <w:szCs w:val="18"/>
                <w:color w:val="auto"/>
              </w:rPr>
              <w:t>Gerald Chan, D.Sc.</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8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Bihua Chen(11)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2,402,498</w:t>
            </w:r>
          </w:p>
        </w:tc>
        <w:tc>
          <w:tcPr>
            <w:tcW w:w="5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8"/>
                <w:szCs w:val="18"/>
                <w:color w:val="auto"/>
              </w:rPr>
              <w:t>Sinclair Dunlop(12)(16)</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587,052</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Maha Katabi(13)</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607,833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3"/>
        </w:trPr>
        <w:tc>
          <w:tcPr>
            <w:tcW w:w="7960" w:type="dxa"/>
            <w:vAlign w:val="bottom"/>
            <w:gridSpan w:val="2"/>
          </w:tcPr>
          <w:p>
            <w:pPr>
              <w:spacing w:after="0"/>
              <w:rPr>
                <w:sz w:val="20"/>
                <w:szCs w:val="20"/>
                <w:color w:val="auto"/>
              </w:rPr>
            </w:pPr>
            <w:r>
              <w:rPr>
                <w:rFonts w:ascii="Arial" w:cs="Arial" w:eastAsia="Arial" w:hAnsi="Arial"/>
                <w:sz w:val="18"/>
                <w:szCs w:val="18"/>
                <w:color w:val="auto"/>
              </w:rPr>
              <w:t>Alec Machiels(14)(16)</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799,358</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3"/>
        </w:trPr>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Stephanie Monaghan O’Brien</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960" w:type="dxa"/>
            <w:vAlign w:val="bottom"/>
            <w:gridSpan w:val="2"/>
          </w:tcPr>
          <w:p>
            <w:pPr>
              <w:spacing w:after="0"/>
              <w:rPr>
                <w:sz w:val="20"/>
                <w:szCs w:val="20"/>
                <w:color w:val="auto"/>
              </w:rPr>
            </w:pPr>
            <w:r>
              <w:rPr>
                <w:rFonts w:ascii="Arial" w:cs="Arial" w:eastAsia="Arial" w:hAnsi="Arial"/>
                <w:sz w:val="18"/>
                <w:szCs w:val="18"/>
                <w:i w:val="1"/>
                <w:iCs w:val="1"/>
                <w:color w:val="auto"/>
              </w:rPr>
              <w:t>All Executive Officers and Directors as a Group (14 persons)</w:t>
            </w:r>
            <w:r>
              <w:rPr>
                <w:rFonts w:ascii="Arial" w:cs="Arial" w:eastAsia="Arial" w:hAnsi="Arial"/>
                <w:sz w:val="18"/>
                <w:szCs w:val="18"/>
                <w:color w:val="auto"/>
              </w:rPr>
              <w:t>(15)</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10,792,591</w:t>
            </w: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83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43" w:lineRule="exact"/>
        <w:rPr>
          <w:sz w:val="20"/>
          <w:szCs w:val="20"/>
          <w:color w:val="auto"/>
        </w:rPr>
      </w:pPr>
    </w:p>
    <w:p>
      <w:pPr>
        <w:ind w:left="440" w:hanging="433"/>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stock.</w:t>
      </w:r>
    </w:p>
    <w:p>
      <w:pPr>
        <w:spacing w:after="0" w:line="17" w:lineRule="exact"/>
        <w:rPr>
          <w:sz w:val="20"/>
          <w:szCs w:val="20"/>
          <w:color w:val="auto"/>
        </w:rPr>
      </w:pPr>
    </w:p>
    <w:p>
      <w:pPr>
        <w:jc w:val="both"/>
        <w:ind w:left="440" w:right="500" w:hanging="433"/>
        <w:spacing w:after="0" w:line="251"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Louise Mary Garbarino, Jill Marie Franklin, Peter Stuart Allenby Edwards and Raymond Long Sing Tang, the directors of MVIL, share voting and dispositive control over the shares held by MVIL. The address for MVIL is 2</w:t>
      </w:r>
      <w:r>
        <w:rPr>
          <w:rFonts w:ascii="Arial" w:cs="Arial" w:eastAsia="Arial" w:hAnsi="Arial"/>
          <w:sz w:val="15"/>
          <w:szCs w:val="15"/>
          <w:color w:val="auto"/>
        </w:rPr>
        <w:t>nd</w:t>
      </w:r>
      <w:r>
        <w:rPr>
          <w:rFonts w:ascii="Arial" w:cs="Arial" w:eastAsia="Arial" w:hAnsi="Arial"/>
          <w:sz w:val="18"/>
          <w:szCs w:val="18"/>
          <w:color w:val="auto"/>
        </w:rPr>
        <w:t xml:space="preserve"> Floor, Le Prince de Galles, 3-5 Avenue des Citronniers, MC 98000, Monaco.</w:t>
      </w:r>
    </w:p>
    <w:p>
      <w:pPr>
        <w:spacing w:after="0" w:line="99" w:lineRule="exact"/>
        <w:rPr>
          <w:rFonts w:ascii="Arial" w:cs="Arial" w:eastAsia="Arial" w:hAnsi="Arial"/>
          <w:sz w:val="18"/>
          <w:szCs w:val="18"/>
          <w:color w:val="auto"/>
        </w:rPr>
      </w:pPr>
    </w:p>
    <w:p>
      <w:pPr>
        <w:ind w:left="440" w:right="20" w:hanging="433"/>
        <w:spacing w:after="0" w:line="252"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Potentia’s board of directors has voting and dispositive control over the shares held by Potentia. The members of the Potentia board of directors are Cedric Francois, Alec Machiels, David Darst Jr., Stephen Gilles, Marie-Claude Bernal, Doug Onsi and Sinclair Dunlop. Because the board of directors acts by majority approval, none of the members of Potentia’s board of directors has individual voting or investment power with respect to such shares. We expect that Potentia may distribute the shares of our common stock it holds to its stockholders at a future time after the closing of this offering. See “Transactions with Related Persons” for more information.</w:t>
      </w:r>
    </w:p>
    <w:p>
      <w:pPr>
        <w:spacing w:after="0" w:line="100" w:lineRule="exact"/>
        <w:rPr>
          <w:rFonts w:ascii="Arial" w:cs="Arial" w:eastAsia="Arial" w:hAnsi="Arial"/>
          <w:sz w:val="18"/>
          <w:szCs w:val="18"/>
          <w:color w:val="auto"/>
        </w:rPr>
      </w:pPr>
    </w:p>
    <w:p>
      <w:pPr>
        <w:ind w:left="440" w:right="60" w:hanging="433"/>
        <w:spacing w:after="0" w:line="297" w:lineRule="auto"/>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Robert Adelman and Corey Goodman, the managing partners of venBio Global Strategic Fund II LP, or venBio, share voting and dispositive control over the shares held by venBio. The address for venBio is 120 West 45</w:t>
      </w:r>
      <w:r>
        <w:rPr>
          <w:rFonts w:ascii="Arial" w:cs="Arial" w:eastAsia="Arial" w:hAnsi="Arial"/>
          <w:sz w:val="14"/>
          <w:szCs w:val="14"/>
          <w:color w:val="auto"/>
        </w:rPr>
        <w:t>th</w:t>
      </w:r>
      <w:r>
        <w:rPr>
          <w:rFonts w:ascii="Arial" w:cs="Arial" w:eastAsia="Arial" w:hAnsi="Arial"/>
          <w:sz w:val="17"/>
          <w:szCs w:val="17"/>
          <w:color w:val="auto"/>
        </w:rPr>
        <w:t xml:space="preserve"> Street, Suite 2802, New York, New York 10036.</w:t>
      </w:r>
    </w:p>
    <w:p>
      <w:pPr>
        <w:spacing w:after="0" w:line="62" w:lineRule="exact"/>
        <w:rPr>
          <w:rFonts w:ascii="Arial" w:cs="Arial" w:eastAsia="Arial" w:hAnsi="Arial"/>
          <w:sz w:val="17"/>
          <w:szCs w:val="17"/>
          <w:color w:val="auto"/>
        </w:rPr>
      </w:pPr>
    </w:p>
    <w:p>
      <w:pPr>
        <w:ind w:left="440" w:hanging="433"/>
        <w:spacing w:after="0" w:line="250"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(i) 1,819,593 shares of common stock held by Cormorant Private Healthcare Fund I, LP, or Cormorant Private Fund, (ii) 490,245 shares of common stock held by Cormorant Global Healthcare Master Fund, LP, or Cormorant Master Fund and (iii) 92,660 shares of common stock held by CRMA SPV, L.P., or CRMA. The sole general partner of each of the Cormorant Private Fund and the Cormorant Master Fund is Cormorant Private Healthcare GP, LLC, or the GP. Bihua Chen is the sole managing member of the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102" w:lineRule="exact"/>
        <w:rPr>
          <w:rFonts w:ascii="Arial" w:cs="Arial" w:eastAsia="Arial" w:hAnsi="Arial"/>
          <w:sz w:val="18"/>
          <w:szCs w:val="18"/>
          <w:color w:val="auto"/>
        </w:rPr>
      </w:pPr>
    </w:p>
    <w:p>
      <w:pPr>
        <w:ind w:left="440" w:right="360" w:hanging="433"/>
        <w:spacing w:after="0" w:line="279" w:lineRule="auto"/>
        <w:tabs>
          <w:tab w:leader="none" w:pos="4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Consists of 2,292,062 shares of common stock held by AJU Life Science Overseas Expansion Platform Fund, or AJU Platform Fund. Ji-won Kim, Kwang-sun Yang and Yong-jin Choi, the directors of AJU Platform Fund, share voting and dispositive control over the shares held by such fund. The address for AJU Platform Fund is 4F, 201 Teheran-ro, AJU Bldg., Gangnam-gu, Seoul, Korea 135-978.</w:t>
      </w:r>
    </w:p>
    <w:p>
      <w:pPr>
        <w:spacing w:after="0" w:line="78" w:lineRule="exact"/>
        <w:rPr>
          <w:rFonts w:ascii="Arial" w:cs="Arial" w:eastAsia="Arial" w:hAnsi="Arial"/>
          <w:sz w:val="17"/>
          <w:szCs w:val="17"/>
          <w:color w:val="auto"/>
        </w:rPr>
      </w:pPr>
    </w:p>
    <w:p>
      <w:pPr>
        <w:ind w:left="440" w:right="440" w:hanging="433"/>
        <w:spacing w:after="0" w:line="267"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Jennifer Neo is the sole director of Hillhouse WHP Holdings Limited, or Hillhouse. The address for Hillhouse is c/o Citco B.V.I. Limited Flemming House, Wickams Cay, Road Town, Tortola, B.V.I.</w:t>
      </w:r>
    </w:p>
    <w:p>
      <w:pPr>
        <w:spacing w:after="0" w:line="86" w:lineRule="exact"/>
        <w:rPr>
          <w:rFonts w:ascii="Arial" w:cs="Arial" w:eastAsia="Arial" w:hAnsi="Arial"/>
          <w:sz w:val="18"/>
          <w:szCs w:val="18"/>
          <w:color w:val="auto"/>
        </w:rPr>
      </w:pPr>
    </w:p>
    <w:p>
      <w:pPr>
        <w:ind w:left="440" w:right="340" w:hanging="433"/>
        <w:spacing w:after="0" w:line="267" w:lineRule="auto"/>
        <w:tabs>
          <w:tab w:leader="none" w:pos="4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(i) 329,996 shares of common stock held by Dr. Francois, (ii) 234,411 shares of common stock held by The Francois-DuBois Educational Trust, as to which Mr. Machiels holds a voting proxy and for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380"/>
        <w:spacing w:after="0" w:line="267" w:lineRule="auto"/>
        <w:rPr>
          <w:sz w:val="20"/>
          <w:szCs w:val="20"/>
          <w:color w:val="auto"/>
        </w:rPr>
      </w:pPr>
      <w:r>
        <w:rPr>
          <w:rFonts w:ascii="Arial" w:cs="Arial" w:eastAsia="Arial" w:hAnsi="Arial"/>
          <w:sz w:val="18"/>
          <w:szCs w:val="18"/>
          <w:color w:val="auto"/>
        </w:rPr>
        <w:t>which Fiduciary Trust Company of New England serves as trustee, and (iii) 1,128,495 shares of common stock issuable upon the exercise of options exercisable within 60 days after September 30, 2017.</w:t>
      </w:r>
    </w:p>
    <w:p>
      <w:pPr>
        <w:spacing w:after="0" w:line="86" w:lineRule="exact"/>
        <w:rPr>
          <w:sz w:val="20"/>
          <w:szCs w:val="20"/>
          <w:color w:val="auto"/>
        </w:rPr>
      </w:pPr>
    </w:p>
    <w:p>
      <w:pPr>
        <w:ind w:left="440" w:hanging="433"/>
        <w:spacing w:after="0" w:line="267"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561,452 shares of common stock and (ii) 724,137 shares of common stock issuable upon the exercise of options exercisable within 60 days after September 30, 2017.</w:t>
      </w:r>
    </w:p>
    <w:p>
      <w:pPr>
        <w:spacing w:after="0" w:line="86" w:lineRule="exact"/>
        <w:rPr>
          <w:rFonts w:ascii="Arial" w:cs="Arial" w:eastAsia="Arial" w:hAnsi="Arial"/>
          <w:sz w:val="18"/>
          <w:szCs w:val="18"/>
          <w:color w:val="auto"/>
        </w:rPr>
      </w:pPr>
    </w:p>
    <w:p>
      <w:pPr>
        <w:ind w:left="440" w:right="280" w:hanging="433"/>
        <w:spacing w:after="0" w:line="267"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9,376 shares of common stock and (ii) 68,272 shares of common stock issuable upon the exercise of options exercisable within 60 days after September 30, 2017.</w:t>
      </w:r>
    </w:p>
    <w:p>
      <w:pPr>
        <w:spacing w:after="0" w:line="86" w:lineRule="exact"/>
        <w:rPr>
          <w:rFonts w:ascii="Arial" w:cs="Arial" w:eastAsia="Arial" w:hAnsi="Arial"/>
          <w:sz w:val="18"/>
          <w:szCs w:val="18"/>
          <w:color w:val="auto"/>
        </w:rPr>
      </w:pPr>
    </w:p>
    <w:p>
      <w:pPr>
        <w:ind w:left="440" w:hanging="433"/>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the shares described in note 3 above.</w:t>
      </w:r>
    </w:p>
    <w:p>
      <w:pPr>
        <w:spacing w:after="0" w:line="126" w:lineRule="exact"/>
        <w:rPr>
          <w:rFonts w:ascii="Arial" w:cs="Arial" w:eastAsia="Arial" w:hAnsi="Arial"/>
          <w:sz w:val="18"/>
          <w:szCs w:val="18"/>
          <w:color w:val="auto"/>
        </w:rPr>
      </w:pPr>
    </w:p>
    <w:p>
      <w:pPr>
        <w:ind w:left="440" w:hanging="433"/>
        <w:spacing w:after="0"/>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the shares described in note 4 above.</w:t>
      </w:r>
    </w:p>
    <w:p>
      <w:pPr>
        <w:spacing w:after="0" w:line="126" w:lineRule="exact"/>
        <w:rPr>
          <w:rFonts w:ascii="Arial" w:cs="Arial" w:eastAsia="Arial" w:hAnsi="Arial"/>
          <w:sz w:val="18"/>
          <w:szCs w:val="18"/>
          <w:color w:val="auto"/>
        </w:rPr>
      </w:pPr>
    </w:p>
    <w:p>
      <w:pPr>
        <w:ind w:left="440" w:right="100" w:hanging="433"/>
        <w:spacing w:after="0" w:line="252"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186,371 shares of common stock held by MASA Life Science Ventures, LP, or MASA, and (ii) 400,681 shares of common stock held by Epidarex Capital I, LP, or Epidarex. Sinclair Dunlop, a member of our board of directors, does not own shares in his individual capacity. He is managing partner of MASA and general partner of Epidarex, and may be deemed to have voting and investment power over the shares held by each of MASA and Epidarex. The address for MASA is 7910 Woodmont Avenue, Suite 1210, Bethesda, MD 20814. The address for Epidarex is 7910 Woodmont Avenue, Suite 1210, Bethesda, MD 20814.</w:t>
      </w:r>
    </w:p>
    <w:p>
      <w:pPr>
        <w:spacing w:after="0" w:line="100" w:lineRule="exact"/>
        <w:rPr>
          <w:rFonts w:ascii="Arial" w:cs="Arial" w:eastAsia="Arial" w:hAnsi="Arial"/>
          <w:sz w:val="18"/>
          <w:szCs w:val="18"/>
          <w:color w:val="auto"/>
        </w:rPr>
      </w:pPr>
    </w:p>
    <w:p>
      <w:pPr>
        <w:ind w:left="440" w:right="140" w:hanging="433"/>
        <w:spacing w:after="0" w:line="254"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486,267 shares of common stock held by New Emerging Medical Opportunities Fund III, L.P., and (ii) 121,566 shares of common stock held by Sectoral Asset Management Holding Ltd. Ms. Katabi is a partner at Sectoral Asset Management, Inc., which manages these funds, and may be deemed to have voting and dispositive power over the shares held by these funds. The address of each of these funds is 1010 Sherbrooke St. West, Suite 1610, Montreal Quebec H3A2R7 Canada.</w:t>
      </w:r>
    </w:p>
    <w:p>
      <w:pPr>
        <w:spacing w:after="0" w:line="97" w:lineRule="exact"/>
        <w:rPr>
          <w:rFonts w:ascii="Arial" w:cs="Arial" w:eastAsia="Arial" w:hAnsi="Arial"/>
          <w:sz w:val="18"/>
          <w:szCs w:val="18"/>
          <w:color w:val="auto"/>
        </w:rPr>
      </w:pPr>
    </w:p>
    <w:p>
      <w:pPr>
        <w:jc w:val="both"/>
        <w:ind w:left="440" w:right="500" w:hanging="433"/>
        <w:spacing w:after="0" w:line="257"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381,325 shares of common stock, (ii) 234,411 shares of common stock held by The Francois-DuBois Educational Trust, as to which Mr. Machiels holds a voting proxy, and (iii) 183,622 shares of common stock issuable upon the exercise of options exercisable within 60 days after September 30, 2017.</w:t>
      </w:r>
    </w:p>
    <w:p>
      <w:pPr>
        <w:spacing w:after="0" w:line="95" w:lineRule="exact"/>
        <w:rPr>
          <w:rFonts w:ascii="Arial" w:cs="Arial" w:eastAsia="Arial" w:hAnsi="Arial"/>
          <w:sz w:val="18"/>
          <w:szCs w:val="18"/>
          <w:color w:val="auto"/>
        </w:rPr>
      </w:pPr>
    </w:p>
    <w:p>
      <w:pPr>
        <w:ind w:left="440" w:right="100" w:hanging="433"/>
        <w:spacing w:after="0" w:line="267" w:lineRule="auto"/>
        <w:tabs>
          <w:tab w:leader="none" w:pos="4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8,565,732 shares of common stock and (ii) 2,226,858 shares of common stock issuable upon the exercise of options exercisable within 60 days after September 30, 2017.</w:t>
      </w:r>
    </w:p>
    <w:p>
      <w:pPr>
        <w:spacing w:after="0" w:line="86" w:lineRule="exact"/>
        <w:rPr>
          <w:rFonts w:ascii="Arial" w:cs="Arial" w:eastAsia="Arial" w:hAnsi="Arial"/>
          <w:sz w:val="18"/>
          <w:szCs w:val="18"/>
          <w:color w:val="auto"/>
        </w:rPr>
      </w:pPr>
    </w:p>
    <w:p>
      <w:pPr>
        <w:ind w:left="440" w:right="400" w:hanging="433"/>
        <w:spacing w:after="0" w:line="412" w:lineRule="auto"/>
        <w:tabs>
          <w:tab w:leader="none" w:pos="4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See “Transactions with Related Persons” for information regarding the possible distribution of a portion of the shares of our common stock held by Potentia to Drs. Francois and Deschatelets, and Messrs. Machiels and Dunlop, which shares are not reflected in these beneficial ownership amounts.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9"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color w:val="auto"/>
        </w:rPr>
        <w:t>Following the closing of this offering, our authorized capital stock will consist of 200,000,000 shares of common stock, par value $0.0001 per share, and 10,000,000 shares of preferred stock, par value $0.0001 per share, all of which preferred stock will be undesignated. The following description of our capital stock and provisions of our restated certificate of incorporation and amended and restated bylaws are summaries and are qualified by reference to the certificate of incorporation and the bylaws that will be in effect upon the closing of this offering. We have filed copies of these documents as exhibits to our registration statement of which this prospectus forms a part. The descriptions of the common stock and preferred stock reflect changes to our capital structure that will occur upon the closing of this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9" w:lineRule="exact"/>
        <w:rPr>
          <w:sz w:val="20"/>
          <w:szCs w:val="20"/>
          <w:color w:val="auto"/>
        </w:rPr>
      </w:pPr>
    </w:p>
    <w:p>
      <w:pPr>
        <w:jc w:val="both"/>
        <w:ind w:right="40" w:firstLine="457"/>
        <w:spacing w:after="0" w:line="257" w:lineRule="auto"/>
        <w:rPr>
          <w:sz w:val="20"/>
          <w:szCs w:val="20"/>
          <w:color w:val="auto"/>
        </w:rPr>
      </w:pPr>
      <w:r>
        <w:rPr>
          <w:rFonts w:ascii="Arial" w:cs="Arial" w:eastAsia="Arial" w:hAnsi="Arial"/>
          <w:sz w:val="18"/>
          <w:szCs w:val="18"/>
          <w:color w:val="auto"/>
        </w:rPr>
        <w:t>As of September 30, 2017, we had outstanding 8,472,903 shares of common stock, held by 49 stockholders of record, and 38,542,937 shares of common stock, assuming the automatic conversion of all outstanding shares of our preferred stock into common stock upon the closing of this offering, held of record by 104 stockholders.</w:t>
      </w:r>
    </w:p>
    <w:p>
      <w:pPr>
        <w:spacing w:after="0" w:line="188"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will be determined by a plurality of the votes cast by the stockholders entitled to vote on the election. Other matters shall be decided by the affirmative vote of our stockholders having a majority in voting power of the votes cast by the stockholders present or represented and voting on such matter, except as otherwise disclosed below. Holders of common stock are entitled to receive proportionately any dividends as may be declared by our board of directors, subject to any preferential dividend rights of outstanding preferred stock.</w:t>
      </w:r>
    </w:p>
    <w:p>
      <w:pPr>
        <w:spacing w:after="0" w:line="165" w:lineRule="exact"/>
        <w:rPr>
          <w:sz w:val="20"/>
          <w:szCs w:val="20"/>
          <w:color w:val="auto"/>
        </w:rPr>
      </w:pPr>
    </w:p>
    <w:p>
      <w:pPr>
        <w:ind w:right="60" w:firstLine="457"/>
        <w:spacing w:after="0" w:line="295"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As of September 30, 2017, there were outstanding 64,139,455 shares of convertible preferred stock, consisting of 2,670,000 shares of series A convertible preferred stock, 6,362,658 shares of series B convertible preferred stock and 26,215,411 shares of series C convertible preferred stock, 21,099,351 shares of series D convertible preferred stock and 7,792,035 shares of series E convertible preferred stock. All currently outstanding shares of convertible preferred stock will be converted into an aggregate of 30,070,034 shares of common stock upon the closing of this offering.</w:t>
      </w:r>
    </w:p>
    <w:p>
      <w:pPr>
        <w:spacing w:after="0" w:line="177"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antidilution provisions, redemption privileges and liquidation preferences, of each series of preferred stock.</w:t>
      </w:r>
    </w:p>
    <w:p>
      <w:pPr>
        <w:spacing w:after="0" w:line="191" w:lineRule="exact"/>
        <w:rPr>
          <w:sz w:val="20"/>
          <w:szCs w:val="20"/>
          <w:color w:val="auto"/>
        </w:rPr>
      </w:pPr>
    </w:p>
    <w:p>
      <w:pPr>
        <w:ind w:right="40" w:firstLine="457"/>
        <w:spacing w:after="0" w:line="25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9" w:lineRule="exact"/>
        <w:rPr>
          <w:sz w:val="20"/>
          <w:szCs w:val="20"/>
          <w:color w:val="auto"/>
        </w:rPr>
      </w:pPr>
    </w:p>
    <w:p>
      <w:pPr>
        <w:ind w:right="20" w:firstLine="457"/>
        <w:spacing w:after="0" w:line="295" w:lineRule="auto"/>
        <w:rPr>
          <w:sz w:val="20"/>
          <w:szCs w:val="20"/>
          <w:color w:val="auto"/>
        </w:rPr>
      </w:pPr>
      <w:r>
        <w:rPr>
          <w:rFonts w:ascii="Arial" w:cs="Arial" w:eastAsia="Arial" w:hAnsi="Arial"/>
          <w:sz w:val="16"/>
          <w:szCs w:val="16"/>
          <w:color w:val="auto"/>
        </w:rPr>
        <w:t>As of September 30, 2017, options to purchase 5,152,119 shares of our common stock at a weighted-average exercise price of $3.03 per share were outstanding, of which options to purchase 2,740,186 shares of our common stock were exercisable, at a weighted-average exercise price of $2.70 per share, and options to purchase 991,078 shares of common stock were available for future issuance. Since September 30, 2017, we have granted additional options to purchase an aggregate of 738,392 shares of our common stock under our 2010 equity incentive plan, at an exercise price of $10.03.</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6" w:lineRule="exact"/>
        <w:rPr>
          <w:sz w:val="20"/>
          <w:szCs w:val="20"/>
          <w:color w:val="auto"/>
        </w:rPr>
      </w:pPr>
    </w:p>
    <w:p>
      <w:pPr>
        <w:ind w:firstLine="457"/>
        <w:spacing w:after="0" w:line="304" w:lineRule="auto"/>
        <w:rPr>
          <w:sz w:val="20"/>
          <w:szCs w:val="20"/>
          <w:color w:val="auto"/>
        </w:rPr>
      </w:pPr>
      <w:r>
        <w:rPr>
          <w:rFonts w:ascii="Arial" w:cs="Arial" w:eastAsia="Arial" w:hAnsi="Arial"/>
          <w:sz w:val="16"/>
          <w:szCs w:val="16"/>
          <w:color w:val="auto"/>
        </w:rPr>
        <w:t>In October 2017, we issued a warrant to purchase 14,064 shares of our common stock to Silicon Valley Bank in connection with entering into a term loan facility with Silicon Valley Bank, and issued a warrant to purchase 93,764 shares of our common stock to an affiliate of one of our stockholders in connection with our issuance and sale of a $7.0 million promissory note to such affiliate. Both warrants are exercisable at an exercise price of $5.484 per share.</w:t>
      </w:r>
    </w:p>
    <w:p>
      <w:pPr>
        <w:spacing w:after="0" w:line="154"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The warrant for 14,064 shares has a ten-year term and includes a put option pursuant to which, in the event of an acquisition, change in control or dissolution or winding up of our company, the initial public offering of our common stock or the expiration of the warrant, Silicon Valley Bank may require us to repurchase the warrant for a total aggregate purchase price of $250,000. The warrant for 93,764 shares was exercisable at any time but would have expired if unexercised by the closing date of this offering. The warrant was exercised in October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19" w:lineRule="exact"/>
        <w:rPr>
          <w:sz w:val="20"/>
          <w:szCs w:val="20"/>
          <w:color w:val="auto"/>
        </w:rPr>
      </w:pPr>
    </w:p>
    <w:p>
      <w:pPr>
        <w:ind w:right="260" w:firstLine="457"/>
        <w:spacing w:after="0" w:line="254" w:lineRule="auto"/>
        <w:rPr>
          <w:sz w:val="20"/>
          <w:szCs w:val="20"/>
          <w:color w:val="auto"/>
        </w:rPr>
      </w:pPr>
      <w:r>
        <w:rPr>
          <w:rFonts w:ascii="Arial" w:cs="Arial" w:eastAsia="Arial" w:hAnsi="Arial"/>
          <w:sz w:val="18"/>
          <w:szCs w:val="18"/>
          <w:color w:val="auto"/>
        </w:rPr>
        <w:t>Our investors’ rights agreement provides specified holders of our preferred stock, including some of our directors and 5% stockholders and their respective affiliates and entities affiliated with our officers and directors, the right, following the completion of this offering, to require us to register these shares under the Securities Act under specified circumstances as described below. After registration pursuant to these rights, these shares will become freely tradable without restriction under the Securities Act.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3"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Beginning six months after the closing of this offering, subject to specified limitations set forth in the investors’ rights agreement, at any time the holders of a majority of then outstanding registrable securities, as defined in the investors’ rights agreement, acting together, may demand in writing that we register their registrable securities under the Securities Act so long as the total amount of registrable shares requested to be registered has an anticipated aggregate offering price to the public, net of selling expenses, of least $5.0 million. We are not obligated to file a registration statement pursuant to this demand provision on more than two occasions, subject to specified exceptions.</w:t>
      </w:r>
    </w:p>
    <w:p>
      <w:pPr>
        <w:spacing w:after="0" w:line="193"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In addition, at any time after we become eligible to file a registration statement on Form S-3 under the Securities Act, subject to specified limitations, the holders of at least 30% of the registrable securities then outstanding may demand in writing that we register on Form S-3 registrable shares held by them so long as the total amount of registrable shares requested to be registered has an anticipated aggregate offering price to the public, net of selling expenses, of least $1.0 million.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5"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3"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If, at any time after the closing of this offering, we propose to file a registration statement to register any of our securities under the Securities Act, either for our own account or for the account of any of our stockholders that are not holders of registrable shares, solely for cash and on a form that would also permit the registration of registrable shares, the holders of our registrable shares are entitled to notice of registration and, subject to specified exceptions, we will be required to register the registrable shares then held by them that they request that we register.</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60" w:firstLine="457"/>
        <w:spacing w:after="0" w:line="251" w:lineRule="auto"/>
        <w:rPr>
          <w:sz w:val="20"/>
          <w:szCs w:val="20"/>
          <w:color w:val="auto"/>
        </w:rPr>
      </w:pPr>
      <w:r>
        <w:rPr>
          <w:rFonts w:ascii="Arial" w:cs="Arial" w:eastAsia="Arial" w:hAnsi="Arial"/>
          <w:sz w:val="18"/>
          <w:szCs w:val="18"/>
          <w:color w:val="auto"/>
        </w:rPr>
        <w:t>Pursuant to the investors’ rights agreement, we are required to pay all registration expenses, including registration fees, printing expenses, fees and disbursements of our counsel and accountants and reasonable fees and disbursements of one counsel representing the selling stockholders, other than any underwriting discounts and commissions, related to any demand or incidental registration. The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119"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Delaware law contains, and upon the closing of this offering our certificate of incorporation and our bylaws will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3" w:lineRule="exact"/>
        <w:rPr>
          <w:sz w:val="20"/>
          <w:szCs w:val="20"/>
          <w:color w:val="auto"/>
        </w:rPr>
      </w:pPr>
    </w:p>
    <w:p>
      <w:pPr>
        <w:ind w:firstLine="457"/>
        <w:spacing w:after="0" w:line="251" w:lineRule="auto"/>
        <w:rPr>
          <w:sz w:val="20"/>
          <w:szCs w:val="20"/>
          <w:color w:val="auto"/>
        </w:rPr>
      </w:pPr>
      <w:r>
        <w:rPr>
          <w:rFonts w:ascii="Arial" w:cs="Arial" w:eastAsia="Arial" w:hAnsi="Arial"/>
          <w:sz w:val="18"/>
          <w:szCs w:val="18"/>
          <w:color w:val="auto"/>
        </w:rPr>
        <w:t>Upon the closing of this offering, our certificate of incorporation and bylaws will divide our board of directors into three classes with staggered three-year terms. In addition, a director will only be able to be removed for cause and only by the affirmative vote of the holders of at least 75% of the votes that all of our stockholders would be entitled to cast in an annual election of directors. Any vacancy on our board of directors, including a vacancy resulting from an enlargement of our board of directors, will only be able to be filled by vote of a majority of our directors then in office. 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 Action by Written Consent; Special Meetings</w:t>
      </w:r>
    </w:p>
    <w:p>
      <w:pPr>
        <w:spacing w:after="0" w:line="113"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Upon the closing of this offering, our certificate of incorporation will provide that any action required or permitted to be taken by our stockholders must be effected at a duly called annual or special meeting of such holders and may not be effected by any consent in writing by such holders. Upon the completion of this offering, our certificate of incorporation and bylaws will also provide that, except as otherwise required by law, special meetings of our stockholders can only be called by our chairman of the board, our Chief Executive Officer or our board of directors.</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Requirements for Stockholder Proposals</w:t>
      </w:r>
    </w:p>
    <w:p>
      <w:pPr>
        <w:spacing w:after="0" w:line="113" w:lineRule="exact"/>
        <w:rPr>
          <w:sz w:val="20"/>
          <w:szCs w:val="20"/>
          <w:color w:val="auto"/>
        </w:rPr>
      </w:pPr>
    </w:p>
    <w:p>
      <w:pPr>
        <w:ind w:right="20" w:firstLine="457"/>
        <w:spacing w:after="0" w:line="267" w:lineRule="auto"/>
        <w:rPr>
          <w:sz w:val="20"/>
          <w:szCs w:val="20"/>
          <w:color w:val="auto"/>
        </w:rPr>
      </w:pPr>
      <w:r>
        <w:rPr>
          <w:rFonts w:ascii="Arial" w:cs="Arial" w:eastAsia="Arial" w:hAnsi="Arial"/>
          <w:sz w:val="18"/>
          <w:szCs w:val="18"/>
          <w:color w:val="auto"/>
        </w:rPr>
        <w:t>Upon the closing of this offering, our bylaws will establish an advance notice procedure for stockholder proposals to be brought before an annual meeting of stockholders, including proposed nominations of persons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5"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election to our board of directors. Stockholders at an annual meeting will only be able to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Business Combination Statute</w:t>
      </w:r>
    </w:p>
    <w:p>
      <w:pPr>
        <w:spacing w:after="0" w:line="113"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Upon the closing of this offering, we will be subject to Section 203 of the General Corporation Law of the State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3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of Certificate of Incorporation and Bylaws</w:t>
      </w:r>
    </w:p>
    <w:p>
      <w:pPr>
        <w:spacing w:after="0" w:line="113" w:lineRule="exact"/>
        <w:rPr>
          <w:sz w:val="20"/>
          <w:szCs w:val="20"/>
          <w:color w:val="auto"/>
        </w:rPr>
      </w:pPr>
    </w:p>
    <w:p>
      <w:pPr>
        <w:ind w:right="80" w:firstLine="457"/>
        <w:spacing w:after="0" w:line="287" w:lineRule="auto"/>
        <w:rPr>
          <w:sz w:val="20"/>
          <w:szCs w:val="20"/>
          <w:color w:val="auto"/>
        </w:rPr>
      </w:pPr>
      <w:r>
        <w:rPr>
          <w:rFonts w:ascii="Arial" w:cs="Arial" w:eastAsia="Arial" w:hAnsi="Arial"/>
          <w:sz w:val="16"/>
          <w:szCs w:val="16"/>
          <w:color w:val="auto"/>
        </w:rPr>
        <w:t>The General Corporation Law of the State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Effective upon the completion of this offering, our bylaws may be amended or repealed by a majority vote of our board of directors or by the affirmative vote of the holders of at least 75% of the votes that all of our stockholders would be entitled to cast in any annual election of directors. In addition, the affirmative vote of the holders of at least 75% of the votes that all of our stockholders would be entitled to cast in any annual election of directors is required to amend or repeal or to adopt any provisions inconsistent with any of the provisions of our certificate of incorporation described above under “—Staggered Board; Removal of Directors” and “—Stockholder Action by Written Consent; Special Meetings.”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3"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does not have jurisdiction, the federal district court for the District of Delaware) shall be the sole and exclusive forum for</w:t>
      </w:r>
    </w:p>
    <w:p>
      <w:pPr>
        <w:spacing w:after="0" w:line="1" w:lineRule="exact"/>
        <w:rPr>
          <w:sz w:val="20"/>
          <w:szCs w:val="20"/>
          <w:color w:val="auto"/>
        </w:rPr>
      </w:pPr>
    </w:p>
    <w:p>
      <w:pPr>
        <w:ind w:right="140" w:firstLine="7"/>
        <w:spacing w:after="0" w:line="287" w:lineRule="auto"/>
        <w:tabs>
          <w:tab w:leader="none" w:pos="2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our company, (2) any action asserting a claim of breach of a fiduciary duty owed by any of our directors, officers or employees to our company or our stockholders, (3) any action asserting a claim against our company arising pursuant to any provision of the General Corporation Law of the State of Delaware or our certificate of incorporation or bylaws, or (4) any action asserting a claim against our company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“APLS.”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19" w:lineRule="exact"/>
        <w:rPr>
          <w:sz w:val="20"/>
          <w:szCs w:val="20"/>
          <w:color w:val="auto"/>
        </w:rPr>
      </w:pPr>
    </w:p>
    <w:p>
      <w:pPr>
        <w:ind w:right="220" w:firstLine="457"/>
        <w:spacing w:after="0" w:line="267" w:lineRule="auto"/>
        <w:rPr>
          <w:sz w:val="20"/>
          <w:szCs w:val="20"/>
          <w:color w:val="auto"/>
        </w:rPr>
      </w:pPr>
      <w:r>
        <w:rPr>
          <w:rFonts w:ascii="Arial" w:cs="Arial" w:eastAsia="Arial" w:hAnsi="Arial"/>
          <w:sz w:val="18"/>
          <w:szCs w:val="18"/>
          <w:color w:val="auto"/>
        </w:rPr>
        <w:t>The authorized but unissued shares of common stock and preferred stock are available for future issuance without stockholder approval, subject to any limitations imposed by the listing requirements of the NASDAQ</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5"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Global Select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will be American Stock Transfer &amp; Trust Company, LLC.</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80"/>
          </w:cols>
          <w:pgMar w:left="240" w:top="455"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6"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warrants, or the anticipation of these sales, could adversely affect market prices prevailing from time to time and could impair our ability to raise capital through sales of equity securities.</w:t>
      </w:r>
    </w:p>
    <w:p>
      <w:pPr>
        <w:spacing w:after="0" w:line="191" w:lineRule="exact"/>
        <w:rPr>
          <w:sz w:val="20"/>
          <w:szCs w:val="20"/>
          <w:color w:val="auto"/>
        </w:rPr>
      </w:pPr>
    </w:p>
    <w:p>
      <w:pPr>
        <w:jc w:val="both"/>
        <w:ind w:right="180" w:firstLine="457"/>
        <w:spacing w:after="0" w:line="295" w:lineRule="auto"/>
        <w:rPr>
          <w:sz w:val="20"/>
          <w:szCs w:val="20"/>
          <w:color w:val="auto"/>
        </w:rPr>
      </w:pPr>
      <w:r>
        <w:rPr>
          <w:rFonts w:ascii="Arial" w:cs="Arial" w:eastAsia="Arial" w:hAnsi="Arial"/>
          <w:sz w:val="16"/>
          <w:szCs w:val="16"/>
          <w:color w:val="auto"/>
        </w:rPr>
        <w:t>Upon the closing of this offering, we will have outstanding 49,256,937 shares of our common stock, based upon the 8,472,903 shares of our common stock that were outstanding on September 30, 2017, and after giving effect to the issuance of 10,714,000 shares of our common stock in this offering and the automatic conversion of all outstanding shares of our preferred stock into 30,070,034 shares of common stock upon the closing of this offering, and assuming no exercise by the underwriters of their over-allotment option and no exercise of options or warrants outstanding as of September 30, 2017.</w:t>
      </w:r>
    </w:p>
    <w:p>
      <w:pPr>
        <w:spacing w:after="0" w:line="162"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Of the shares to be outstanding immediately after the closing of this offering, we expect that the 10,714,000 shares to be sold in this offering will be freely tradable without restriction under the Securities Act unless purchased by our “affiliates,” as that term is defined in Rule 144 under the Securities Act. The remaining 38,542,937 shares of our common stock outstanding after this offering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19"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65"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pacing w:after="0" w:line="97" w:lineRule="exact"/>
        <w:rPr>
          <w:sz w:val="20"/>
          <w:szCs w:val="20"/>
          <w:color w:val="auto"/>
        </w:rPr>
      </w:pPr>
    </w:p>
    <w:p>
      <w:pPr>
        <w:ind w:left="680" w:right="260" w:hanging="220"/>
        <w:spacing w:after="0" w:line="267"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500,000 shares immediately after this offering; and</w:t>
      </w:r>
    </w:p>
    <w:p>
      <w:pPr>
        <w:spacing w:after="0" w:line="86" w:lineRule="exact"/>
        <w:rPr>
          <w:rFonts w:ascii="Arial" w:cs="Arial" w:eastAsia="Arial" w:hAnsi="Arial"/>
          <w:sz w:val="18"/>
          <w:szCs w:val="18"/>
          <w:color w:val="auto"/>
        </w:rPr>
      </w:pPr>
    </w:p>
    <w:p>
      <w:pPr>
        <w:ind w:left="680" w:right="160" w:hanging="220"/>
        <w:spacing w:after="0" w:line="267"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of Proposed Sale of Securities Pursuant to Rule 144 with respect to the sale.</w:t>
      </w:r>
    </w:p>
    <w:p>
      <w:pPr>
        <w:spacing w:after="0" w:line="180" w:lineRule="exact"/>
        <w:rPr>
          <w:sz w:val="20"/>
          <w:szCs w:val="20"/>
          <w:color w:val="auto"/>
        </w:rPr>
      </w:pPr>
    </w:p>
    <w:p>
      <w:pPr>
        <w:ind w:right="480" w:firstLine="457"/>
        <w:spacing w:after="0" w:line="267"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0" w:lineRule="exact"/>
        <w:rPr>
          <w:sz w:val="20"/>
          <w:szCs w:val="20"/>
          <w:color w:val="auto"/>
        </w:rPr>
      </w:pPr>
    </w:p>
    <w:p>
      <w:pPr>
        <w:ind w:right="80" w:firstLine="457"/>
        <w:spacing w:after="0" w:line="257" w:lineRule="auto"/>
        <w:rPr>
          <w:sz w:val="20"/>
          <w:szCs w:val="20"/>
          <w:color w:val="auto"/>
        </w:rPr>
      </w:pPr>
      <w:r>
        <w:rPr>
          <w:rFonts w:ascii="Arial" w:cs="Arial" w:eastAsia="Arial" w:hAnsi="Arial"/>
          <w:sz w:val="18"/>
          <w:szCs w:val="18"/>
          <w:color w:val="auto"/>
        </w:rPr>
        <w:t>Upon expiration of the 180-day lock-up period described below, approximately 38,542,937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19"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 of public information about us. Subject to the 180-day lock-up period described below, approximately 47,613 shares of our common stock will be eligible for sale in accordance with Rule 701.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6" w:lineRule="exact"/>
        <w:rPr>
          <w:sz w:val="20"/>
          <w:szCs w:val="20"/>
          <w:color w:val="auto"/>
        </w:rPr>
      </w:pPr>
    </w:p>
    <w:p>
      <w:pPr>
        <w:ind w:right="520" w:firstLine="457"/>
        <w:spacing w:after="0" w:line="257" w:lineRule="auto"/>
        <w:rPr>
          <w:sz w:val="20"/>
          <w:szCs w:val="20"/>
          <w:color w:val="auto"/>
        </w:rPr>
      </w:pPr>
      <w:r>
        <w:rPr>
          <w:rFonts w:ascii="Arial" w:cs="Arial" w:eastAsia="Arial" w:hAnsi="Arial"/>
          <w:sz w:val="18"/>
          <w:szCs w:val="18"/>
          <w:color w:val="auto"/>
        </w:rPr>
        <w:t>We, and each of our executive officers and directors and the holders of substantially all of our outstanding stock have agreed that, without the prior written consent of Citigroup Global Markets, Inc. and J.P. Morgan Securities LLC on behalf of the underwriters, we and they will not, subject to limited exceptions, during the period ending 180 days after the date of this prospectus:</w:t>
      </w:r>
    </w:p>
    <w:p>
      <w:pPr>
        <w:spacing w:after="0" w:line="95" w:lineRule="exact"/>
        <w:rPr>
          <w:sz w:val="20"/>
          <w:szCs w:val="20"/>
          <w:color w:val="auto"/>
        </w:rPr>
      </w:pPr>
    </w:p>
    <w:p>
      <w:pPr>
        <w:ind w:left="680" w:right="40" w:hanging="220"/>
        <w:spacing w:after="0" w:line="273" w:lineRule="auto"/>
        <w:tabs>
          <w:tab w:leader="none" w:pos="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offer, sell, contract to sell, pledge or otherwise dispose of, or enter into any transaction which is designed to, or might reasonably be expected to, result in the disposition of (whether by actual disposition or effective economic disposition due to cash settlement or otherwise), directly or indirectly, including the filing (or participation in the filing) of a registration statement (other than a registration statement on Form S-8) with the SEC with respect to, any shares of our capital stock or any securities convertible into, or exercisable or exchangeable for, such capital stock;</w:t>
      </w:r>
    </w:p>
    <w:p>
      <w:pPr>
        <w:spacing w:after="0" w:line="84" w:lineRule="exact"/>
        <w:rPr>
          <w:rFonts w:ascii="Arial" w:cs="Arial" w:eastAsia="Arial" w:hAnsi="Arial"/>
          <w:sz w:val="17"/>
          <w:szCs w:val="17"/>
          <w:color w:val="auto"/>
        </w:rPr>
      </w:pPr>
    </w:p>
    <w:p>
      <w:pPr>
        <w:ind w:left="680" w:right="180" w:hanging="220"/>
        <w:spacing w:after="0" w:line="331" w:lineRule="auto"/>
        <w:tabs>
          <w:tab w:leader="none" w:pos="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establish or increase a put equivalent position or liquidate or decrease a call equivalent position with respect to any shares of our capital stock or any securities convertible into or exercisable or exchangeable for such capital stock, or publicly announce an intention to effect any such transaction; or</w:t>
      </w:r>
    </w:p>
    <w:p>
      <w:pPr>
        <w:spacing w:after="0" w:line="39" w:lineRule="exact"/>
        <w:rPr>
          <w:rFonts w:ascii="Arial" w:cs="Arial" w:eastAsia="Arial" w:hAnsi="Arial"/>
          <w:sz w:val="16"/>
          <w:szCs w:val="16"/>
          <w:color w:val="auto"/>
        </w:rPr>
      </w:pPr>
    </w:p>
    <w:p>
      <w:pPr>
        <w:ind w:left="680" w:hanging="220"/>
        <w:spacing w:after="0"/>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publicly announce an intention to effect any of the foregoing.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above do not apply to:</w:t>
      </w:r>
    </w:p>
    <w:p>
      <w:pPr>
        <w:spacing w:after="0" w:line="126" w:lineRule="exact"/>
        <w:rPr>
          <w:sz w:val="20"/>
          <w:szCs w:val="20"/>
          <w:color w:val="auto"/>
        </w:rPr>
      </w:pPr>
    </w:p>
    <w:p>
      <w:pPr>
        <w:ind w:left="680" w:right="320" w:hanging="220"/>
        <w:spacing w:after="0" w:line="26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transfers of shares of our capital stock or any securities convertible into, or exercisable or exchangeable for such capital stock as a bona fide gift or gifts;</w:t>
      </w:r>
    </w:p>
    <w:p>
      <w:pPr>
        <w:spacing w:after="0" w:line="86" w:lineRule="exact"/>
        <w:rPr>
          <w:rFonts w:ascii="Arial" w:cs="Arial" w:eastAsia="Arial" w:hAnsi="Arial"/>
          <w:sz w:val="18"/>
          <w:szCs w:val="18"/>
          <w:color w:val="auto"/>
        </w:rPr>
      </w:pPr>
    </w:p>
    <w:p>
      <w:pPr>
        <w:ind w:left="680" w:right="260" w:hanging="220"/>
        <w:spacing w:after="0" w:line="331" w:lineRule="auto"/>
        <w:tabs>
          <w:tab w:leader="none" w:pos="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transfers or dispositions of shares of our capital stock or any securities convertible into, or exercisable or exchangeable for such capital stock to any trust for the direct or indirect benefit of the holder or the immediate family of the holder in a transaction not involving a disposition for value;</w:t>
      </w:r>
    </w:p>
    <w:p>
      <w:pPr>
        <w:spacing w:after="0" w:line="39" w:lineRule="exact"/>
        <w:rPr>
          <w:rFonts w:ascii="Arial" w:cs="Arial" w:eastAsia="Arial" w:hAnsi="Arial"/>
          <w:sz w:val="16"/>
          <w:szCs w:val="16"/>
          <w:color w:val="auto"/>
        </w:rPr>
      </w:pPr>
    </w:p>
    <w:p>
      <w:pPr>
        <w:ind w:left="680" w:right="260" w:hanging="220"/>
        <w:spacing w:after="0" w:line="25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transfers or dispositions of shares of our capital stock or any securities convertible into, or exercisable or exchangeable for such capital stock to any corporation, partnership, limited liability company or other entity all of the beneficial ownership interests of which are held by the holder or the immediate family of the holder in a transaction not involving a disposition for value;</w:t>
      </w:r>
    </w:p>
    <w:p>
      <w:pPr>
        <w:spacing w:after="0" w:line="95" w:lineRule="exact"/>
        <w:rPr>
          <w:rFonts w:ascii="Arial" w:cs="Arial" w:eastAsia="Arial" w:hAnsi="Arial"/>
          <w:sz w:val="18"/>
          <w:szCs w:val="18"/>
          <w:color w:val="auto"/>
        </w:rPr>
      </w:pPr>
    </w:p>
    <w:p>
      <w:pPr>
        <w:ind w:left="680" w:right="160" w:hanging="220"/>
        <w:spacing w:after="0" w:line="331" w:lineRule="auto"/>
        <w:tabs>
          <w:tab w:leader="none" w:pos="6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transfers or dispositions of shares of our capital stock or any securities convertible into, or exercisable or exchangeable for such capital stock by will, other testamentary document or intestate succession to the legal representative, heir, beneficiary or a member of the immediate family of the holder;</w:t>
      </w:r>
    </w:p>
    <w:p>
      <w:pPr>
        <w:spacing w:after="0" w:line="39" w:lineRule="exact"/>
        <w:rPr>
          <w:rFonts w:ascii="Arial" w:cs="Arial" w:eastAsia="Arial" w:hAnsi="Arial"/>
          <w:sz w:val="16"/>
          <w:szCs w:val="16"/>
          <w:color w:val="auto"/>
        </w:rPr>
      </w:pPr>
    </w:p>
    <w:p>
      <w:pPr>
        <w:ind w:left="680" w:hanging="220"/>
        <w:spacing w:after="0" w:line="26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distributions of shares of our capital stock or any securities convertible into, or exercisable or exchangeable for such capital stock to partners, members or stockholders of the holder;</w:t>
      </w:r>
    </w:p>
    <w:p>
      <w:pPr>
        <w:spacing w:after="0" w:line="86" w:lineRule="exact"/>
        <w:rPr>
          <w:rFonts w:ascii="Arial" w:cs="Arial" w:eastAsia="Arial" w:hAnsi="Arial"/>
          <w:sz w:val="18"/>
          <w:szCs w:val="18"/>
          <w:color w:val="auto"/>
        </w:rPr>
      </w:pPr>
    </w:p>
    <w:p>
      <w:pPr>
        <w:ind w:left="680" w:right="160" w:hanging="220"/>
        <w:spacing w:after="0" w:line="25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exercise of an option to purchase shares of our common stock granted under any stock incentive plan or stock purchase plan, or exercise of outstanding warrants to purchase shares of our capital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underlying shares issuable upon exercise will continue to be subject to the restrictions described above;</w:t>
      </w:r>
    </w:p>
    <w:p>
      <w:pPr>
        <w:spacing w:after="0" w:line="95" w:lineRule="exact"/>
        <w:rPr>
          <w:rFonts w:ascii="Arial" w:cs="Arial" w:eastAsia="Arial" w:hAnsi="Arial"/>
          <w:sz w:val="18"/>
          <w:szCs w:val="18"/>
          <w:color w:val="auto"/>
        </w:rPr>
      </w:pPr>
    </w:p>
    <w:p>
      <w:pPr>
        <w:ind w:left="680" w:right="40" w:hanging="220"/>
        <w:spacing w:after="0" w:line="267"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our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any transfers of common stock,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55"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60"/>
        <w:spacing w:after="0" w:line="267" w:lineRule="auto"/>
        <w:rPr>
          <w:sz w:val="20"/>
          <w:szCs w:val="20"/>
          <w:color w:val="auto"/>
        </w:rPr>
      </w:pPr>
      <w:r>
        <w:rPr>
          <w:rFonts w:ascii="Arial" w:cs="Arial" w:eastAsia="Arial" w:hAnsi="Arial"/>
          <w:sz w:val="18"/>
          <w:szCs w:val="18"/>
          <w:color w:val="auto"/>
        </w:rPr>
        <w:t>and no filing with the SEC or other public announcement is required or voluntarily made by the holder or any other person in connection therewith, in each case during the 180-day period described above;</w:t>
      </w:r>
    </w:p>
    <w:p>
      <w:pPr>
        <w:spacing w:after="0" w:line="86" w:lineRule="exact"/>
        <w:rPr>
          <w:sz w:val="20"/>
          <w:szCs w:val="20"/>
          <w:color w:val="auto"/>
        </w:rPr>
      </w:pPr>
    </w:p>
    <w:p>
      <w:pPr>
        <w:ind w:left="680" w:hanging="220"/>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shares of our common stock to us in connection with the termination of the holder’s employment with us;</w:t>
      </w:r>
    </w:p>
    <w:p>
      <w:pPr>
        <w:spacing w:after="0" w:line="126" w:lineRule="exact"/>
        <w:rPr>
          <w:rFonts w:ascii="Arial" w:cs="Arial" w:eastAsia="Arial" w:hAnsi="Arial"/>
          <w:sz w:val="18"/>
          <w:szCs w:val="18"/>
          <w:color w:val="auto"/>
        </w:rPr>
      </w:pPr>
    </w:p>
    <w:p>
      <w:pPr>
        <w:ind w:left="680" w:right="80" w:hanging="220"/>
        <w:spacing w:after="0" w:line="26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purchased in this offering from the underwriters (other than any issuer-directed shares of common stock purchased in this offering by our officers or directors) or on the open market following this offering;</w:t>
      </w:r>
    </w:p>
    <w:p>
      <w:pPr>
        <w:spacing w:after="0" w:line="86" w:lineRule="exact"/>
        <w:rPr>
          <w:rFonts w:ascii="Arial" w:cs="Arial" w:eastAsia="Arial" w:hAnsi="Arial"/>
          <w:sz w:val="18"/>
          <w:szCs w:val="18"/>
          <w:color w:val="auto"/>
        </w:rPr>
      </w:pPr>
    </w:p>
    <w:p>
      <w:pPr>
        <w:ind w:left="680" w:right="120" w:hanging="220"/>
        <w:spacing w:after="0" w:line="26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issuance or sale of common stock, or any securities convertible into or exercisable or exchangeable for common stock, pursuant to our 2010 plan, our 2017 plan or our 2017 ESPP;</w:t>
      </w:r>
    </w:p>
    <w:p>
      <w:pPr>
        <w:spacing w:after="0" w:line="86" w:lineRule="exact"/>
        <w:rPr>
          <w:rFonts w:ascii="Arial" w:cs="Arial" w:eastAsia="Arial" w:hAnsi="Arial"/>
          <w:sz w:val="18"/>
          <w:szCs w:val="18"/>
          <w:color w:val="auto"/>
        </w:rPr>
      </w:pPr>
    </w:p>
    <w:p>
      <w:pPr>
        <w:ind w:left="680" w:right="380" w:hanging="220"/>
        <w:spacing w:after="0" w:line="267"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issuance of common stock issuable upon the conversion of securities outstanding at the time of the execution and delivery of the underwriting agreement; and</w:t>
      </w:r>
    </w:p>
    <w:p>
      <w:pPr>
        <w:spacing w:after="0" w:line="86" w:lineRule="exact"/>
        <w:rPr>
          <w:rFonts w:ascii="Arial" w:cs="Arial" w:eastAsia="Arial" w:hAnsi="Arial"/>
          <w:sz w:val="18"/>
          <w:szCs w:val="18"/>
          <w:color w:val="auto"/>
        </w:rPr>
      </w:pPr>
    </w:p>
    <w:p>
      <w:pPr>
        <w:ind w:left="680" w:hanging="220"/>
        <w:spacing w:after="0" w:line="270" w:lineRule="auto"/>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our offer, issuance or sale of shares of common stock, or any securities convertible into or exercisable or exchangeable for common stock, in connection with any acquisition or strategic investment (including any joint venture, strategic alliance or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of common stock issued or issuable does not exceed 5% of the number of shares of common stock outstanding immediately after this offering and each recipient of any such shares or other securities agrees to restrictions on the resale of securities that are consistent with the provisions set forth in the lock-up agreement for the remainder of the 180-day restricted period;</w:t>
      </w:r>
    </w:p>
    <w:p>
      <w:pPr>
        <w:spacing w:after="0" w:line="18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any transfer, disposition or distribution pursuant to the second, third, fourth, fifth or sixth clauses above, each transferee, donee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distributee will execute and deliver to the representatives a lock-up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any transfer, disposition or distribution pursuant to the second, third, fourth or sixth clauses above, no filing by any party under the Exchange Act or other public announcement reporting a reduction in the beneficial ownership of common stock held by the holder will be required or made voluntarily in connection with such transfer, disposition or distribution, other than a filing on a Form 5 made after the expiration of the 180-day period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19"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Subject to the lock-up agreements described above, upon the closing of this offering, the holders of an aggregate of 30,070,034 shares of our common stock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“Description of Capital Stock—Registration Rights” for additional information. Shares covered by a registration statement will be eligible for sale in the public market upon the expiration or release from the terms of lock-up agreements applicable to such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Warrants</w:t>
      </w:r>
    </w:p>
    <w:p>
      <w:pPr>
        <w:spacing w:after="0" w:line="119"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As of September 30, 2017, we had outstanding options to purchase 5,152,119 shares of our common stock, of which options to purchase 2,740,186 shares were vested. Following this offering, we intend to file one or more registration statements on Form S-8 under the Securities Act to register all of the shares of our common stock subject to outstanding options and options and other awards issuable pursuant to our 2017 plan, our 2017 ESPP and our 2010 plan. Shares covered by these registration statements will then be eligible for sale in the public markets, subject to vesting restrictions, any applicable lock-up agreements described above and Rule 144 limitations applicable to affiliates.</w:t>
      </w:r>
    </w:p>
    <w:p>
      <w:pPr>
        <w:spacing w:after="0" w:line="193" w:lineRule="exact"/>
        <w:rPr>
          <w:sz w:val="20"/>
          <w:szCs w:val="20"/>
          <w:color w:val="auto"/>
        </w:rPr>
      </w:pPr>
    </w:p>
    <w:p>
      <w:pPr>
        <w:ind w:right="140" w:firstLine="457"/>
        <w:spacing w:after="0" w:line="267" w:lineRule="auto"/>
        <w:rPr>
          <w:sz w:val="20"/>
          <w:szCs w:val="20"/>
          <w:color w:val="auto"/>
        </w:rPr>
      </w:pPr>
      <w:r>
        <w:rPr>
          <w:rFonts w:ascii="Arial" w:cs="Arial" w:eastAsia="Arial" w:hAnsi="Arial"/>
          <w:sz w:val="18"/>
          <w:szCs w:val="18"/>
          <w:color w:val="auto"/>
        </w:rPr>
        <w:t>Since September 30, 2017, we have granted additional options to purchase an aggregate of 738,392 shares of our common stock under our 2010 plan, at an exercise price of $10.03 per share.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5"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In October 2017, we issued warrants to purchase an aggregate of 107,828 shares of our common stock. Any shares acquired through the exercise of these warrants will be eligible for sale subject to the lock-up agreements and securities laws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Offering</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an aggregate of approximately $70.0 million in shares of our common stock in this offering at the initial public offering price. Any such shares purchased by our existing stockholders and their affiliated entities may not be able to be resold in the public market immediately following this offering as a result of restrictions under securities laws and lock-up agreements but would be able to be sold following the expiration of these restrictions, in each case as described above.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foregoing discussion does not reflect any potential purchases by these potential purchasers.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60"/>
          </w:cols>
          <w:pgMar w:left="240" w:top="455"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HOLDERS OF COMMON STOCK</w:t>
      </w:r>
    </w:p>
    <w:p>
      <w:pPr>
        <w:spacing w:after="0" w:line="209"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The following is a general discussion of material U.S. federal income and estate tax considerations relating to ownership and disposition of our common stock by a non-U.S. holder. For purposes of this discussion, the term “non-U.S. holder” means a beneficial owner (other than a partnership or other pass-through entity) of our common stock that is not, for U.S. federal income tax purposes:</w:t>
      </w:r>
    </w:p>
    <w:p>
      <w:pPr>
        <w:spacing w:after="0" w:line="95" w:lineRule="exact"/>
        <w:rPr>
          <w:sz w:val="20"/>
          <w:szCs w:val="20"/>
          <w:color w:val="auto"/>
        </w:rPr>
      </w:pPr>
    </w:p>
    <w:p>
      <w:pPr>
        <w:ind w:left="680" w:hanging="220"/>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6" w:lineRule="exact"/>
        <w:rPr>
          <w:rFonts w:ascii="Arial" w:cs="Arial" w:eastAsia="Arial" w:hAnsi="Arial"/>
          <w:sz w:val="18"/>
          <w:szCs w:val="18"/>
          <w:color w:val="auto"/>
        </w:rPr>
      </w:pPr>
    </w:p>
    <w:p>
      <w:pPr>
        <w:ind w:left="680" w:right="380" w:hanging="220"/>
        <w:spacing w:after="0" w:line="267"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state thereof or the District of Columbia;</w:t>
      </w:r>
    </w:p>
    <w:p>
      <w:pPr>
        <w:spacing w:after="0" w:line="86" w:lineRule="exact"/>
        <w:rPr>
          <w:rFonts w:ascii="Arial" w:cs="Arial" w:eastAsia="Arial" w:hAnsi="Arial"/>
          <w:sz w:val="18"/>
          <w:szCs w:val="18"/>
          <w:color w:val="auto"/>
        </w:rPr>
      </w:pPr>
    </w:p>
    <w:p>
      <w:pPr>
        <w:ind w:left="680" w:hanging="220"/>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6" w:lineRule="exact"/>
        <w:rPr>
          <w:rFonts w:ascii="Arial" w:cs="Arial" w:eastAsia="Arial" w:hAnsi="Arial"/>
          <w:sz w:val="18"/>
          <w:szCs w:val="18"/>
          <w:color w:val="auto"/>
        </w:rPr>
      </w:pPr>
    </w:p>
    <w:p>
      <w:pPr>
        <w:ind w:left="680" w:right="200" w:hanging="220"/>
        <w:spacing w:after="0" w:line="257" w:lineRule="auto"/>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88" w:lineRule="exact"/>
        <w:rPr>
          <w:sz w:val="20"/>
          <w:szCs w:val="20"/>
          <w:color w:val="auto"/>
        </w:rPr>
      </w:pPr>
    </w:p>
    <w:p>
      <w:pPr>
        <w:ind w:right="120" w:firstLine="457"/>
        <w:spacing w:after="0" w:line="251"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(or disregarded) entities for U.S. federal income tax purposes or persons who hold their common stock through partnerships or such other pass-through or disregarded entities. The tax treatment of a partner in an entity or arrangement that is treated as a partnership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acquiring, holding and disposing of our common stock through a partnership or other pass-through entity, as applicable.</w:t>
      </w:r>
    </w:p>
    <w:p>
      <w:pPr>
        <w:spacing w:after="0" w:line="195"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and current administrative rulings and judicial decisions, all as in effect as of the date of this prospectus, and all of which are subject to change or to differing interpretation, possibly with retroactive effect. Any change could alter the tax consequences to non-U.S. holders described in this prospectus. There can be no assurance that the Internal Revenue Service, which we refer to as the IRS, will not challenge one or more of the tax consequences described in this prospectus.</w:t>
      </w:r>
    </w:p>
    <w:p>
      <w:pPr>
        <w:spacing w:after="0" w:line="19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We assume in this discussion that each non-U.S. holder holds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87" w:lineRule="exact"/>
        <w:rPr>
          <w:sz w:val="20"/>
          <w:szCs w:val="20"/>
          <w:color w:val="auto"/>
        </w:rPr>
      </w:pPr>
    </w:p>
    <w:p>
      <w:pPr>
        <w:ind w:left="680" w:hanging="22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owners that hold our common stock as part of a straddle, hedge, conversion transaction, synthetic security or other integrated investment;</w:t>
      </w:r>
    </w:p>
    <w:p>
      <w:pPr>
        <w:spacing w:after="0" w:line="137" w:lineRule="exact"/>
        <w:rPr>
          <w:rFonts w:ascii="Arial" w:cs="Arial" w:eastAsia="Arial" w:hAnsi="Arial"/>
          <w:sz w:val="17"/>
          <w:szCs w:val="17"/>
          <w:color w:val="auto"/>
        </w:rPr>
      </w:pPr>
    </w:p>
    <w:p>
      <w:pPr>
        <w:ind w:left="680" w:hanging="220"/>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traders in securities that have elected the mark-to-market method of accounting for their securities holdings;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5"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have acquired our common stock pursuant to the exercise of an option or otherwise in a compensatory transaction;</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non-U.S. governments; and</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4" w:lineRule="exact"/>
        <w:rPr>
          <w:sz w:val="20"/>
          <w:szCs w:val="20"/>
          <w:color w:val="auto"/>
        </w:rPr>
      </w:pPr>
    </w:p>
    <w:p>
      <w:pPr>
        <w:ind w:right="260" w:firstLine="457"/>
        <w:spacing w:after="0" w:line="256" w:lineRule="auto"/>
        <w:rPr>
          <w:sz w:val="20"/>
          <w:szCs w:val="20"/>
          <w:color w:val="auto"/>
        </w:rPr>
      </w:pPr>
      <w:r>
        <w:rPr>
          <w:rFonts w:ascii="Arial" w:cs="Arial" w:eastAsia="Arial" w:hAnsi="Arial"/>
          <w:sz w:val="18"/>
          <w:szCs w:val="18"/>
          <w:b w:val="1"/>
          <w:bCs w:val="1"/>
          <w:color w:val="auto"/>
        </w:rPr>
        <w:t>THIS DISCUSSION IS FOR GENERAL INFORMATION ONLY AND IS NOT, AND IS NOT INTENDED TO BE, LEGAL OR TAX ADVICE. PROSPECTIVE INVESTORS SHOULD CONSULT THEIR OWN TAX ADVISORS REGARDING THE U.S. FEDERAL, STATE, LOCAL, ESTATE AND NON-U.S. INCOME AND OTHER TAX CONSIDERATIONS OF ACQUIRING, HOLDING AND DISPOSING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119" w:lineRule="exact"/>
        <w:rPr>
          <w:sz w:val="20"/>
          <w:szCs w:val="20"/>
          <w:color w:val="auto"/>
        </w:rPr>
      </w:pPr>
    </w:p>
    <w:p>
      <w:pPr>
        <w:ind w:right="40" w:firstLine="457"/>
        <w:spacing w:after="0" w:line="250" w:lineRule="auto"/>
        <w:rPr>
          <w:sz w:val="20"/>
          <w:szCs w:val="20"/>
          <w:color w:val="auto"/>
        </w:rPr>
      </w:pPr>
      <w:r>
        <w:rPr>
          <w:rFonts w:ascii="Arial" w:cs="Arial" w:eastAsia="Arial" w:hAnsi="Arial"/>
          <w:sz w:val="18"/>
          <w:szCs w:val="18"/>
          <w:color w:val="auto"/>
        </w:rPr>
        <w:t>As discussed under “Dividend Policy” above, we do not expect to make cash dividends to holders of our common stock in the foreseeable future. Distributions, if any, on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 below under the headings “Information Reporting and Backup Withholding” and “FATCA.”</w:t>
      </w:r>
    </w:p>
    <w:p>
      <w:pPr>
        <w:spacing w:after="0" w:line="198" w:lineRule="exact"/>
        <w:rPr>
          <w:sz w:val="20"/>
          <w:szCs w:val="20"/>
          <w:color w:val="auto"/>
        </w:rPr>
      </w:pPr>
    </w:p>
    <w:p>
      <w:pPr>
        <w:ind w:right="520" w:firstLine="457"/>
        <w:spacing w:after="0" w:line="26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applicable to United States persons (as defined in the Code). Any U.S. effectively connected income received by a non-U.S. holder that is classified as a corporation for U.S. federal income tax purposes may also be subject to an additional “branch profits tax” at a 30% rate or such lower rate as may be specified by an applicable income tax treaty between the United States and such holder’s country of residence.</w:t>
      </w:r>
    </w:p>
    <w:p>
      <w:pPr>
        <w:spacing w:after="0" w:line="184"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own tax advisors regarding their entitlement to benefits under a relevant income tax treaty and the specific methods available to them to satisfy these requirements.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5"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80" w:firstLine="457"/>
        <w:spacing w:after="0" w:line="267"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119" w:lineRule="exact"/>
        <w:rPr>
          <w:sz w:val="20"/>
          <w:szCs w:val="20"/>
          <w:color w:val="auto"/>
        </w:rPr>
      </w:pPr>
    </w:p>
    <w:p>
      <w:pPr>
        <w:ind w:right="20" w:firstLine="457"/>
        <w:spacing w:after="0" w:line="257"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taxable disposition of our common stock unless:</w:t>
      </w:r>
    </w:p>
    <w:p>
      <w:pPr>
        <w:spacing w:after="0" w:line="95" w:lineRule="exact"/>
        <w:rPr>
          <w:sz w:val="20"/>
          <w:szCs w:val="20"/>
          <w:color w:val="auto"/>
        </w:rPr>
      </w:pPr>
    </w:p>
    <w:p>
      <w:pPr>
        <w:ind w:left="680" w:right="20" w:hanging="220"/>
        <w:spacing w:after="0" w:line="252"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the gain is attributable to a permanent establishment or fixed base maintained by the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100" w:lineRule="exact"/>
        <w:rPr>
          <w:rFonts w:ascii="Arial" w:cs="Arial" w:eastAsia="Arial" w:hAnsi="Arial"/>
          <w:sz w:val="18"/>
          <w:szCs w:val="18"/>
          <w:color w:val="auto"/>
        </w:rPr>
      </w:pPr>
    </w:p>
    <w:p>
      <w:pPr>
        <w:ind w:left="680" w:right="80" w:hanging="220"/>
        <w:spacing w:after="0" w:line="252" w:lineRule="auto"/>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recognized in the taxable year of the disposition, if any; or</w:t>
      </w:r>
    </w:p>
    <w:p>
      <w:pPr>
        <w:spacing w:after="0" w:line="100" w:lineRule="exact"/>
        <w:rPr>
          <w:rFonts w:ascii="Arial" w:cs="Arial" w:eastAsia="Arial" w:hAnsi="Arial"/>
          <w:sz w:val="18"/>
          <w:szCs w:val="18"/>
          <w:color w:val="auto"/>
        </w:rPr>
      </w:pPr>
    </w:p>
    <w:p>
      <w:pPr>
        <w:ind w:left="680" w:hanging="220"/>
        <w:spacing w:after="0" w:line="282" w:lineRule="auto"/>
        <w:tabs>
          <w:tab w:leader="none" w:pos="6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holds no more than 5% of our outstanding common stock, directly or indirectly, at any time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If we are a U.S. real property holding corporation and either our common stock is not regularly traded on an established securities market or a non-U.S. holder holds more than 5% of our outstanding common stock, directly or indirectly, during the applicable testing period, such non-U.S. holder’s gain on the disposition of shares of our common stock generally will be taxed in the same manner as gain that is effectively connected with the conduct of a U.S. trade or business, except that the branch profits tax generally will not apply. If we are a U.S. real property holding corporation and our common stock is not regularly traded on an established securities market, a non-U.S. holder’s proceeds received on the disposition of shares will also generally be subject to withholding at a rate of 15%. Prospective investors are encouraged to consult their own tax advisors regarding the possible consequences to them if we are, or were to become, a U.S. real property holding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9" w:lineRule="exact"/>
        <w:rPr>
          <w:sz w:val="20"/>
          <w:szCs w:val="20"/>
          <w:color w:val="auto"/>
        </w:rPr>
      </w:pPr>
    </w:p>
    <w:p>
      <w:pPr>
        <w:ind w:right="160" w:firstLine="457"/>
        <w:spacing w:after="0" w:line="291"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United States person (as defined in the Code) in order to avoid backup withholding at the applicable rate with respect to dividends on our common stock. Generally, a non-U.S. holder will comply with such procedures if it provides a properly executed IRS Form W-8BEN or W-8BEN-E (or other applicable Form W-8), or otherwise meets the documentary evidence requirements for establishing that it is a non-U.S. holder, or otherwise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55"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establishes an exemption (and the payor does not have actual knowledge or reason to know that such holder is a United States person). Dividends paid to non-U.S. holders subject to withholding of U.S. federal income tax, as described above under “Distributions on Our Common Stock,” will generally be exempt from U.S. backup withholding.</w:t>
      </w:r>
    </w:p>
    <w:p>
      <w:pPr>
        <w:spacing w:after="0" w:line="18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Information reporting and backup withholding, currently at a rate of 28%, generally will apply to the proceeds of a disposition of our common stock by a non-U.S. holder effected by or through the U.S. office of any broker, whether U.S. or non-U.S., unless the holder certifies its status as a non-U.S. holder and satisfies certain other requirements, or otherwise establishes an exemption from backup withholding.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0" w:lineRule="exact"/>
        <w:rPr>
          <w:sz w:val="20"/>
          <w:szCs w:val="20"/>
          <w:color w:val="auto"/>
        </w:rPr>
      </w:pPr>
    </w:p>
    <w:p>
      <w:pPr>
        <w:ind w:right="400" w:firstLine="457"/>
        <w:spacing w:after="0" w:line="33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119" w:lineRule="exact"/>
        <w:rPr>
          <w:sz w:val="20"/>
          <w:szCs w:val="20"/>
          <w:color w:val="auto"/>
        </w:rPr>
      </w:pPr>
    </w:p>
    <w:p>
      <w:pPr>
        <w:ind w:right="140" w:firstLine="457"/>
        <w:spacing w:after="0" w:line="254"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common stock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from FATCA.</w:t>
      </w:r>
    </w:p>
    <w:p>
      <w:pPr>
        <w:spacing w:after="0" w:line="191"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Withholding under FATCA generally applies (1) to payments of dividends on our common stock, and (2)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19" w:lineRule="exact"/>
        <w:rPr>
          <w:sz w:val="20"/>
          <w:szCs w:val="20"/>
          <w:color w:val="auto"/>
        </w:rPr>
      </w:pPr>
    </w:p>
    <w:p>
      <w:pPr>
        <w:ind w:right="120" w:firstLine="457"/>
        <w:spacing w:after="0" w:line="252" w:lineRule="auto"/>
        <w:rPr>
          <w:sz w:val="20"/>
          <w:szCs w:val="20"/>
          <w:color w:val="auto"/>
        </w:rPr>
      </w:pPr>
      <w:r>
        <w:rPr>
          <w:rFonts w:ascii="Arial" w:cs="Arial" w:eastAsia="Arial" w:hAnsi="Arial"/>
          <w:sz w:val="18"/>
          <w:szCs w:val="18"/>
          <w:color w:val="auto"/>
        </w:rPr>
        <w:t>Shares of our common stock that are beneficially owned or treated as beneficially owned at the time of death by an individual who is not a citizen or resident of the United States (as specially defined for U.S. federal estate tax purposes) are considered U.S. situs assets and will generally be included in the individual’s gross estate for U.S. federal estate tax purposes. Such shares, therefore, may be subject to U.S. federal estate tax, unless an applicable estate tax or other treaty provides otherwise. A non-U.S. holder is urged to consult his, her or its tax advisor regarding the U.S. federal estate tax consequences of the ownership or disposition of our common stock.</w:t>
      </w:r>
    </w:p>
    <w:p>
      <w:pPr>
        <w:spacing w:after="0" w:line="187" w:lineRule="exact"/>
        <w:rPr>
          <w:sz w:val="20"/>
          <w:szCs w:val="20"/>
          <w:color w:val="auto"/>
        </w:rPr>
      </w:pPr>
    </w:p>
    <w:p>
      <w:pPr>
        <w:ind w:firstLine="457"/>
        <w:spacing w:after="0" w:line="283"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legal or tax advice. Prospective investors should consult their own tax advisors regarding the particular U.S. federal, state, local and non-U.S. tax consequences of purchasing, holding and disposing of our common stock, including the consequences of any proposed changes in applicable laws.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6" w:lineRule="exact"/>
        <w:rPr>
          <w:sz w:val="20"/>
          <w:szCs w:val="20"/>
          <w:color w:val="auto"/>
        </w:rPr>
      </w:pPr>
    </w:p>
    <w:p>
      <w:pPr>
        <w:jc w:val="both"/>
        <w:ind w:right="80" w:firstLine="457"/>
        <w:spacing w:after="0" w:line="365" w:lineRule="auto"/>
        <w:rPr>
          <w:sz w:val="20"/>
          <w:szCs w:val="20"/>
          <w:color w:val="auto"/>
        </w:rPr>
      </w:pPr>
      <w:r>
        <w:rPr>
          <w:rFonts w:ascii="Arial" w:cs="Arial" w:eastAsia="Arial" w:hAnsi="Arial"/>
          <w:sz w:val="14"/>
          <w:szCs w:val="14"/>
          <w:color w:val="auto"/>
        </w:rPr>
        <w:t>Citigroup Global Markets Inc., J.P. Morgan Securities LLC and Evercore Group L.L.C. are acting as joint book-running managers of this offering and as representatives of the underwriters named below. Subject to the terms and conditions stated in the underwriting agreement dated the date of this prospectus, the underwriters named below have severally agreed to purchase, and we have agreed to sell to them, the number of shares of our common stock indicated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0380" w:type="dxa"/>
            <w:vAlign w:val="bottom"/>
            <w:gridSpan w:val="2"/>
            <w:vMerge w:val="continue"/>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7"/>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w:t>
            </w:r>
          </w:p>
        </w:tc>
        <w:tc>
          <w:tcPr>
            <w:tcW w:w="96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Global Markets Inc.</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4,285,600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3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980" w:type="dxa"/>
            <w:vAlign w:val="bottom"/>
          </w:tcPr>
          <w:p>
            <w:pPr>
              <w:jc w:val="right"/>
              <w:spacing w:after="0"/>
              <w:rPr>
                <w:sz w:val="20"/>
                <w:szCs w:val="20"/>
                <w:color w:val="auto"/>
              </w:rPr>
            </w:pPr>
            <w:r>
              <w:rPr>
                <w:rFonts w:ascii="Arial" w:cs="Arial" w:eastAsia="Arial" w:hAnsi="Arial"/>
                <w:sz w:val="18"/>
                <w:szCs w:val="18"/>
                <w:color w:val="auto"/>
              </w:rPr>
              <w:t>4,285,600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2,142,800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3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10,714,000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00" w:firstLine="457"/>
        <w:spacing w:after="0" w:line="295"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of our common stock included in this offering are subject to approval of legal matters by counsel and to other conditions. The underwriters are obligated to purchase all of the shares of our common stock (other than those covered by the over-allotment option described below) if they purchase any of the shares. The underwriting agreement also provides that if an underwriter defaults, the purchase commitments of non-defaulting underwriters may also be increased or the offering may be terminated.</w:t>
      </w:r>
    </w:p>
    <w:p>
      <w:pPr>
        <w:spacing w:after="0" w:line="162" w:lineRule="exact"/>
        <w:rPr>
          <w:sz w:val="20"/>
          <w:szCs w:val="20"/>
          <w:color w:val="auto"/>
        </w:rPr>
      </w:pPr>
    </w:p>
    <w:p>
      <w:pPr>
        <w:ind w:right="20" w:firstLine="457"/>
        <w:spacing w:after="0" w:line="291" w:lineRule="auto"/>
        <w:rPr>
          <w:sz w:val="20"/>
          <w:szCs w:val="20"/>
          <w:color w:val="auto"/>
        </w:rPr>
      </w:pPr>
      <w:r>
        <w:rPr>
          <w:rFonts w:ascii="Arial" w:cs="Arial" w:eastAsia="Arial" w:hAnsi="Arial"/>
          <w:sz w:val="16"/>
          <w:szCs w:val="16"/>
          <w:color w:val="auto"/>
        </w:rPr>
        <w:t>Shares of our common stock sold by the underwriters to the public will initially be offered at the initial public offering price set forth on the cover page of this prospectus. Any shares of our common stock sold by the underwriters to securities dealers may be sold at a discount from the initial public offering price not to exceed $0.588 per share. After the initial offering of the shares of our common stock, if all the shares of our common stock are not sold at the initial public offering price, the underwriters may change the offering price and the other selling terms. The representatives have advised us that the underwriters do not intend to make sales to discretionary accounts. Sales of shares made outside of the United States may be made by affiliates of the underwriters.</w:t>
      </w:r>
    </w:p>
    <w:p>
      <w:pPr>
        <w:spacing w:after="0" w:line="165"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If the underwriters sell more shares of our common stock than the total number set forth in the table above, we have granted to the underwriters an option, exercisable for 30 days from the date of this prospectus, to purchase up to 1,607,100 additional shares of our common stock at the initial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of our common stock approximately proportionate to that underwriter’s initial purchase commitment set forth in the table above. Any shares of our common stock issued or sold under the option will be issued and sold on the same terms and conditions as the other shares of our common stock that are the subject of this offering.</w:t>
      </w:r>
    </w:p>
    <w:p>
      <w:pPr>
        <w:spacing w:after="0" w:line="16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We, our officers and directors and substantially all of our stockholders have agreed that, subject to specified limited exceptions, for a period of 180 days from the date of this prospectus, we and they will not, without the prior written consent of Citigroup Global Markets Inc. and J.P. Morgan Securities LLC, offer, sell, contract to sell, pledge or otherwise dispose of, or hedge any shares of our capital stock or any securities convertible into, or exercisable or exchangeable for, our capital stock. Citigroup Global Markets Inc. and J.P. Morgan Securities LLC in their sole discretion may release any of the securities subject to these lock-up agreements at any time, which, in the case of officers and directors, shall be with notice.</w:t>
      </w:r>
    </w:p>
    <w:p>
      <w:pPr>
        <w:spacing w:after="0" w:line="181" w:lineRule="exact"/>
        <w:rPr>
          <w:sz w:val="20"/>
          <w:szCs w:val="20"/>
          <w:color w:val="auto"/>
        </w:rPr>
      </w:pPr>
    </w:p>
    <w:p>
      <w:pPr>
        <w:ind w:right="240" w:firstLine="457"/>
        <w:spacing w:after="0" w:line="267" w:lineRule="auto"/>
        <w:rPr>
          <w:sz w:val="20"/>
          <w:szCs w:val="20"/>
          <w:color w:val="auto"/>
        </w:rPr>
      </w:pPr>
      <w:r>
        <w:rPr>
          <w:rFonts w:ascii="Arial" w:cs="Arial" w:eastAsia="Arial" w:hAnsi="Arial"/>
          <w:sz w:val="18"/>
          <w:szCs w:val="18"/>
          <w:color w:val="auto"/>
        </w:rPr>
        <w:t>Prior to this offering, there has been no public market for our shares. Consequently, the initial public offering price for the shares of our common stock was determined by negotiations between us and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5"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w:t>
      </w:r>
    </w:p>
    <w:p>
      <w:pPr>
        <w:ind w:right="220"/>
        <w:spacing w:after="0" w:line="283" w:lineRule="auto"/>
        <w:rPr>
          <w:sz w:val="20"/>
          <w:szCs w:val="20"/>
          <w:color w:val="auto"/>
        </w:rPr>
      </w:pPr>
      <w:r>
        <w:rPr>
          <w:rFonts w:ascii="Arial" w:cs="Arial" w:eastAsia="Arial" w:hAnsi="Arial"/>
          <w:sz w:val="17"/>
          <w:szCs w:val="17"/>
          <w:color w:val="auto"/>
        </w:rPr>
        <w:t>We cannot assure you, however, that the price at which the shares of our common stock will sell in the public market after this offering will not be lower than the initial public offering price or that an active trading market in our shares of common stock will develop and continue after this offering.</w:t>
      </w:r>
    </w:p>
    <w:p>
      <w:pPr>
        <w:spacing w:after="0" w:line="168"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Certain of our existing stockholders and their affiliated entities have indicated an interest in purchasing an aggregate of approximately $70.0 million in shares of our common stock in this offering at the initial public offering price. However, because indications of interest are not binding agreements or commitments to purchase, the underwriters could determine to sell more, fewer or no shares to any of these potential purchasers, and any of these potential purchasers could determine to purchase more, fewer or no shares in this offering. The underwriters will receive the same underwriting discounts and commissions on any shares purchased by these parties as they will on any other shares sold to the public in this offering.</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or NASDAQ, under the symbol “APLS.”</w:t>
      </w:r>
    </w:p>
    <w:p>
      <w:pPr>
        <w:spacing w:after="0" w:line="209" w:lineRule="exact"/>
        <w:rPr>
          <w:sz w:val="20"/>
          <w:szCs w:val="20"/>
          <w:color w:val="auto"/>
        </w:rPr>
      </w:pPr>
    </w:p>
    <w:p>
      <w:pPr>
        <w:ind w:right="140" w:firstLine="457"/>
        <w:spacing w:after="0" w:line="297" w:lineRule="auto"/>
        <w:rPr>
          <w:sz w:val="20"/>
          <w:szCs w:val="20"/>
          <w:color w:val="auto"/>
        </w:rPr>
      </w:pPr>
      <w:r>
        <w:rPr>
          <w:rFonts w:ascii="Arial" w:cs="Arial" w:eastAsia="Arial" w:hAnsi="Arial"/>
          <w:sz w:val="17"/>
          <w:szCs w:val="17"/>
          <w:color w:val="auto"/>
        </w:rPr>
        <w:t>The following table shows the per share and total underwriting discounts and commissions that we are to pay to the underwriters in connection with this offering. These amounts are shown assuming both no exercise and full exercise of the underwriters’ over-allotment option: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No exercise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Full exercise</w:t>
            </w:r>
          </w:p>
        </w:tc>
      </w:tr>
      <w:tr>
        <w:trPr>
          <w:trHeight w:val="207"/>
        </w:trPr>
        <w:tc>
          <w:tcPr>
            <w:tcW w:w="78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Per share</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tcBorders>
              <w:top w:val="single" w:sz="8" w:color="CCEEFF"/>
            </w:tcBorders>
            <w:shd w:val="clear" w:color="auto" w:fill="CCEEFF"/>
          </w:tcPr>
          <w:p>
            <w:pPr>
              <w:spacing w:after="0"/>
              <w:rPr>
                <w:sz w:val="17"/>
                <w:szCs w:val="17"/>
                <w:color w:val="auto"/>
              </w:rPr>
            </w:pPr>
          </w:p>
        </w:tc>
      </w:tr>
      <w:tr>
        <w:trPr>
          <w:trHeight w:val="224"/>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10,499,720</w:t>
            </w:r>
          </w:p>
        </w:tc>
        <w:tc>
          <w:tcPr>
            <w:tcW w:w="6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12,074,678</w:t>
            </w:r>
          </w:p>
        </w:tc>
      </w:tr>
    </w:tbl>
    <w:p>
      <w:pPr>
        <w:spacing w:after="0" w:line="190" w:lineRule="exact"/>
        <w:rPr>
          <w:sz w:val="20"/>
          <w:szCs w:val="20"/>
          <w:color w:val="auto"/>
        </w:rPr>
      </w:pPr>
    </w:p>
    <w:p>
      <w:pPr>
        <w:ind w:right="280" w:firstLine="457"/>
        <w:spacing w:after="0" w:line="251" w:lineRule="auto"/>
        <w:rPr>
          <w:sz w:val="20"/>
          <w:szCs w:val="20"/>
          <w:color w:val="auto"/>
        </w:rPr>
      </w:pPr>
      <w:r>
        <w:rPr>
          <w:rFonts w:ascii="Arial" w:cs="Arial" w:eastAsia="Arial" w:hAnsi="Arial"/>
          <w:sz w:val="18"/>
          <w:szCs w:val="18"/>
          <w:color w:val="auto"/>
        </w:rPr>
        <w:t>We estimate that expenses payable by us in connection with this offering, exclusive of underwriting discounts and commissions payable by us, will be approximately $2.3 million. We have also agreed to reimburse the underwriters for expenses in an amount up to $30,000 relating to the clearance of this offering with the Financial Industry Regulatory Authority, Inc.</w:t>
      </w:r>
    </w:p>
    <w:p>
      <w:pPr>
        <w:spacing w:after="0" w:line="2"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1"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91"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0" w:lineRule="exact"/>
        <w:rPr>
          <w:sz w:val="20"/>
          <w:szCs w:val="20"/>
          <w:color w:val="auto"/>
        </w:rPr>
      </w:pPr>
    </w:p>
    <w:p>
      <w:pPr>
        <w:ind w:firstLine="457"/>
        <w:spacing w:after="0" w:line="251" w:lineRule="auto"/>
        <w:rPr>
          <w:sz w:val="20"/>
          <w:szCs w:val="20"/>
          <w:color w:val="auto"/>
        </w:rPr>
      </w:pPr>
      <w:r>
        <w:rPr>
          <w:rFonts w:ascii="Arial" w:cs="Arial" w:eastAsia="Arial" w:hAnsi="Arial"/>
          <w:sz w:val="18"/>
          <w:szCs w:val="18"/>
          <w:color w:val="auto"/>
        </w:rPr>
        <w:t>A prospectus in electronic format may be made available on websites maintained by one or more of the underwriters or their respective affiliates. The representatives may agree with us to allocate a number of shares of our common stock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19" w:lineRule="exact"/>
        <w:rPr>
          <w:sz w:val="20"/>
          <w:szCs w:val="20"/>
          <w:color w:val="auto"/>
        </w:rPr>
      </w:pPr>
    </w:p>
    <w:p>
      <w:pPr>
        <w:ind w:right="120" w:firstLine="457"/>
        <w:spacing w:after="0" w:line="284" w:lineRule="auto"/>
        <w:rPr>
          <w:sz w:val="20"/>
          <w:szCs w:val="20"/>
          <w:color w:val="auto"/>
        </w:rPr>
      </w:pPr>
      <w:r>
        <w:rPr>
          <w:rFonts w:ascii="Arial" w:cs="Arial" w:eastAsia="Arial" w:hAnsi="Arial"/>
          <w:sz w:val="16"/>
          <w:szCs w:val="16"/>
          <w:color w:val="auto"/>
        </w:rPr>
        <w:t>The underwriters are full-service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19" w:lineRule="exact"/>
        <w:rPr>
          <w:sz w:val="20"/>
          <w:szCs w:val="20"/>
          <w:color w:val="auto"/>
        </w:rPr>
      </w:pPr>
    </w:p>
    <w:p>
      <w:pPr>
        <w:ind w:right="100" w:firstLine="457"/>
        <w:spacing w:after="0" w:line="304"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of our common stock described in this prospectus may not be made to the public in that relevant member state other than:</w:t>
      </w:r>
    </w:p>
    <w:p>
      <w:pPr>
        <w:spacing w:after="0" w:line="61" w:lineRule="exact"/>
        <w:rPr>
          <w:sz w:val="20"/>
          <w:szCs w:val="20"/>
          <w:color w:val="auto"/>
        </w:rPr>
      </w:pPr>
    </w:p>
    <w:p>
      <w:pPr>
        <w:ind w:left="680" w:hanging="220"/>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26" w:lineRule="exact"/>
        <w:rPr>
          <w:rFonts w:ascii="Arial" w:cs="Arial" w:eastAsia="Arial" w:hAnsi="Arial"/>
          <w:sz w:val="18"/>
          <w:szCs w:val="18"/>
          <w:color w:val="auto"/>
        </w:rPr>
      </w:pPr>
    </w:p>
    <w:p>
      <w:pPr>
        <w:jc w:val="both"/>
        <w:ind w:left="680" w:right="240" w:hanging="220"/>
        <w:spacing w:after="0" w:line="257" w:lineRule="auto"/>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0"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provided that no such offer of shares of our common stock shall require us or any underwriter to publish a prospectus pursuant to Article 3 of the Prospectus Directive.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5"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For purposes of this provision, the expression an “offer of securities to the public” in any relevant member state means the communication in any form and by any means of sufficient information on the terms of the offer and the shares of our common stock to be offered so as to enable an investor to decide to purchase or subscribe for any shares of our common stock, as the expression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9" w:lineRule="exact"/>
        <w:rPr>
          <w:sz w:val="20"/>
          <w:szCs w:val="20"/>
          <w:color w:val="auto"/>
        </w:rPr>
      </w:pPr>
    </w:p>
    <w:p>
      <w:pPr>
        <w:jc w:val="both"/>
        <w:ind w:right="160" w:firstLine="457"/>
        <w:spacing w:after="0" w:line="273" w:lineRule="auto"/>
        <w:rPr>
          <w:sz w:val="20"/>
          <w:szCs w:val="20"/>
          <w:color w:val="auto"/>
        </w:rPr>
      </w:pPr>
      <w:r>
        <w:rPr>
          <w:rFonts w:ascii="Arial" w:cs="Arial" w:eastAsia="Arial" w:hAnsi="Arial"/>
          <w:sz w:val="17"/>
          <w:szCs w:val="17"/>
          <w:color w:val="auto"/>
        </w:rPr>
        <w:t>The sellers of the shares of our common stock have not authorized and do not authorize the making of any offer of shares of our common stock through any financial intermediary on their behalf, other than offers made by the underwriters with a view to the final placement of the shares of our common stock as contemplated in this prospectus. Accordingly, no purchaser of the shares of our common stock, other than the underwriters, is authorized to make any further offer of the shares of our common stock on behalf of the sellers or the underwriters.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19" w:lineRule="exact"/>
        <w:rPr>
          <w:sz w:val="20"/>
          <w:szCs w:val="20"/>
          <w:color w:val="auto"/>
        </w:rPr>
      </w:pPr>
    </w:p>
    <w:p>
      <w:pPr>
        <w:ind w:right="60" w:firstLine="457"/>
        <w:spacing w:after="0" w:line="254"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w:t>
      </w:r>
    </w:p>
    <w:p>
      <w:pPr>
        <w:spacing w:after="0" w:line="191" w:lineRule="exact"/>
        <w:rPr>
          <w:sz w:val="20"/>
          <w:szCs w:val="20"/>
          <w:color w:val="auto"/>
        </w:rPr>
      </w:pPr>
    </w:p>
    <w:p>
      <w:pPr>
        <w:jc w:val="both"/>
        <w:ind w:right="80" w:firstLine="457"/>
        <w:spacing w:after="0" w:line="257"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19"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Corporations Act) in relation to our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95" w:lineRule="exact"/>
        <w:rPr>
          <w:sz w:val="20"/>
          <w:szCs w:val="20"/>
          <w:color w:val="auto"/>
        </w:rPr>
      </w:pPr>
    </w:p>
    <w:p>
      <w:pPr>
        <w:ind w:left="680" w:hanging="220"/>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26" w:lineRule="exact"/>
        <w:rPr>
          <w:rFonts w:ascii="Arial" w:cs="Arial" w:eastAsia="Arial" w:hAnsi="Arial"/>
          <w:sz w:val="18"/>
          <w:szCs w:val="18"/>
          <w:color w:val="auto"/>
        </w:rPr>
      </w:pPr>
    </w:p>
    <w:p>
      <w:pPr>
        <w:ind w:left="900" w:hanging="213"/>
        <w:spacing w:after="0"/>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26" w:lineRule="exact"/>
        <w:rPr>
          <w:rFonts w:ascii="Arial" w:cs="Arial" w:eastAsia="Arial" w:hAnsi="Arial"/>
          <w:sz w:val="18"/>
          <w:szCs w:val="18"/>
          <w:color w:val="auto"/>
        </w:rPr>
      </w:pPr>
    </w:p>
    <w:p>
      <w:pPr>
        <w:ind w:left="900" w:right="40" w:hanging="213"/>
        <w:spacing w:after="0" w:line="331"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39" w:lineRule="exact"/>
        <w:rPr>
          <w:rFonts w:ascii="Arial" w:cs="Arial" w:eastAsia="Arial" w:hAnsi="Arial"/>
          <w:sz w:val="16"/>
          <w:szCs w:val="16"/>
          <w:color w:val="auto"/>
        </w:rPr>
      </w:pPr>
    </w:p>
    <w:p>
      <w:pPr>
        <w:ind w:left="900" w:hanging="213"/>
        <w:spacing w:after="0"/>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26" w:lineRule="exact"/>
        <w:rPr>
          <w:rFonts w:ascii="Arial" w:cs="Arial" w:eastAsia="Arial" w:hAnsi="Arial"/>
          <w:sz w:val="18"/>
          <w:szCs w:val="18"/>
          <w:color w:val="auto"/>
        </w:rPr>
      </w:pPr>
    </w:p>
    <w:p>
      <w:pPr>
        <w:jc w:val="both"/>
        <w:ind w:left="900" w:right="140" w:hanging="213"/>
        <w:spacing w:after="0" w:line="257"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95" w:lineRule="exact"/>
        <w:rPr>
          <w:rFonts w:ascii="Arial" w:cs="Arial" w:eastAsia="Arial" w:hAnsi="Arial"/>
          <w:sz w:val="18"/>
          <w:szCs w:val="18"/>
          <w:color w:val="auto"/>
        </w:rPr>
      </w:pPr>
    </w:p>
    <w:p>
      <w:pPr>
        <w:ind w:left="680" w:right="280" w:hanging="220"/>
        <w:spacing w:after="0" w:line="331" w:lineRule="auto"/>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our common stock for resale in Australia within 12 months of that common stock being issued unless any such resale offer is exempt from the requirement to issue a disclosure document under section 708 of the Corporations Act.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5"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19" w:lineRule="exact"/>
        <w:rPr>
          <w:sz w:val="20"/>
          <w:szCs w:val="20"/>
          <w:color w:val="auto"/>
        </w:rPr>
      </w:pPr>
    </w:p>
    <w:p>
      <w:pPr>
        <w:ind w:right="120" w:firstLine="457"/>
        <w:spacing w:after="0" w:line="295" w:lineRule="auto"/>
        <w:rPr>
          <w:sz w:val="20"/>
          <w:szCs w:val="20"/>
          <w:color w:val="auto"/>
        </w:rPr>
      </w:pPr>
      <w:r>
        <w:rPr>
          <w:rFonts w:ascii="Arial" w:cs="Arial" w:eastAsia="Arial" w:hAnsi="Arial"/>
          <w:sz w:val="16"/>
          <w:szCs w:val="16"/>
          <w:color w:val="auto"/>
        </w:rPr>
        <w:t xml:space="preserve">Neither this prospectus nor any other offering material relating to the shares of our common stock described in this prospectus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The shares of our common stock have not been offered or sold and will not be offered or sold, directly or indirectly, to the public in France. Neither this prospectus nor any other offering material relating to the shares of our common stock has been or will be:</w:t>
      </w:r>
    </w:p>
    <w:p>
      <w:pPr>
        <w:spacing w:after="0" w:line="69" w:lineRule="exact"/>
        <w:rPr>
          <w:sz w:val="20"/>
          <w:szCs w:val="20"/>
          <w:color w:val="auto"/>
        </w:rPr>
      </w:pPr>
    </w:p>
    <w:p>
      <w:pPr>
        <w:ind w:left="680" w:hanging="220"/>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26" w:lineRule="exact"/>
        <w:rPr>
          <w:rFonts w:ascii="Arial" w:cs="Arial" w:eastAsia="Arial" w:hAnsi="Arial"/>
          <w:sz w:val="18"/>
          <w:szCs w:val="18"/>
          <w:color w:val="auto"/>
        </w:rPr>
      </w:pPr>
    </w:p>
    <w:p>
      <w:pPr>
        <w:ind w:left="680" w:hanging="220"/>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of our common stock to the public in France.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26" w:lineRule="exact"/>
        <w:rPr>
          <w:sz w:val="20"/>
          <w:szCs w:val="20"/>
          <w:color w:val="auto"/>
        </w:rPr>
      </w:pPr>
    </w:p>
    <w:p>
      <w:pPr>
        <w:ind w:left="680" w:hanging="220"/>
        <w:spacing w:after="0" w:line="257" w:lineRule="auto"/>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95" w:lineRule="exact"/>
        <w:rPr>
          <w:rFonts w:ascii="Arial" w:cs="Arial" w:eastAsia="Arial" w:hAnsi="Arial"/>
          <w:sz w:val="18"/>
          <w:szCs w:val="18"/>
          <w:color w:val="auto"/>
        </w:rPr>
      </w:pPr>
    </w:p>
    <w:p>
      <w:pPr>
        <w:ind w:left="680" w:hanging="220"/>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26" w:lineRule="exact"/>
        <w:rPr>
          <w:rFonts w:ascii="Arial" w:cs="Arial" w:eastAsia="Arial" w:hAnsi="Arial"/>
          <w:sz w:val="18"/>
          <w:szCs w:val="18"/>
          <w:color w:val="auto"/>
        </w:rPr>
      </w:pPr>
    </w:p>
    <w:p>
      <w:pPr>
        <w:ind w:left="680" w:right="240" w:hanging="220"/>
        <w:spacing w:after="0" w:line="331" w:lineRule="auto"/>
        <w:tabs>
          <w:tab w:leader="none" w:pos="6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Code </w:t>
      </w:r>
      <w:r>
        <w:rPr>
          <w:rFonts w:ascii="Arial" w:cs="Arial" w:eastAsia="Arial" w:hAnsi="Arial"/>
          <w:sz w:val="16"/>
          <w:szCs w:val="16"/>
          <w:i w:val="1"/>
          <w:iCs w:val="1"/>
          <w:color w:val="auto"/>
        </w:rPr>
        <w:t>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133" w:lineRule="exact"/>
        <w:rPr>
          <w:sz w:val="20"/>
          <w:szCs w:val="20"/>
          <w:color w:val="auto"/>
        </w:rPr>
      </w:pPr>
    </w:p>
    <w:p>
      <w:pPr>
        <w:ind w:right="280" w:firstLine="457"/>
        <w:spacing w:after="0" w:line="267" w:lineRule="auto"/>
        <w:rPr>
          <w:sz w:val="20"/>
          <w:szCs w:val="20"/>
          <w:color w:val="auto"/>
        </w:rPr>
      </w:pPr>
      <w:r>
        <w:rPr>
          <w:rFonts w:ascii="Arial" w:cs="Arial" w:eastAsia="Arial" w:hAnsi="Arial"/>
          <w:sz w:val="18"/>
          <w:szCs w:val="18"/>
          <w:color w:val="auto"/>
        </w:rPr>
        <w:t xml:space="preserve">The shares of our common stock may be resold directly or indirectly, only in compliance with articles L.411-1, L.411-2, L.412-1 and L.621-8 through L.621-8-3 of the French Code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Chile</w:t>
      </w:r>
    </w:p>
    <w:p>
      <w:pPr>
        <w:spacing w:after="0" w:line="119"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shares of our common stock are not registered in the Securities Registry (Registro de Valores) or subject to the control of the Chilean Securities and Exchange Commission (Superintendencia de Valores y Seguros de Chile). This prospectus and other offering materials relating to the offer of the shares do not constitute a public offer of, or an invitation to subscribe for or purchase, the shares in the Republic of Chile, other than to individually identified purchasers pursuant to a private offering within the meaning of Article 4 of the Chilean Securities Market Act (Ley de Mercado de Valores) (an offer that is not “addressed to the public at large or to a certain sector or specific group of the public”).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1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The shares of our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5"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State of Israel</w:t>
      </w:r>
    </w:p>
    <w:p>
      <w:pPr>
        <w:spacing w:after="0" w:line="11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4"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3" w:lineRule="exact"/>
        <w:rPr>
          <w:sz w:val="20"/>
          <w:szCs w:val="20"/>
          <w:color w:val="auto"/>
        </w:rPr>
      </w:pPr>
    </w:p>
    <w:p>
      <w:pPr>
        <w:ind w:left="320" w:hanging="313"/>
        <w:spacing w:after="0"/>
        <w:tabs>
          <w:tab w:leader="none" w:pos="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that it will abide by all provisions set forth in the Israeli Securities Law, 5728 - 1968 and the regulations promulgated thereunder in connection with the</w:t>
      </w:r>
    </w:p>
    <w:p>
      <w:pPr>
        <w:spacing w:after="0" w:line="29"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19" w:lineRule="exact"/>
        <w:rPr>
          <w:sz w:val="20"/>
          <w:szCs w:val="20"/>
          <w:color w:val="auto"/>
        </w:rPr>
      </w:pPr>
    </w:p>
    <w:p>
      <w:pPr>
        <w:ind w:firstLine="457"/>
        <w:spacing w:after="0" w:line="295" w:lineRule="auto"/>
        <w:rPr>
          <w:sz w:val="20"/>
          <w:szCs w:val="20"/>
          <w:color w:val="auto"/>
        </w:rPr>
      </w:pPr>
      <w:r>
        <w:rPr>
          <w:rFonts w:ascii="Arial" w:cs="Arial" w:eastAsia="Arial" w:hAnsi="Arial"/>
          <w:sz w:val="16"/>
          <w:szCs w:val="16"/>
          <w:color w:val="auto"/>
        </w:rPr>
        <w:t>The shares of our common stock offered in this prospectus have not been and will not be registered under the Financial Instruments and Exchange Law of Japan. The shares of our common stock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19"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55"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our common stock are subscribed or purchased under Section 275 of the SFA by a relevant party which is:</w:t>
      </w:r>
    </w:p>
    <w:p>
      <w:pPr>
        <w:spacing w:after="0" w:line="126" w:lineRule="exact"/>
        <w:rPr>
          <w:sz w:val="20"/>
          <w:szCs w:val="20"/>
          <w:color w:val="auto"/>
        </w:rPr>
      </w:pPr>
    </w:p>
    <w:p>
      <w:pPr>
        <w:ind w:left="680" w:right="380" w:hanging="220"/>
        <w:spacing w:after="0" w:line="267" w:lineRule="auto"/>
        <w:tabs>
          <w:tab w:leader="none" w:pos="6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6" w:lineRule="exact"/>
        <w:rPr>
          <w:rFonts w:ascii="Arial" w:cs="Arial" w:eastAsia="Arial" w:hAnsi="Arial"/>
          <w:sz w:val="18"/>
          <w:szCs w:val="18"/>
          <w:color w:val="auto"/>
        </w:rPr>
      </w:pPr>
    </w:p>
    <w:p>
      <w:pPr>
        <w:ind w:left="680" w:hanging="220"/>
        <w:spacing w:after="0" w:line="273" w:lineRule="auto"/>
        <w:tabs>
          <w:tab w:leader="none" w:pos="6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shares, debentures and units of shares of our common stock and debentures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84" w:lineRule="exact"/>
        <w:rPr>
          <w:rFonts w:ascii="Arial" w:cs="Arial" w:eastAsia="Arial" w:hAnsi="Arial"/>
          <w:sz w:val="17"/>
          <w:szCs w:val="17"/>
          <w:color w:val="auto"/>
        </w:rPr>
      </w:pPr>
    </w:p>
    <w:p>
      <w:pPr>
        <w:ind w:left="900" w:right="80" w:hanging="213"/>
        <w:spacing w:after="0" w:line="270" w:lineRule="auto"/>
        <w:tabs>
          <w:tab w:leader="none" w:pos="9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of our common stock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7" w:lineRule="exact"/>
        <w:rPr>
          <w:rFonts w:ascii="Arial" w:cs="Arial" w:eastAsia="Arial" w:hAnsi="Arial"/>
          <w:sz w:val="17"/>
          <w:szCs w:val="17"/>
          <w:color w:val="auto"/>
        </w:rPr>
      </w:pPr>
    </w:p>
    <w:p>
      <w:pPr>
        <w:ind w:left="900" w:hanging="213"/>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26" w:lineRule="exact"/>
        <w:rPr>
          <w:rFonts w:ascii="Arial" w:cs="Arial" w:eastAsia="Arial" w:hAnsi="Arial"/>
          <w:sz w:val="18"/>
          <w:szCs w:val="18"/>
          <w:color w:val="auto"/>
        </w:rPr>
      </w:pPr>
    </w:p>
    <w:p>
      <w:pPr>
        <w:ind w:left="900" w:hanging="213"/>
        <w:spacing w:after="0"/>
        <w:tabs>
          <w:tab w:leader="none" w:pos="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19"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77"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7"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representatives are not required to comply with the disclosure requirements of NI 33-105 regarding underwriter conflicts of interest in connection with this offering.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5"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6" w:lineRule="exact"/>
        <w:rPr>
          <w:sz w:val="20"/>
          <w:szCs w:val="20"/>
          <w:color w:val="auto"/>
        </w:rPr>
      </w:pPr>
    </w:p>
    <w:p>
      <w:pPr>
        <w:ind w:right="160" w:firstLine="457"/>
        <w:spacing w:after="0" w:line="267" w:lineRule="auto"/>
        <w:rPr>
          <w:sz w:val="20"/>
          <w:szCs w:val="20"/>
          <w:color w:val="auto"/>
        </w:rPr>
      </w:pPr>
      <w:r>
        <w:rPr>
          <w:rFonts w:ascii="Arial" w:cs="Arial" w:eastAsia="Arial" w:hAnsi="Arial"/>
          <w:sz w:val="18"/>
          <w:szCs w:val="18"/>
          <w:color w:val="auto"/>
        </w:rPr>
        <w:t>The validity of the shares of our common stock offered hereby is being passed upon for us by Wilmer Cutler Pickering Hale and Dorr LLP. Cooley LLP is acting as counsel for the underwriters in connection with this offering.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6"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consolidated financial statements of Apellis Pharmaceuticals, Inc. at December 31, 2015 and 2016, and for each of the two years in the period ended December 31, 2016, appearing in this prospectus and registration statement have been audited by Ernst &amp; Young LLP, independent registered public accounting firm, as set forth in their report thereon (which contains an explanatory paragraph describing conditions that raise substantial doubt about our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6" w:lineRule="exact"/>
        <w:rPr>
          <w:sz w:val="20"/>
          <w:szCs w:val="20"/>
          <w:color w:val="auto"/>
        </w:rPr>
      </w:pPr>
    </w:p>
    <w:p>
      <w:pPr>
        <w:ind w:right="60" w:firstLine="457"/>
        <w:spacing w:after="0" w:line="336"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41" w:lineRule="exact"/>
        <w:rPr>
          <w:sz w:val="20"/>
          <w:szCs w:val="20"/>
          <w:color w:val="auto"/>
        </w:rPr>
      </w:pPr>
    </w:p>
    <w:p>
      <w:pPr>
        <w:ind w:firstLine="457"/>
        <w:spacing w:after="0" w:line="291" w:lineRule="auto"/>
        <w:rPr>
          <w:sz w:val="20"/>
          <w:szCs w:val="20"/>
          <w:color w:val="auto"/>
        </w:rPr>
      </w:pPr>
      <w:r>
        <w:rPr>
          <w:rFonts w:ascii="Arial" w:cs="Arial" w:eastAsia="Arial" w:hAnsi="Arial"/>
          <w:sz w:val="16"/>
          <w:szCs w:val="16"/>
          <w:color w:val="auto"/>
        </w:rPr>
        <w:t xml:space="preserve">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You may access the registration statement of which this prospectus is a part at the SEC’s Internet website.</w:t>
      </w:r>
    </w:p>
    <w:p>
      <w:pPr>
        <w:spacing w:after="0" w:line="16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Exchange Act, and we will file reports, proxy statements and other information with the SEC. We plan to fulfill our obligations with respect to such requirements by filing periodic reports and other information with the SEC. We intend to furnish our stockholders with annual reports containing consolidated financial statements certified by an independent registered public accounting firm. We also maintain a website at www.apellis.com. Our website is not a part of this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5"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0700" w:type="dxa"/>
            <w:vAlign w:val="bottom"/>
            <w:gridSpan w:val="1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60" w:type="dxa"/>
            <w:vAlign w:val="bottom"/>
          </w:tcPr>
          <w:p>
            <w:pPr>
              <w:spacing w:after="0"/>
              <w:rPr>
                <w:sz w:val="17"/>
                <w:szCs w:val="17"/>
                <w:color w:val="auto"/>
              </w:rPr>
            </w:pPr>
          </w:p>
        </w:tc>
      </w:tr>
      <w:tr>
        <w:trPr>
          <w:trHeight w:val="525"/>
        </w:trPr>
        <w:tc>
          <w:tcPr>
            <w:tcW w:w="13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rPr>
              <w:t>INDEX TO FINANCIAL STATEMENTS</w:t>
            </w:r>
          </w:p>
        </w:tc>
        <w:tc>
          <w:tcPr>
            <w:tcW w:w="660" w:type="dxa"/>
            <w:vAlign w:val="bottom"/>
          </w:tcPr>
          <w:p>
            <w:pPr>
              <w:spacing w:after="0"/>
              <w:rPr>
                <w:sz w:val="24"/>
                <w:szCs w:val="24"/>
                <w:color w:val="auto"/>
              </w:rPr>
            </w:pPr>
          </w:p>
        </w:tc>
      </w:tr>
      <w:tr>
        <w:trPr>
          <w:trHeight w:val="415"/>
        </w:trPr>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75">
              <w:r>
                <w:rPr>
                  <w:rFonts w:ascii="Arial" w:cs="Arial" w:eastAsia="Arial" w:hAnsi="Arial"/>
                  <w:sz w:val="18"/>
                  <w:szCs w:val="18"/>
                  <w:color w:val="0000EE"/>
                  <w:w w:val="90"/>
                </w:rPr>
                <w:t>Report of Independent Registered Public Accounting Firm</w:t>
              </w:r>
            </w:hyperlink>
          </w:p>
        </w:tc>
        <w:tc>
          <w:tcPr>
            <w:tcW w:w="65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21"/>
        </w:trPr>
        <w:tc>
          <w:tcPr>
            <w:tcW w:w="10700" w:type="dxa"/>
            <w:vAlign w:val="bottom"/>
            <w:gridSpan w:val="13"/>
          </w:tcPr>
          <w:p>
            <w:pPr>
              <w:spacing w:after="0"/>
              <w:rPr>
                <w:sz w:val="20"/>
                <w:szCs w:val="20"/>
                <w:color w:val="auto"/>
              </w:rPr>
            </w:pPr>
            <w:r>
              <w:rPr>
                <w:rFonts w:ascii="Arial" w:cs="Arial" w:eastAsia="Arial" w:hAnsi="Arial"/>
                <w:sz w:val="18"/>
                <w:szCs w:val="18"/>
                <w:color w:val="auto"/>
              </w:rPr>
              <w:t>Consolidated Financial Statements as of and for the years ended December 31, 2015 and 2016:</w:t>
            </w:r>
          </w:p>
        </w:tc>
        <w:tc>
          <w:tcPr>
            <w:tcW w:w="660" w:type="dxa"/>
            <w:vAlign w:val="bottom"/>
          </w:tcPr>
          <w:p>
            <w:pPr>
              <w:spacing w:after="0"/>
              <w:rPr>
                <w:sz w:val="19"/>
                <w:szCs w:val="19"/>
                <w:color w:val="auto"/>
              </w:rPr>
            </w:pPr>
          </w:p>
        </w:tc>
      </w:tr>
      <w:tr>
        <w:trPr>
          <w:trHeight w:val="186"/>
        </w:trPr>
        <w:tc>
          <w:tcPr>
            <w:tcW w:w="4600" w:type="dxa"/>
            <w:vAlign w:val="bottom"/>
            <w:tcBorders>
              <w:bottom w:val="single" w:sz="8" w:color="0000EE"/>
            </w:tcBorders>
            <w:gridSpan w:val="5"/>
          </w:tcPr>
          <w:p>
            <w:pPr>
              <w:spacing w:after="0" w:line="186" w:lineRule="exact"/>
              <w:rPr>
                <w:rFonts w:ascii="Arial" w:cs="Arial" w:eastAsia="Arial" w:hAnsi="Arial"/>
                <w:sz w:val="18"/>
                <w:szCs w:val="18"/>
                <w:color w:val="0000EE"/>
                <w:w w:val="87"/>
              </w:rPr>
            </w:pPr>
            <w:hyperlink w:anchor="page176">
              <w:r>
                <w:rPr>
                  <w:rFonts w:ascii="Arial" w:cs="Arial" w:eastAsia="Arial" w:hAnsi="Arial"/>
                  <w:sz w:val="18"/>
                  <w:szCs w:val="18"/>
                  <w:color w:val="0000EE"/>
                  <w:w w:val="87"/>
                </w:rPr>
                <w:t>Consolidated Balance Sheets as of December 31, 2015 and 2016</w:t>
              </w:r>
            </w:hyperlink>
          </w:p>
        </w:tc>
        <w:tc>
          <w:tcPr>
            <w:tcW w:w="6100" w:type="dxa"/>
            <w:vAlign w:val="bottom"/>
            <w:gridSpan w:val="8"/>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Arial" w:cs="Arial" w:eastAsia="Arial" w:hAnsi="Arial"/>
                <w:sz w:val="18"/>
                <w:szCs w:val="18"/>
                <w:color w:val="auto"/>
              </w:rPr>
              <w:t>F-3</w:t>
            </w:r>
          </w:p>
        </w:tc>
      </w:tr>
      <w:tr>
        <w:trPr>
          <w:trHeight w:val="193"/>
        </w:trPr>
        <w:tc>
          <w:tcPr>
            <w:tcW w:w="8180" w:type="dxa"/>
            <w:vAlign w:val="bottom"/>
            <w:tcBorders>
              <w:bottom w:val="single" w:sz="8" w:color="0000EE"/>
            </w:tcBorders>
            <w:gridSpan w:val="9"/>
          </w:tcPr>
          <w:p>
            <w:pPr>
              <w:spacing w:after="0" w:line="194"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Consolidated Statements of Operations and Comprehensive Loss for the years ended December 31, 2015 and 2016</w:t>
              </w:r>
            </w:hyperlink>
          </w:p>
        </w:tc>
        <w:tc>
          <w:tcPr>
            <w:tcW w:w="2520" w:type="dxa"/>
            <w:vAlign w:val="bottom"/>
            <w:gridSpan w:val="4"/>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F-4</w:t>
            </w:r>
          </w:p>
        </w:tc>
      </w:tr>
      <w:tr>
        <w:trPr>
          <w:trHeight w:val="193"/>
        </w:trPr>
        <w:tc>
          <w:tcPr>
            <w:tcW w:w="856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Statements of Changes in Stockholders’ Equity for the period from January 1, 2015 to December 31, 2016</w:t>
              </w:r>
            </w:hyperlink>
          </w:p>
        </w:tc>
        <w:tc>
          <w:tcPr>
            <w:tcW w:w="2140" w:type="dxa"/>
            <w:vAlign w:val="bottom"/>
            <w:gridSpan w:val="3"/>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F-5</w:t>
            </w:r>
          </w:p>
        </w:tc>
      </w:tr>
      <w:tr>
        <w:trPr>
          <w:trHeight w:val="193"/>
        </w:trPr>
        <w:tc>
          <w:tcPr>
            <w:tcW w:w="10700" w:type="dxa"/>
            <w:vAlign w:val="bottom"/>
            <w:gridSpan w:val="13"/>
          </w:tcPr>
          <w:p>
            <w:pPr>
              <w:spacing w:after="0" w:line="194" w:lineRule="exact"/>
              <w:rPr>
                <w:rFonts w:ascii="Arial" w:cs="Arial" w:eastAsia="Arial" w:hAnsi="Arial"/>
                <w:sz w:val="18"/>
                <w:szCs w:val="18"/>
                <w:color w:val="0000EE"/>
              </w:rPr>
            </w:pPr>
            <w:hyperlink w:anchor="page179">
              <w:r>
                <w:rPr>
                  <w:rFonts w:ascii="Arial" w:cs="Arial" w:eastAsia="Arial" w:hAnsi="Arial"/>
                  <w:sz w:val="18"/>
                  <w:szCs w:val="18"/>
                  <w:color w:val="0000EE"/>
                </w:rPr>
                <w:t>Consolidated Statements of Cash Flows for the years ended December 31, 2015 and 2016</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F-6</w:t>
            </w:r>
          </w:p>
        </w:tc>
      </w:tr>
      <w:tr>
        <w:trPr>
          <w:trHeight w:val="193"/>
        </w:trPr>
        <w:tc>
          <w:tcPr>
            <w:tcW w:w="312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Notes to Consolidated Financial Statements</w:t>
              </w:r>
            </w:hyperlink>
          </w:p>
        </w:tc>
        <w:tc>
          <w:tcPr>
            <w:tcW w:w="3300" w:type="dxa"/>
            <w:vAlign w:val="bottom"/>
            <w:tcBorders>
              <w:top w:val="single" w:sz="8" w:color="0000EE"/>
            </w:tcBorders>
            <w:gridSpan w:val="4"/>
          </w:tcPr>
          <w:p>
            <w:pPr>
              <w:spacing w:after="0"/>
              <w:rPr>
                <w:sz w:val="16"/>
                <w:szCs w:val="16"/>
                <w:color w:val="auto"/>
              </w:rPr>
            </w:pPr>
          </w:p>
        </w:tc>
        <w:tc>
          <w:tcPr>
            <w:tcW w:w="4280" w:type="dxa"/>
            <w:vAlign w:val="bottom"/>
            <w:gridSpan w:val="7"/>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F-7</w:t>
            </w:r>
          </w:p>
        </w:tc>
      </w:tr>
      <w:tr>
        <w:trPr>
          <w:trHeight w:val="221"/>
        </w:trPr>
        <w:tc>
          <w:tcPr>
            <w:tcW w:w="10700" w:type="dxa"/>
            <w:vAlign w:val="bottom"/>
            <w:gridSpan w:val="13"/>
          </w:tcPr>
          <w:p>
            <w:pPr>
              <w:spacing w:after="0"/>
              <w:rPr>
                <w:sz w:val="20"/>
                <w:szCs w:val="20"/>
                <w:color w:val="auto"/>
              </w:rPr>
            </w:pPr>
            <w:r>
              <w:rPr>
                <w:rFonts w:ascii="Arial" w:cs="Arial" w:eastAsia="Arial" w:hAnsi="Arial"/>
                <w:sz w:val="18"/>
                <w:szCs w:val="18"/>
                <w:color w:val="auto"/>
                <w:w w:val="90"/>
              </w:rPr>
              <w:t>Condensed Consolidated Financial Statements as of December 31, 2016 and June 30, 2017 and for the six months ended June 30, 2016 and 2017:</w:t>
            </w:r>
          </w:p>
        </w:tc>
        <w:tc>
          <w:tcPr>
            <w:tcW w:w="660" w:type="dxa"/>
            <w:vAlign w:val="bottom"/>
          </w:tcPr>
          <w:p>
            <w:pPr>
              <w:spacing w:after="0"/>
              <w:rPr>
                <w:sz w:val="19"/>
                <w:szCs w:val="19"/>
                <w:color w:val="auto"/>
              </w:rPr>
            </w:pPr>
          </w:p>
        </w:tc>
      </w:tr>
      <w:tr>
        <w:trPr>
          <w:trHeight w:val="186"/>
        </w:trPr>
        <w:tc>
          <w:tcPr>
            <w:tcW w:w="6980" w:type="dxa"/>
            <w:vAlign w:val="bottom"/>
            <w:tcBorders>
              <w:bottom w:val="single" w:sz="8" w:color="0000EE"/>
            </w:tcBorders>
            <w:gridSpan w:val="7"/>
          </w:tcPr>
          <w:p>
            <w:pPr>
              <w:spacing w:after="0" w:line="186" w:lineRule="exact"/>
              <w:rPr>
                <w:rFonts w:ascii="Arial" w:cs="Arial" w:eastAsia="Arial" w:hAnsi="Arial"/>
                <w:sz w:val="18"/>
                <w:szCs w:val="18"/>
                <w:color w:val="0000EE"/>
                <w:w w:val="88"/>
              </w:rPr>
            </w:pPr>
            <w:hyperlink w:anchor="page196">
              <w:r>
                <w:rPr>
                  <w:rFonts w:ascii="Arial" w:cs="Arial" w:eastAsia="Arial" w:hAnsi="Arial"/>
                  <w:sz w:val="18"/>
                  <w:szCs w:val="18"/>
                  <w:color w:val="0000EE"/>
                  <w:w w:val="88"/>
                </w:rPr>
                <w:t>Condensed Consolidated Balance Sheets as of December 31, 2016 and June 30, 2017 (unaudited)</w:t>
              </w:r>
            </w:hyperlink>
          </w:p>
        </w:tc>
        <w:tc>
          <w:tcPr>
            <w:tcW w:w="3720" w:type="dxa"/>
            <w:vAlign w:val="bottom"/>
            <w:gridSpan w:val="6"/>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Arial" w:cs="Arial" w:eastAsia="Arial" w:hAnsi="Arial"/>
                <w:sz w:val="18"/>
                <w:szCs w:val="18"/>
                <w:color w:val="auto"/>
              </w:rPr>
              <w:t>F-23</w:t>
            </w:r>
          </w:p>
        </w:tc>
      </w:tr>
      <w:tr>
        <w:trPr>
          <w:trHeight w:val="193"/>
        </w:trPr>
        <w:tc>
          <w:tcPr>
            <w:tcW w:w="10700" w:type="dxa"/>
            <w:vAlign w:val="bottom"/>
            <w:gridSpan w:val="13"/>
          </w:tcPr>
          <w:p>
            <w:pPr>
              <w:spacing w:after="0" w:line="194" w:lineRule="exact"/>
              <w:rPr>
                <w:rFonts w:ascii="Arial" w:cs="Arial" w:eastAsia="Arial" w:hAnsi="Arial"/>
                <w:sz w:val="18"/>
                <w:szCs w:val="18"/>
                <w:color w:val="0000EE"/>
                <w:w w:val="96"/>
              </w:rPr>
            </w:pPr>
            <w:hyperlink w:anchor="page197">
              <w:r>
                <w:rPr>
                  <w:rFonts w:ascii="Arial" w:cs="Arial" w:eastAsia="Arial" w:hAnsi="Arial"/>
                  <w:sz w:val="18"/>
                  <w:szCs w:val="18"/>
                  <w:color w:val="0000EE"/>
                  <w:w w:val="96"/>
                </w:rPr>
                <w:t>Unaudited Condensed Consolidated Statements of Operations and Comprehensive Loss for the six months ended June 30, 2016 and 2017</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F-24</w:t>
            </w:r>
          </w:p>
        </w:tc>
      </w:tr>
      <w:tr>
        <w:trPr>
          <w:trHeight w:val="193"/>
        </w:trPr>
        <w:tc>
          <w:tcPr>
            <w:tcW w:w="9780" w:type="dxa"/>
            <w:vAlign w:val="bottom"/>
            <w:tcBorders>
              <w:top w:val="single" w:sz="8" w:color="0000EE"/>
            </w:tcBorders>
            <w:gridSpan w:val="12"/>
          </w:tcPr>
          <w:p>
            <w:pPr>
              <w:spacing w:after="0" w:line="194"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Unaudited Condensed Consolidated Statements of Changes in Stockholders’ Equity for the period from January 1, 2017 to June 30, 2017</w:t>
              </w:r>
            </w:hyperlink>
          </w:p>
        </w:tc>
        <w:tc>
          <w:tcPr>
            <w:tcW w:w="92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F-25</w:t>
            </w:r>
          </w:p>
        </w:tc>
      </w:tr>
      <w:tr>
        <w:trPr>
          <w:trHeight w:val="193"/>
        </w:trPr>
        <w:tc>
          <w:tcPr>
            <w:tcW w:w="800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88"/>
              </w:rPr>
            </w:pPr>
            <w:hyperlink w:anchor="page199">
              <w:r>
                <w:rPr>
                  <w:rFonts w:ascii="Arial" w:cs="Arial" w:eastAsia="Arial" w:hAnsi="Arial"/>
                  <w:sz w:val="18"/>
                  <w:szCs w:val="18"/>
                  <w:color w:val="0000EE"/>
                  <w:w w:val="88"/>
                </w:rPr>
                <w:t>Unaudited Condensed Consolidated Statements of Cash Flows for the six months ended June 30, 2016 and 2017</w:t>
              </w:r>
            </w:hyperlink>
          </w:p>
        </w:tc>
        <w:tc>
          <w:tcPr>
            <w:tcW w:w="1760" w:type="dxa"/>
            <w:vAlign w:val="bottom"/>
            <w:tcBorders>
              <w:top w:val="single" w:sz="8" w:color="0000EE"/>
            </w:tcBorders>
            <w:gridSpan w:val="3"/>
          </w:tcPr>
          <w:p>
            <w:pPr>
              <w:spacing w:after="0"/>
              <w:rPr>
                <w:sz w:val="16"/>
                <w:szCs w:val="16"/>
                <w:color w:val="auto"/>
              </w:rPr>
            </w:pPr>
          </w:p>
        </w:tc>
        <w:tc>
          <w:tcPr>
            <w:tcW w:w="940" w:type="dxa"/>
            <w:vAlign w:val="bottom"/>
            <w:gridSpan w:val="2"/>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F-26</w:t>
            </w:r>
          </w:p>
        </w:tc>
      </w:tr>
      <w:tr>
        <w:trPr>
          <w:trHeight w:val="193"/>
        </w:trPr>
        <w:tc>
          <w:tcPr>
            <w:tcW w:w="10700" w:type="dxa"/>
            <w:vAlign w:val="bottom"/>
            <w:gridSpan w:val="13"/>
          </w:tcPr>
          <w:p>
            <w:pPr>
              <w:spacing w:after="0" w:line="194" w:lineRule="exact"/>
              <w:rPr>
                <w:rFonts w:ascii="Arial" w:cs="Arial" w:eastAsia="Arial" w:hAnsi="Arial"/>
                <w:sz w:val="18"/>
                <w:szCs w:val="18"/>
                <w:color w:val="0000EE"/>
              </w:rPr>
            </w:pPr>
            <w:hyperlink w:anchor="page200">
              <w:r>
                <w:rPr>
                  <w:rFonts w:ascii="Arial" w:cs="Arial" w:eastAsia="Arial" w:hAnsi="Arial"/>
                  <w:sz w:val="18"/>
                  <w:szCs w:val="18"/>
                  <w:color w:val="0000EE"/>
                </w:rPr>
                <w:t>Notes to Condensed Consolidated Financial Statements</w:t>
              </w:r>
            </w:hyperlink>
          </w:p>
        </w:tc>
        <w:tc>
          <w:tcPr>
            <w:tcW w:w="660" w:type="dxa"/>
            <w:vAlign w:val="bottom"/>
          </w:tcPr>
          <w:p>
            <w:pPr>
              <w:jc w:val="right"/>
              <w:spacing w:after="0" w:line="194" w:lineRule="exact"/>
              <w:rPr>
                <w:sz w:val="20"/>
                <w:szCs w:val="20"/>
                <w:color w:val="auto"/>
              </w:rPr>
            </w:pPr>
            <w:r>
              <w:rPr>
                <w:rFonts w:ascii="Arial" w:cs="Arial" w:eastAsia="Arial" w:hAnsi="Arial"/>
                <w:sz w:val="18"/>
                <w:szCs w:val="18"/>
                <w:color w:val="auto"/>
              </w:rPr>
              <w:t>F-27</w:t>
            </w:r>
          </w:p>
        </w:tc>
      </w:tr>
      <w:tr>
        <w:trPr>
          <w:trHeight w:val="379"/>
        </w:trPr>
        <w:tc>
          <w:tcPr>
            <w:tcW w:w="134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8"/>
          </w:tcPr>
          <w:p>
            <w:pPr>
              <w:jc w:val="center"/>
              <w:ind w:right="3860"/>
              <w:spacing w:after="0"/>
              <w:rPr>
                <w:sz w:val="20"/>
                <w:szCs w:val="20"/>
                <w:color w:val="auto"/>
              </w:rPr>
            </w:pPr>
            <w:r>
              <w:rPr>
                <w:rFonts w:ascii="Arial" w:cs="Arial" w:eastAsia="Arial" w:hAnsi="Arial"/>
                <w:sz w:val="18"/>
                <w:szCs w:val="18"/>
                <w:color w:val="auto"/>
                <w:w w:val="88"/>
              </w:rPr>
              <w:t>F-1</w:t>
            </w:r>
          </w:p>
        </w:tc>
        <w:tc>
          <w:tcPr>
            <w:tcW w:w="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39" w:right="29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Apellis Pharmaceuticals, Inc.</w:t>
      </w:r>
    </w:p>
    <w:p>
      <w:pPr>
        <w:spacing w:after="0" w:line="6" w:lineRule="exact"/>
        <w:rPr>
          <w:sz w:val="20"/>
          <w:szCs w:val="20"/>
          <w:color w:val="auto"/>
        </w:rPr>
      </w:pPr>
    </w:p>
    <w:p>
      <w:pPr>
        <w:ind w:right="60" w:firstLine="457"/>
        <w:spacing w:after="0" w:line="249" w:lineRule="auto"/>
        <w:rPr>
          <w:sz w:val="20"/>
          <w:szCs w:val="20"/>
          <w:color w:val="auto"/>
        </w:rPr>
      </w:pPr>
      <w:r>
        <w:rPr>
          <w:rFonts w:ascii="Arial" w:cs="Arial" w:eastAsia="Arial" w:hAnsi="Arial"/>
          <w:sz w:val="18"/>
          <w:szCs w:val="18"/>
          <w:color w:val="auto"/>
        </w:rPr>
        <w:t>We have audited the accompanying consolidated balance sheets of Apellis Pharmaceuticals, Inc. as of December 31, 2015 and 2016, and the related consolidated statements of operations and comprehensive loss, changes in stockholders’ equity and cash flows for each of the two years then ended.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right="140" w:firstLine="457"/>
        <w:spacing w:after="0" w:line="28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260" w:firstLine="457"/>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Apellis Pharmaceuticals, Inc. at December 31, 2015 and 2016, and the consolidated results of its operations and its cash flows for each of the two years in the period then ended, in conformity with U.S. generally accepted accounting principles.</w:t>
      </w:r>
    </w:p>
    <w:p>
      <w:pPr>
        <w:spacing w:after="0" w:line="188"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Louisville, KY</w:t>
      </w:r>
    </w:p>
    <w:p>
      <w:pPr>
        <w:spacing w:after="0" w:line="1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October 4, 2017, except for the effects of the reverse split of the Company’s common stock discussed in Note 2 to the consolidated financial statements, as to which the date is October 30, 2017.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5"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0"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6"/>
              <w:spacing w:after="0" w:line="140"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36,003,546</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24,863,488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80" w:type="dxa"/>
            <w:vAlign w:val="bottom"/>
          </w:tcPr>
          <w:p>
            <w:pPr>
              <w:ind w:left="320"/>
              <w:spacing w:after="0"/>
              <w:rPr>
                <w:sz w:val="20"/>
                <w:szCs w:val="20"/>
                <w:color w:val="auto"/>
              </w:rPr>
            </w:pPr>
            <w:r>
              <w:rPr>
                <w:rFonts w:ascii="Arial" w:cs="Arial" w:eastAsia="Arial" w:hAnsi="Arial"/>
                <w:sz w:val="17"/>
                <w:szCs w:val="17"/>
                <w:color w:val="auto"/>
              </w:rPr>
              <w:t>Refundable research and development credit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1,756,738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1,347,804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assets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283,554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1,157,438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98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38,043,838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27,368,730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133,271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64,528</w:t>
            </w:r>
          </w:p>
        </w:tc>
        <w:tc>
          <w:tcPr>
            <w:tcW w:w="0" w:type="dxa"/>
            <w:vAlign w:val="bottom"/>
          </w:tcPr>
          <w:p>
            <w:pPr>
              <w:spacing w:after="0"/>
              <w:rPr>
                <w:sz w:val="1"/>
                <w:szCs w:val="1"/>
                <w:color w:val="auto"/>
              </w:rPr>
            </w:pPr>
          </w:p>
        </w:tc>
      </w:tr>
      <w:tr>
        <w:trPr>
          <w:trHeight w:val="207"/>
        </w:trPr>
        <w:tc>
          <w:tcPr>
            <w:tcW w:w="90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38,177,109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27,433,258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2,477,433</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2,547,212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10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722,727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1,091,726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3,200,160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3,638,938</w:t>
            </w:r>
          </w:p>
        </w:tc>
        <w:tc>
          <w:tcPr>
            <w:tcW w:w="0" w:type="dxa"/>
            <w:vAlign w:val="bottom"/>
          </w:tcPr>
          <w:p>
            <w:pPr>
              <w:spacing w:after="0"/>
              <w:rPr>
                <w:sz w:val="1"/>
                <w:szCs w:val="1"/>
                <w:color w:val="auto"/>
              </w:rPr>
            </w:pPr>
          </w:p>
        </w:tc>
      </w:tr>
      <w:tr>
        <w:trPr>
          <w:trHeight w:val="205"/>
        </w:trPr>
        <w:tc>
          <w:tcPr>
            <w:tcW w:w="9000" w:type="dxa"/>
            <w:vAlign w:val="bottom"/>
            <w:gridSpan w:val="2"/>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980" w:type="dxa"/>
            <w:vAlign w:val="bottom"/>
            <w:shd w:val="clear" w:color="auto" w:fill="CCEEFF"/>
          </w:tcPr>
          <w:p>
            <w:pPr>
              <w:ind w:left="320"/>
              <w:spacing w:after="0" w:line="184" w:lineRule="exact"/>
              <w:rPr>
                <w:sz w:val="20"/>
                <w:szCs w:val="20"/>
                <w:color w:val="auto"/>
              </w:rPr>
            </w:pPr>
            <w:r>
              <w:rPr>
                <w:rFonts w:ascii="Arial" w:cs="Arial" w:eastAsia="Arial" w:hAnsi="Arial"/>
                <w:sz w:val="17"/>
                <w:szCs w:val="17"/>
                <w:color w:val="auto"/>
              </w:rPr>
              <w:t>Series A convertible preferred stock, $0.0001 par value; 2,670,000 shares authorized, issued and outstanding at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December 31, 2015 and 2016; liquidation value of $2,670,000 at December 31, 2016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2,654,405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2,654,405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80" w:type="dxa"/>
            <w:vAlign w:val="bottom"/>
          </w:tcPr>
          <w:p>
            <w:pPr>
              <w:ind w:left="320"/>
              <w:spacing w:after="0" w:line="182" w:lineRule="exact"/>
              <w:rPr>
                <w:sz w:val="20"/>
                <w:szCs w:val="20"/>
                <w:color w:val="auto"/>
              </w:rPr>
            </w:pPr>
            <w:r>
              <w:rPr>
                <w:rFonts w:ascii="Arial" w:cs="Arial" w:eastAsia="Arial" w:hAnsi="Arial"/>
                <w:sz w:val="17"/>
                <w:szCs w:val="17"/>
                <w:color w:val="auto"/>
              </w:rPr>
              <w:t>Series B convertible preferred stock, $0.0001 par value; 6,362,658 shares authorized, issued and outstanding at</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500"/>
              <w:spacing w:after="0"/>
              <w:rPr>
                <w:sz w:val="20"/>
                <w:szCs w:val="20"/>
                <w:color w:val="auto"/>
              </w:rPr>
            </w:pPr>
            <w:r>
              <w:rPr>
                <w:rFonts w:ascii="Arial" w:cs="Arial" w:eastAsia="Arial" w:hAnsi="Arial"/>
                <w:sz w:val="17"/>
                <w:szCs w:val="17"/>
                <w:color w:val="auto"/>
              </w:rPr>
              <w:t>December 31, 2015 and 2016; liquidation value of $6,998,924 at December 31, 2016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6,944,148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6,944,148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980" w:type="dxa"/>
            <w:vAlign w:val="bottom"/>
            <w:shd w:val="clear" w:color="auto" w:fill="CCEEFF"/>
          </w:tcPr>
          <w:p>
            <w:pPr>
              <w:ind w:left="320"/>
              <w:spacing w:after="0" w:line="184" w:lineRule="exact"/>
              <w:rPr>
                <w:sz w:val="20"/>
                <w:szCs w:val="20"/>
                <w:color w:val="auto"/>
              </w:rPr>
            </w:pPr>
            <w:r>
              <w:rPr>
                <w:rFonts w:ascii="Arial" w:cs="Arial" w:eastAsia="Arial" w:hAnsi="Arial"/>
                <w:sz w:val="17"/>
                <w:szCs w:val="17"/>
                <w:color w:val="auto"/>
              </w:rPr>
              <w:t>Series C convertible preferred stock, $0.0001 par value; 26,215,411 shares authorized, issued and outstanding at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December 31, 2015 and 2016; liquidation value of $32,769,264 at December 31, 2016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35,542,707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35,542,707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80" w:type="dxa"/>
            <w:vAlign w:val="bottom"/>
          </w:tcPr>
          <w:p>
            <w:pPr>
              <w:ind w:left="320"/>
              <w:spacing w:after="0" w:line="182" w:lineRule="exact"/>
              <w:rPr>
                <w:sz w:val="20"/>
                <w:szCs w:val="20"/>
                <w:color w:val="auto"/>
              </w:rPr>
            </w:pPr>
            <w:r>
              <w:rPr>
                <w:rFonts w:ascii="Arial" w:cs="Arial" w:eastAsia="Arial" w:hAnsi="Arial"/>
                <w:sz w:val="17"/>
                <w:szCs w:val="17"/>
                <w:color w:val="auto"/>
                <w:w w:val="99"/>
              </w:rPr>
              <w:t>Series D convertible preferred stock, $0.0001 par value; 14,384,938 and 21,099,351 shares authorized, issued and</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500"/>
              <w:spacing w:after="0"/>
              <w:rPr>
                <w:sz w:val="20"/>
                <w:szCs w:val="20"/>
                <w:color w:val="auto"/>
              </w:rPr>
            </w:pPr>
            <w:r>
              <w:rPr>
                <w:rFonts w:ascii="Arial" w:cs="Arial" w:eastAsia="Arial" w:hAnsi="Arial"/>
                <w:sz w:val="17"/>
                <w:szCs w:val="17"/>
                <w:color w:val="auto"/>
                <w:w w:val="99"/>
              </w:rPr>
              <w:t>outstanding at December 31, 2015 and 2016 respectively; liquidation value of $47,135,950 at December 31, 2016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3"/>
              </w:rPr>
              <w:t>32,050,646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46,913,666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980" w:type="dxa"/>
            <w:vAlign w:val="bottom"/>
            <w:shd w:val="clear" w:color="auto" w:fill="CCEEFF"/>
          </w:tcPr>
          <w:p>
            <w:pPr>
              <w:ind w:left="320"/>
              <w:spacing w:after="0" w:line="184" w:lineRule="exact"/>
              <w:rPr>
                <w:sz w:val="20"/>
                <w:szCs w:val="20"/>
                <w:color w:val="auto"/>
              </w:rPr>
            </w:pPr>
            <w:r>
              <w:rPr>
                <w:rFonts w:ascii="Arial" w:cs="Arial" w:eastAsia="Arial" w:hAnsi="Arial"/>
                <w:sz w:val="17"/>
                <w:szCs w:val="17"/>
                <w:color w:val="auto"/>
                <w:w w:val="96"/>
              </w:rPr>
              <w:t>Series E convertible preferred stock, $0.0001 par value; no shares authorized, issued and outstanding at December 31,</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2015 and 2016, respectively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80" w:type="dxa"/>
            <w:vAlign w:val="bottom"/>
          </w:tcPr>
          <w:p>
            <w:pPr>
              <w:ind w:left="320"/>
              <w:spacing w:after="0" w:line="182" w:lineRule="exact"/>
              <w:rPr>
                <w:sz w:val="20"/>
                <w:szCs w:val="20"/>
                <w:color w:val="auto"/>
              </w:rPr>
            </w:pPr>
            <w:r>
              <w:rPr>
                <w:rFonts w:ascii="Arial" w:cs="Arial" w:eastAsia="Arial" w:hAnsi="Arial"/>
                <w:sz w:val="17"/>
                <w:szCs w:val="17"/>
                <w:color w:val="auto"/>
                <w:w w:val="99"/>
              </w:rPr>
              <w:t>Common stock, $0.0001 par value; 80,000,000 and 87,000,000 shares authorized at December 31, 2015 and 2016,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500"/>
              <w:spacing w:after="0"/>
              <w:rPr>
                <w:sz w:val="20"/>
                <w:szCs w:val="20"/>
                <w:color w:val="auto"/>
              </w:rPr>
            </w:pPr>
            <w:r>
              <w:rPr>
                <w:rFonts w:ascii="Arial" w:cs="Arial" w:eastAsia="Arial" w:hAnsi="Arial"/>
                <w:sz w:val="17"/>
                <w:szCs w:val="17"/>
                <w:color w:val="auto"/>
              </w:rPr>
              <w:t>respectively; 8,428,366 shares issued and outstanding at December 31, 2015 and 2016;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 in capital</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28,917,122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29,996,110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(71,132,922)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(98,257,559)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9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34,976,949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23,794,320</w:t>
            </w:r>
          </w:p>
        </w:tc>
        <w:tc>
          <w:tcPr>
            <w:tcW w:w="0" w:type="dxa"/>
            <w:vAlign w:val="bottom"/>
          </w:tcPr>
          <w:p>
            <w:pPr>
              <w:spacing w:after="0"/>
              <w:rPr>
                <w:sz w:val="1"/>
                <w:szCs w:val="1"/>
                <w:color w:val="auto"/>
              </w:rPr>
            </w:pPr>
          </w:p>
        </w:tc>
      </w:tr>
      <w:tr>
        <w:trPr>
          <w:trHeight w:val="207"/>
        </w:trPr>
        <w:tc>
          <w:tcPr>
            <w:tcW w:w="9000" w:type="dxa"/>
            <w:vAlign w:val="bottom"/>
            <w:gridSpan w:val="2"/>
          </w:tcPr>
          <w:p>
            <w:pPr>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38,177,109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27,433,258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0"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0"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13,730,311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22,978,599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acquired in-process research and development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26,486,000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6,356,782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4,303,743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(46,573,093)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(27,282,342)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57,137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(46,515,956)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(27,124,637)</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0" w:type="dxa"/>
            <w:vAlign w:val="bottom"/>
            <w:gridSpan w:val="2"/>
            <w:vMerge w:val="continue"/>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used in net loss per common share, basic and diluted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5,795,040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8,428,366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Weighted-average number of common shares used in computing pro forma net loss per common share, basic and</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(unaudited)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38,411,582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1"/>
              </w:rPr>
              <w:t>Series A</w:t>
            </w: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Series B</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Series 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1"/>
              </w:rPr>
              <w:t>Series 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8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w w:val="96"/>
              </w:rPr>
              <w:t>Convertible</w:t>
            </w:r>
          </w:p>
        </w:tc>
        <w:tc>
          <w:tcPr>
            <w:tcW w:w="14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6"/>
              </w:rPr>
              <w:t>Convertible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3"/>
          </w:tcPr>
          <w:p>
            <w:pPr>
              <w:jc w:val="center"/>
              <w:ind w:right="180"/>
              <w:spacing w:after="0" w:line="133" w:lineRule="exact"/>
              <w:rPr>
                <w:sz w:val="20"/>
                <w:szCs w:val="20"/>
                <w:color w:val="auto"/>
              </w:rPr>
            </w:pPr>
            <w:r>
              <w:rPr>
                <w:rFonts w:ascii="Arial" w:cs="Arial" w:eastAsia="Arial" w:hAnsi="Arial"/>
                <w:sz w:val="12"/>
                <w:szCs w:val="12"/>
                <w:b w:val="1"/>
                <w:bCs w:val="1"/>
                <w:color w:val="auto"/>
                <w:w w:val="93"/>
              </w:rPr>
              <w:t>Convertible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3"/>
              </w:rPr>
              <w:t>Convertible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2"/>
                <w:szCs w:val="12"/>
                <w:b w:val="1"/>
                <w:bCs w:val="1"/>
                <w:color w:val="auto"/>
                <w:w w:val="93"/>
              </w:rPr>
              <w:t>Preferred Stock</w:t>
            </w: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Preferred Stock</w:t>
            </w:r>
          </w:p>
        </w:tc>
        <w:tc>
          <w:tcPr>
            <w:tcW w:w="80" w:type="dxa"/>
            <w:vAlign w:val="bottom"/>
          </w:tcPr>
          <w:p>
            <w:pPr>
              <w:spacing w:after="0"/>
              <w:rPr>
                <w:sz w:val="13"/>
                <w:szCs w:val="13"/>
                <w:color w:val="auto"/>
              </w:rPr>
            </w:pPr>
          </w:p>
        </w:tc>
        <w:tc>
          <w:tcPr>
            <w:tcW w:w="1520" w:type="dxa"/>
            <w:vAlign w:val="bottom"/>
            <w:gridSpan w:val="4"/>
          </w:tcPr>
          <w:p>
            <w:pPr>
              <w:jc w:val="center"/>
              <w:ind w:left="411"/>
              <w:spacing w:after="0"/>
              <w:rPr>
                <w:sz w:val="20"/>
                <w:szCs w:val="20"/>
                <w:color w:val="auto"/>
              </w:rPr>
            </w:pPr>
            <w:r>
              <w:rPr>
                <w:rFonts w:ascii="Arial" w:cs="Arial" w:eastAsia="Arial" w:hAnsi="Arial"/>
                <w:sz w:val="12"/>
                <w:szCs w:val="12"/>
                <w:b w:val="1"/>
                <w:bCs w:val="1"/>
                <w:color w:val="auto"/>
                <w:w w:val="93"/>
              </w:rPr>
              <w:t>Preferred 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3"/>
              </w:rPr>
              <w:t>Preferred Stock</w:t>
            </w:r>
          </w:p>
        </w:tc>
        <w:tc>
          <w:tcPr>
            <w:tcW w:w="1280" w:type="dxa"/>
            <w:vAlign w:val="bottom"/>
            <w:gridSpan w:val="5"/>
          </w:tcPr>
          <w:p>
            <w:pPr>
              <w:ind w:left="200"/>
              <w:spacing w:after="0"/>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5"/>
              </w:rPr>
              <w:t>Additional</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Total</w:t>
            </w:r>
          </w:p>
        </w:tc>
      </w:tr>
      <w:tr>
        <w:trPr>
          <w:trHeight w:val="109"/>
        </w:trPr>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0"/>
              </w:rPr>
              <w:t>Outstanding</w:t>
            </w: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0"/>
              </w:rPr>
              <w:t>Outstanding</w:t>
            </w: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3"/>
              </w:rPr>
              <w:t>Outstanding</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gridSpan w:val="2"/>
          </w:tcPr>
          <w:p>
            <w:pPr>
              <w:spacing w:after="0" w:line="109" w:lineRule="exact"/>
              <w:rPr>
                <w:sz w:val="20"/>
                <w:szCs w:val="20"/>
                <w:color w:val="auto"/>
              </w:rPr>
            </w:pPr>
            <w:r>
              <w:rPr>
                <w:rFonts w:ascii="Arial" w:cs="Arial" w:eastAsia="Arial" w:hAnsi="Arial"/>
                <w:sz w:val="12"/>
                <w:szCs w:val="12"/>
                <w:b w:val="1"/>
                <w:bCs w:val="1"/>
                <w:color w:val="auto"/>
                <w:w w:val="94"/>
              </w:rPr>
              <w:t>Tranche</w:t>
            </w:r>
          </w:p>
        </w:tc>
        <w:tc>
          <w:tcPr>
            <w:tcW w:w="120" w:type="dxa"/>
            <w:vAlign w:val="bottom"/>
          </w:tcPr>
          <w:p>
            <w:pPr>
              <w:spacing w:after="0"/>
              <w:rPr>
                <w:sz w:val="9"/>
                <w:szCs w:val="9"/>
                <w:color w:val="auto"/>
              </w:rPr>
            </w:pPr>
          </w:p>
        </w:tc>
        <w:tc>
          <w:tcPr>
            <w:tcW w:w="6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3"/>
              </w:rPr>
              <w:t>Outstanding</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gridSpan w:val="2"/>
          </w:tcPr>
          <w:p>
            <w:pPr>
              <w:jc w:val="right"/>
              <w:ind w:right="80"/>
              <w:spacing w:after="0" w:line="109" w:lineRule="exact"/>
              <w:rPr>
                <w:sz w:val="20"/>
                <w:szCs w:val="20"/>
                <w:color w:val="auto"/>
              </w:rPr>
            </w:pPr>
            <w:r>
              <w:rPr>
                <w:rFonts w:ascii="Arial" w:cs="Arial" w:eastAsia="Arial" w:hAnsi="Arial"/>
                <w:sz w:val="12"/>
                <w:szCs w:val="12"/>
                <w:b w:val="1"/>
                <w:bCs w:val="1"/>
                <w:color w:val="auto"/>
                <w:w w:val="93"/>
              </w:rPr>
              <w:t>Outstanding</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Paid-In</w:t>
            </w:r>
          </w:p>
        </w:tc>
        <w:tc>
          <w:tcPr>
            <w:tcW w:w="40" w:type="dxa"/>
            <w:vAlign w:val="bottom"/>
          </w:tcPr>
          <w:p>
            <w:pPr>
              <w:spacing w:after="0"/>
              <w:rPr>
                <w:sz w:val="9"/>
                <w:szCs w:val="9"/>
                <w:color w:val="auto"/>
              </w:rPr>
            </w:pPr>
          </w:p>
        </w:tc>
        <w:tc>
          <w:tcPr>
            <w:tcW w:w="860" w:type="dxa"/>
            <w:vAlign w:val="bottom"/>
            <w:gridSpan w:val="2"/>
          </w:tcPr>
          <w:p>
            <w:pPr>
              <w:jc w:val="right"/>
              <w:ind w:right="120"/>
              <w:spacing w:after="0" w:line="109" w:lineRule="exact"/>
              <w:rPr>
                <w:sz w:val="20"/>
                <w:szCs w:val="20"/>
                <w:color w:val="auto"/>
              </w:rPr>
            </w:pPr>
            <w:r>
              <w:rPr>
                <w:rFonts w:ascii="Arial" w:cs="Arial" w:eastAsia="Arial" w:hAnsi="Arial"/>
                <w:sz w:val="12"/>
                <w:szCs w:val="12"/>
                <w:b w:val="1"/>
                <w:bCs w:val="1"/>
                <w:color w:val="auto"/>
                <w:w w:val="95"/>
              </w:rPr>
              <w:t>Accumulated</w:t>
            </w:r>
          </w:p>
        </w:tc>
        <w:tc>
          <w:tcPr>
            <w:tcW w:w="40" w:type="dxa"/>
            <w:vAlign w:val="bottom"/>
          </w:tcPr>
          <w:p>
            <w:pPr>
              <w:spacing w:after="0"/>
              <w:rPr>
                <w:sz w:val="9"/>
                <w:szCs w:val="9"/>
                <w:color w:val="auto"/>
              </w:rPr>
            </w:pPr>
          </w:p>
        </w:tc>
        <w:tc>
          <w:tcPr>
            <w:tcW w:w="860" w:type="dxa"/>
            <w:vAlign w:val="bottom"/>
            <w:gridSpan w:val="2"/>
          </w:tcPr>
          <w:p>
            <w:pPr>
              <w:jc w:val="center"/>
              <w:ind w:right="80"/>
              <w:spacing w:after="0" w:line="109" w:lineRule="exact"/>
              <w:rPr>
                <w:sz w:val="20"/>
                <w:szCs w:val="20"/>
                <w:color w:val="auto"/>
              </w:rPr>
            </w:pPr>
            <w:r>
              <w:rPr>
                <w:rFonts w:ascii="Arial" w:cs="Arial" w:eastAsia="Arial" w:hAnsi="Arial"/>
                <w:sz w:val="12"/>
                <w:szCs w:val="12"/>
                <w:b w:val="1"/>
                <w:bCs w:val="1"/>
                <w:color w:val="auto"/>
                <w:w w:val="93"/>
              </w:rPr>
              <w:t>Stockholders’</w:t>
            </w:r>
          </w:p>
        </w:tc>
      </w:tr>
      <w:tr>
        <w:trPr>
          <w:trHeight w:val="152"/>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680" w:type="dxa"/>
            <w:vAlign w:val="bottom"/>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1"/>
              </w:rPr>
              <w:t>Right</w:t>
            </w:r>
          </w:p>
        </w:tc>
        <w:tc>
          <w:tcPr>
            <w:tcW w:w="680" w:type="dxa"/>
            <w:vAlign w:val="bottom"/>
          </w:tcPr>
          <w:p>
            <w:pPr>
              <w:jc w:val="right"/>
              <w:ind w:right="91"/>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3"/>
                <w:szCs w:val="13"/>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Capital</w:t>
            </w:r>
          </w:p>
        </w:tc>
        <w:tc>
          <w:tcPr>
            <w:tcW w:w="4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Deficit</w:t>
            </w:r>
          </w:p>
        </w:tc>
        <w:tc>
          <w:tcPr>
            <w:tcW w:w="4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r>
      <w:tr>
        <w:trPr>
          <w:trHeight w:val="104"/>
        </w:trPr>
        <w:tc>
          <w:tcPr>
            <w:tcW w:w="20" w:type="dxa"/>
            <w:vAlign w:val="bottom"/>
          </w:tcPr>
          <w:p>
            <w:pPr>
              <w:spacing w:after="0"/>
              <w:rPr>
                <w:sz w:val="9"/>
                <w:szCs w:val="9"/>
                <w:color w:val="auto"/>
              </w:rPr>
            </w:pPr>
          </w:p>
        </w:tc>
        <w:tc>
          <w:tcPr>
            <w:tcW w:w="100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Balance at</w:t>
            </w: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rPr>
              <w:t>January 1,</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$2,654,405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$6,944,148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20,032,078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$26,265,595</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4,583,282</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458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1,974,955</w:t>
            </w:r>
          </w:p>
        </w:tc>
        <w:tc>
          <w:tcPr>
            <w:tcW w:w="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2"/>
              </w:rPr>
              <w:t>$ (24,616,966)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$ 13,224,707</w:t>
            </w:r>
          </w:p>
        </w:tc>
        <w:tc>
          <w:tcPr>
            <w:tcW w:w="80" w:type="dxa"/>
            <w:vAlign w:val="bottom"/>
            <w:shd w:val="clear" w:color="auto" w:fill="CCEEFF"/>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4"/>
                <w:szCs w:val="14"/>
                <w:color w:val="auto"/>
              </w:rPr>
              <w:t>Exercise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732</w:t>
            </w:r>
          </w:p>
        </w:tc>
        <w:tc>
          <w:tcPr>
            <w:tcW w:w="140" w:type="dxa"/>
            <w:vAlign w:val="bottom"/>
          </w:tcPr>
          <w:p>
            <w:pPr>
              <w:spacing w:after="0"/>
              <w:rPr>
                <w:sz w:val="14"/>
                <w:szCs w:val="14"/>
                <w:color w:val="auto"/>
              </w:rPr>
            </w:pPr>
          </w:p>
        </w:tc>
        <w:tc>
          <w:tcPr>
            <w:tcW w:w="380" w:type="dxa"/>
            <w:vAlign w:val="bottom"/>
            <w:gridSpan w:val="2"/>
          </w:tcPr>
          <w:p>
            <w:pPr>
              <w:ind w:left="2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1,718</w:t>
            </w:r>
          </w:p>
        </w:tc>
        <w:tc>
          <w:tcPr>
            <w:tcW w:w="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1,719</w:t>
            </w:r>
          </w:p>
        </w:tc>
      </w:tr>
      <w:tr>
        <w:trPr>
          <w:trHeight w:val="128"/>
        </w:trPr>
        <w:tc>
          <w:tcPr>
            <w:tcW w:w="20" w:type="dxa"/>
            <w:vAlign w:val="bottom"/>
          </w:tcPr>
          <w:p>
            <w:pPr>
              <w:spacing w:after="0"/>
              <w:rPr>
                <w:sz w:val="11"/>
                <w:szCs w:val="11"/>
                <w:color w:val="auto"/>
              </w:rPr>
            </w:pPr>
          </w:p>
        </w:tc>
        <w:tc>
          <w:tcPr>
            <w:tcW w:w="100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Issuance of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Series C</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preferred</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6,183,333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9,277,112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9,277,112</w:t>
            </w:r>
          </w:p>
        </w:tc>
      </w:tr>
      <w:tr>
        <w:trPr>
          <w:trHeight w:val="128"/>
        </w:trPr>
        <w:tc>
          <w:tcPr>
            <w:tcW w:w="20" w:type="dxa"/>
            <w:vAlign w:val="bottom"/>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4"/>
                <w:szCs w:val="14"/>
                <w:color w:val="auto"/>
                <w:w w:val="89"/>
              </w:rPr>
              <w:t>Series C Tranche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rPr>
              <w:t>Right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(2,112)</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color w:val="auto"/>
              </w:rPr>
              <w:t>(2,112)</w:t>
            </w:r>
          </w:p>
        </w:tc>
      </w:tr>
      <w:tr>
        <w:trPr>
          <w:trHeight w:val="128"/>
        </w:trPr>
        <w:tc>
          <w:tcPr>
            <w:tcW w:w="20" w:type="dxa"/>
            <w:vAlign w:val="bottom"/>
          </w:tcPr>
          <w:p>
            <w:pPr>
              <w:spacing w:after="0"/>
              <w:rPr>
                <w:sz w:val="11"/>
                <w:szCs w:val="11"/>
                <w:color w:val="auto"/>
              </w:rPr>
            </w:pPr>
          </w:p>
        </w:tc>
        <w:tc>
          <w:tcPr>
            <w:tcW w:w="100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Issuance of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Common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Stock upon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rPr>
              <w:t>closing</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w w:val="96"/>
              </w:rPr>
              <w:t>Potentia asset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net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3,844,352</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384</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26,394,748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26,395,132</w:t>
            </w:r>
          </w:p>
        </w:tc>
        <w:tc>
          <w:tcPr>
            <w:tcW w:w="80" w:type="dxa"/>
            <w:vAlign w:val="bottom"/>
            <w:shd w:val="clear" w:color="auto" w:fill="CCEEFF"/>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4"/>
                <w:szCs w:val="14"/>
                <w:color w:val="auto"/>
              </w:rPr>
              <w:t>Issuance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Series 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preferred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stock, net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w w:val="93"/>
              </w:rPr>
              <w:t>issuance costs</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14,384,938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99"/>
              </w:rPr>
              <w:t>32,050,646</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32,050,646</w:t>
            </w:r>
          </w:p>
        </w:tc>
        <w:tc>
          <w:tcPr>
            <w:tcW w:w="8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00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w w:val="98"/>
              </w:rPr>
              <w:t>compensation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545,701</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545,701</w:t>
            </w:r>
          </w:p>
        </w:tc>
      </w:tr>
      <w:tr>
        <w:trPr>
          <w:trHeight w:val="153"/>
        </w:trPr>
        <w:tc>
          <w:tcPr>
            <w:tcW w:w="20" w:type="dxa"/>
            <w:vAlign w:val="bottom"/>
          </w:tcPr>
          <w:p>
            <w:pPr>
              <w:spacing w:after="0"/>
              <w:rPr>
                <w:sz w:val="13"/>
                <w:szCs w:val="13"/>
                <w:color w:val="auto"/>
              </w:rPr>
            </w:pPr>
          </w:p>
        </w:tc>
        <w:tc>
          <w:tcPr>
            <w:tcW w:w="1000" w:type="dxa"/>
            <w:vAlign w:val="bottom"/>
          </w:tcPr>
          <w:p>
            <w:pPr>
              <w:spacing w:after="0" w:line="147" w:lineRule="exact"/>
              <w:rPr>
                <w:sz w:val="20"/>
                <w:szCs w:val="20"/>
                <w:color w:val="auto"/>
              </w:rPr>
            </w:pPr>
            <w:r>
              <w:rPr>
                <w:rFonts w:ascii="Arial" w:cs="Arial" w:eastAsia="Arial" w:hAnsi="Arial"/>
                <w:sz w:val="14"/>
                <w:szCs w:val="14"/>
                <w:color w:val="auto"/>
              </w:rPr>
              <w:t>Net loss</w:t>
            </w:r>
          </w:p>
        </w:tc>
        <w:tc>
          <w:tcPr>
            <w:tcW w:w="660" w:type="dxa"/>
            <w:vAlign w:val="bottom"/>
          </w:tcPr>
          <w:p>
            <w:pPr>
              <w:ind w:left="46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ind w:right="1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ind w:right="1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4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0"/>
              <w:spacing w:after="0" w:line="147" w:lineRule="exact"/>
              <w:rPr>
                <w:sz w:val="20"/>
                <w:szCs w:val="20"/>
                <w:color w:val="auto"/>
              </w:rPr>
            </w:pPr>
            <w:r>
              <w:rPr>
                <w:rFonts w:ascii="Arial" w:cs="Arial" w:eastAsia="Arial" w:hAnsi="Arial"/>
                <w:sz w:val="14"/>
                <w:szCs w:val="14"/>
                <w:color w:val="auto"/>
              </w:rPr>
              <w:t>(46,515,956)</w:t>
            </w:r>
          </w:p>
        </w:tc>
        <w:tc>
          <w:tcPr>
            <w:tcW w:w="900" w:type="dxa"/>
            <w:vAlign w:val="bottom"/>
            <w:gridSpan w:val="3"/>
          </w:tcPr>
          <w:p>
            <w:pPr>
              <w:jc w:val="right"/>
              <w:ind w:right="40"/>
              <w:spacing w:after="0" w:line="147" w:lineRule="exact"/>
              <w:rPr>
                <w:sz w:val="20"/>
                <w:szCs w:val="20"/>
                <w:color w:val="auto"/>
              </w:rPr>
            </w:pPr>
            <w:r>
              <w:rPr>
                <w:rFonts w:ascii="Arial" w:cs="Arial" w:eastAsia="Arial" w:hAnsi="Arial"/>
                <w:sz w:val="14"/>
                <w:szCs w:val="14"/>
                <w:color w:val="auto"/>
              </w:rPr>
              <w:t>(46,515,956)</w:t>
            </w:r>
          </w:p>
        </w:tc>
      </w:tr>
      <w:tr>
        <w:trPr>
          <w:trHeight w:val="124"/>
        </w:trPr>
        <w:tc>
          <w:tcPr>
            <w:tcW w:w="20" w:type="dxa"/>
            <w:vAlign w:val="bottom"/>
          </w:tcPr>
          <w:p>
            <w:pPr>
              <w:spacing w:after="0"/>
              <w:rPr>
                <w:sz w:val="10"/>
                <w:szCs w:val="10"/>
                <w:color w:val="auto"/>
              </w:rPr>
            </w:pPr>
          </w:p>
        </w:tc>
        <w:tc>
          <w:tcPr>
            <w:tcW w:w="1000" w:type="dxa"/>
            <w:vAlign w:val="bottom"/>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Balance at</w:t>
            </w: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w w:val="94"/>
              </w:rPr>
              <w:t>December 31,</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2,654,405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6,944,148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26,215,411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35,542,707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14,384,938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32,050,646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8,428,366</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843</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28,917,122</w:t>
            </w:r>
          </w:p>
        </w:tc>
        <w:tc>
          <w:tcPr>
            <w:tcW w:w="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(71,132,922)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34,976,949</w:t>
            </w:r>
          </w:p>
        </w:tc>
        <w:tc>
          <w:tcPr>
            <w:tcW w:w="80" w:type="dxa"/>
            <w:vAlign w:val="bottom"/>
            <w:shd w:val="clear" w:color="auto" w:fill="CCEEFF"/>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4"/>
                <w:szCs w:val="14"/>
                <w:color w:val="auto"/>
              </w:rPr>
              <w:t>Issuance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Series 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preferred</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1000" w:type="dxa"/>
            <w:vAlign w:val="bottom"/>
          </w:tcPr>
          <w:p>
            <w:pPr>
              <w:ind w:left="120"/>
              <w:spacing w:after="0" w:line="147" w:lineRule="exact"/>
              <w:rPr>
                <w:sz w:val="20"/>
                <w:szCs w:val="20"/>
                <w:color w:val="auto"/>
              </w:rPr>
            </w:pPr>
            <w:r>
              <w:rPr>
                <w:rFonts w:ascii="Arial" w:cs="Arial" w:eastAsia="Arial" w:hAnsi="Arial"/>
                <w:sz w:val="14"/>
                <w:szCs w:val="14"/>
                <w:color w:val="auto"/>
              </w:rPr>
              <w:t>stock, net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color w:val="auto"/>
                <w:w w:val="93"/>
              </w:rPr>
              <w:t>issuance costs</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6,714,413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99"/>
              </w:rPr>
              <w:t>14,863,020</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14,863,020</w:t>
            </w:r>
          </w:p>
        </w:tc>
        <w:tc>
          <w:tcPr>
            <w:tcW w:w="8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100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color w:val="auto"/>
                <w:w w:val="98"/>
              </w:rPr>
              <w:t>compensation</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1,078,988</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1,078,988</w:t>
            </w:r>
          </w:p>
        </w:tc>
        <w:tc>
          <w:tcPr>
            <w:tcW w:w="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1000" w:type="dxa"/>
            <w:vAlign w:val="bottom"/>
          </w:tcPr>
          <w:p>
            <w:pPr>
              <w:spacing w:after="0" w:line="147" w:lineRule="exact"/>
              <w:rPr>
                <w:sz w:val="20"/>
                <w:szCs w:val="20"/>
                <w:color w:val="auto"/>
              </w:rPr>
            </w:pPr>
            <w:r>
              <w:rPr>
                <w:rFonts w:ascii="Arial" w:cs="Arial" w:eastAsia="Arial" w:hAnsi="Arial"/>
                <w:sz w:val="14"/>
                <w:szCs w:val="14"/>
                <w:color w:val="auto"/>
              </w:rPr>
              <w:t>Net loss</w:t>
            </w:r>
          </w:p>
        </w:tc>
        <w:tc>
          <w:tcPr>
            <w:tcW w:w="660" w:type="dxa"/>
            <w:vAlign w:val="bottom"/>
          </w:tcPr>
          <w:p>
            <w:pPr>
              <w:ind w:left="46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ind w:left="46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Pr>
          <w:p>
            <w:pPr>
              <w:jc w:val="right"/>
              <w:ind w:right="1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ind w:right="11"/>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4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gridSpan w:val="2"/>
          </w:tcPr>
          <w:p>
            <w:pPr>
              <w:ind w:left="8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40"/>
              <w:spacing w:after="0" w:line="147" w:lineRule="exact"/>
              <w:rPr>
                <w:sz w:val="20"/>
                <w:szCs w:val="20"/>
                <w:color w:val="auto"/>
              </w:rPr>
            </w:pPr>
            <w:r>
              <w:rPr>
                <w:rFonts w:ascii="Arial" w:cs="Arial" w:eastAsia="Arial" w:hAnsi="Arial"/>
                <w:sz w:val="14"/>
                <w:szCs w:val="14"/>
                <w:color w:val="auto"/>
              </w:rPr>
              <w:t>(27,124,637)</w:t>
            </w:r>
          </w:p>
        </w:tc>
        <w:tc>
          <w:tcPr>
            <w:tcW w:w="900" w:type="dxa"/>
            <w:vAlign w:val="bottom"/>
            <w:gridSpan w:val="3"/>
          </w:tcPr>
          <w:p>
            <w:pPr>
              <w:jc w:val="right"/>
              <w:ind w:right="40"/>
              <w:spacing w:after="0" w:line="147" w:lineRule="exact"/>
              <w:rPr>
                <w:sz w:val="20"/>
                <w:szCs w:val="20"/>
                <w:color w:val="auto"/>
              </w:rPr>
            </w:pPr>
            <w:r>
              <w:rPr>
                <w:rFonts w:ascii="Arial" w:cs="Arial" w:eastAsia="Arial" w:hAnsi="Arial"/>
                <w:sz w:val="14"/>
                <w:szCs w:val="14"/>
                <w:color w:val="auto"/>
              </w:rPr>
              <w:t>(27,124,637)</w:t>
            </w:r>
          </w:p>
        </w:tc>
      </w:tr>
      <w:tr>
        <w:trPr>
          <w:trHeight w:val="124"/>
        </w:trPr>
        <w:tc>
          <w:tcPr>
            <w:tcW w:w="20" w:type="dxa"/>
            <w:vAlign w:val="bottom"/>
          </w:tcPr>
          <w:p>
            <w:pPr>
              <w:spacing w:after="0"/>
              <w:rPr>
                <w:sz w:val="10"/>
                <w:szCs w:val="10"/>
                <w:color w:val="auto"/>
              </w:rPr>
            </w:pPr>
          </w:p>
        </w:tc>
        <w:tc>
          <w:tcPr>
            <w:tcW w:w="1000" w:type="dxa"/>
            <w:vAlign w:val="bottom"/>
            <w:shd w:val="clear" w:color="auto" w:fill="CCEEFF"/>
          </w:tcPr>
          <w:p>
            <w:pPr>
              <w:spacing w:after="0" w:line="124" w:lineRule="exact"/>
              <w:rPr>
                <w:sz w:val="20"/>
                <w:szCs w:val="20"/>
                <w:color w:val="auto"/>
              </w:rPr>
            </w:pPr>
            <w:r>
              <w:rPr>
                <w:rFonts w:ascii="Arial" w:cs="Arial" w:eastAsia="Arial" w:hAnsi="Arial"/>
                <w:sz w:val="14"/>
                <w:szCs w:val="14"/>
                <w:b w:val="1"/>
                <w:bCs w:val="1"/>
                <w:color w:val="auto"/>
              </w:rPr>
              <w:t>Balance at</w:t>
            </w: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000" w:type="dxa"/>
            <w:vAlign w:val="bottom"/>
            <w:shd w:val="clear" w:color="auto" w:fill="CCEEFF"/>
          </w:tcPr>
          <w:p>
            <w:pPr>
              <w:ind w:left="120"/>
              <w:spacing w:after="0" w:line="147" w:lineRule="exact"/>
              <w:rPr>
                <w:sz w:val="20"/>
                <w:szCs w:val="20"/>
                <w:color w:val="auto"/>
              </w:rPr>
            </w:pPr>
            <w:r>
              <w:rPr>
                <w:rFonts w:ascii="Arial" w:cs="Arial" w:eastAsia="Arial" w:hAnsi="Arial"/>
                <w:sz w:val="14"/>
                <w:szCs w:val="14"/>
                <w:b w:val="1"/>
                <w:bCs w:val="1"/>
                <w:color w:val="auto"/>
                <w:w w:val="94"/>
              </w:rPr>
              <w:t>December 31,</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2,654,405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6,944,148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26,215,411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35,542,707</w:t>
            </w: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21,099,351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46,913,666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8,428,366</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1"/>
              </w:rPr>
              <w:t>29,996,110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 xml:space="preserve"> (98,257,559)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$ 23,794,320</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520"/>
          </w:cols>
          <w:pgMar w:left="240" w:top="455" w:right="1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0"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0"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(46,515,956)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(27,124,637)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Non-cash acquisition of in-process research and development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26,486,000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1,078,988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Refundable research and development credit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(1,313,398)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Other current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(80,872)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(873,884)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1,725,904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69,779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(18,855,947)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(26,003,078)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Deferred issuance costs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(90,868)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 from issuance of common stock</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Issuance of Series C convertible preferred stock</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9,275,001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D convertible preferred stock, net of issuance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32,050,646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14,863,020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41,236,498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14,863,020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22,380,551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(11,140,058)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13,622,995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36,003,546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36,003,546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24,863,488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5"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19" w:lineRule="exact"/>
        <w:rPr>
          <w:sz w:val="20"/>
          <w:szCs w:val="20"/>
          <w:color w:val="auto"/>
        </w:rPr>
      </w:pPr>
    </w:p>
    <w:p>
      <w:pPr>
        <w:ind w:right="420" w:firstLine="457"/>
        <w:spacing w:after="0" w:line="257" w:lineRule="auto"/>
        <w:rPr>
          <w:sz w:val="20"/>
          <w:szCs w:val="20"/>
          <w:color w:val="auto"/>
        </w:rPr>
      </w:pPr>
      <w:r>
        <w:rPr>
          <w:rFonts w:ascii="Arial" w:cs="Arial" w:eastAsia="Arial" w:hAnsi="Arial"/>
          <w:sz w:val="18"/>
          <w:szCs w:val="18"/>
          <w:color w:val="auto"/>
        </w:rPr>
        <w:t>Apellis Pharmaceuticals, Inc. (the “Company”) is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was incorporated in September 2009 under the laws of the State of Delaware and is located in Crestwood, Kentucky.</w:t>
      </w:r>
    </w:p>
    <w:p>
      <w:pPr>
        <w:spacing w:after="0" w:line="220"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80"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3" w:lineRule="exact"/>
        <w:rPr>
          <w:sz w:val="20"/>
          <w:szCs w:val="20"/>
          <w:color w:val="auto"/>
        </w:rPr>
      </w:pPr>
    </w:p>
    <w:p>
      <w:pPr>
        <w:ind w:right="200" w:firstLine="457"/>
        <w:spacing w:after="0" w:line="267"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and commitments in the normal course of business.</w:t>
      </w:r>
    </w:p>
    <w:p>
      <w:pPr>
        <w:spacing w:after="0" w:line="180"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The Company is subject to risks common to other life science companies in the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FDA and other government regulations. If the Company does not successfully commercialize any of its product candidates, it will be unable to generate recurring product revenue or achieve profitability. Management’s plans in order to meet its short-term and longer term operating cash flow requirements include obtaining additional funding, including from a potential initial public offering (“IPO”) of its common stock.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uncertainties associated with the Company’s ability to (1) obtain additional debt or equity financing on terms that are favorable to the Company,</w:t>
      </w:r>
    </w:p>
    <w:p>
      <w:pPr>
        <w:spacing w:after="0" w:line="40" w:lineRule="exact"/>
        <w:rPr>
          <w:sz w:val="20"/>
          <w:szCs w:val="20"/>
          <w:color w:val="auto"/>
        </w:rPr>
      </w:pPr>
    </w:p>
    <w:p>
      <w:pPr>
        <w:ind w:firstLine="7"/>
        <w:spacing w:after="0" w:line="265" w:lineRule="auto"/>
        <w:tabs>
          <w:tab w:leader="none" w:pos="25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enter into collaborative agreements with strategic partners, and (3) succeed in its future operations, raise substantial doubt about the Company’s ability to continue as a going concern. The consolidated financial statements do not include any adjustments relating to the recoverability and classification of recorded asset amounts or amounts of liabilities that might be necessary should the Company be unable to continue its operations. If the Company is not able to obtain the required funding in the near future, through an IPO or other means, or is not able to obtain funding on terms that are favorable to the Company, it will have a material adverse effect on its operations and strategic development plan for future growth. If the Company cannot successfully raise additional funding and implement its strategic development plan, then its liquidity, financial condition and business prospects will be materially and adversely affected, and the Company may have to cease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5"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09" w:lineRule="exact"/>
        <w:rPr>
          <w:sz w:val="20"/>
          <w:szCs w:val="20"/>
          <w:color w:val="auto"/>
        </w:rPr>
      </w:pPr>
    </w:p>
    <w:p>
      <w:pPr>
        <w:ind w:left="240" w:right="7900" w:hanging="233"/>
        <w:spacing w:after="0" w:line="374" w:lineRule="auto"/>
        <w:tabs>
          <w:tab w:leader="none" w:pos="19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Stock Split</w:t>
      </w:r>
    </w:p>
    <w:p>
      <w:pPr>
        <w:spacing w:after="0" w:line="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On October 27, 2017, the Company effectuated a l-for-2.133 reverse stock split of its outstanding common stock, which was approved by the Company’s board of directors on October 27, 2017. The reverse stock split resulted in an adjustment to the preferred stock conversion prices to reflect a proportional decrease in the number of shares of common stock to be issued upon conversion. The accompanying financial statements and notes to the financial statements give retroactive effect to the reverse stock split for all periods presented. The shares of common stock retained a par value of $0.0001 per share. Accordingly, the stockholders’ deficit reflects the reverse stock split by reclassifying from “common stock” to “additional paid-in capital” in an amount equal to the par value of the decreased shares resulting from the reverse stock split.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3"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subsidiary, Apellis Australia Pty Ltd. All intercompany balances and transactions have been eliminated in consolidation. The consolidated financial statements have been prepared in conformity with accounting principles generally accepted in the United States of America (“U.S. GAAP”).</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3" w:lineRule="exact"/>
        <w:rPr>
          <w:sz w:val="20"/>
          <w:szCs w:val="20"/>
          <w:color w:val="auto"/>
        </w:rPr>
      </w:pPr>
    </w:p>
    <w:p>
      <w:pPr>
        <w:ind w:right="280" w:firstLine="457"/>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3"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share-based compensation expense, fair value of common stock and preferred stock, accrued expenses, prepaid expenses and income taxes.</w:t>
      </w:r>
    </w:p>
    <w:p>
      <w:pPr>
        <w:spacing w:after="0" w:line="17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The Company utilizes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retrospective fair value of its common stock during all periods presented. The methodologies include a probability analysis including both a potential public trading scenario and potential sale scenario. In both scenarios, value is estimated using the guideline public company method. The sale scenario includes an adjustment for a market participant acquisition premium. Value is allocated among the preferred and common shares according to the rights associated with each type of security. Valuation methodologies include estimates and assumptions that require the Company’s judgment. These estimates include assumptions regarding future performance, including the successful completion of a public offering. Significant changes to the key assumptions used in the valuations could result in different fair values of common stock and the associated fair value of stock options granted at each valuation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the accompanying consolidated statements of operations and comprehensive loss, unaudited pro forma net loss per share, basic and diluted, for the year ended December 31, 2016 have been prepared to give effect to (i) the issuance of 7,792,035 shares of series E convertible preferred stock, (ii) the issuance of 93,764 shares of common stock that the Company expects to issue prior to the closing of its proposed initial public offering upon the exercise of warrants and</w:t>
      </w:r>
    </w:p>
    <w:p>
      <w:pPr>
        <w:spacing w:after="0" w:line="1" w:lineRule="exact"/>
        <w:rPr>
          <w:sz w:val="20"/>
          <w:szCs w:val="20"/>
          <w:color w:val="auto"/>
        </w:rPr>
      </w:pPr>
    </w:p>
    <w:p>
      <w:pPr>
        <w:ind w:right="760" w:firstLine="7"/>
        <w:spacing w:after="0" w:line="254" w:lineRule="auto"/>
        <w:tabs>
          <w:tab w:leader="none" w:pos="3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convertible preferred stock, including the shares of series E convertible preferred stock, into 30,070,034 shares of common stock.</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3"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Management believes that the carrying amounts of the Company’s financial instruments, including accounts payable and accrued expenses, approximate the fair value due to the short term nature of those instruments. The Company follows the fair value hierarchy within Accounting Standards Codification (“ASC”) 820, Fair Value Measurements, and classifies its financial instruments as Level I.</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are defined as cash in banks and investment instruments having maturities of three months or less from their acquisition date.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reported in the consolidated balance sheets for cash and cash equivalents are valued at cost, which approximates their fair value.</w:t>
      </w:r>
    </w:p>
    <w:p>
      <w:pPr>
        <w:spacing w:after="0" w:line="3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functional currency of the Company’s wholly-owned subsidiary is the U.S. dollar.</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expenses include</w:t>
      </w:r>
    </w:p>
    <w:p>
      <w:pPr>
        <w:spacing w:after="0" w:line="29" w:lineRule="exact"/>
        <w:rPr>
          <w:sz w:val="20"/>
          <w:szCs w:val="20"/>
          <w:color w:val="auto"/>
        </w:rPr>
      </w:pPr>
    </w:p>
    <w:p>
      <w:pPr>
        <w:ind w:right="240" w:firstLine="7"/>
        <w:spacing w:after="0" w:line="249" w:lineRule="auto"/>
        <w:tabs>
          <w:tab w:leader="none" w:pos="2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including share-based compensation expense for consultants; (iii) the cost of acquiring, developing and manufacturing clinical study materials; and (iv) costs associated with preclinical and clinical activities and regulatory operations.</w:t>
      </w:r>
    </w:p>
    <w:p>
      <w:pPr>
        <w:spacing w:after="0" w:line="197" w:lineRule="exact"/>
        <w:rPr>
          <w:sz w:val="20"/>
          <w:szCs w:val="20"/>
          <w:color w:val="auto"/>
        </w:rPr>
      </w:pPr>
    </w:p>
    <w:p>
      <w:pPr>
        <w:ind w:right="40" w:firstLine="457"/>
        <w:spacing w:after="0" w:line="252" w:lineRule="auto"/>
        <w:rPr>
          <w:sz w:val="20"/>
          <w:szCs w:val="20"/>
          <w:color w:val="auto"/>
        </w:rPr>
      </w:pPr>
      <w:r>
        <w:rPr>
          <w:rFonts w:ascii="Arial" w:cs="Arial" w:eastAsia="Arial" w:hAnsi="Arial"/>
          <w:sz w:val="18"/>
          <w:szCs w:val="18"/>
          <w:color w:val="auto"/>
        </w:rPr>
        <w:t>The Company enters into consulting, research and other agreements with commercial entities, researchers, universities and others for the provision of goods and services. Such arrangements are generally cancellable upon reasonable notice and payment of costs incurred. Costs are considered incurred based on an evaluation of the progress to completion of specific tasks under each contract using information and data provided by the Company’s clinical sites and vendors. These costs consist of direct and indirect costs associated with specific projects, as well as fees paid to various entities that perform certain research on behalf of the Company.</w:t>
      </w:r>
    </w:p>
    <w:p>
      <w:pPr>
        <w:spacing w:after="0" w:line="193" w:lineRule="exact"/>
        <w:rPr>
          <w:sz w:val="20"/>
          <w:szCs w:val="20"/>
          <w:color w:val="auto"/>
        </w:rPr>
      </w:pPr>
    </w:p>
    <w:p>
      <w:pPr>
        <w:ind w:right="80" w:firstLine="457"/>
        <w:spacing w:after="0" w:line="279" w:lineRule="auto"/>
        <w:rPr>
          <w:sz w:val="20"/>
          <w:szCs w:val="20"/>
          <w:color w:val="auto"/>
        </w:rPr>
      </w:pPr>
      <w:r>
        <w:rPr>
          <w:rFonts w:ascii="Arial" w:cs="Arial" w:eastAsia="Arial" w:hAnsi="Arial"/>
          <w:sz w:val="17"/>
          <w:szCs w:val="17"/>
          <w:color w:val="auto"/>
        </w:rPr>
        <w:t>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The Company monitors each of these factors and adjusts estimates accordingly.</w:t>
      </w:r>
    </w:p>
    <w:p>
      <w:pPr>
        <w:spacing w:after="0" w:line="172" w:lineRule="exact"/>
        <w:rPr>
          <w:sz w:val="20"/>
          <w:szCs w:val="20"/>
          <w:color w:val="auto"/>
        </w:rPr>
      </w:pPr>
    </w:p>
    <w:p>
      <w:pPr>
        <w:ind w:right="100" w:firstLine="457"/>
        <w:spacing w:after="0" w:line="297" w:lineRule="auto"/>
        <w:rPr>
          <w:sz w:val="20"/>
          <w:szCs w:val="20"/>
          <w:color w:val="auto"/>
        </w:rPr>
      </w:pPr>
      <w:r>
        <w:rPr>
          <w:rFonts w:ascii="Arial" w:cs="Arial" w:eastAsia="Arial" w:hAnsi="Arial"/>
          <w:sz w:val="17"/>
          <w:szCs w:val="17"/>
          <w:color w:val="auto"/>
        </w:rPr>
        <w:t>Included in research and development is a refundable Australian research and development credit. The credit is recognized as a reduction of clinical trial costs over the periods necessary to match the benefit of the credit with the costs for which it is intended to compensate.</w:t>
      </w:r>
    </w:p>
    <w:p>
      <w:pPr>
        <w:spacing w:after="0" w:line="156"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During 2017, the Company identified and corrected an immaterial presentation error in the consolidated statements of operations and comprehensive loss for the years ended December 31, 2015 and 2016. The error was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5"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result of presenting $1.7 million and $1.2 million of Australian research and development refundable credits for the years ended December 31, 2015 and 2016, respectively, as an income tax benefit in those periods. As the enacted legislation in Australia provides for the credit to be received without regard to taxable income the credit was incorrectly classified as an income tax benefit. Accordingly, we have reclassified the credits as a reduction of research and development operating expenses. Net loss and comprehensive loss was not impacted by this error and no other line items within any of the other consolidated financial statements and footnotes were impacted by this error, other than the Company’s tax footnote.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incurred in connection with the application for and issuance of patents are expensed as incurred.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20" w:firstLine="457"/>
        <w:spacing w:after="0" w:line="251" w:lineRule="auto"/>
        <w:rPr>
          <w:sz w:val="20"/>
          <w:szCs w:val="20"/>
          <w:color w:val="auto"/>
        </w:rPr>
      </w:pPr>
      <w:r>
        <w:rPr>
          <w:rFonts w:ascii="Arial" w:cs="Arial" w:eastAsia="Arial" w:hAnsi="Arial"/>
          <w:sz w:val="18"/>
          <w:szCs w:val="18"/>
          <w:color w:val="auto"/>
        </w:rPr>
        <w:t xml:space="preserve">Income taxes are recorded in accordance with Financial Accounting Standards Board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95" w:lineRule="exact"/>
        <w:rPr>
          <w:sz w:val="20"/>
          <w:szCs w:val="20"/>
          <w:color w:val="auto"/>
        </w:rPr>
      </w:pPr>
    </w:p>
    <w:p>
      <w:pPr>
        <w:ind w:firstLine="457"/>
        <w:spacing w:after="0" w:line="254"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2015 and 2016, the Company did not have any significant uncertain tax positions.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3"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 xml:space="preserve">The Company accounts for its share-based compensation awards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requires all share-based payments to employees, including grants of employee stock options, be recognized in the statements of operations and comprehensive loss based on their estimated fair values over the requisite service periods for each award. The Company accounts for share-based awards to non-employees in accordance with FASB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xml:space="preserve"> (“ASC 505-50”), which requires the fair value of the award to be re-measured at fair value until a performance commitment is reached or counterparty performance is complete. The Company’s share-based compensation awards are comprised of stock options. The Company estimates the fair value of each stock option grant using the Monte Carlo simulation model (“Monte Carlo”) for grants made prior to June 30, 2015 and the Black-Scholes option pricing model (“Black-Scholes”) for grants made on or after July 1, 2015.</w:t>
      </w:r>
    </w:p>
    <w:p>
      <w:pPr>
        <w:spacing w:after="0" w:line="167" w:lineRule="exact"/>
        <w:rPr>
          <w:sz w:val="20"/>
          <w:szCs w:val="20"/>
          <w:color w:val="auto"/>
        </w:rPr>
      </w:pPr>
    </w:p>
    <w:p>
      <w:pPr>
        <w:ind w:right="200" w:firstLine="457"/>
        <w:spacing w:after="0" w:line="279" w:lineRule="auto"/>
        <w:rPr>
          <w:sz w:val="20"/>
          <w:szCs w:val="20"/>
          <w:color w:val="auto"/>
        </w:rPr>
      </w:pPr>
      <w:r>
        <w:rPr>
          <w:rFonts w:ascii="Arial" w:cs="Arial" w:eastAsia="Arial" w:hAnsi="Arial"/>
          <w:sz w:val="17"/>
          <w:szCs w:val="17"/>
          <w:color w:val="auto"/>
        </w:rPr>
        <w:t>Both Monte Carlo and Black-Scholes for option pricing require the input of the six minimum considerations detailed in ASC 718, including (a) the expected stock price volatility, (b) the calculation of expected term of the award, (c) the risk-free interest rate and (d) expected dividends. Due to the lack of a public market for the trading of the Company’s common stock and a lack of company-specific historical and implied volatility data,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5"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Company has based its estimate of expected volatility on the historical volatility of a group of comparable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is in a very early stage of product development with no revenues, and the representative group of companies has similar characteristics. The Company believes the group selected has sufficient similar economic and industry characteristics. The Company calculated the expected term for options granted to employees based on a quarterly weighted average probability of exit analysis considering milestones that the Company had achieved and each of the potential exit scenarios available to the Company at that time.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arrangement as the basis for the expected term assumption. The risk-free interest rate is based on a treasury instrument whose term is consistent with the expected life of the stock options. The expected dividend yield is assumed to be zero as the Company has never paid dividends and has no current plans to pay any dividends on its common stock.</w:t>
      </w:r>
    </w:p>
    <w:p>
      <w:pPr>
        <w:spacing w:after="0" w:line="174"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The Company’s share-based awards are subject to service based vesting conditions. Compensation expense related to awards to employees with service based vesting conditions is recognized on a straight-line basis based on the grant date fair value over the associated service period of the award, which is generally the vesting term. Consistent with the guidance in ASC 505-50, compensation expense related to awards to non-employees with service based vesting conditions is recognized on a straight-line basis based on the then-current fair value at each financial reporting date prior to the measurement date over the associated service period of the award, which is generally the vesting term.</w:t>
      </w:r>
    </w:p>
    <w:p>
      <w:pPr>
        <w:spacing w:after="0" w:line="181" w:lineRule="exact"/>
        <w:rPr>
          <w:sz w:val="20"/>
          <w:szCs w:val="20"/>
          <w:color w:val="auto"/>
        </w:rPr>
      </w:pPr>
    </w:p>
    <w:p>
      <w:pPr>
        <w:jc w:val="both"/>
        <w:ind w:right="120" w:firstLine="457"/>
        <w:spacing w:after="0" w:line="252" w:lineRule="auto"/>
        <w:rPr>
          <w:sz w:val="20"/>
          <w:szCs w:val="20"/>
          <w:color w:val="auto"/>
        </w:rPr>
      </w:pPr>
      <w:r>
        <w:rPr>
          <w:rFonts w:ascii="Arial" w:cs="Arial" w:eastAsia="Arial" w:hAnsi="Arial"/>
          <w:sz w:val="18"/>
          <w:szCs w:val="18"/>
          <w:color w:val="auto"/>
        </w:rPr>
        <w:t>The Company is also required to estimate forfeitures at the time of grant and revise those estimates in the subsequent periods if actual forfeitures differ from its estimates. The Company uses historical data to estimate pre-vesting forfeitures and records share-based compensation expense only for those awards that are expected to vest. To the extent that actual forfeitures differ from the Company’s estimates, the difference is recorded as a cumulative adjustment in the period the estimates were revised. Share-based compensation expense recognized in the financial statements is based on awards that are ultimately expected to vest.</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3" w:lineRule="exact"/>
        <w:rPr>
          <w:sz w:val="20"/>
          <w:szCs w:val="20"/>
          <w:color w:val="auto"/>
        </w:rPr>
      </w:pPr>
    </w:p>
    <w:p>
      <w:pPr>
        <w:ind w:right="320" w:firstLine="457"/>
        <w:spacing w:after="0" w:line="267" w:lineRule="auto"/>
        <w:rPr>
          <w:sz w:val="20"/>
          <w:szCs w:val="20"/>
          <w:color w:val="auto"/>
        </w:rPr>
      </w:pPr>
      <w:r>
        <w:rPr>
          <w:rFonts w:ascii="Arial" w:cs="Arial" w:eastAsia="Arial" w:hAnsi="Arial"/>
          <w:sz w:val="18"/>
          <w:szCs w:val="18"/>
          <w:color w:val="auto"/>
        </w:rPr>
        <w:t>Cash and accounts receivable are the only financial instruments that potentially subject the Company to concentrations of credit risk. The Company’s cash is maintained with accredited financial institutions and is insured by the Federal Deposit Insurance Corporation.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3"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color w:val="auto"/>
        </w:rPr>
        <w:t>Basic net loss per common share is calculated by dividing net loss by the weighted-average shares outstanding during the period. For purposes of the diluted net loss per share calculation, convertible preferred stock and common stock options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3" w:lineRule="exact"/>
        <w:rPr>
          <w:sz w:val="20"/>
          <w:szCs w:val="20"/>
          <w:color w:val="auto"/>
        </w:rPr>
      </w:pPr>
    </w:p>
    <w:p>
      <w:pPr>
        <w:ind w:right="280" w:firstLine="457"/>
        <w:spacing w:after="0" w:line="267" w:lineRule="auto"/>
        <w:rPr>
          <w:sz w:val="20"/>
          <w:szCs w:val="20"/>
          <w:color w:val="auto"/>
        </w:rPr>
      </w:pPr>
      <w:r>
        <w:rPr>
          <w:rFonts w:ascii="Arial" w:cs="Arial" w:eastAsia="Arial" w:hAnsi="Arial"/>
          <w:sz w:val="18"/>
          <w:szCs w:val="18"/>
          <w:color w:val="auto"/>
        </w:rPr>
        <w:t>The Company has no components of comprehensive loss other than its net loss and, accordingly, comprehensive loss is the same as the net loss for all periods presented.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5"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ind w:right="100" w:firstLine="457"/>
        <w:spacing w:after="0" w:line="250"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standard will apply one comprehensive revenue recognition model across all contracts, entities and sectors. The core principle of the new standard is that revenue should be recognized to depict the transfer of promised goods or services to customers in an amount that reflects the consideration to which the entity expects to be entitled in exchange for those goods or services. Once effective, ASU 2014-09 will replace most of the existing revenue recognition requirements in U.S. GAAP. The FASB also issued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which deferred the effective date of the standard for one year. As a result, the new standard is effective for annual reporting periods beginning after December 15, 2016, including interim periods within that reporting period. The Company is currently assessing the effect that adoption of the new standard will have on its consolidated financial statements.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 (Subtopic 205-40): Disclosure of Uncertainties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which requires management to evaluate whether there are conditions and events that raise substantial</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doubt about the entity’s ability to continue as a going concern within one year after the financial statements are issued and, if so, to disclose that fact.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also required to evaluate and disclose whether its plans alleviate that doubt. The standard is effective for annual periods ending after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15, 2016. With the adoption of the ASU 2014-15, the Company has expanded its disclosures within the </w:t>
      </w:r>
      <w:r>
        <w:rPr>
          <w:rFonts w:ascii="Arial" w:cs="Arial" w:eastAsia="Arial" w:hAnsi="Arial"/>
          <w:sz w:val="16"/>
          <w:szCs w:val="16"/>
          <w:i w:val="1"/>
          <w:iCs w:val="1"/>
          <w:color w:val="auto"/>
        </w:rPr>
        <w:t>Liquidity and Going Concern</w:t>
      </w:r>
      <w:r>
        <w:rPr>
          <w:rFonts w:ascii="Arial" w:cs="Arial" w:eastAsia="Arial" w:hAnsi="Arial"/>
          <w:sz w:val="16"/>
          <w:szCs w:val="16"/>
          <w:color w:val="auto"/>
        </w:rPr>
        <w:t xml:space="preserve"> section of Note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9"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Income Taxes: Balance Sheet Classification of Deferred Taxes</w:t>
      </w:r>
      <w:r>
        <w:rPr>
          <w:rFonts w:ascii="Arial" w:cs="Arial" w:eastAsia="Arial" w:hAnsi="Arial"/>
          <w:sz w:val="17"/>
          <w:szCs w:val="17"/>
          <w:color w:val="auto"/>
        </w:rPr>
        <w:t>. This ASU simplifies the presentation of deferred income taxes and requires that deferred tax liabilities and assets be classified as noncurrent in a consolidated statement of financial position and may be applied either prospectively to all deferred tax liabilities and assets or retrospectively to all periods presented. This ASU will be effective for the Company beginning January 1, 2017, and the Company plans to adopt ASU 2015-17 on a retrospective basis.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establishes a comprehensive new lease accounting model. The new standard:</w:t>
      </w:r>
    </w:p>
    <w:p>
      <w:pPr>
        <w:spacing w:after="0" w:line="29" w:lineRule="exact"/>
        <w:rPr>
          <w:sz w:val="20"/>
          <w:szCs w:val="20"/>
          <w:color w:val="auto"/>
        </w:rPr>
      </w:pPr>
    </w:p>
    <w:p>
      <w:pPr>
        <w:ind w:firstLine="7"/>
        <w:spacing w:after="0" w:line="291" w:lineRule="auto"/>
        <w:tabs>
          <w:tab w:leader="none" w:pos="24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The new standard is effective for fiscal years and interim periods beginning after December 15, 2018 and requires modified retrospective application. Early adoption is permitted. The Company is currently evaluating the impact that the adoption of ASU 2016-02 will have on its consolidated financial statements.</w:t>
      </w:r>
    </w:p>
    <w:p>
      <w:pPr>
        <w:spacing w:after="0" w:line="163" w:lineRule="exact"/>
        <w:rPr>
          <w:sz w:val="20"/>
          <w:szCs w:val="20"/>
          <w:color w:val="auto"/>
        </w:rPr>
      </w:pPr>
    </w:p>
    <w:p>
      <w:pPr>
        <w:ind w:right="60" w:firstLine="457"/>
        <w:spacing w:after="0" w:line="252"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standard is intended to simplify several areas of accounting for share-based compensation arrangements, including the income tax impact,</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classification on the statement of cash flows and forfeitures. The standard is effective for fiscal years and interim periods beginning after December 15, 2016. Early adoption is permitted. The Company is currently evaluating the impact that the standard will have on its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 Purchase From Related Party</w:t>
      </w:r>
    </w:p>
    <w:p>
      <w:pPr>
        <w:spacing w:after="0" w:line="119"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In September 2014, the Company agreed to purchase substantially all of the assets of Potentia Pharmaceuticals, Inc. (“Potentia”), in exchange for 3,844,352 shares of common stock. In September 2015, the Company completed the acquisition and issued the shares, which the Company determined, with the assistance 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5"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a third-party specialist, to have a fair value of $26,486,000. As there were no integrated sets of activities and assets representing inputs and processes that would constitute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Company accounted for the transaction as an asset acquisition. In-process research and development expense of $26,486,000 was recognized in the Company’s consolidated statement of operations and comprehensive loss in 2015. At the closing of the acquisition, Potentia and the Company entered into a voting agreement, pursuant to which Potentia agreed that, in any matters submitted to a vote of the holders of the Company’s common stock Potentia would vote its shares in the same ratio as the other holders of the Company’s common stock vote their shares.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officers and members of the Board of Directors of the Company are directors and significant stockholders of Potentia.</w:t>
      </w:r>
    </w:p>
    <w:p>
      <w:pPr>
        <w:spacing w:after="0" w:line="220"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In connection with the purchase of the Potentia assets, the Company also became party to a license agreement with the Trustees of the University of Pennsylvania (“UPenn”) for an exclusive, worldwide license to specified patent rights. The Company is required to pay annual maintenance fees of $100,000 until the first sale of a licensed product. The Company is also required to make milestone payments aggregating up to $3,200,000 based upon the achievement of specified development and regulatory milestones and up to $5,000,000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asset purchase agreement, the Company agreed to make certain vendor payments on Potentia’s behalf pending the closing of the transaction.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expenses related to this arrangement of $874,427 for the year ended December 31, 2015.</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19"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The voting, dividend and liquidation rights of the holders of shares of common stock are subject to and qualified by the rights, powers and preferences of shares of convertible preferred stock. The common stock has the following characteristics: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—Holders of shares are entitled to one vote for each share.</w:t>
      </w:r>
    </w:p>
    <w:p>
      <w:pPr>
        <w:spacing w:after="0" w:line="220"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The number of authorized shares may be increased or decreased with the approval of a majority of the holders of the Company’s convertible preferred and common stock, voting together as a single class, and without a separate class vote by the common stock.</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—Holders of shares are entitled to receive any dividends declared by the Board of Directors from funds legally available for such dividends.</w:t>
      </w:r>
    </w:p>
    <w:p>
      <w:pPr>
        <w:spacing w:after="0" w:line="243" w:lineRule="exact"/>
        <w:rPr>
          <w:sz w:val="20"/>
          <w:szCs w:val="20"/>
          <w:color w:val="auto"/>
        </w:rPr>
      </w:pPr>
    </w:p>
    <w:p>
      <w:pPr>
        <w:ind w:right="400" w:firstLine="457"/>
        <w:spacing w:after="0" w:line="26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—Upon liquidation, holders of shares are entitled to a pro rata share in any distribution available to common stockholders,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rights of holders of convertible preferred stock.</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5"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120" w:firstLine="457"/>
        <w:spacing w:after="0" w:line="267" w:lineRule="auto"/>
        <w:rPr>
          <w:sz w:val="20"/>
          <w:szCs w:val="20"/>
          <w:color w:val="auto"/>
        </w:rPr>
      </w:pPr>
      <w:r>
        <w:rPr>
          <w:rFonts w:ascii="Arial" w:cs="Arial" w:eastAsia="Arial" w:hAnsi="Arial"/>
          <w:sz w:val="18"/>
          <w:szCs w:val="18"/>
          <w:i w:val="1"/>
          <w:iCs w:val="1"/>
          <w:color w:val="auto"/>
        </w:rPr>
        <w:t xml:space="preserve">Common Stock Reserved for Future Issuance </w:t>
      </w:r>
      <w:r>
        <w:rPr>
          <w:rFonts w:ascii="Arial" w:cs="Arial" w:eastAsia="Arial" w:hAnsi="Arial"/>
          <w:sz w:val="18"/>
          <w:szCs w:val="18"/>
          <w:color w:val="auto"/>
        </w:rPr>
        <w:t>Based on the authorized shares for each series, the Company has reserved the following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for future issuance: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20" w:type="dxa"/>
            <w:vAlign w:val="bottom"/>
          </w:tcPr>
          <w:p>
            <w:pPr>
              <w:spacing w:after="0"/>
              <w:rPr>
                <w:sz w:val="14"/>
                <w:szCs w:val="14"/>
                <w:color w:val="auto"/>
              </w:rPr>
            </w:pPr>
          </w:p>
        </w:tc>
        <w:tc>
          <w:tcPr>
            <w:tcW w:w="230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91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0"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0"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7"/>
        </w:trPr>
        <w:tc>
          <w:tcPr>
            <w:tcW w:w="9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Conversion of Series A 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1,251,758</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1,251,758</w:t>
            </w:r>
          </w:p>
        </w:tc>
        <w:tc>
          <w:tcPr>
            <w:tcW w:w="60" w:type="dxa"/>
            <w:vAlign w:val="bottom"/>
            <w:shd w:val="clear" w:color="auto" w:fill="CCEEFF"/>
          </w:tcPr>
          <w:p>
            <w:pPr>
              <w:spacing w:after="0"/>
              <w:rPr>
                <w:sz w:val="17"/>
                <w:szCs w:val="17"/>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8"/>
                <w:szCs w:val="18"/>
                <w:color w:val="auto"/>
              </w:rPr>
              <w:t>Conversion of Series B convertible preferred stock</w:t>
            </w:r>
          </w:p>
        </w:tc>
        <w:tc>
          <w:tcPr>
            <w:tcW w:w="960" w:type="dxa"/>
            <w:vAlign w:val="bottom"/>
          </w:tcPr>
          <w:p>
            <w:pPr>
              <w:jc w:val="right"/>
              <w:spacing w:after="0"/>
              <w:rPr>
                <w:sz w:val="20"/>
                <w:szCs w:val="20"/>
                <w:color w:val="auto"/>
              </w:rPr>
            </w:pPr>
            <w:r>
              <w:rPr>
                <w:rFonts w:ascii="Arial" w:cs="Arial" w:eastAsia="Arial" w:hAnsi="Arial"/>
                <w:sz w:val="18"/>
                <w:szCs w:val="18"/>
                <w:color w:val="auto"/>
              </w:rPr>
              <w:t>2,982,962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2,982,962</w:t>
            </w:r>
          </w:p>
        </w:tc>
        <w:tc>
          <w:tcPr>
            <w:tcW w:w="60" w:type="dxa"/>
            <w:vAlign w:val="bottom"/>
          </w:tcPr>
          <w:p>
            <w:pPr>
              <w:spacing w:after="0"/>
              <w:rPr>
                <w:sz w:val="18"/>
                <w:szCs w:val="18"/>
                <w:color w:val="auto"/>
              </w:rPr>
            </w:pPr>
          </w:p>
        </w:tc>
      </w:tr>
      <w:tr>
        <w:trPr>
          <w:trHeight w:val="213"/>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12,290,394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12,290,394</w:t>
            </w:r>
          </w:p>
        </w:tc>
      </w:tr>
      <w:tr>
        <w:trPr>
          <w:trHeight w:val="213"/>
        </w:trPr>
        <w:tc>
          <w:tcPr>
            <w:tcW w:w="9120" w:type="dxa"/>
            <w:vAlign w:val="bottom"/>
          </w:tcPr>
          <w:p>
            <w:pPr>
              <w:spacing w:after="0"/>
              <w:rPr>
                <w:sz w:val="20"/>
                <w:szCs w:val="20"/>
                <w:color w:val="auto"/>
              </w:rPr>
            </w:pPr>
            <w:r>
              <w:rPr>
                <w:rFonts w:ascii="Arial" w:cs="Arial" w:eastAsia="Arial" w:hAnsi="Arial"/>
                <w:sz w:val="18"/>
                <w:szCs w:val="18"/>
                <w:color w:val="auto"/>
              </w:rPr>
              <w:t>Conversion of Series D convertible preferred stock</w:t>
            </w:r>
          </w:p>
        </w:tc>
        <w:tc>
          <w:tcPr>
            <w:tcW w:w="960" w:type="dxa"/>
            <w:vAlign w:val="bottom"/>
          </w:tcPr>
          <w:p>
            <w:pPr>
              <w:jc w:val="right"/>
              <w:spacing w:after="0"/>
              <w:rPr>
                <w:sz w:val="20"/>
                <w:szCs w:val="20"/>
                <w:color w:val="auto"/>
              </w:rPr>
            </w:pPr>
            <w:r>
              <w:rPr>
                <w:rFonts w:ascii="Arial" w:cs="Arial" w:eastAsia="Arial" w:hAnsi="Arial"/>
                <w:sz w:val="18"/>
                <w:szCs w:val="18"/>
                <w:color w:val="auto"/>
              </w:rPr>
              <w:t>6,743,993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9,891,866</w:t>
            </w:r>
          </w:p>
        </w:tc>
        <w:tc>
          <w:tcPr>
            <w:tcW w:w="60" w:type="dxa"/>
            <w:vAlign w:val="bottom"/>
          </w:tcPr>
          <w:p>
            <w:pPr>
              <w:spacing w:after="0"/>
              <w:rPr>
                <w:sz w:val="18"/>
                <w:szCs w:val="18"/>
                <w:color w:val="auto"/>
              </w:rPr>
            </w:pPr>
          </w:p>
        </w:tc>
      </w:tr>
      <w:tr>
        <w:trPr>
          <w:trHeight w:val="213"/>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under 2010 Equity Incentive Plan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3,375,527</w:t>
            </w:r>
          </w:p>
        </w:tc>
        <w:tc>
          <w:tcPr>
            <w:tcW w:w="2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4,781,264</w:t>
            </w:r>
          </w:p>
        </w:tc>
        <w:tc>
          <w:tcPr>
            <w:tcW w:w="60" w:type="dxa"/>
            <w:vAlign w:val="bottom"/>
            <w:shd w:val="clear" w:color="auto" w:fill="CCEEFF"/>
          </w:tcPr>
          <w:p>
            <w:pPr>
              <w:spacing w:after="0"/>
              <w:rPr>
                <w:sz w:val="18"/>
                <w:szCs w:val="18"/>
                <w:color w:val="auto"/>
              </w:rPr>
            </w:pPr>
          </w:p>
        </w:tc>
      </w:tr>
      <w:tr>
        <w:trPr>
          <w:trHeight w:val="219"/>
        </w:trPr>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26,644,634</w:t>
            </w: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31,198,244</w:t>
            </w:r>
          </w:p>
        </w:tc>
      </w:tr>
      <w:tr>
        <w:trPr>
          <w:trHeight w:val="20"/>
        </w:trPr>
        <w:tc>
          <w:tcPr>
            <w:tcW w:w="9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Preferred Stock</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Authorized capital stock includes 49,633,077 and 56,347,420 shares of convertible preferred stock at December 31, 2015 and 2016, respectively.</w:t>
      </w:r>
    </w:p>
    <w:p>
      <w:pPr>
        <w:spacing w:after="0" w:line="3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13" w:lineRule="exact"/>
        <w:rPr>
          <w:sz w:val="20"/>
          <w:szCs w:val="20"/>
          <w:color w:val="auto"/>
        </w:rPr>
      </w:pPr>
    </w:p>
    <w:p>
      <w:pPr>
        <w:ind w:right="240" w:firstLine="457"/>
        <w:spacing w:after="0" w:line="267" w:lineRule="auto"/>
        <w:rPr>
          <w:sz w:val="20"/>
          <w:szCs w:val="20"/>
          <w:color w:val="auto"/>
        </w:rPr>
      </w:pPr>
      <w:r>
        <w:rPr>
          <w:rFonts w:ascii="Arial" w:cs="Arial" w:eastAsia="Arial" w:hAnsi="Arial"/>
          <w:sz w:val="18"/>
          <w:szCs w:val="18"/>
          <w:color w:val="auto"/>
        </w:rPr>
        <w:t>Between May 2010 and December 2010, the Company issued 2,670,000 shares of series A convertible preferred stock at $1.00 per share for aggregate proceeds of $2,670,000, less issuance costs of $15,595.</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13"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color w:val="auto"/>
        </w:rPr>
        <w:t>Between May 2011 and August 2011, the Company issued 4,545,443 shares of series B convertible preferred stock (“Series B Preferred”) at $1.10 per share for aggregate proceeds of $5,000,000, less issuance costs of $37,555.</w:t>
      </w:r>
    </w:p>
    <w:p>
      <w:pPr>
        <w:spacing w:after="0" w:line="180" w:lineRule="exact"/>
        <w:rPr>
          <w:sz w:val="20"/>
          <w:szCs w:val="20"/>
          <w:color w:val="auto"/>
        </w:rPr>
      </w:pPr>
    </w:p>
    <w:p>
      <w:pPr>
        <w:ind w:right="60" w:firstLine="457"/>
        <w:spacing w:after="0" w:line="267" w:lineRule="auto"/>
        <w:rPr>
          <w:sz w:val="20"/>
          <w:szCs w:val="20"/>
          <w:color w:val="auto"/>
        </w:rPr>
      </w:pPr>
      <w:r>
        <w:rPr>
          <w:rFonts w:ascii="Arial" w:cs="Arial" w:eastAsia="Arial" w:hAnsi="Arial"/>
          <w:sz w:val="18"/>
          <w:szCs w:val="18"/>
          <w:color w:val="auto"/>
        </w:rPr>
        <w:t>Between July 2012 and December 2012, the Company issued an additional 1,817,215 shares of series B convertible preferred stock at $1.10 per share for aggregate proceeds of $1,998,937, less issuance costs of $17,209.</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C Convertible Preferred Stock</w:t>
      </w:r>
    </w:p>
    <w:p>
      <w:pPr>
        <w:spacing w:after="0" w:line="11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In August 2013, the Company issued 4,800,000 shares of series C convertible preferred stock (“Series C Preferred”) at $1.25 per share for aggregate proceeds of $6,000,000, less issuance costs of $145,575. The Series C Preferred incorporated terms of a rights offering that allowed the Company to offer to sell additional Series C Preferred to new purchasers within 45 days if the full amount of the rights offering was not purchased by the holders of the Series B Preferred, which the Company concluded should be accounted for as a freestanding financial instrument. In August 2013, the Company issued 1,288,307 shares of Series C Preferred at $1.25 per share for aggregate proceeds of $1,610,390, less issuance costs of $28,604.</w:t>
      </w:r>
    </w:p>
    <w:p>
      <w:pPr>
        <w:spacing w:after="0" w:line="181" w:lineRule="exact"/>
        <w:rPr>
          <w:sz w:val="20"/>
          <w:szCs w:val="20"/>
          <w:color w:val="auto"/>
        </w:rPr>
      </w:pPr>
    </w:p>
    <w:p>
      <w:pPr>
        <w:ind w:right="60" w:firstLine="457"/>
        <w:spacing w:after="0" w:line="252" w:lineRule="auto"/>
        <w:rPr>
          <w:sz w:val="20"/>
          <w:szCs w:val="20"/>
          <w:color w:val="auto"/>
        </w:rPr>
      </w:pPr>
      <w:r>
        <w:rPr>
          <w:rFonts w:ascii="Arial" w:cs="Arial" w:eastAsia="Arial" w:hAnsi="Arial"/>
          <w:sz w:val="18"/>
          <w:szCs w:val="18"/>
          <w:color w:val="auto"/>
        </w:rPr>
        <w:t>The investors in Series C Preferred agreed to purchase additional shares at a price of $1.25 per share upon the achievement of certain defined milestones. Additionally, if the Company had failed to achieve the milestones by February 28, 2014, investors would have retained the option to purchase additional shares of Series C Preferred for $1.25 per share, (collectively the “Series C Second Tranche Right”). The Company concluded the Series C Second Tranche Right should be accounted for as a freestanding financial instrument and allocated $274,056 of the proceeds to the Series C Second Tranche Right based on the fair value at issuance.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color w:val="auto"/>
        </w:rPr>
        <w:t>Between July and September 2014, the Company issued 8,305,672 shares of Series C Preferred at $1.25 per share for aggregate proceeds of $10,382,097, plus the bifurcated Series C Second Tranche Right, less issuance costs of $1,276.</w:t>
      </w:r>
    </w:p>
    <w:p>
      <w:pPr>
        <w:spacing w:after="0" w:line="180" w:lineRule="exact"/>
        <w:rPr>
          <w:sz w:val="20"/>
          <w:szCs w:val="20"/>
          <w:color w:val="auto"/>
        </w:rPr>
      </w:pPr>
    </w:p>
    <w:p>
      <w:pPr>
        <w:ind w:right="20" w:firstLine="457"/>
        <w:spacing w:after="0" w:line="267" w:lineRule="auto"/>
        <w:rPr>
          <w:sz w:val="20"/>
          <w:szCs w:val="20"/>
          <w:color w:val="auto"/>
        </w:rPr>
      </w:pPr>
      <w:r>
        <w:rPr>
          <w:rFonts w:ascii="Arial" w:cs="Arial" w:eastAsia="Arial" w:hAnsi="Arial"/>
          <w:sz w:val="18"/>
          <w:szCs w:val="18"/>
          <w:color w:val="auto"/>
        </w:rPr>
        <w:t>In November 2014, the Company executed a Series C Preferred Third Tranche Right Stock Purchase Agreement and issued in December 2014 5,638,099 shares of Series C Preferred for $1.50 per share, less issuance costs of $6,480.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2015, the Company issued 183,333 shares of Series C Preferred at $1.50 per share for aggregate proceeds of $275,000.</w:t>
      </w:r>
    </w:p>
    <w:p>
      <w:pPr>
        <w:spacing w:after="0" w:line="220" w:lineRule="exact"/>
        <w:rPr>
          <w:sz w:val="20"/>
          <w:szCs w:val="20"/>
          <w:color w:val="auto"/>
        </w:rPr>
      </w:pPr>
    </w:p>
    <w:p>
      <w:pPr>
        <w:jc w:val="both"/>
        <w:ind w:right="180" w:firstLine="457"/>
        <w:spacing w:after="0" w:line="257" w:lineRule="auto"/>
        <w:rPr>
          <w:sz w:val="20"/>
          <w:szCs w:val="20"/>
          <w:color w:val="auto"/>
        </w:rPr>
      </w:pPr>
      <w:r>
        <w:rPr>
          <w:rFonts w:ascii="Arial" w:cs="Arial" w:eastAsia="Arial" w:hAnsi="Arial"/>
          <w:sz w:val="18"/>
          <w:szCs w:val="18"/>
          <w:color w:val="auto"/>
        </w:rPr>
        <w:t>Between March and May 2015, the Company issued 6,000,000 shares of Series C Preferred at $1.50 per share under the Series C Third Tranche Right, which the Company concluded should be accounted for as a freestanding financial instrument. The Company allocated $2,112 of the proceeds to the Series C Third Tranche Right based on the fair value at issuance.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D Convertible Preferred Stock</w:t>
      </w:r>
    </w:p>
    <w:p>
      <w:pPr>
        <w:spacing w:after="0" w:line="113" w:lineRule="exact"/>
        <w:rPr>
          <w:sz w:val="20"/>
          <w:szCs w:val="20"/>
          <w:color w:val="auto"/>
        </w:rPr>
      </w:pPr>
    </w:p>
    <w:p>
      <w:pPr>
        <w:ind w:right="640" w:firstLine="457"/>
        <w:spacing w:after="0" w:line="267" w:lineRule="auto"/>
        <w:rPr>
          <w:sz w:val="20"/>
          <w:szCs w:val="20"/>
          <w:color w:val="auto"/>
        </w:rPr>
      </w:pPr>
      <w:r>
        <w:rPr>
          <w:rFonts w:ascii="Arial" w:cs="Arial" w:eastAsia="Arial" w:hAnsi="Arial"/>
          <w:sz w:val="18"/>
          <w:szCs w:val="18"/>
          <w:color w:val="auto"/>
        </w:rPr>
        <w:t>In December 2015, the Company issued 14,384,938 shares of Series D convertible preferred stock (“Series D Preferred”) at $2.234 per share for aggregate proceeds of $32,135,951, less issuance costs of $85,306.</w:t>
      </w:r>
    </w:p>
    <w:p>
      <w:pPr>
        <w:spacing w:after="0" w:line="180" w:lineRule="exact"/>
        <w:rPr>
          <w:sz w:val="20"/>
          <w:szCs w:val="20"/>
          <w:color w:val="auto"/>
        </w:rPr>
      </w:pPr>
    </w:p>
    <w:p>
      <w:pPr>
        <w:ind w:right="400" w:firstLine="457"/>
        <w:spacing w:after="0" w:line="267" w:lineRule="auto"/>
        <w:rPr>
          <w:sz w:val="20"/>
          <w:szCs w:val="20"/>
          <w:color w:val="auto"/>
        </w:rPr>
      </w:pPr>
      <w:r>
        <w:rPr>
          <w:rFonts w:ascii="Arial" w:cs="Arial" w:eastAsia="Arial" w:hAnsi="Arial"/>
          <w:sz w:val="18"/>
          <w:szCs w:val="18"/>
          <w:color w:val="auto"/>
        </w:rPr>
        <w:t>In January 2016, the Company issued 6,714,413 shares of Series D Preferred at $2.234 per share for proceeds of $15,000,000, less issuance costs of $136,980.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convertible preferred stock are as follows:</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—All holders of convertible preferred and common stock will vote together on an as-converted basis as a single class, except as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Certificate of Incorporation.</w:t>
      </w:r>
    </w:p>
    <w:p>
      <w:pPr>
        <w:spacing w:after="0" w:line="180" w:lineRule="exact"/>
        <w:rPr>
          <w:sz w:val="20"/>
          <w:szCs w:val="20"/>
          <w:color w:val="auto"/>
        </w:rPr>
      </w:pPr>
    </w:p>
    <w:p>
      <w:pPr>
        <w:ind w:right="120" w:firstLine="457"/>
        <w:spacing w:after="0" w:line="304" w:lineRule="auto"/>
        <w:rPr>
          <w:sz w:val="20"/>
          <w:szCs w:val="20"/>
          <w:color w:val="auto"/>
        </w:rPr>
      </w:pPr>
      <w:r>
        <w:rPr>
          <w:rFonts w:ascii="Arial" w:cs="Arial" w:eastAsia="Arial" w:hAnsi="Arial"/>
          <w:sz w:val="16"/>
          <w:szCs w:val="16"/>
          <w:color w:val="auto"/>
        </w:rPr>
        <w:t>So long as 4,219,870 shares of Series D Preferred (subject to appropriate adjustments for stock splits) remain outstanding, the Series D Preferred as a class will be entitled to elect two members of the Board of Directors. So long as 1,920,000 shares of Series C Preferred (subject to appropriate adjustments for stock splits) remain outstanding, the Series C Preferred as a class will be entitled to elect two members of the Board of Directors.</w:t>
      </w:r>
    </w:p>
    <w:p>
      <w:pPr>
        <w:spacing w:after="0" w:line="154" w:lineRule="exact"/>
        <w:rPr>
          <w:sz w:val="20"/>
          <w:szCs w:val="20"/>
          <w:color w:val="auto"/>
        </w:rPr>
      </w:pPr>
    </w:p>
    <w:p>
      <w:pPr>
        <w:ind w:right="20" w:firstLine="457"/>
        <w:spacing w:after="0" w:line="287" w:lineRule="auto"/>
        <w:rPr>
          <w:sz w:val="20"/>
          <w:szCs w:val="20"/>
          <w:color w:val="auto"/>
        </w:rPr>
      </w:pPr>
      <w:r>
        <w:rPr>
          <w:rFonts w:ascii="Arial" w:cs="Arial" w:eastAsia="Arial" w:hAnsi="Arial"/>
          <w:sz w:val="16"/>
          <w:szCs w:val="16"/>
          <w:color w:val="auto"/>
        </w:rPr>
        <w:t>At any time when at least 9,462,952 shares of Series C Preferred and Series D Preferred (subject to appropriate adjustments for stock splits) remain outstanding, the Company will not, without the written consent of holders of at least a majority of the outstanding shares of the Series C Preferred and at least a majority of the outstanding share of Series D Preferred, liquidate, dissolve or wind-up the affairs of the Company, or effect any merger, sale, lease, transfer exclusive license or other disposition of all or substantially all of the assets of the Company; amend the Certificate of Incorporation or Bylaws of the Company; authorize or issue any security having rights, preferences or privileges senior to or on parity with the Series C Preferred and the Series D Preferred; increase the authorized number of shares of Series C Preferred or Series D Preferred; pay any dividend; authorize any debt security; create or hold capital stock in any subsidiary that is not a wholly-owned subsidiary; or dispose of any subsidiary stock or all or substantially all of any subsidiary assets.</w:t>
      </w:r>
    </w:p>
    <w:p>
      <w:pPr>
        <w:spacing w:after="0" w:line="167" w:lineRule="exact"/>
        <w:rPr>
          <w:sz w:val="20"/>
          <w:szCs w:val="20"/>
          <w:color w:val="auto"/>
        </w:rPr>
      </w:pPr>
    </w:p>
    <w:p>
      <w:pPr>
        <w:ind w:right="40" w:firstLine="457"/>
        <w:spacing w:after="0" w:line="279" w:lineRule="auto"/>
        <w:rPr>
          <w:sz w:val="20"/>
          <w:szCs w:val="20"/>
          <w:color w:val="auto"/>
        </w:rPr>
      </w:pPr>
      <w:r>
        <w:rPr>
          <w:rFonts w:ascii="Arial" w:cs="Arial" w:eastAsia="Arial" w:hAnsi="Arial"/>
          <w:sz w:val="17"/>
          <w:szCs w:val="17"/>
          <w:color w:val="auto"/>
        </w:rPr>
        <w:t>Under a Voting Agreement dated January 2016 (the “Voting Agreement”), the stockholders have agreed to vote their shares in favor of a Deemed Liquidation Event, as defined by the Certificate of Incorporation as amended to date (or other transaction in which at least a majority of the voting power of the Company is transferred), that has been approved by the Board of Directors and (a)(i) the holders of at least 60%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5"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outstanding shares of convertible preferred stock, or (ii) if the consideration for the Deemed Liquidation Event exceeds in $270,000,000, the holders of at least a majority of the convertible preferred stock, (b) the holders of at least a majority of the outstanding shares of Series C Preferred and (c) the holders of at least 60% of the outstanding shares of Series D Preferred (the “Electing Parties”).</w:t>
      </w:r>
    </w:p>
    <w:p>
      <w:pPr>
        <w:spacing w:after="0" w:line="188" w:lineRule="exact"/>
        <w:rPr>
          <w:sz w:val="20"/>
          <w:szCs w:val="20"/>
          <w:color w:val="auto"/>
        </w:rPr>
      </w:pPr>
    </w:p>
    <w:p>
      <w:pPr>
        <w:jc w:val="both"/>
        <w:ind w:right="60" w:firstLine="457"/>
        <w:spacing w:after="0" w:line="257" w:lineRule="auto"/>
        <w:rPr>
          <w:sz w:val="20"/>
          <w:szCs w:val="20"/>
          <w:color w:val="auto"/>
        </w:rPr>
      </w:pPr>
      <w:r>
        <w:rPr>
          <w:rFonts w:ascii="Arial" w:cs="Arial" w:eastAsia="Arial" w:hAnsi="Arial"/>
          <w:sz w:val="18"/>
          <w:szCs w:val="18"/>
          <w:color w:val="auto"/>
        </w:rPr>
        <w:t>Under the Voting Agreement, the Board of Directors and the holders of a majority of the Electing Parties may require that the Company initiate a process to sell the Company. If the Board of Directors does not subsequently recommend the sale of the Company, the Board of Directors and the Electing Parties may require that the Company subsequently initiate the process again.</w:t>
      </w:r>
    </w:p>
    <w:p>
      <w:pPr>
        <w:spacing w:after="0" w:line="188" w:lineRule="exact"/>
        <w:rPr>
          <w:sz w:val="20"/>
          <w:szCs w:val="20"/>
          <w:color w:val="auto"/>
        </w:rPr>
      </w:pPr>
    </w:p>
    <w:p>
      <w:pPr>
        <w:ind w:right="60" w:firstLine="457"/>
        <w:spacing w:after="0" w:line="291" w:lineRule="auto"/>
        <w:rPr>
          <w:sz w:val="20"/>
          <w:szCs w:val="20"/>
          <w:color w:val="auto"/>
        </w:rPr>
      </w:pPr>
      <w:r>
        <w:rPr>
          <w:rFonts w:ascii="Arial" w:cs="Arial" w:eastAsia="Arial" w:hAnsi="Arial"/>
          <w:sz w:val="16"/>
          <w:szCs w:val="16"/>
          <w:color w:val="auto"/>
        </w:rPr>
        <w:t>The Voting Agreement will terminate upon the earliest to occur of (i) immediately prior to the closing of a firm commitment underwritten public offering with a price per share, that when multiplied by the total number of shares of common stock then outstanding or then issuable upon conversion or exercise of outstanding convertible preferred, stock options or warrants immediately prior to the consummation of the offering, exceeds $225,000,000 and which results in gross proceeds to the Company of not less than $40 million (a “Qualified Public Offering”); (ii) a Deemed Liquidation Event; or (iii) upon the written consent of the Company, a majority of the convertible preferred stock, a majority of the Series C Preferred and 60% of the Series D Preferred.</w:t>
      </w:r>
    </w:p>
    <w:p>
      <w:pPr>
        <w:spacing w:after="0" w:line="165" w:lineRule="exact"/>
        <w:rPr>
          <w:sz w:val="20"/>
          <w:szCs w:val="20"/>
          <w:color w:val="auto"/>
        </w:rPr>
      </w:pPr>
    </w:p>
    <w:p>
      <w:pPr>
        <w:ind w:right="260" w:firstLine="457"/>
        <w:spacing w:after="0" w:line="26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convertible preferred stock will not accrue any dividends. The holders of the convertible preferred stock will be entitled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in any dividends payable to holders of shares of common stock on an as-converted basis.</w:t>
      </w:r>
    </w:p>
    <w:p>
      <w:pPr>
        <w:spacing w:after="0" w:line="180" w:lineRule="exact"/>
        <w:rPr>
          <w:sz w:val="20"/>
          <w:szCs w:val="20"/>
          <w:color w:val="auto"/>
        </w:rPr>
      </w:pPr>
    </w:p>
    <w:p>
      <w:pPr>
        <w:ind w:right="360" w:firstLine="457"/>
        <w:spacing w:after="0" w:line="267"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 liquidation, dissolution or winding up of the Company, the proceeds shall be paid in the following order of</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w:t>
      </w:r>
    </w:p>
    <w:p>
      <w:pPr>
        <w:spacing w:after="0" w:line="73" w:lineRule="exact"/>
        <w:rPr>
          <w:sz w:val="20"/>
          <w:szCs w:val="20"/>
          <w:color w:val="auto"/>
        </w:rPr>
      </w:pPr>
    </w:p>
    <w:p>
      <w:pPr>
        <w:jc w:val="both"/>
        <w:ind w:right="460" w:firstLine="457"/>
        <w:spacing w:after="0" w:line="257" w:lineRule="auto"/>
        <w:rPr>
          <w:sz w:val="20"/>
          <w:szCs w:val="20"/>
          <w:color w:val="auto"/>
        </w:rPr>
      </w:pPr>
      <w:r>
        <w:rPr>
          <w:rFonts w:ascii="Arial" w:cs="Arial" w:eastAsia="Arial" w:hAnsi="Arial"/>
          <w:sz w:val="18"/>
          <w:szCs w:val="18"/>
          <w:color w:val="auto"/>
        </w:rPr>
        <w:t>First the holders of Series D Preferred will be paid the higher of (i) the Series D Issue Price of $2.234 on each share of Series D Preferred or (ii) the amount that they would be paid if they first converted their shares of Series D Preferred into common stock immediately prior to voluntary or involuntary liquidation, dissolution or winding up of the Company, or a Deemed Liquidation Event.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Next, the holders of Series C Preferred will be paid the higher of (i) one times the Series C Issue Price of $1.25 on each share of Series C Preferred or</w:t>
      </w:r>
    </w:p>
    <w:p>
      <w:pPr>
        <w:spacing w:after="0" w:line="40" w:lineRule="exact"/>
        <w:rPr>
          <w:sz w:val="20"/>
          <w:szCs w:val="20"/>
          <w:color w:val="auto"/>
        </w:rPr>
      </w:pPr>
    </w:p>
    <w:p>
      <w:pPr>
        <w:ind w:right="840" w:firstLine="7"/>
        <w:spacing w:after="0" w:line="254" w:lineRule="auto"/>
        <w:tabs>
          <w:tab w:leader="none" w:pos="26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that they would be paid if they first converted their shares of Series C Preferred into common stock immediately prior to voluntary or involuntary liquidation, dissolution or winding up of the Company, or a Deemed Liquidation Event.</w:t>
      </w:r>
    </w:p>
    <w:p>
      <w:pPr>
        <w:spacing w:after="0" w:line="191" w:lineRule="exact"/>
        <w:rPr>
          <w:sz w:val="20"/>
          <w:szCs w:val="20"/>
          <w:color w:val="auto"/>
        </w:rPr>
      </w:pPr>
    </w:p>
    <w:p>
      <w:pPr>
        <w:ind w:right="80" w:firstLine="457"/>
        <w:spacing w:after="0" w:line="254" w:lineRule="auto"/>
        <w:rPr>
          <w:sz w:val="20"/>
          <w:szCs w:val="20"/>
          <w:color w:val="auto"/>
        </w:rPr>
      </w:pPr>
      <w:r>
        <w:rPr>
          <w:rFonts w:ascii="Arial" w:cs="Arial" w:eastAsia="Arial" w:hAnsi="Arial"/>
          <w:sz w:val="18"/>
          <w:szCs w:val="18"/>
          <w:color w:val="auto"/>
        </w:rPr>
        <w:t>Thereafter, the holders of Series A Preferred and Series B Preferred will be paid the higher of (i) one times the original purchase price of $1.00 for each share of Series A Preferred or $1.10 for Series B Preferred, as applicable, and (ii) the amount that they would be paid if they first converted their shares of Series A Preferred or Series B Preferred, as applicable, into common stock immediately prior to voluntary or involuntary liquidation, dissolution or winding up of the Company, or a Deemed Liquidation Event.</w:t>
      </w:r>
    </w:p>
    <w:p>
      <w:pPr>
        <w:spacing w:after="0" w:line="191" w:lineRule="exact"/>
        <w:rPr>
          <w:sz w:val="20"/>
          <w:szCs w:val="20"/>
          <w:color w:val="auto"/>
        </w:rPr>
      </w:pPr>
    </w:p>
    <w:p>
      <w:pPr>
        <w:ind w:right="160" w:firstLine="457"/>
        <w:spacing w:after="0" w:line="267" w:lineRule="auto"/>
        <w:rPr>
          <w:sz w:val="20"/>
          <w:szCs w:val="20"/>
          <w:color w:val="auto"/>
        </w:rPr>
      </w:pPr>
      <w:r>
        <w:rPr>
          <w:rFonts w:ascii="Arial" w:cs="Arial" w:eastAsia="Arial" w:hAnsi="Arial"/>
          <w:sz w:val="18"/>
          <w:szCs w:val="18"/>
          <w:color w:val="auto"/>
        </w:rPr>
        <w:t>Upon the completion of the distributions to the holders of convertible preferred stock set forth above, then the assets and funds of the Company shall be distributed ratably to the holders of common stock.</w:t>
      </w:r>
    </w:p>
    <w:p>
      <w:pPr>
        <w:spacing w:after="0" w:line="180" w:lineRule="exact"/>
        <w:rPr>
          <w:sz w:val="20"/>
          <w:szCs w:val="20"/>
          <w:color w:val="auto"/>
        </w:rPr>
      </w:pPr>
    </w:p>
    <w:p>
      <w:pPr>
        <w:ind w:right="180" w:firstLine="457"/>
        <w:spacing w:after="0" w:line="254"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—The convertible preferred stock initially converts to common stock in a ratio of 2.133:1 at any time at the option of the holder,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adjustments for stock dividends, splits, combinations and other similar events. The Series C Preferred and the Series D Preferred will receive broad-based weighted average anti-dilution protection for issuances of common stock equivalents for consideration less than the Series C Issue Price or the Series D Issue Price,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5"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20" w:firstLine="457"/>
        <w:spacing w:after="0" w:line="288" w:lineRule="auto"/>
        <w:rPr>
          <w:sz w:val="20"/>
          <w:szCs w:val="20"/>
          <w:color w:val="auto"/>
        </w:rPr>
      </w:pPr>
      <w:r>
        <w:rPr>
          <w:rFonts w:ascii="Arial" w:cs="Arial" w:eastAsia="Arial" w:hAnsi="Arial"/>
          <w:sz w:val="16"/>
          <w:szCs w:val="16"/>
          <w:color w:val="auto"/>
        </w:rPr>
        <w:t>All shares of convertible preferred stock would automatically be converted into common stock at the then applicable conversion ratio, upon the closing of a Qualified Public Offering. Additionally, all shares of the applicable series of convertible preferred stock would automatically convert into common stock at the then applicable conversion ratio (i) in the case of Series D Preferred, upon the written consent of holders of 60% of the shares of Series D Preferred to convert the Series D Preferred, (ii) in the case of Series C Preferred, upon the written consent of holders of a majority of the shares of Series C Preferred to convert the Series C Preferred, or (iii) in the case of Series A Preferred and Series B Preferred, upon the written consent of the holders of at least 60% of the shares of Series A Preferred and Series B Preferred (voting together), to convert the Series A Preferred and Series B Preferred.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ind w:left="560"/>
              <w:spacing w:after="0"/>
              <w:rPr>
                <w:sz w:val="20"/>
                <w:szCs w:val="20"/>
                <w:color w:val="auto"/>
              </w:rPr>
            </w:pPr>
            <w:r>
              <w:rPr>
                <w:rFonts w:ascii="Arial" w:cs="Arial" w:eastAsia="Arial" w:hAnsi="Arial"/>
                <w:sz w:val="14"/>
                <w:szCs w:val="14"/>
                <w:b w:val="1"/>
                <w:bCs w:val="1"/>
                <w:color w:val="auto"/>
              </w:rPr>
              <w:t>December 31,</w:t>
            </w:r>
          </w:p>
        </w:tc>
      </w:tr>
      <w:tr>
        <w:trPr>
          <w:trHeight w:val="140"/>
        </w:trPr>
        <w:tc>
          <w:tcPr>
            <w:tcW w:w="9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0"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0"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7"/>
        </w:trPr>
        <w:tc>
          <w:tcPr>
            <w:tcW w:w="93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Accrued research and development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$ 353,036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871,066</w:t>
            </w:r>
          </w:p>
        </w:tc>
        <w:tc>
          <w:tcPr>
            <w:tcW w:w="60" w:type="dxa"/>
            <w:vAlign w:val="bottom"/>
            <w:shd w:val="clear" w:color="auto" w:fill="CCEEFF"/>
          </w:tcPr>
          <w:p>
            <w:pPr>
              <w:spacing w:after="0"/>
              <w:rPr>
                <w:sz w:val="17"/>
                <w:szCs w:val="17"/>
                <w:color w:val="auto"/>
              </w:rPr>
            </w:pPr>
          </w:p>
        </w:tc>
      </w:tr>
      <w:tr>
        <w:trPr>
          <w:trHeight w:val="213"/>
        </w:trPr>
        <w:tc>
          <w:tcPr>
            <w:tcW w:w="9360" w:type="dxa"/>
            <w:vAlign w:val="bottom"/>
          </w:tcPr>
          <w:p>
            <w:pPr>
              <w:spacing w:after="0"/>
              <w:rPr>
                <w:sz w:val="20"/>
                <w:szCs w:val="20"/>
                <w:color w:val="auto"/>
              </w:rPr>
            </w:pPr>
            <w:r>
              <w:rPr>
                <w:rFonts w:ascii="Arial" w:cs="Arial" w:eastAsia="Arial" w:hAnsi="Arial"/>
                <w:sz w:val="18"/>
                <w:szCs w:val="18"/>
                <w:color w:val="auto"/>
              </w:rPr>
              <w:t>Accrued payroll liabilities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273,737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91,598</w:t>
            </w:r>
          </w:p>
        </w:tc>
      </w:tr>
      <w:tr>
        <w:trPr>
          <w:trHeight w:val="213"/>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129,062</w:t>
            </w:r>
          </w:p>
        </w:tc>
        <w:tc>
          <w:tcPr>
            <w:tcW w:w="60" w:type="dxa"/>
            <w:vAlign w:val="bottom"/>
            <w:shd w:val="clear" w:color="auto" w:fill="CCEEFF"/>
          </w:tcPr>
          <w:p>
            <w:pPr>
              <w:spacing w:after="0"/>
              <w:rPr>
                <w:sz w:val="18"/>
                <w:szCs w:val="18"/>
                <w:color w:val="auto"/>
              </w:rPr>
            </w:pPr>
          </w:p>
        </w:tc>
      </w:tr>
      <w:tr>
        <w:trPr>
          <w:trHeight w:val="219"/>
        </w:trPr>
        <w:tc>
          <w:tcPr>
            <w:tcW w:w="9360" w:type="dxa"/>
            <w:vAlign w:val="bottom"/>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$ 722,727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1,091,726</w:t>
            </w:r>
          </w:p>
        </w:tc>
        <w:tc>
          <w:tcPr>
            <w:tcW w:w="6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license agreement the Company became party to as a result of the Potentia acquisition, the Company is party to a 2010 license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UPenn for an exclusive, worldwide license to specified patent rights for the development and commercialization of products in fields of use, 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defined therein. The Company is required to pay annual maintenance fees of $100,000 until the first sale of a licensed product. The Company is required to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make milestone payments aggregating up to $1,650,000, based upon the achievement of development and regulatory approval milestones, and up to</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$2,500,000, based upon the achievement of annual sales milestones with respect to each of the first two licensed products. There have been no events to date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that would trigger milestone obligations under the agreement. The license agreement also requires the Company to pay low single digit royalties based on net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sales of each licensed product, subject to minimum quarterly royalty thresholds. In addition, the Company is obligated a specified portion of income it receives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from sublicensees.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401(k) Profit Sharing Plan and Trust</w:t>
      </w:r>
    </w:p>
    <w:p>
      <w:pPr>
        <w:spacing w:after="0" w:line="119" w:lineRule="exact"/>
        <w:rPr>
          <w:sz w:val="20"/>
          <w:szCs w:val="20"/>
          <w:color w:val="auto"/>
        </w:rPr>
      </w:pPr>
    </w:p>
    <w:p>
      <w:pPr>
        <w:jc w:val="both"/>
        <w:ind w:right="180" w:firstLine="457"/>
        <w:spacing w:after="0" w:line="252" w:lineRule="auto"/>
        <w:rPr>
          <w:sz w:val="20"/>
          <w:szCs w:val="20"/>
          <w:color w:val="auto"/>
        </w:rPr>
      </w:pPr>
      <w:r>
        <w:rPr>
          <w:rFonts w:ascii="Arial" w:cs="Arial" w:eastAsia="Arial" w:hAnsi="Arial"/>
          <w:sz w:val="18"/>
          <w:szCs w:val="18"/>
          <w:color w:val="auto"/>
        </w:rPr>
        <w:t>In July 2010, the Company adopted an employee profit-sharing plan (the “401(k) Plan”), qualified under Section 401(k) of the Internal Revenue Code (the “IRC”). All of the Company’s full-time employees who have attained the age of 21 are eligible to participate in the Plan immediately upon employment. Pursuant to the 401(k) Plan, employees may elect to reduce their current compensation by up to the statutorily prescribed annual limit and have the amount of the reduction contributed to the 401(k) Plan. In 2015 and 2016, the Company recorded $31,609 and $50,867, respectively, for employer contributions made to the 401(k)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1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The Company’s income tax provision is computed based on the federal statutory rate and the average state statutory rates, net of the related federal benefit. For the years ended December 31, 2015 and 2016, there was no current or deferred income tax expense or benefit due to the Company’s net losses and increases in its deferred tax asset valuation allowance.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5"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300" w:firstLine="457"/>
        <w:spacing w:after="0" w:line="331"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9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4"/>
              <w:spacing w:after="0" w:line="140"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0"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9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Deferred tax assets:</w:t>
            </w: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Accrual to cash adjustment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1,055,214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914,627</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720"/>
              <w:spacing w:after="0"/>
              <w:rPr>
                <w:sz w:val="20"/>
                <w:szCs w:val="20"/>
                <w:color w:val="auto"/>
              </w:rPr>
            </w:pPr>
            <w:r>
              <w:rPr>
                <w:rFonts w:ascii="Arial" w:cs="Arial" w:eastAsia="Arial" w:hAnsi="Arial"/>
                <w:sz w:val="18"/>
                <w:szCs w:val="18"/>
                <w:color w:val="auto"/>
              </w:rPr>
              <w:t>Current deferred tax assets</w:t>
            </w: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94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1,055,214</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914,627</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20"/>
              <w:spacing w:after="0"/>
              <w:rPr>
                <w:sz w:val="20"/>
                <w:szCs w:val="20"/>
                <w:color w:val="auto"/>
              </w:rPr>
            </w:pPr>
            <w:r>
              <w:rPr>
                <w:rFonts w:ascii="Arial" w:cs="Arial" w:eastAsia="Arial" w:hAnsi="Arial"/>
                <w:sz w:val="18"/>
                <w:szCs w:val="18"/>
                <w:color w:val="auto"/>
              </w:rPr>
              <w:t>Intangible assets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47,499</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41,166</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817,762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ind w:left="720"/>
              <w:spacing w:after="0"/>
              <w:rPr>
                <w:sz w:val="20"/>
                <w:szCs w:val="20"/>
                <w:color w:val="auto"/>
              </w:rPr>
            </w:pPr>
            <w:r>
              <w:rPr>
                <w:rFonts w:ascii="Arial" w:cs="Arial" w:eastAsia="Arial" w:hAnsi="Arial"/>
                <w:sz w:val="18"/>
                <w:szCs w:val="18"/>
                <w:color w:val="auto"/>
              </w:rPr>
              <w:t>Contribution carryforwards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17,290</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23,371</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operating loss carryforwards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13,763,034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22,704,142</w:t>
            </w:r>
          </w:p>
        </w:tc>
        <w:tc>
          <w:tcPr>
            <w:tcW w:w="0" w:type="dxa"/>
            <w:vAlign w:val="bottom"/>
          </w:tcPr>
          <w:p>
            <w:pPr>
              <w:spacing w:after="0"/>
              <w:rPr>
                <w:sz w:val="1"/>
                <w:szCs w:val="1"/>
                <w:color w:val="auto"/>
              </w:rPr>
            </w:pPr>
          </w:p>
        </w:tc>
      </w:tr>
      <w:tr>
        <w:trPr>
          <w:trHeight w:val="213"/>
        </w:trPr>
        <w:tc>
          <w:tcPr>
            <w:tcW w:w="5940" w:type="dxa"/>
            <w:vAlign w:val="bottom"/>
          </w:tcPr>
          <w:p>
            <w:pPr>
              <w:ind w:left="720"/>
              <w:spacing w:after="0"/>
              <w:rPr>
                <w:sz w:val="20"/>
                <w:szCs w:val="20"/>
                <w:color w:val="auto"/>
              </w:rPr>
            </w:pPr>
            <w:r>
              <w:rPr>
                <w:rFonts w:ascii="Arial" w:cs="Arial" w:eastAsia="Arial" w:hAnsi="Arial"/>
                <w:sz w:val="18"/>
                <w:szCs w:val="18"/>
                <w:color w:val="auto"/>
              </w:rPr>
              <w:t>Research and development credits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1,270,434</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1,842,200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Orphan drug credits</w:t>
            </w:r>
          </w:p>
        </w:tc>
        <w:tc>
          <w:tcPr>
            <w:tcW w:w="2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tcPr>
          <w:p>
            <w:pPr>
              <w:ind w:left="720"/>
              <w:spacing w:after="0"/>
              <w:rPr>
                <w:sz w:val="20"/>
                <w:szCs w:val="20"/>
                <w:color w:val="auto"/>
              </w:rPr>
            </w:pPr>
            <w:r>
              <w:rPr>
                <w:rFonts w:ascii="Arial" w:cs="Arial" w:eastAsia="Arial" w:hAnsi="Arial"/>
                <w:sz w:val="18"/>
                <w:szCs w:val="18"/>
                <w:color w:val="auto"/>
              </w:rPr>
              <w:t>Noncurrent deferred tax assets</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15,916,019</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29,114,452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16,971,233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30,029,079</w:t>
            </w:r>
          </w:p>
        </w:tc>
        <w:tc>
          <w:tcPr>
            <w:tcW w:w="0" w:type="dxa"/>
            <w:vAlign w:val="bottom"/>
          </w:tcPr>
          <w:p>
            <w:pPr>
              <w:spacing w:after="0"/>
              <w:rPr>
                <w:sz w:val="1"/>
                <w:szCs w:val="1"/>
                <w:color w:val="auto"/>
              </w:rPr>
            </w:pPr>
          </w:p>
        </w:tc>
      </w:tr>
      <w:tr>
        <w:trPr>
          <w:trHeight w:val="220"/>
        </w:trPr>
        <w:tc>
          <w:tcPr>
            <w:tcW w:w="594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(16,971,233)</w:t>
            </w:r>
          </w:p>
        </w:tc>
        <w:tc>
          <w:tcPr>
            <w:tcW w:w="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(30,029,079)</w:t>
            </w:r>
          </w:p>
        </w:tc>
        <w:tc>
          <w:tcPr>
            <w:tcW w:w="0" w:type="dxa"/>
            <w:vAlign w:val="bottom"/>
          </w:tcPr>
          <w:p>
            <w:pPr>
              <w:spacing w:after="0"/>
              <w:rPr>
                <w:sz w:val="1"/>
                <w:szCs w:val="1"/>
                <w:color w:val="auto"/>
              </w:rPr>
            </w:pPr>
          </w:p>
        </w:tc>
      </w:tr>
      <w:tr>
        <w:trPr>
          <w:trHeight w:val="213"/>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2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280" w:firstLine="457"/>
        <w:spacing w:after="0" w:line="257" w:lineRule="auto"/>
        <w:rPr>
          <w:sz w:val="20"/>
          <w:szCs w:val="20"/>
          <w:color w:val="auto"/>
        </w:rPr>
      </w:pPr>
      <w:r>
        <w:rPr>
          <w:rFonts w:ascii="Arial" w:cs="Arial" w:eastAsia="Arial" w:hAnsi="Arial"/>
          <w:sz w:val="18"/>
          <w:szCs w:val="18"/>
          <w:color w:val="auto"/>
        </w:rPr>
        <w:t>At December 31, 2015 and December 31, 2016, the Company had approximately $36,359,000 and $60,214,000, respectively, of net operating loss carryforwards. The Company also had $5,345,000 of federal research and development tax credit carryforwards as of December 31, 2016. The net operating loss and research and development tax credit carryforwards begin to expire in 2030.</w:t>
      </w:r>
    </w:p>
    <w:p>
      <w:pPr>
        <w:spacing w:after="0" w:line="18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stockholders over a three-year period in excess of 50%, as defined under Sections 382 and 383 of the IRC, respectively, as well as similar state provisions. Subsequent ownership changes may further affect the limitation in future years.</w:t>
      </w:r>
    </w:p>
    <w:p>
      <w:pPr>
        <w:spacing w:after="0" w:line="177" w:lineRule="exact"/>
        <w:rPr>
          <w:sz w:val="20"/>
          <w:szCs w:val="20"/>
          <w:color w:val="auto"/>
        </w:rPr>
      </w:pPr>
    </w:p>
    <w:p>
      <w:pPr>
        <w:jc w:val="both"/>
        <w:ind w:right="160" w:firstLine="457"/>
        <w:spacing w:after="0" w:line="257" w:lineRule="auto"/>
        <w:rPr>
          <w:sz w:val="20"/>
          <w:szCs w:val="20"/>
          <w:color w:val="auto"/>
        </w:rPr>
      </w:pPr>
      <w:r>
        <w:rPr>
          <w:rFonts w:ascii="Arial" w:cs="Arial" w:eastAsia="Arial" w:hAnsi="Arial"/>
          <w:sz w:val="18"/>
          <w:szCs w:val="18"/>
          <w:color w:val="auto"/>
        </w:rPr>
        <w:t>The Company has generated research credits but has not conducted a detailed study to document its qualified activities. A detailed study could result in an adjustment to the Company’s research and development credit carryforwards; however, until such a study is completed and any adjustment is identified, no amounts are being presented as an uncertain tax position.</w:t>
      </w:r>
    </w:p>
    <w:p>
      <w:pPr>
        <w:spacing w:after="0" w:line="188" w:lineRule="exact"/>
        <w:rPr>
          <w:sz w:val="20"/>
          <w:szCs w:val="20"/>
          <w:color w:val="auto"/>
        </w:rPr>
      </w:pPr>
    </w:p>
    <w:p>
      <w:pPr>
        <w:ind w:right="100" w:firstLine="457"/>
        <w:spacing w:after="0" w:line="257" w:lineRule="auto"/>
        <w:rPr>
          <w:sz w:val="20"/>
          <w:szCs w:val="20"/>
          <w:color w:val="auto"/>
        </w:rPr>
      </w:pPr>
      <w:r>
        <w:rPr>
          <w:rFonts w:ascii="Arial" w:cs="Arial" w:eastAsia="Arial" w:hAnsi="Arial"/>
          <w:sz w:val="18"/>
          <w:szCs w:val="18"/>
          <w:color w:val="auto"/>
        </w:rPr>
        <w:t>The Company files income tax returns in the U.S. federal jurisdiction, and applicable state jurisdictions. The Company’s 2012 through 2016 tax years remain open and subject to examination by federal and state taxing authorities. Federal and state net operating losses are subject to review by taxing authorities in the year utilized.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The Company leases office space in Crestwood, Kentucky under the terms of an operating lease, as amended. The lease expires in July 2018. In October 2016, the Company leased office space in Boston, Massachusetts under the terms of an operating lease. The lease expires in October 2018. Lease expense for the years ended December 31, 2015 and 2016 was $81,521 and $117,222,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5"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APELLIS PHARMACEUTICALS, INC.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DECEMBER 31, 2015 AND 2016</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0" w:type="dxa"/>
            <w:vAlign w:val="bottom"/>
            <w:gridSpan w:val="3"/>
          </w:tcPr>
          <w:p>
            <w:pPr>
              <w:ind w:left="40"/>
              <w:spacing w:after="0"/>
              <w:rPr>
                <w:sz w:val="20"/>
                <w:szCs w:val="20"/>
                <w:color w:val="auto"/>
              </w:rPr>
            </w:pPr>
            <w:r>
              <w:rPr>
                <w:rFonts w:ascii="Arial" w:cs="Arial" w:eastAsia="Arial" w:hAnsi="Arial"/>
                <w:sz w:val="18"/>
                <w:szCs w:val="18"/>
                <w:color w:val="auto"/>
              </w:rPr>
              <w:t>At December 31, 2016, the Company’s future minimum payments required under these leases are as follows:</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40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2017</w:t>
            </w:r>
          </w:p>
        </w:tc>
        <w:tc>
          <w:tcPr>
            <w:tcW w:w="1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$ 167,950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2018</w:t>
            </w:r>
          </w:p>
        </w:tc>
        <w:tc>
          <w:tcPr>
            <w:tcW w:w="10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$ 254,946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40" w:firstLine="457"/>
        <w:spacing w:after="0" w:line="304" w:lineRule="auto"/>
        <w:rPr>
          <w:sz w:val="20"/>
          <w:szCs w:val="20"/>
          <w:color w:val="auto"/>
        </w:rPr>
      </w:pPr>
      <w:r>
        <w:rPr>
          <w:rFonts w:ascii="Arial" w:cs="Arial" w:eastAsia="Arial" w:hAnsi="Arial"/>
          <w:sz w:val="16"/>
          <w:szCs w:val="16"/>
          <w:color w:val="auto"/>
        </w:rPr>
        <w:t>The Company contracts to conduct research and development activities with remaining contract costs of approximately $6,488,000 and $8,539,000 at December 31, 2015 and 2016, respectively. The scope of the services under the research and development contracts can be modified and the contracts cancelled by the Company upon written notice. In some instances, the contracts may be cancelled by the third party upon written notice.</w:t>
      </w:r>
    </w:p>
    <w:p>
      <w:pPr>
        <w:spacing w:after="0" w:line="15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—In the ordinary course of business, the Company enters into agreements that may include indemnification provisions. Pursuant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any cost to defend lawsuits or settle claims related to these indemnification provisions.</w:t>
      </w:r>
    </w:p>
    <w:p>
      <w:pPr>
        <w:spacing w:after="0" w:line="181" w:lineRule="exact"/>
        <w:rPr>
          <w:sz w:val="20"/>
          <w:szCs w:val="20"/>
          <w:color w:val="auto"/>
        </w:rPr>
      </w:pPr>
    </w:p>
    <w:p>
      <w:pPr>
        <w:ind w:right="140" w:firstLine="457"/>
        <w:spacing w:after="0" w:line="267" w:lineRule="auto"/>
        <w:rPr>
          <w:sz w:val="20"/>
          <w:szCs w:val="20"/>
          <w:color w:val="auto"/>
        </w:rPr>
      </w:pPr>
      <w:r>
        <w:rPr>
          <w:rFonts w:ascii="Arial" w:cs="Arial" w:eastAsia="Arial" w:hAnsi="Arial"/>
          <w:sz w:val="18"/>
          <w:szCs w:val="18"/>
          <w:i w:val="1"/>
          <w:iCs w:val="1"/>
          <w:color w:val="auto"/>
        </w:rPr>
        <w:t>Legal</w:t>
      </w:r>
      <w:r>
        <w:rPr>
          <w:rFonts w:ascii="Arial" w:cs="Arial" w:eastAsia="Arial" w:hAnsi="Arial"/>
          <w:sz w:val="18"/>
          <w:szCs w:val="18"/>
          <w:color w:val="auto"/>
        </w:rPr>
        <w:t>—During the normal course of business, the Company may be a party to legal claims that may not be covered by insurance. Management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that any such claims would have a material impact on the Company’s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19"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Company’s Board of Directors adopted, and its stockholders approved, an equity incentive plan in 2010 (as amended, the “Plan”). The Board of Directors amended the Plan in February 2016 and increased the number of shares of common stock reserved for issuance thereunder to 4,781,997. The Plan allows for the grant of incentive stock options and non-qualified stock options to purchase common stock for employees, directors and consultants under terms and conditions established by the Board of Directors. Incentive stock options and nonqualified stock options will be granted at an exercise price that is no less than 100% of the estimated fair value per share of the common stock on the date of grant. If an individual owns capital stock representing more than 10% of the voting shares, the price of each share will be at least 110% of the fair value on the date of grant. The Board of Directors determines the fair value of common stock with the assistance of a third-party specialist. Options expire 10 years from the issuance date.</w:t>
      </w:r>
    </w:p>
    <w:p>
      <w:pPr>
        <w:spacing w:after="0" w:line="185"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Options granted generally vest over 48 months. Options granted on or after December 5, 2013 generally vest in installments of (i) 25% at</w:t>
      </w:r>
      <w:r>
        <w:rPr>
          <w:rFonts w:ascii="Arial" w:cs="Arial" w:eastAsia="Arial" w:hAnsi="Arial"/>
          <w:sz w:val="18"/>
          <w:szCs w:val="18"/>
          <w:i w:val="1"/>
          <w:iCs w:val="1"/>
          <w:color w:val="auto"/>
        </w:rPr>
        <w:t xml:space="preserve"> </w:t>
      </w:r>
      <w:r>
        <w:rPr>
          <w:rFonts w:ascii="Arial" w:cs="Arial" w:eastAsia="Arial" w:hAnsi="Arial"/>
          <w:sz w:val="18"/>
          <w:szCs w:val="18"/>
          <w:color w:val="auto"/>
        </w:rPr>
        <w:t>the one year anniversary and (ii) in either 36 equal monthly or 12 equal quarterly installments beginning in the thirteenth month after the initial vesting commencement date (as defined) subject to the employee’s continuous service with the Company. Options granted before December 5, 2013 vest over four years in equal annual installments of 25% at each anniversary of the grant date.</w:t>
      </w:r>
    </w:p>
    <w:p>
      <w:pPr>
        <w:spacing w:after="0" w:line="191" w:lineRule="exact"/>
        <w:rPr>
          <w:sz w:val="20"/>
          <w:szCs w:val="20"/>
          <w:color w:val="auto"/>
        </w:rPr>
      </w:pPr>
    </w:p>
    <w:p>
      <w:pPr>
        <w:ind w:right="200" w:firstLine="457"/>
        <w:spacing w:after="0" w:line="254" w:lineRule="auto"/>
        <w:rPr>
          <w:sz w:val="20"/>
          <w:szCs w:val="20"/>
          <w:color w:val="auto"/>
        </w:rPr>
      </w:pPr>
      <w:r>
        <w:rPr>
          <w:rFonts w:ascii="Arial" w:cs="Arial" w:eastAsia="Arial" w:hAnsi="Arial"/>
          <w:sz w:val="18"/>
          <w:szCs w:val="18"/>
          <w:color w:val="auto"/>
        </w:rPr>
        <w:t>The Company’s options granted prior to February 2016 become fully vested upon the occurrence of a change in control, as defined in the Plan. Options granted to executives after February 2016 become vested and exercisable with respect to 50% of the then unvested options if such executive is terminated without cause or resigns for good reason within 12 months following a change of control. The balance of the Company’s options do not receive additional vesting upon a change of control.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40" w:firstLine="457"/>
        <w:spacing w:after="0" w:line="266" w:lineRule="auto"/>
        <w:rPr>
          <w:sz w:val="20"/>
          <w:szCs w:val="20"/>
          <w:color w:val="auto"/>
        </w:rPr>
      </w:pPr>
      <w:r>
        <w:rPr>
          <w:rFonts w:ascii="Arial" w:cs="Arial" w:eastAsia="Arial" w:hAnsi="Arial"/>
          <w:sz w:val="17"/>
          <w:szCs w:val="17"/>
          <w:color w:val="auto"/>
        </w:rPr>
        <w:t>Effective January 22, 2016, the Board of Directors approved a modification in the exercise price of 93,762 outstanding stock options granted under the Plan to reduce the exercise price per share to $3.76 per share, which was the estimated fair market value of the common stock on the effective date of the repricing. Other stock options granted under the Plan were excluded from this repricing, and will maintain their original exercise prices. The stock options that were repriced had been granted with an exercise price greater than the estimated fair market value in July and September 2015 (i.e., exercise prices ranging from $6.81 to $6.89 per share). Because the exercise prices of these stock options exceeded the estimated fair market value of the Company’s common stock on the modification date, the Board of Directors determined that the retentive value of these awards had substantially diminished from the time they had been granted. The Board of Directors determined that this repricing was in the best interests of the Company and its stockholders to provide a continued incentive for highly qualified employees and consultants with substantial experience in the Company’s business to remain employed during a critical period for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140" w:type="dxa"/>
            <w:vAlign w:val="bottom"/>
            <w:gridSpan w:val="2"/>
          </w:tcPr>
          <w:p>
            <w:pPr>
              <w:jc w:val="center"/>
              <w:ind w:right="640"/>
              <w:spacing w:after="0" w:line="147"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3"/>
          </w:tcPr>
          <w:p>
            <w:pPr>
              <w:jc w:val="right"/>
              <w:ind w:right="540"/>
              <w:spacing w:after="0" w:line="147" w:lineRule="exact"/>
              <w:rPr>
                <w:sz w:val="20"/>
                <w:szCs w:val="20"/>
                <w:color w:val="auto"/>
              </w:rPr>
            </w:pPr>
            <w:r>
              <w:rPr>
                <w:rFonts w:ascii="Arial" w:cs="Arial" w:eastAsia="Arial" w:hAnsi="Arial"/>
                <w:sz w:val="14"/>
                <w:szCs w:val="14"/>
                <w:b w:val="1"/>
                <w:bCs w:val="1"/>
                <w:color w:val="auto"/>
                <w:w w:val="94"/>
              </w:rPr>
              <w:t>Grant Date</w:t>
            </w:r>
          </w:p>
        </w:tc>
        <w:tc>
          <w:tcPr>
            <w:tcW w:w="1300" w:type="dxa"/>
            <w:vAlign w:val="bottom"/>
            <w:gridSpan w:val="2"/>
          </w:tcPr>
          <w:p>
            <w:pPr>
              <w:jc w:val="center"/>
              <w:ind w:right="560"/>
              <w:spacing w:after="0" w:line="147" w:lineRule="exact"/>
              <w:rPr>
                <w:sz w:val="20"/>
                <w:szCs w:val="20"/>
                <w:color w:val="auto"/>
              </w:rPr>
            </w:pPr>
            <w:r>
              <w:rPr>
                <w:rFonts w:ascii="Arial" w:cs="Arial" w:eastAsia="Arial" w:hAnsi="Arial"/>
                <w:sz w:val="14"/>
                <w:szCs w:val="14"/>
                <w:b w:val="1"/>
                <w:bCs w:val="1"/>
                <w:color w:val="auto"/>
                <w:w w:val="95"/>
              </w:rPr>
              <w:t>Contractual</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1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18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2"/>
              </w:rPr>
              <w:t>Price Per</w:t>
            </w:r>
          </w:p>
        </w:tc>
        <w:tc>
          <w:tcPr>
            <w:tcW w:w="1240" w:type="dxa"/>
            <w:vAlign w:val="bottom"/>
            <w:gridSpan w:val="3"/>
          </w:tcPr>
          <w:p>
            <w:pPr>
              <w:jc w:val="center"/>
              <w:ind w:right="560"/>
              <w:spacing w:after="0" w:line="147" w:lineRule="exact"/>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6"/>
              </w:rPr>
              <w:t>Life</w:t>
            </w:r>
          </w:p>
        </w:tc>
        <w:tc>
          <w:tcPr>
            <w:tcW w:w="8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12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 years)</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2,343,090</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2.50</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7.52</w:t>
            </w: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578,128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210,970</w:t>
            </w:r>
          </w:p>
        </w:tc>
        <w:tc>
          <w:tcPr>
            <w:tcW w:w="3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3.26</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9.50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(732)</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1.43</w:t>
            </w:r>
          </w:p>
        </w:tc>
        <w:tc>
          <w:tcPr>
            <w:tcW w:w="1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(79,113)</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128,250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2,474,215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7.01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2,870,775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1,380,463</w:t>
            </w:r>
          </w:p>
        </w:tc>
        <w:tc>
          <w:tcPr>
            <w:tcW w:w="320" w:type="dxa"/>
            <w:vAlign w:val="bottom"/>
          </w:tcPr>
          <w:p>
            <w:pPr>
              <w:spacing w:after="0"/>
              <w:rPr>
                <w:sz w:val="18"/>
                <w:szCs w:val="18"/>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1.98</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9.37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(23,441)</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9.83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480" w:type="dxa"/>
            <w:vAlign w:val="bottom"/>
            <w:gridSpan w:val="2"/>
          </w:tcPr>
          <w:p>
            <w:pPr>
              <w:spacing w:after="0"/>
              <w:rPr>
                <w:sz w:val="20"/>
                <w:szCs w:val="20"/>
                <w:color w:val="auto"/>
              </w:rPr>
            </w:pPr>
            <w:r>
              <w:rPr>
                <w:rFonts w:ascii="Arial" w:cs="Arial" w:eastAsia="Arial" w:hAnsi="Arial"/>
                <w:sz w:val="18"/>
                <w:szCs w:val="18"/>
                <w:color w:val="auto"/>
              </w:rPr>
              <w:t>Outstanding, December 31, 2016</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3,831,237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1.75</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7.20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December 31, 2015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1,519,866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2,058,419</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Expected to vest, December 31, 2015</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3"/>
            <w:vMerge w:val="restart"/>
          </w:tcPr>
          <w:p>
            <w:pPr>
              <w:jc w:val="right"/>
              <w:ind w:right="54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1.90</w:t>
            </w:r>
          </w:p>
        </w:tc>
        <w:tc>
          <w:tcPr>
            <w:tcW w:w="1300" w:type="dxa"/>
            <w:vAlign w:val="bottom"/>
            <w:gridSpan w:val="2"/>
            <w:vMerge w:val="restart"/>
          </w:tcPr>
          <w:p>
            <w:pPr>
              <w:ind w:left="440"/>
              <w:spacing w:after="0"/>
              <w:rPr>
                <w:sz w:val="20"/>
                <w:szCs w:val="20"/>
                <w:color w:val="auto"/>
              </w:rPr>
            </w:pPr>
            <w:r>
              <w:rPr>
                <w:rFonts w:ascii="Arial" w:cs="Arial" w:eastAsia="Arial" w:hAnsi="Arial"/>
                <w:sz w:val="18"/>
                <w:szCs w:val="18"/>
                <w:color w:val="auto"/>
              </w:rPr>
              <w:t>8.46</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812,365</w:t>
            </w:r>
          </w:p>
        </w:tc>
        <w:tc>
          <w:tcPr>
            <w:tcW w:w="0" w:type="dxa"/>
            <w:vAlign w:val="bottom"/>
          </w:tcPr>
          <w:p>
            <w:pPr>
              <w:spacing w:after="0" w:line="20" w:lineRule="exact"/>
              <w:rPr>
                <w:sz w:val="1"/>
                <w:szCs w:val="1"/>
                <w:color w:val="auto"/>
              </w:rPr>
            </w:pPr>
          </w:p>
        </w:tc>
      </w:tr>
      <w:tr>
        <w:trPr>
          <w:trHeight w:val="206"/>
        </w:trPr>
        <w:tc>
          <w:tcPr>
            <w:tcW w:w="5480" w:type="dxa"/>
            <w:vAlign w:val="bottom"/>
            <w:gridSpan w:val="2"/>
            <w:vMerge w:val="continue"/>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954,349</w:t>
            </w:r>
          </w:p>
        </w:tc>
        <w:tc>
          <w:tcPr>
            <w:tcW w:w="32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December 31, 2016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2,048,318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1.64</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243,000</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Expected to vest, December 31, 2016</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3"/>
            <w:vMerge w:val="restart"/>
          </w:tcPr>
          <w:p>
            <w:pPr>
              <w:jc w:val="right"/>
              <w:ind w:right="54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line="20" w:lineRule="exact"/>
              <w:rPr>
                <w:sz w:val="1"/>
                <w:szCs w:val="1"/>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1.90</w:t>
            </w:r>
          </w:p>
        </w:tc>
        <w:tc>
          <w:tcPr>
            <w:tcW w:w="1300" w:type="dxa"/>
            <w:vAlign w:val="bottom"/>
            <w:gridSpan w:val="2"/>
            <w:vMerge w:val="restart"/>
          </w:tcPr>
          <w:p>
            <w:pPr>
              <w:ind w:left="440"/>
              <w:spacing w:after="0"/>
              <w:rPr>
                <w:sz w:val="20"/>
                <w:szCs w:val="20"/>
                <w:color w:val="auto"/>
              </w:rPr>
            </w:pPr>
            <w:r>
              <w:rPr>
                <w:rFonts w:ascii="Arial" w:cs="Arial" w:eastAsia="Arial" w:hAnsi="Arial"/>
                <w:sz w:val="18"/>
                <w:szCs w:val="18"/>
                <w:color w:val="auto"/>
              </w:rPr>
              <w:t>8.85</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6"/>
        </w:trPr>
        <w:tc>
          <w:tcPr>
            <w:tcW w:w="5480" w:type="dxa"/>
            <w:vAlign w:val="bottom"/>
            <w:gridSpan w:val="2"/>
            <w:vMerge w:val="continue"/>
          </w:tcPr>
          <w:p>
            <w:pPr>
              <w:spacing w:after="0"/>
              <w:rPr>
                <w:sz w:val="17"/>
                <w:szCs w:val="17"/>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1,782,919</w:t>
            </w:r>
          </w:p>
        </w:tc>
        <w:tc>
          <w:tcPr>
            <w:tcW w:w="32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280" w:firstLine="457"/>
        <w:spacing w:after="0" w:line="257"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common stock as of December 31, 2016. Estimated fair values of the common stock at the time of the grants between May 12, 2010 and December 31, 2016 were between $1.71 and $6.89.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share-based compensation expense recognized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6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4400" w:type="dxa"/>
            <w:vAlign w:val="bottom"/>
            <w:tcBorders>
              <w:bottom w:val="single" w:sz="8" w:color="CCEEFF"/>
            </w:tcBorders>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220"/>
              <w:spacing w:after="0" w:line="140"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0"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7"/>
        </w:trPr>
        <w:tc>
          <w:tcPr>
            <w:tcW w:w="44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Research and development</w:t>
            </w:r>
          </w:p>
        </w:tc>
        <w:tc>
          <w:tcPr>
            <w:tcW w:w="49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$ 171,388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377,776</w:t>
            </w:r>
          </w:p>
        </w:tc>
        <w:tc>
          <w:tcPr>
            <w:tcW w:w="60" w:type="dxa"/>
            <w:vAlign w:val="bottom"/>
            <w:shd w:val="clear" w:color="auto" w:fill="CCEEFF"/>
          </w:tcPr>
          <w:p>
            <w:pPr>
              <w:spacing w:after="0"/>
              <w:rPr>
                <w:sz w:val="17"/>
                <w:szCs w:val="17"/>
                <w:color w:val="auto"/>
              </w:rPr>
            </w:pPr>
          </w:p>
        </w:tc>
      </w:tr>
      <w:tr>
        <w:trPr>
          <w:trHeight w:val="220"/>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9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374,313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701,212</w:t>
            </w:r>
          </w:p>
        </w:tc>
        <w:tc>
          <w:tcPr>
            <w:tcW w:w="60" w:type="dxa"/>
            <w:vAlign w:val="bottom"/>
          </w:tcPr>
          <w:p>
            <w:pPr>
              <w:spacing w:after="0"/>
              <w:rPr>
                <w:sz w:val="19"/>
                <w:szCs w:val="19"/>
                <w:color w:val="auto"/>
              </w:rPr>
            </w:pPr>
          </w:p>
        </w:tc>
      </w:tr>
      <w:tr>
        <w:trPr>
          <w:trHeight w:val="21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share-based compensation expense</w:t>
            </w:r>
          </w:p>
        </w:tc>
        <w:tc>
          <w:tcPr>
            <w:tcW w:w="5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$ 545,701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1,078,988</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2"/>
        </w:trPr>
        <w:tc>
          <w:tcPr>
            <w:tcW w:w="4400" w:type="dxa"/>
            <w:vAlign w:val="bottom"/>
          </w:tcPr>
          <w:p>
            <w:pPr>
              <w:spacing w:after="0"/>
              <w:rPr>
                <w:sz w:val="24"/>
                <w:szCs w:val="24"/>
                <w:color w:val="auto"/>
              </w:rPr>
            </w:pPr>
          </w:p>
        </w:tc>
        <w:tc>
          <w:tcPr>
            <w:tcW w:w="5860" w:type="dxa"/>
            <w:vAlign w:val="bottom"/>
            <w:gridSpan w:val="3"/>
          </w:tcPr>
          <w:p>
            <w:pPr>
              <w:ind w:left="1140"/>
              <w:spacing w:after="0"/>
              <w:rPr>
                <w:sz w:val="20"/>
                <w:szCs w:val="20"/>
                <w:color w:val="auto"/>
              </w:rPr>
            </w:pPr>
            <w:r>
              <w:rPr>
                <w:rFonts w:ascii="Arial" w:cs="Arial" w:eastAsia="Arial" w:hAnsi="Arial"/>
                <w:sz w:val="18"/>
                <w:szCs w:val="18"/>
                <w:color w:val="auto"/>
              </w:rPr>
              <w:t>F-20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160" w:firstLine="457"/>
        <w:spacing w:after="0" w:line="254" w:lineRule="auto"/>
        <w:rPr>
          <w:sz w:val="20"/>
          <w:szCs w:val="20"/>
          <w:color w:val="auto"/>
        </w:rPr>
      </w:pPr>
      <w:r>
        <w:rPr>
          <w:rFonts w:ascii="Arial" w:cs="Arial" w:eastAsia="Arial" w:hAnsi="Arial"/>
          <w:sz w:val="18"/>
          <w:szCs w:val="18"/>
          <w:color w:val="auto"/>
        </w:rPr>
        <w:t>At December 31, 2015 and 2016, unrecognized compensation expense related to unvested options, net of estimated forfeitures, was $1,673,110 and $2,910,870, respectively, which the Company expects to recognize over an estimated weighted-average period of 2.36 and 2.85 years, respectively. As of December 31, 2016, the future amortization of unearned share-based compensation costs will be $1,261,071 in 2017, $818,887 in 2018, and $664,967 in 2019 and $165,945 in 2020.</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in the Monte Carlo and Black-Scholes models to estimate the grant date fair value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9"/>
              <w:spacing w:after="0" w:line="140"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
              <w:spacing w:after="0" w:line="140"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2"/>
                <w:szCs w:val="12"/>
                <w:color w:val="auto"/>
              </w:rPr>
            </w:pPr>
          </w:p>
        </w:tc>
      </w:tr>
      <w:tr>
        <w:trPr>
          <w:trHeight w:val="207"/>
        </w:trPr>
        <w:tc>
          <w:tcPr>
            <w:tcW w:w="86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Risk-free interest rate</w:t>
            </w:r>
          </w:p>
        </w:tc>
        <w:tc>
          <w:tcPr>
            <w:tcW w:w="1120" w:type="dxa"/>
            <w:vAlign w:val="bottom"/>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0"/>
              </w:rPr>
              <w:t>1.61 - 1.87%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0"/>
              </w:rPr>
              <w:t>1.21 - 1.60%</w:t>
            </w:r>
          </w:p>
        </w:tc>
        <w:tc>
          <w:tcPr>
            <w:tcW w:w="120" w:type="dxa"/>
            <w:vAlign w:val="bottom"/>
            <w:shd w:val="clear" w:color="auto" w:fill="CCEEFF"/>
          </w:tcPr>
          <w:p>
            <w:pPr>
              <w:spacing w:after="0"/>
              <w:rPr>
                <w:sz w:val="17"/>
                <w:szCs w:val="17"/>
                <w:color w:val="auto"/>
              </w:rPr>
            </w:pPr>
          </w:p>
        </w:tc>
      </w:tr>
      <w:tr>
        <w:trPr>
          <w:trHeight w:val="213"/>
        </w:trPr>
        <w:tc>
          <w:tcPr>
            <w:tcW w:w="868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36"/>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8"/>
                <w:szCs w:val="18"/>
                <w:color w:val="auto"/>
              </w:rPr>
            </w:pP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20" w:type="dxa"/>
            <w:vAlign w:val="bottom"/>
            <w:gridSpan w:val="3"/>
            <w:shd w:val="clear" w:color="auto" w:fill="CCEEFF"/>
          </w:tcPr>
          <w:p>
            <w:pPr>
              <w:jc w:val="center"/>
              <w:ind w:left="31"/>
              <w:spacing w:after="0"/>
              <w:rPr>
                <w:sz w:val="20"/>
                <w:szCs w:val="20"/>
                <w:color w:val="auto"/>
              </w:rPr>
            </w:pPr>
            <w:r>
              <w:rPr>
                <w:rFonts w:ascii="Arial" w:cs="Arial" w:eastAsia="Arial" w:hAnsi="Arial"/>
                <w:sz w:val="18"/>
                <w:szCs w:val="18"/>
                <w:color w:val="auto"/>
                <w:w w:val="90"/>
              </w:rPr>
              <w:t>78.1 - 93.5%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90"/>
              </w:rPr>
              <w:t>52.0 - 78.1%</w:t>
            </w:r>
          </w:p>
        </w:tc>
        <w:tc>
          <w:tcPr>
            <w:tcW w:w="120" w:type="dxa"/>
            <w:vAlign w:val="bottom"/>
            <w:shd w:val="clear" w:color="auto" w:fill="CCEEFF"/>
          </w:tcPr>
          <w:p>
            <w:pPr>
              <w:spacing w:after="0"/>
              <w:rPr>
                <w:sz w:val="18"/>
                <w:szCs w:val="18"/>
                <w:color w:val="auto"/>
              </w:rPr>
            </w:pPr>
          </w:p>
        </w:tc>
      </w:tr>
      <w:tr>
        <w:trPr>
          <w:trHeight w:val="224"/>
        </w:trPr>
        <w:tc>
          <w:tcPr>
            <w:tcW w:w="8680" w:type="dxa"/>
            <w:vAlign w:val="bottom"/>
          </w:tcPr>
          <w:p>
            <w:pPr>
              <w:spacing w:after="0"/>
              <w:rPr>
                <w:sz w:val="20"/>
                <w:szCs w:val="20"/>
                <w:color w:val="auto"/>
              </w:rPr>
            </w:pPr>
            <w:r>
              <w:rPr>
                <w:rFonts w:ascii="Arial" w:cs="Arial" w:eastAsia="Arial" w:hAnsi="Arial"/>
                <w:sz w:val="18"/>
                <w:szCs w:val="18"/>
                <w:color w:val="auto"/>
              </w:rPr>
              <w:t>Expected terms (years)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19"/>
              <w:spacing w:after="0"/>
              <w:rPr>
                <w:sz w:val="20"/>
                <w:szCs w:val="20"/>
                <w:color w:val="auto"/>
              </w:rPr>
            </w:pPr>
            <w:r>
              <w:rPr>
                <w:rFonts w:ascii="Arial" w:cs="Arial" w:eastAsia="Arial" w:hAnsi="Arial"/>
                <w:sz w:val="18"/>
                <w:szCs w:val="18"/>
                <w:color w:val="auto"/>
                <w:w w:val="90"/>
              </w:rPr>
              <w:t>5.4 - 6.2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16"/>
              <w:spacing w:after="0"/>
              <w:rPr>
                <w:sz w:val="20"/>
                <w:szCs w:val="20"/>
                <w:color w:val="auto"/>
              </w:rPr>
            </w:pPr>
            <w:r>
              <w:rPr>
                <w:rFonts w:ascii="Arial" w:cs="Arial" w:eastAsia="Arial" w:hAnsi="Arial"/>
                <w:sz w:val="18"/>
                <w:szCs w:val="18"/>
                <w:color w:val="auto"/>
                <w:w w:val="87"/>
              </w:rPr>
              <w:t>5.2 - 5.7</w:t>
            </w:r>
          </w:p>
        </w:tc>
        <w:tc>
          <w:tcPr>
            <w:tcW w:w="120" w:type="dxa"/>
            <w:vAlign w:val="bottom"/>
          </w:tcPr>
          <w:p>
            <w:pPr>
              <w:spacing w:after="0"/>
              <w:rPr>
                <w:sz w:val="19"/>
                <w:szCs w:val="19"/>
                <w:color w:val="auto"/>
              </w:rPr>
            </w:pPr>
          </w:p>
        </w:tc>
      </w:tr>
      <w:tr>
        <w:trPr>
          <w:trHeight w:val="521"/>
        </w:trPr>
        <w:tc>
          <w:tcPr>
            <w:tcW w:w="8680" w:type="dxa"/>
            <w:vAlign w:val="bottom"/>
          </w:tcPr>
          <w:p>
            <w:pPr>
              <w:spacing w:after="0"/>
              <w:rPr>
                <w:sz w:val="20"/>
                <w:szCs w:val="20"/>
                <w:color w:val="auto"/>
              </w:rPr>
            </w:pPr>
            <w:r>
              <w:rPr>
                <w:rFonts w:ascii="Arial" w:cs="Arial" w:eastAsia="Arial" w:hAnsi="Arial"/>
                <w:sz w:val="18"/>
                <w:szCs w:val="18"/>
                <w:b w:val="1"/>
                <w:bCs w:val="1"/>
                <w:color w:val="auto"/>
              </w:rPr>
              <w:t>12. Net Loss per Share and Pro Forma Net Loss per Common Share (unaudited)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0"/>
        </w:trPr>
        <w:tc>
          <w:tcPr>
            <w:tcW w:w="8680" w:type="dxa"/>
            <w:vAlign w:val="bottom"/>
          </w:tcPr>
          <w:p>
            <w:pPr>
              <w:ind w:left="460"/>
              <w:spacing w:after="0"/>
              <w:rPr>
                <w:sz w:val="20"/>
                <w:szCs w:val="20"/>
                <w:color w:val="auto"/>
              </w:rPr>
            </w:pPr>
            <w:r>
              <w:rPr>
                <w:rFonts w:ascii="Arial" w:cs="Arial" w:eastAsia="Arial" w:hAnsi="Arial"/>
                <w:sz w:val="18"/>
                <w:szCs w:val="18"/>
                <w:color w:val="auto"/>
              </w:rPr>
              <w:t>The following table presents the calculation of basic and diluted net loss per common share: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8"/>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ind w:right="19"/>
              <w:spacing w:after="0" w:line="140"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6"/>
              <w:spacing w:after="0" w:line="140"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93"/>
        </w:trPr>
        <w:tc>
          <w:tcPr>
            <w:tcW w:w="86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8"/>
                <w:szCs w:val="18"/>
                <w:color w:val="auto"/>
              </w:rPr>
              <w:t>Net loss and comprehensive loss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(46,515,956)</w:t>
            </w:r>
          </w:p>
        </w:tc>
        <w:tc>
          <w:tcPr>
            <w:tcW w:w="2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(27,124,637)</w:t>
            </w: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8680" w:type="dxa"/>
            <w:vAlign w:val="bottom"/>
          </w:tcPr>
          <w:p>
            <w:pPr>
              <w:ind w:left="360"/>
              <w:spacing w:after="0"/>
              <w:rPr>
                <w:sz w:val="20"/>
                <w:szCs w:val="20"/>
                <w:color w:val="auto"/>
              </w:rPr>
            </w:pPr>
            <w:r>
              <w:rPr>
                <w:rFonts w:ascii="Arial" w:cs="Arial" w:eastAsia="Arial" w:hAnsi="Arial"/>
                <w:sz w:val="18"/>
                <w:szCs w:val="18"/>
                <w:color w:val="auto"/>
              </w:rPr>
              <w:t>Weighted-average number of common shares used in net loss per common share — basic and diluted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5,795,040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8,428,366</w:t>
            </w: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per common share — basic and diluted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right="20" w:firstLine="457"/>
        <w:spacing w:after="0" w:line="267" w:lineRule="auto"/>
        <w:rPr>
          <w:sz w:val="20"/>
          <w:szCs w:val="20"/>
          <w:color w:val="auto"/>
        </w:rPr>
      </w:pPr>
      <w:r>
        <w:rPr>
          <w:rFonts w:ascii="Arial" w:cs="Arial" w:eastAsia="Arial" w:hAnsi="Arial"/>
          <w:sz w:val="18"/>
          <w:szCs w:val="18"/>
          <w:color w:val="auto"/>
        </w:rPr>
        <w:t>Shares outstanding presented below were excluded from the calculation of diluted net loss per share, prior to the use of the treasury stock method, as their effect is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20" w:type="dxa"/>
            <w:vAlign w:val="bottom"/>
          </w:tcPr>
          <w:p>
            <w:pPr>
              <w:spacing w:after="0"/>
              <w:rPr>
                <w:sz w:val="14"/>
                <w:szCs w:val="14"/>
                <w:color w:val="auto"/>
              </w:rPr>
            </w:pPr>
          </w:p>
        </w:tc>
        <w:tc>
          <w:tcPr>
            <w:tcW w:w="23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r>
      <w:tr>
        <w:trPr>
          <w:trHeight w:val="140"/>
        </w:trPr>
        <w:tc>
          <w:tcPr>
            <w:tcW w:w="91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8"/>
              <w:spacing w:after="0" w:line="140"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0"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7"/>
        </w:trPr>
        <w:tc>
          <w:tcPr>
            <w:tcW w:w="9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23,269,107</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26,416,896</w:t>
            </w:r>
          </w:p>
        </w:tc>
        <w:tc>
          <w:tcPr>
            <w:tcW w:w="60" w:type="dxa"/>
            <w:vAlign w:val="bottom"/>
            <w:shd w:val="clear" w:color="auto" w:fill="CCEEFF"/>
          </w:tcPr>
          <w:p>
            <w:pPr>
              <w:spacing w:after="0"/>
              <w:rPr>
                <w:sz w:val="17"/>
                <w:szCs w:val="17"/>
                <w:color w:val="auto"/>
              </w:rPr>
            </w:pPr>
          </w:p>
        </w:tc>
      </w:tr>
      <w:tr>
        <w:trPr>
          <w:trHeight w:val="220"/>
        </w:trPr>
        <w:tc>
          <w:tcPr>
            <w:tcW w:w="9120" w:type="dxa"/>
            <w:vAlign w:val="bottom"/>
          </w:tcPr>
          <w:p>
            <w:pPr>
              <w:spacing w:after="0"/>
              <w:rPr>
                <w:sz w:val="20"/>
                <w:szCs w:val="20"/>
                <w:color w:val="auto"/>
              </w:rPr>
            </w:pPr>
            <w:r>
              <w:rPr>
                <w:rFonts w:ascii="Arial" w:cs="Arial" w:eastAsia="Arial" w:hAnsi="Arial"/>
                <w:sz w:val="18"/>
                <w:szCs w:val="18"/>
                <w:color w:val="auto"/>
              </w:rPr>
              <w:t>Common stock under option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2,474,215</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3,831,237</w:t>
            </w:r>
          </w:p>
        </w:tc>
        <w:tc>
          <w:tcPr>
            <w:tcW w:w="60" w:type="dxa"/>
            <w:vAlign w:val="bottom"/>
          </w:tcPr>
          <w:p>
            <w:pPr>
              <w:spacing w:after="0"/>
              <w:rPr>
                <w:sz w:val="19"/>
                <w:szCs w:val="19"/>
                <w:color w:val="auto"/>
              </w:rPr>
            </w:pPr>
          </w:p>
        </w:tc>
      </w:tr>
      <w:tr>
        <w:trPr>
          <w:trHeight w:val="213"/>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25,743,322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30,248,133</w:t>
            </w:r>
          </w:p>
        </w:tc>
      </w:tr>
      <w:tr>
        <w:trPr>
          <w:trHeight w:val="20"/>
        </w:trPr>
        <w:tc>
          <w:tcPr>
            <w:tcW w:w="9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 Forma Net Loss per Common Share</w:t>
      </w:r>
    </w:p>
    <w:p>
      <w:pPr>
        <w:spacing w:after="0" w:line="113" w:lineRule="exact"/>
        <w:rPr>
          <w:sz w:val="20"/>
          <w:szCs w:val="20"/>
          <w:color w:val="auto"/>
        </w:rPr>
      </w:pPr>
    </w:p>
    <w:p>
      <w:pPr>
        <w:ind w:right="140" w:firstLine="457"/>
        <w:spacing w:after="0" w:line="252" w:lineRule="auto"/>
        <w:rPr>
          <w:sz w:val="20"/>
          <w:szCs w:val="20"/>
          <w:color w:val="auto"/>
        </w:rPr>
      </w:pPr>
      <w:r>
        <w:rPr>
          <w:rFonts w:ascii="Arial" w:cs="Arial" w:eastAsia="Arial" w:hAnsi="Arial"/>
          <w:sz w:val="18"/>
          <w:szCs w:val="18"/>
          <w:color w:val="auto"/>
        </w:rPr>
        <w:t>The Company has presented pro forma basic and diluted net loss per common share, which has been computed to give effect to (i) the issuance of 7,792,035 shares of Series E convertible preferred stock as if such issuance had occurred as of January 1, 2016, (ii) the issuance of 93,764 shares of common stock that the Company expects to issue prior to the closing of its proposed initial public offering upon the exercise of warrants and (iii) the conversion of all shares of convertible preferred stock outstanding as of December 31, 2016, including the series E convertible preferred stock, into shares of Common Stock as if such conversion had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5"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2016</w:t>
      </w:r>
    </w:p>
    <w:p>
      <w:pPr>
        <w:spacing w:after="0" w:line="11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occurred as of January 1, 2016 or the original date of issuance, if later. The following table sets forth the computation of the Company’s pro forma basic and diluted net loss per common share: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14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loss used in computing net loss per common share, basic and diluted</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(27,124,637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common share, basic and diluted</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8,428,366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29,889,452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Pro forma adjustment to reflect assumed exercise of warrants to common stock</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common share, basic and diluted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38,411,582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160" w:type="dxa"/>
            <w:vAlign w:val="bottom"/>
            <w:gridSpan w:val="2"/>
            <w:vMerge w:val="continue"/>
          </w:tcPr>
          <w:p>
            <w:pPr>
              <w:spacing w:after="0"/>
              <w:rPr>
                <w:sz w:val="17"/>
                <w:szCs w:val="17"/>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have been evaluated through the date of this report.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5"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at June 30,</w:t>
            </w: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99"/>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9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w w:val="99"/>
              </w:rPr>
              <w:t>24,863,488</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4,939,087</w:t>
            </w: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52,186,169</w:t>
            </w:r>
          </w:p>
        </w:tc>
        <w:tc>
          <w:tcPr>
            <w:tcW w:w="0" w:type="dxa"/>
            <w:vAlign w:val="bottom"/>
          </w:tcPr>
          <w:p>
            <w:pPr>
              <w:spacing w:after="0"/>
              <w:rPr>
                <w:sz w:val="1"/>
                <w:szCs w:val="1"/>
                <w:color w:val="auto"/>
              </w:rPr>
            </w:pPr>
          </w:p>
        </w:tc>
      </w:tr>
      <w:tr>
        <w:trPr>
          <w:trHeight w:val="147"/>
        </w:trPr>
        <w:tc>
          <w:tcPr>
            <w:tcW w:w="7720" w:type="dxa"/>
            <w:vAlign w:val="bottom"/>
          </w:tcPr>
          <w:p>
            <w:pPr>
              <w:ind w:left="300"/>
              <w:spacing w:after="0" w:line="147" w:lineRule="exact"/>
              <w:rPr>
                <w:sz w:val="20"/>
                <w:szCs w:val="20"/>
                <w:color w:val="auto"/>
              </w:rPr>
            </w:pPr>
            <w:r>
              <w:rPr>
                <w:rFonts w:ascii="Arial" w:cs="Arial" w:eastAsia="Arial" w:hAnsi="Arial"/>
                <w:sz w:val="14"/>
                <w:szCs w:val="14"/>
                <w:color w:val="auto"/>
              </w:rPr>
              <w:t>Refundable research and development credit</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1,347,804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1,764,216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1,764,216</w:t>
            </w: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1,157,438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2,615,134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2,615,134</w:t>
            </w:r>
          </w:p>
        </w:tc>
        <w:tc>
          <w:tcPr>
            <w:tcW w:w="0" w:type="dxa"/>
            <w:vAlign w:val="bottom"/>
          </w:tcPr>
          <w:p>
            <w:pPr>
              <w:spacing w:after="0"/>
              <w:rPr>
                <w:sz w:val="1"/>
                <w:szCs w:val="1"/>
                <w:color w:val="auto"/>
              </w:rPr>
            </w:pPr>
          </w:p>
        </w:tc>
      </w:tr>
      <w:tr>
        <w:trPr>
          <w:trHeight w:val="153"/>
        </w:trPr>
        <w:tc>
          <w:tcPr>
            <w:tcW w:w="7720" w:type="dxa"/>
            <w:vAlign w:val="bottom"/>
          </w:tcPr>
          <w:p>
            <w:pPr>
              <w:ind w:left="580"/>
              <w:spacing w:after="0" w:line="153" w:lineRule="exact"/>
              <w:rPr>
                <w:sz w:val="20"/>
                <w:szCs w:val="20"/>
                <w:color w:val="auto"/>
              </w:rPr>
            </w:pPr>
            <w:r>
              <w:rPr>
                <w:rFonts w:ascii="Arial" w:cs="Arial" w:eastAsia="Arial" w:hAnsi="Arial"/>
                <w:sz w:val="14"/>
                <w:szCs w:val="14"/>
                <w:color w:val="auto"/>
              </w:rPr>
              <w:t>Total current assets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w w:val="99"/>
              </w:rPr>
              <w:t>27,368,730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9,318,437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color w:val="auto"/>
              </w:rPr>
              <w:t>56,565,519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64,528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126,160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126,160</w:t>
            </w:r>
          </w:p>
        </w:tc>
        <w:tc>
          <w:tcPr>
            <w:tcW w:w="0" w:type="dxa"/>
            <w:vAlign w:val="bottom"/>
          </w:tcPr>
          <w:p>
            <w:pPr>
              <w:spacing w:after="0"/>
              <w:rPr>
                <w:sz w:val="1"/>
                <w:szCs w:val="1"/>
                <w:color w:val="auto"/>
              </w:rPr>
            </w:pPr>
          </w:p>
        </w:tc>
      </w:tr>
      <w:tr>
        <w:trPr>
          <w:trHeight w:val="153"/>
        </w:trPr>
        <w:tc>
          <w:tcPr>
            <w:tcW w:w="7720" w:type="dxa"/>
            <w:vAlign w:val="bottom"/>
          </w:tcPr>
          <w:p>
            <w:pPr>
              <w:spacing w:after="0" w:line="153" w:lineRule="exact"/>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9"/>
              </w:rPr>
              <w:t>27,433,258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9,444,597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56,691,679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72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20" w:type="dxa"/>
            <w:vAlign w:val="bottom"/>
          </w:tcPr>
          <w:p>
            <w:pPr>
              <w:spacing w:after="0" w:line="147"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2,547,212</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2,604,398</w:t>
            </w:r>
          </w:p>
        </w:tc>
        <w:tc>
          <w:tcPr>
            <w:tcW w:w="3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2,604,398</w:t>
            </w:r>
          </w:p>
        </w:tc>
        <w:tc>
          <w:tcPr>
            <w:tcW w:w="0" w:type="dxa"/>
            <w:vAlign w:val="bottom"/>
          </w:tcPr>
          <w:p>
            <w:pPr>
              <w:spacing w:after="0"/>
              <w:rPr>
                <w:sz w:val="1"/>
                <w:szCs w:val="1"/>
                <w:color w:val="auto"/>
              </w:rPr>
            </w:pPr>
          </w:p>
        </w:tc>
      </w:tr>
      <w:tr>
        <w:trPr>
          <w:trHeight w:val="147"/>
        </w:trPr>
        <w:tc>
          <w:tcPr>
            <w:tcW w:w="7720" w:type="dxa"/>
            <w:vAlign w:val="bottom"/>
          </w:tcPr>
          <w:p>
            <w:pPr>
              <w:ind w:left="300"/>
              <w:spacing w:after="0" w:line="147" w:lineRule="exact"/>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1,091,726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3,513,971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3,513,971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720" w:type="dxa"/>
            <w:vAlign w:val="bottom"/>
            <w:shd w:val="clear" w:color="auto" w:fill="CCEEFF"/>
          </w:tcPr>
          <w:p>
            <w:pPr>
              <w:ind w:left="580"/>
              <w:spacing w:after="0" w:line="147"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3,638,938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6,118,369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6,118,369</w:t>
            </w:r>
          </w:p>
        </w:tc>
        <w:tc>
          <w:tcPr>
            <w:tcW w:w="0" w:type="dxa"/>
            <w:vAlign w:val="bottom"/>
          </w:tcPr>
          <w:p>
            <w:pPr>
              <w:spacing w:after="0"/>
              <w:rPr>
                <w:sz w:val="1"/>
                <w:szCs w:val="1"/>
                <w:color w:val="auto"/>
              </w:rPr>
            </w:pPr>
          </w:p>
        </w:tc>
      </w:tr>
      <w:tr>
        <w:trPr>
          <w:trHeight w:val="160"/>
        </w:trPr>
        <w:tc>
          <w:tcPr>
            <w:tcW w:w="7720" w:type="dxa"/>
            <w:vAlign w:val="bottom"/>
          </w:tcPr>
          <w:p>
            <w:pPr>
              <w:spacing w:after="0" w:line="153" w:lineRule="exact"/>
              <w:rPr>
                <w:sz w:val="20"/>
                <w:szCs w:val="20"/>
                <w:color w:val="auto"/>
              </w:rPr>
            </w:pPr>
            <w:r>
              <w:rPr>
                <w:rFonts w:ascii="Arial" w:cs="Arial" w:eastAsia="Arial" w:hAnsi="Arial"/>
                <w:sz w:val="14"/>
                <w:szCs w:val="14"/>
                <w:color w:val="auto"/>
              </w:rPr>
              <w:t>Long-term liabilities</w:t>
            </w: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
              <w:spacing w:after="0" w:line="15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26,569,840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3,638,938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6,118,369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32,688,209</w:t>
            </w:r>
          </w:p>
        </w:tc>
        <w:tc>
          <w:tcPr>
            <w:tcW w:w="0" w:type="dxa"/>
            <w:vAlign w:val="bottom"/>
          </w:tcPr>
          <w:p>
            <w:pPr>
              <w:spacing w:after="0"/>
              <w:rPr>
                <w:sz w:val="1"/>
                <w:szCs w:val="1"/>
                <w:color w:val="auto"/>
              </w:rPr>
            </w:pPr>
          </w:p>
        </w:tc>
      </w:tr>
      <w:tr>
        <w:trPr>
          <w:trHeight w:val="153"/>
        </w:trPr>
        <w:tc>
          <w:tcPr>
            <w:tcW w:w="7720" w:type="dxa"/>
            <w:vAlign w:val="bottom"/>
          </w:tcPr>
          <w:p>
            <w:pPr>
              <w:spacing w:after="0" w:line="153" w:lineRule="exact"/>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20" w:type="dxa"/>
            <w:vAlign w:val="bottom"/>
            <w:shd w:val="clear" w:color="auto" w:fill="CCEEFF"/>
          </w:tcPr>
          <w:p>
            <w:pPr>
              <w:ind w:left="300"/>
              <w:spacing w:after="0" w:line="128" w:lineRule="exact"/>
              <w:rPr>
                <w:sz w:val="20"/>
                <w:szCs w:val="20"/>
                <w:color w:val="auto"/>
              </w:rPr>
            </w:pPr>
            <w:r>
              <w:rPr>
                <w:rFonts w:ascii="Arial" w:cs="Arial" w:eastAsia="Arial" w:hAnsi="Arial"/>
                <w:sz w:val="14"/>
                <w:szCs w:val="14"/>
                <w:color w:val="auto"/>
              </w:rPr>
              <w:t>Series A convertible preferred stock, $0.0001 par value; 2,670,000 shares authorized, issued and outstanding at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440"/>
              <w:spacing w:after="0" w:line="147" w:lineRule="exact"/>
              <w:rPr>
                <w:sz w:val="20"/>
                <w:szCs w:val="20"/>
                <w:color w:val="auto"/>
              </w:rPr>
            </w:pPr>
            <w:r>
              <w:rPr>
                <w:rFonts w:ascii="Arial" w:cs="Arial" w:eastAsia="Arial" w:hAnsi="Arial"/>
                <w:sz w:val="14"/>
                <w:szCs w:val="14"/>
                <w:color w:val="auto"/>
              </w:rPr>
              <w:t>December 31, 2016 and June 30, 2017; no shares issued and outstanding pro forma (unaudited); liquidation value of</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$2,670,000 at June 30, 2017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2,654,405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2,654,405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7720" w:type="dxa"/>
            <w:vAlign w:val="bottom"/>
          </w:tcPr>
          <w:p>
            <w:pPr>
              <w:ind w:left="300"/>
              <w:spacing w:after="0" w:line="128" w:lineRule="exact"/>
              <w:rPr>
                <w:sz w:val="20"/>
                <w:szCs w:val="20"/>
                <w:color w:val="auto"/>
              </w:rPr>
            </w:pPr>
            <w:r>
              <w:rPr>
                <w:rFonts w:ascii="Arial" w:cs="Arial" w:eastAsia="Arial" w:hAnsi="Arial"/>
                <w:sz w:val="14"/>
                <w:szCs w:val="14"/>
                <w:color w:val="auto"/>
              </w:rPr>
              <w:t>Series B convertible preferred stock, $0.0001 par value; 6,362,658 shares authorized, issued and outstanding at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440"/>
              <w:spacing w:after="0" w:line="147" w:lineRule="exact"/>
              <w:rPr>
                <w:sz w:val="20"/>
                <w:szCs w:val="20"/>
                <w:color w:val="auto"/>
              </w:rPr>
            </w:pPr>
            <w:r>
              <w:rPr>
                <w:rFonts w:ascii="Arial" w:cs="Arial" w:eastAsia="Arial" w:hAnsi="Arial"/>
                <w:sz w:val="14"/>
                <w:szCs w:val="14"/>
                <w:color w:val="auto"/>
              </w:rPr>
              <w:t>December 31, 2016 and June 30, 2017; no shares issued and outstanding pro forma (unaudited); liquidation value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20" w:type="dxa"/>
            <w:vAlign w:val="bottom"/>
          </w:tcPr>
          <w:p>
            <w:pPr>
              <w:ind w:left="440"/>
              <w:spacing w:after="0"/>
              <w:rPr>
                <w:sz w:val="20"/>
                <w:szCs w:val="20"/>
                <w:color w:val="auto"/>
              </w:rPr>
            </w:pPr>
            <w:r>
              <w:rPr>
                <w:rFonts w:ascii="Arial" w:cs="Arial" w:eastAsia="Arial" w:hAnsi="Arial"/>
                <w:sz w:val="14"/>
                <w:szCs w:val="14"/>
                <w:color w:val="auto"/>
              </w:rPr>
              <w:t>$6,998,924 at June 30, 2017</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6,944,148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6,944,148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7720" w:type="dxa"/>
            <w:vAlign w:val="bottom"/>
            <w:shd w:val="clear" w:color="auto" w:fill="CCEEFF"/>
          </w:tcPr>
          <w:p>
            <w:pPr>
              <w:ind w:left="300"/>
              <w:spacing w:after="0" w:line="128" w:lineRule="exact"/>
              <w:rPr>
                <w:sz w:val="20"/>
                <w:szCs w:val="20"/>
                <w:color w:val="auto"/>
              </w:rPr>
            </w:pPr>
            <w:r>
              <w:rPr>
                <w:rFonts w:ascii="Arial" w:cs="Arial" w:eastAsia="Arial" w:hAnsi="Arial"/>
                <w:sz w:val="14"/>
                <w:szCs w:val="14"/>
                <w:color w:val="auto"/>
              </w:rPr>
              <w:t>Series C convertible preferred stock, $0.0001 par value; 26,215,411 shares authorized, issued and outstanding at</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440"/>
              <w:spacing w:after="0" w:line="147" w:lineRule="exact"/>
              <w:rPr>
                <w:sz w:val="20"/>
                <w:szCs w:val="20"/>
                <w:color w:val="auto"/>
              </w:rPr>
            </w:pPr>
            <w:r>
              <w:rPr>
                <w:rFonts w:ascii="Arial" w:cs="Arial" w:eastAsia="Arial" w:hAnsi="Arial"/>
                <w:sz w:val="14"/>
                <w:szCs w:val="14"/>
                <w:color w:val="auto"/>
              </w:rPr>
              <w:t>December 31, 2016 and June 30, 2017; no shares issued and outstanding pro forma (unaudited); liquidation value of</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$32,769,264 at June 30, 2017</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35,542,707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35,542,707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7720" w:type="dxa"/>
            <w:vAlign w:val="bottom"/>
          </w:tcPr>
          <w:p>
            <w:pPr>
              <w:ind w:left="300"/>
              <w:spacing w:after="0" w:line="128" w:lineRule="exact"/>
              <w:rPr>
                <w:sz w:val="20"/>
                <w:szCs w:val="20"/>
                <w:color w:val="auto"/>
              </w:rPr>
            </w:pPr>
            <w:r>
              <w:rPr>
                <w:rFonts w:ascii="Arial" w:cs="Arial" w:eastAsia="Arial" w:hAnsi="Arial"/>
                <w:sz w:val="14"/>
                <w:szCs w:val="14"/>
                <w:color w:val="auto"/>
              </w:rPr>
              <w:t>Series D convertible preferred stock, $0.0001 par value; 21,099,351 shares authorized, issued and outstanding at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440"/>
              <w:spacing w:after="0" w:line="147" w:lineRule="exact"/>
              <w:rPr>
                <w:sz w:val="20"/>
                <w:szCs w:val="20"/>
                <w:color w:val="auto"/>
              </w:rPr>
            </w:pPr>
            <w:r>
              <w:rPr>
                <w:rFonts w:ascii="Arial" w:cs="Arial" w:eastAsia="Arial" w:hAnsi="Arial"/>
                <w:sz w:val="14"/>
                <w:szCs w:val="14"/>
                <w:color w:val="auto"/>
              </w:rPr>
              <w:t>December 31, 2016 and June 30, 2017; no shares issued and outstanding pro forma (unaudited); liquidation value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20" w:type="dxa"/>
            <w:vAlign w:val="bottom"/>
          </w:tcPr>
          <w:p>
            <w:pPr>
              <w:ind w:left="440"/>
              <w:spacing w:after="0"/>
              <w:rPr>
                <w:sz w:val="20"/>
                <w:szCs w:val="20"/>
                <w:color w:val="auto"/>
              </w:rPr>
            </w:pPr>
            <w:r>
              <w:rPr>
                <w:rFonts w:ascii="Arial" w:cs="Arial" w:eastAsia="Arial" w:hAnsi="Arial"/>
                <w:sz w:val="14"/>
                <w:szCs w:val="14"/>
                <w:color w:val="auto"/>
              </w:rPr>
              <w:t>$47,135,950 at June 30, 2017</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46,913,666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46,913,666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7720" w:type="dxa"/>
            <w:vAlign w:val="bottom"/>
            <w:shd w:val="clear" w:color="auto" w:fill="CCEEFF"/>
          </w:tcPr>
          <w:p>
            <w:pPr>
              <w:ind w:left="300"/>
              <w:spacing w:after="0" w:line="128" w:lineRule="exact"/>
              <w:rPr>
                <w:sz w:val="20"/>
                <w:szCs w:val="20"/>
                <w:color w:val="auto"/>
              </w:rPr>
            </w:pPr>
            <w:r>
              <w:rPr>
                <w:rFonts w:ascii="Arial" w:cs="Arial" w:eastAsia="Arial" w:hAnsi="Arial"/>
                <w:sz w:val="14"/>
                <w:szCs w:val="14"/>
                <w:color w:val="auto"/>
              </w:rPr>
              <w:t>Series E convertible preferred stock, $0.0001 par value; no shares authorized, issued and outstanding at December 31,</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7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2016 and June 30, 2017; no shares authorized, issued and outstanding, proforma (unaudited)</w:t>
            </w: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7720" w:type="dxa"/>
            <w:vAlign w:val="bottom"/>
          </w:tcPr>
          <w:p>
            <w:pPr>
              <w:ind w:left="300"/>
              <w:spacing w:after="0" w:line="128" w:lineRule="exact"/>
              <w:rPr>
                <w:sz w:val="20"/>
                <w:szCs w:val="20"/>
                <w:color w:val="auto"/>
              </w:rPr>
            </w:pPr>
            <w:r>
              <w:rPr>
                <w:rFonts w:ascii="Arial" w:cs="Arial" w:eastAsia="Arial" w:hAnsi="Arial"/>
                <w:sz w:val="14"/>
                <w:szCs w:val="14"/>
                <w:color w:val="auto"/>
              </w:rPr>
              <w:t>Common stock, $0.0001 par value; 87,000,000 shares authorized at December 31, 2016 and June 30, 2017; 8,428,366</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440"/>
              <w:spacing w:after="0" w:line="147" w:lineRule="exact"/>
              <w:rPr>
                <w:sz w:val="20"/>
                <w:szCs w:val="20"/>
                <w:color w:val="auto"/>
              </w:rPr>
            </w:pPr>
            <w:r>
              <w:rPr>
                <w:rFonts w:ascii="Arial" w:cs="Arial" w:eastAsia="Arial" w:hAnsi="Arial"/>
                <w:sz w:val="14"/>
                <w:szCs w:val="14"/>
                <w:color w:val="auto"/>
              </w:rPr>
              <w:t>shares issued and outstanding at December 31, 2016 and June 30, 2017; 38,592,164 shares issued and outstanding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720" w:type="dxa"/>
            <w:vAlign w:val="bottom"/>
          </w:tcPr>
          <w:p>
            <w:pPr>
              <w:ind w:left="440"/>
              <w:spacing w:after="0"/>
              <w:rPr>
                <w:sz w:val="20"/>
                <w:szCs w:val="20"/>
                <w:color w:val="auto"/>
              </w:rPr>
            </w:pPr>
            <w:r>
              <w:rPr>
                <w:rFonts w:ascii="Arial" w:cs="Arial" w:eastAsia="Arial" w:hAnsi="Arial"/>
                <w:sz w:val="14"/>
                <w:szCs w:val="14"/>
                <w:color w:val="auto"/>
              </w:rPr>
              <w:t>proforma at June 30, 2017 (unaudited)</w:t>
            </w:r>
          </w:p>
        </w:tc>
        <w:tc>
          <w:tcPr>
            <w:tcW w:w="12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843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843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47"/>
        </w:trPr>
        <w:tc>
          <w:tcPr>
            <w:tcW w:w="7720" w:type="dxa"/>
            <w:vAlign w:val="bottom"/>
            <w:shd w:val="clear" w:color="auto" w:fill="CCEEFF"/>
          </w:tcPr>
          <w:p>
            <w:pPr>
              <w:ind w:left="300"/>
              <w:spacing w:after="0" w:line="147" w:lineRule="exact"/>
              <w:rPr>
                <w:sz w:val="20"/>
                <w:szCs w:val="20"/>
                <w:color w:val="auto"/>
              </w:rPr>
            </w:pPr>
            <w:r>
              <w:rPr>
                <w:rFonts w:ascii="Arial" w:cs="Arial" w:eastAsia="Arial" w:hAnsi="Arial"/>
                <w:sz w:val="14"/>
                <w:szCs w:val="14"/>
                <w:color w:val="auto"/>
              </w:rPr>
              <w:t>Additional paid in capital</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w w:val="99"/>
              </w:rPr>
              <w:t>29,996,110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30,704,943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5"/>
              </w:rPr>
              <w:t>143,434,095</w:t>
            </w:r>
          </w:p>
        </w:tc>
        <w:tc>
          <w:tcPr>
            <w:tcW w:w="0" w:type="dxa"/>
            <w:vAlign w:val="bottom"/>
          </w:tcPr>
          <w:p>
            <w:pPr>
              <w:spacing w:after="0"/>
              <w:rPr>
                <w:sz w:val="1"/>
                <w:szCs w:val="1"/>
                <w:color w:val="auto"/>
              </w:rPr>
            </w:pPr>
          </w:p>
        </w:tc>
      </w:tr>
      <w:tr>
        <w:trPr>
          <w:trHeight w:val="147"/>
        </w:trPr>
        <w:tc>
          <w:tcPr>
            <w:tcW w:w="7720" w:type="dxa"/>
            <w:vAlign w:val="bottom"/>
          </w:tcPr>
          <w:p>
            <w:pPr>
              <w:ind w:left="300"/>
              <w:spacing w:after="0" w:line="147" w:lineRule="exact"/>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7" w:lineRule="exact"/>
              <w:rPr>
                <w:sz w:val="20"/>
                <w:szCs w:val="20"/>
                <w:color w:val="auto"/>
              </w:rPr>
            </w:pPr>
            <w:r>
              <w:rPr>
                <w:rFonts w:ascii="Arial" w:cs="Arial" w:eastAsia="Arial" w:hAnsi="Arial"/>
                <w:sz w:val="14"/>
                <w:szCs w:val="14"/>
                <w:color w:val="auto"/>
                <w:w w:val="93"/>
              </w:rPr>
              <w:t>(98,257,559)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w w:val="89"/>
              </w:rPr>
              <w:t>(119,434,484)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w w:val="91"/>
              </w:rPr>
              <w:t>(119,434,484)</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720" w:type="dxa"/>
            <w:vAlign w:val="bottom"/>
            <w:shd w:val="clear" w:color="auto" w:fill="CCEEFF"/>
          </w:tcPr>
          <w:p>
            <w:pPr>
              <w:ind w:left="580"/>
              <w:spacing w:after="0" w:line="147" w:lineRule="exact"/>
              <w:rPr>
                <w:sz w:val="20"/>
                <w:szCs w:val="20"/>
                <w:color w:val="auto"/>
              </w:rPr>
            </w:pPr>
            <w:r>
              <w:rPr>
                <w:rFonts w:ascii="Arial" w:cs="Arial" w:eastAsia="Arial" w:hAnsi="Arial"/>
                <w:sz w:val="14"/>
                <w:szCs w:val="14"/>
                <w:color w:val="auto"/>
              </w:rPr>
              <w:t>Total stockholders’ equity</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23,794,320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3,326,228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24,003,470</w:t>
            </w:r>
          </w:p>
        </w:tc>
        <w:tc>
          <w:tcPr>
            <w:tcW w:w="0" w:type="dxa"/>
            <w:vAlign w:val="bottom"/>
          </w:tcPr>
          <w:p>
            <w:pPr>
              <w:spacing w:after="0"/>
              <w:rPr>
                <w:sz w:val="1"/>
                <w:szCs w:val="1"/>
                <w:color w:val="auto"/>
              </w:rPr>
            </w:pPr>
          </w:p>
        </w:tc>
      </w:tr>
      <w:tr>
        <w:trPr>
          <w:trHeight w:val="153"/>
        </w:trPr>
        <w:tc>
          <w:tcPr>
            <w:tcW w:w="7720" w:type="dxa"/>
            <w:vAlign w:val="bottom"/>
          </w:tcPr>
          <w:p>
            <w:pPr>
              <w:spacing w:after="0" w:line="153"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9"/>
              </w:rPr>
              <w:t>27,433,258</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9,444,597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56,691,679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left="20" w:right="5520"/>
        <w:spacing w:after="0" w:line="437" w:lineRule="auto"/>
        <w:rPr>
          <w:sz w:val="20"/>
          <w:szCs w:val="20"/>
          <w:color w:val="auto"/>
        </w:rPr>
      </w:pPr>
      <w:r>
        <w:rPr>
          <w:rFonts w:ascii="Arial" w:cs="Arial" w:eastAsia="Arial" w:hAnsi="Arial"/>
          <w:sz w:val="18"/>
          <w:szCs w:val="18"/>
          <w:color w:val="auto"/>
        </w:rPr>
        <w:t>See accompanying notes to unaudited condensed consolidated financial statements F-23</w:t>
      </w:r>
    </w:p>
    <w:p>
      <w:pPr>
        <w:sectPr>
          <w:pgSz w:w="11900" w:h="16838" w:orient="portrait"/>
          <w:cols w:equalWidth="0" w:num="1">
            <w:col w:w="11420"/>
          </w:cols>
          <w:pgMar w:left="240" w:top="455"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0"/>
        </w:trPr>
        <w:tc>
          <w:tcPr>
            <w:tcW w:w="84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4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11,152,969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17,653,143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2,216,322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(13,369,291)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(21,184,896)</w:t>
            </w:r>
          </w:p>
        </w:tc>
        <w:tc>
          <w:tcPr>
            <w:tcW w:w="0" w:type="dxa"/>
            <w:vAlign w:val="bottom"/>
          </w:tcPr>
          <w:p>
            <w:pPr>
              <w:spacing w:after="0"/>
              <w:rPr>
                <w:sz w:val="1"/>
                <w:szCs w:val="1"/>
                <w:color w:val="auto"/>
              </w:rPr>
            </w:pPr>
          </w:p>
        </w:tc>
      </w:tr>
      <w:tr>
        <w:trPr>
          <w:trHeight w:val="215"/>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75,347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(13,293,944)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(21,176,925)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Weighted-average number of common shares used in net loss per common share, basic and diluted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8,428,366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8,428,366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w w:val="92"/>
              </w:rPr>
              <w:t>Weighted-average number of common shares used in computing pro forma net loss per common share, basic and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400" w:type="dxa"/>
            <w:vAlign w:val="bottom"/>
          </w:tcPr>
          <w:p>
            <w:pPr>
              <w:ind w:left="180"/>
              <w:spacing w:after="0"/>
              <w:rPr>
                <w:sz w:val="20"/>
                <w:szCs w:val="20"/>
                <w:color w:val="auto"/>
              </w:rPr>
            </w:pPr>
            <w:r>
              <w:rPr>
                <w:rFonts w:ascii="Arial" w:cs="Arial" w:eastAsia="Arial" w:hAnsi="Arial"/>
                <w:sz w:val="18"/>
                <w:szCs w:val="18"/>
                <w:color w:val="auto"/>
              </w:rPr>
              <w:t>diluted (unaudited)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38,592,164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left="20" w:right="5520"/>
        <w:spacing w:after="0" w:line="437" w:lineRule="auto"/>
        <w:rPr>
          <w:sz w:val="20"/>
          <w:szCs w:val="20"/>
          <w:color w:val="auto"/>
        </w:rPr>
      </w:pPr>
      <w:r>
        <w:rPr>
          <w:rFonts w:ascii="Arial" w:cs="Arial" w:eastAsia="Arial" w:hAnsi="Arial"/>
          <w:sz w:val="18"/>
          <w:szCs w:val="18"/>
          <w:color w:val="auto"/>
        </w:rPr>
        <w:t>See accompanying notes to unaudited condensed consolidated financial statements F-24</w:t>
      </w:r>
    </w:p>
    <w:p>
      <w:pPr>
        <w:sectPr>
          <w:pgSz w:w="11900" w:h="16838" w:orient="portrait"/>
          <w:cols w:equalWidth="0" w:num="1">
            <w:col w:w="11420"/>
          </w:cols>
          <w:pgMar w:left="240" w:top="455"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1"/>
              </w:rPr>
              <w:t>Series A</w:t>
            </w: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12"/>
                <w:szCs w:val="12"/>
                <w:color w:val="auto"/>
              </w:rPr>
            </w:pPr>
          </w:p>
        </w:tc>
        <w:tc>
          <w:tcPr>
            <w:tcW w:w="15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1"/>
              </w:rPr>
              <w:t>Series C</w:t>
            </w:r>
          </w:p>
        </w:tc>
        <w:tc>
          <w:tcPr>
            <w:tcW w:w="100" w:type="dxa"/>
            <w:vAlign w:val="bottom"/>
          </w:tcPr>
          <w:p>
            <w:pPr>
              <w:spacing w:after="0"/>
              <w:rPr>
                <w:sz w:val="12"/>
                <w:szCs w:val="12"/>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Series 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1240" w:type="dxa"/>
            <w:vAlign w:val="bottom"/>
          </w:tcPr>
          <w:p>
            <w:pPr>
              <w:spacing w:after="0"/>
              <w:rPr>
                <w:sz w:val="11"/>
                <w:szCs w:val="11"/>
                <w:color w:val="auto"/>
              </w:rPr>
            </w:pPr>
          </w:p>
        </w:tc>
        <w:tc>
          <w:tcPr>
            <w:tcW w:w="15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6"/>
              </w:rPr>
              <w:t>Convertible</w:t>
            </w:r>
          </w:p>
        </w:tc>
        <w:tc>
          <w:tcPr>
            <w:tcW w:w="14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3"/>
              </w:rPr>
              <w:t>Convertible</w:t>
            </w:r>
          </w:p>
        </w:tc>
        <w:tc>
          <w:tcPr>
            <w:tcW w:w="80" w:type="dxa"/>
            <w:vAlign w:val="bottom"/>
          </w:tcPr>
          <w:p>
            <w:pPr>
              <w:spacing w:after="0"/>
              <w:rPr>
                <w:sz w:val="11"/>
                <w:szCs w:val="11"/>
                <w:color w:val="auto"/>
              </w:rPr>
            </w:pPr>
          </w:p>
        </w:tc>
        <w:tc>
          <w:tcPr>
            <w:tcW w:w="15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3"/>
              </w:rPr>
              <w:t>Convertible</w:t>
            </w:r>
          </w:p>
        </w:tc>
        <w:tc>
          <w:tcPr>
            <w:tcW w:w="100" w:type="dxa"/>
            <w:vAlign w:val="bottom"/>
          </w:tcPr>
          <w:p>
            <w:pPr>
              <w:spacing w:after="0"/>
              <w:rPr>
                <w:sz w:val="11"/>
                <w:szCs w:val="11"/>
                <w:color w:val="auto"/>
              </w:rPr>
            </w:pPr>
          </w:p>
        </w:tc>
        <w:tc>
          <w:tcPr>
            <w:tcW w:w="158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6"/>
              </w:rPr>
              <w:t>Convertible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1240" w:type="dxa"/>
            <w:vAlign w:val="bottom"/>
          </w:tcPr>
          <w:p>
            <w:pPr>
              <w:spacing w:after="0"/>
              <w:rPr>
                <w:sz w:val="13"/>
                <w:szCs w:val="13"/>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93"/>
              </w:rPr>
              <w:t>Preferred Stock</w:t>
            </w:r>
          </w:p>
        </w:tc>
        <w:tc>
          <w:tcPr>
            <w:tcW w:w="14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Preferred Stock</w:t>
            </w:r>
          </w:p>
        </w:tc>
        <w:tc>
          <w:tcPr>
            <w:tcW w:w="80" w:type="dxa"/>
            <w:vAlign w:val="bottom"/>
          </w:tcPr>
          <w:p>
            <w:pPr>
              <w:spacing w:after="0"/>
              <w:rPr>
                <w:sz w:val="13"/>
                <w:szCs w:val="13"/>
                <w:color w:val="auto"/>
              </w:rPr>
            </w:pPr>
          </w:p>
        </w:tc>
        <w:tc>
          <w:tcPr>
            <w:tcW w:w="15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3"/>
              </w:rPr>
              <w:t>Preferred Stock</w:t>
            </w:r>
          </w:p>
        </w:tc>
        <w:tc>
          <w:tcPr>
            <w:tcW w:w="100" w:type="dxa"/>
            <w:vAlign w:val="bottom"/>
          </w:tcPr>
          <w:p>
            <w:pPr>
              <w:spacing w:after="0"/>
              <w:rPr>
                <w:sz w:val="13"/>
                <w:szCs w:val="13"/>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3"/>
              </w:rPr>
              <w:t>Preferred Stock</w:t>
            </w: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Common Stock</w:t>
            </w:r>
          </w:p>
        </w:tc>
        <w:tc>
          <w:tcPr>
            <w:tcW w:w="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09"/>
        </w:trPr>
        <w:tc>
          <w:tcPr>
            <w:tcW w:w="1240" w:type="dxa"/>
            <w:vAlign w:val="bottom"/>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0"/>
              </w:rPr>
              <w:t>Outstanding</w:t>
            </w: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0"/>
              </w:rPr>
              <w:t>Outstanding</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top w:val="single" w:sz="8" w:color="auto"/>
            </w:tcBorders>
            <w:gridSpan w:val="2"/>
          </w:tcPr>
          <w:p>
            <w:pPr>
              <w:jc w:val="right"/>
              <w:ind w:right="100"/>
              <w:spacing w:after="0" w:line="109" w:lineRule="exact"/>
              <w:rPr>
                <w:sz w:val="20"/>
                <w:szCs w:val="20"/>
                <w:color w:val="auto"/>
              </w:rPr>
            </w:pPr>
            <w:r>
              <w:rPr>
                <w:rFonts w:ascii="Arial" w:cs="Arial" w:eastAsia="Arial" w:hAnsi="Arial"/>
                <w:sz w:val="12"/>
                <w:szCs w:val="12"/>
                <w:b w:val="1"/>
                <w:bCs w:val="1"/>
                <w:color w:val="auto"/>
                <w:w w:val="93"/>
              </w:rPr>
              <w:t>Outstanding</w:t>
            </w: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gridSpan w:val="2"/>
          </w:tcPr>
          <w:p>
            <w:pPr>
              <w:jc w:val="center"/>
              <w:ind w:right="60"/>
              <w:spacing w:after="0" w:line="109" w:lineRule="exact"/>
              <w:rPr>
                <w:sz w:val="20"/>
                <w:szCs w:val="20"/>
                <w:color w:val="auto"/>
              </w:rPr>
            </w:pPr>
            <w:r>
              <w:rPr>
                <w:rFonts w:ascii="Arial" w:cs="Arial" w:eastAsia="Arial" w:hAnsi="Arial"/>
                <w:sz w:val="12"/>
                <w:szCs w:val="12"/>
                <w:b w:val="1"/>
                <w:bCs w:val="1"/>
                <w:color w:val="auto"/>
                <w:w w:val="93"/>
              </w:rPr>
              <w:t>Outstanding</w:t>
            </w:r>
          </w:p>
        </w:tc>
        <w:tc>
          <w:tcPr>
            <w:tcW w:w="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b w:val="1"/>
                <w:bCs w:val="1"/>
                <w:color w:val="auto"/>
                <w:w w:val="90"/>
              </w:rPr>
              <w:t>Outstanding</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right"/>
              <w:ind w:right="220"/>
              <w:spacing w:after="0" w:line="109"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1000" w:type="dxa"/>
            <w:vAlign w:val="bottom"/>
            <w:gridSpan w:val="3"/>
          </w:tcPr>
          <w:p>
            <w:pPr>
              <w:jc w:val="right"/>
              <w:ind w:right="240"/>
              <w:spacing w:after="0" w:line="109" w:lineRule="exact"/>
              <w:rPr>
                <w:sz w:val="20"/>
                <w:szCs w:val="20"/>
                <w:color w:val="auto"/>
              </w:rPr>
            </w:pPr>
            <w:r>
              <w:rPr>
                <w:rFonts w:ascii="Arial" w:cs="Arial" w:eastAsia="Arial" w:hAnsi="Arial"/>
                <w:sz w:val="12"/>
                <w:szCs w:val="12"/>
                <w:b w:val="1"/>
                <w:bCs w:val="1"/>
                <w:color w:val="auto"/>
                <w:w w:val="98"/>
              </w:rPr>
              <w:t>Accumulated</w:t>
            </w:r>
          </w:p>
        </w:tc>
        <w:tc>
          <w:tcPr>
            <w:tcW w:w="86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rPr>
              <w:t>Stockholders’</w:t>
            </w:r>
          </w:p>
        </w:tc>
      </w:tr>
      <w:tr>
        <w:trPr>
          <w:trHeight w:val="152"/>
        </w:trPr>
        <w:tc>
          <w:tcPr>
            <w:tcW w:w="1240" w:type="dxa"/>
            <w:vAlign w:val="bottom"/>
          </w:tcPr>
          <w:p>
            <w:pPr>
              <w:spacing w:after="0"/>
              <w:rPr>
                <w:sz w:val="13"/>
                <w:szCs w:val="13"/>
                <w:color w:val="auto"/>
              </w:rPr>
            </w:pPr>
          </w:p>
        </w:tc>
        <w:tc>
          <w:tcPr>
            <w:tcW w:w="660" w:type="dxa"/>
            <w:vAlign w:val="bottom"/>
          </w:tcPr>
          <w:p>
            <w:pPr>
              <w:jc w:val="right"/>
              <w:ind w:right="94"/>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jc w:val="right"/>
              <w:ind w:right="74"/>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Shares</w:t>
            </w:r>
          </w:p>
        </w:tc>
        <w:tc>
          <w:tcPr>
            <w:tcW w:w="4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jc w:val="right"/>
              <w:ind w:right="73"/>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Equity</w:t>
            </w:r>
          </w:p>
        </w:tc>
      </w:tr>
      <w:tr>
        <w:trPr>
          <w:trHeight w:val="104"/>
        </w:trPr>
        <w:tc>
          <w:tcPr>
            <w:tcW w:w="124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2"/>
                <w:szCs w:val="12"/>
                <w:b w:val="1"/>
                <w:bCs w:val="1"/>
                <w:color w:val="auto"/>
              </w:rPr>
              <w:t>Balance at</w:t>
            </w: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69"/>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2,670,000</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1"/>
              </w:rPr>
              <w:t>$2,654,405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6,362,658</w:t>
            </w:r>
          </w:p>
        </w:tc>
        <w:tc>
          <w:tcPr>
            <w:tcW w:w="76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4"/>
              </w:rPr>
              <w:t>$6,944,148</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26,215,411</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$35,542,707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21,099,351</w:t>
            </w:r>
          </w:p>
        </w:tc>
        <w:tc>
          <w:tcPr>
            <w:tcW w:w="86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92"/>
              </w:rPr>
              <w:t>$46,913,666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8,428,366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843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0"/>
              </w:rPr>
              <w:t>$ 29,996,110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8"/>
              </w:rPr>
              <w:t>(98,257,559)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23,794,320</w:t>
            </w:r>
          </w:p>
        </w:tc>
      </w:tr>
      <w:tr>
        <w:trPr>
          <w:trHeight w:val="128"/>
        </w:trPr>
        <w:tc>
          <w:tcPr>
            <w:tcW w:w="1240" w:type="dxa"/>
            <w:vAlign w:val="bottom"/>
          </w:tcPr>
          <w:p>
            <w:pPr>
              <w:spacing w:after="0" w:line="128" w:lineRule="exact"/>
              <w:rPr>
                <w:sz w:val="20"/>
                <w:szCs w:val="20"/>
                <w:color w:val="auto"/>
              </w:rPr>
            </w:pPr>
            <w:r>
              <w:rPr>
                <w:rFonts w:ascii="Arial" w:cs="Arial" w:eastAsia="Arial" w:hAnsi="Arial"/>
                <w:sz w:val="14"/>
                <w:szCs w:val="14"/>
                <w:color w:val="auto"/>
              </w:rPr>
              <w:t>Share-based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1240" w:type="dxa"/>
            <w:vAlign w:val="bottom"/>
          </w:tcPr>
          <w:p>
            <w:pPr>
              <w:ind w:left="140"/>
              <w:spacing w:after="0" w:line="147" w:lineRule="exact"/>
              <w:rPr>
                <w:sz w:val="20"/>
                <w:szCs w:val="20"/>
                <w:color w:val="auto"/>
              </w:rPr>
            </w:pPr>
            <w:r>
              <w:rPr>
                <w:rFonts w:ascii="Arial" w:cs="Arial" w:eastAsia="Arial" w:hAnsi="Arial"/>
                <w:sz w:val="14"/>
                <w:szCs w:val="14"/>
                <w:color w:val="auto"/>
              </w:rPr>
              <w:t>compensation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240" w:type="dxa"/>
            <w:vAlign w:val="bottom"/>
          </w:tcPr>
          <w:p>
            <w:pPr>
              <w:ind w:left="140"/>
              <w:spacing w:after="0"/>
              <w:rPr>
                <w:sz w:val="20"/>
                <w:szCs w:val="20"/>
                <w:color w:val="auto"/>
              </w:rPr>
            </w:pPr>
            <w:r>
              <w:rPr>
                <w:rFonts w:ascii="Arial" w:cs="Arial" w:eastAsia="Arial" w:hAnsi="Arial"/>
                <w:sz w:val="14"/>
                <w:szCs w:val="14"/>
                <w:color w:val="auto"/>
              </w:rPr>
              <w:t>expense</w:t>
            </w:r>
          </w:p>
        </w:tc>
        <w:tc>
          <w:tcPr>
            <w:tcW w:w="66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708,833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708,833</w:t>
            </w:r>
          </w:p>
        </w:tc>
      </w:tr>
      <w:tr>
        <w:trPr>
          <w:trHeight w:val="147"/>
        </w:trPr>
        <w:tc>
          <w:tcPr>
            <w:tcW w:w="124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ind w:right="14"/>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4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0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60"/>
              <w:spacing w:after="0" w:line="14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20"/>
              <w:spacing w:after="0" w:line="14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8"/>
              </w:rPr>
              <w:t>(21,176,925)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0"/>
              </w:rPr>
              <w:t>(21,176,925)</w:t>
            </w:r>
          </w:p>
        </w:tc>
      </w:tr>
      <w:tr>
        <w:trPr>
          <w:trHeight w:val="131"/>
        </w:trPr>
        <w:tc>
          <w:tcPr>
            <w:tcW w:w="1240" w:type="dxa"/>
            <w:vAlign w:val="bottom"/>
          </w:tcPr>
          <w:p>
            <w:pPr>
              <w:spacing w:after="0" w:line="131" w:lineRule="exact"/>
              <w:rPr>
                <w:sz w:val="20"/>
                <w:szCs w:val="20"/>
                <w:color w:val="auto"/>
              </w:rPr>
            </w:pPr>
            <w:r>
              <w:rPr>
                <w:rFonts w:ascii="Arial" w:cs="Arial" w:eastAsia="Arial" w:hAnsi="Arial"/>
                <w:sz w:val="14"/>
                <w:szCs w:val="14"/>
                <w:b w:val="1"/>
                <w:bCs w:val="1"/>
                <w:color w:val="auto"/>
              </w:rPr>
              <w:t>Balance at</w:t>
            </w: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June 30, 2017</w:t>
            </w:r>
          </w:p>
        </w:tc>
        <w:tc>
          <w:tcPr>
            <w:tcW w:w="660" w:type="dxa"/>
            <w:vAlign w:val="bottom"/>
          </w:tcPr>
          <w:p>
            <w:pPr>
              <w:jc w:val="right"/>
              <w:spacing w:after="0"/>
              <w:rPr>
                <w:sz w:val="20"/>
                <w:szCs w:val="20"/>
                <w:color w:val="auto"/>
              </w:rPr>
            </w:pPr>
            <w:r>
              <w:rPr>
                <w:rFonts w:ascii="Arial" w:cs="Arial" w:eastAsia="Arial" w:hAnsi="Arial"/>
                <w:sz w:val="14"/>
                <w:szCs w:val="14"/>
                <w:color w:val="auto"/>
              </w:rPr>
              <w:t>2,670,000</w:t>
            </w:r>
          </w:p>
        </w:tc>
        <w:tc>
          <w:tcPr>
            <w:tcW w:w="840" w:type="dxa"/>
            <w:vAlign w:val="bottom"/>
            <w:gridSpan w:val="3"/>
          </w:tcPr>
          <w:p>
            <w:pPr>
              <w:jc w:val="cente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2,654,405</w:t>
            </w:r>
          </w:p>
        </w:tc>
        <w:tc>
          <w:tcPr>
            <w:tcW w:w="660" w:type="dxa"/>
            <w:vAlign w:val="bottom"/>
          </w:tcPr>
          <w:p>
            <w:pPr>
              <w:jc w:val="right"/>
              <w:spacing w:after="0"/>
              <w:rPr>
                <w:sz w:val="20"/>
                <w:szCs w:val="20"/>
                <w:color w:val="auto"/>
              </w:rPr>
            </w:pPr>
            <w:r>
              <w:rPr>
                <w:rFonts w:ascii="Arial" w:cs="Arial" w:eastAsia="Arial" w:hAnsi="Arial"/>
                <w:sz w:val="14"/>
                <w:szCs w:val="14"/>
                <w:color w:val="auto"/>
              </w:rPr>
              <w:t>6,362,658</w:t>
            </w:r>
          </w:p>
        </w:tc>
        <w:tc>
          <w:tcPr>
            <w:tcW w:w="760" w:type="dxa"/>
            <w:vAlign w:val="bottom"/>
            <w:gridSpan w:val="2"/>
          </w:tcPr>
          <w:p>
            <w:pPr>
              <w:jc w:val="center"/>
              <w:ind w:left="29"/>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6,944,148</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26,215,411</w:t>
            </w:r>
          </w:p>
        </w:tc>
        <w:tc>
          <w:tcPr>
            <w:tcW w:w="720" w:type="dxa"/>
            <w:vAlign w:val="bottom"/>
          </w:tcPr>
          <w:p>
            <w:pPr>
              <w:jc w:val="center"/>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35,542,707</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21,099,351</w:t>
            </w:r>
          </w:p>
        </w:tc>
        <w:tc>
          <w:tcPr>
            <w:tcW w:w="860" w:type="dxa"/>
            <w:vAlign w:val="bottom"/>
            <w:gridSpan w:val="3"/>
          </w:tcPr>
          <w:p>
            <w:pPr>
              <w:jc w:val="center"/>
              <w:ind w:right="60"/>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46,913,666</w:t>
            </w:r>
          </w:p>
        </w:tc>
        <w:tc>
          <w:tcPr>
            <w:tcW w:w="660" w:type="dxa"/>
            <w:vAlign w:val="bottom"/>
          </w:tcPr>
          <w:p>
            <w:pPr>
              <w:jc w:val="right"/>
              <w:spacing w:after="0"/>
              <w:rPr>
                <w:sz w:val="20"/>
                <w:szCs w:val="20"/>
                <w:color w:val="auto"/>
              </w:rPr>
            </w:pPr>
            <w:r>
              <w:rPr>
                <w:rFonts w:ascii="Arial" w:cs="Arial" w:eastAsia="Arial" w:hAnsi="Arial"/>
                <w:sz w:val="14"/>
                <w:szCs w:val="14"/>
                <w:color w:val="auto"/>
              </w:rPr>
              <w:t>8,428,366</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80"/>
              <w:spacing w:after="0"/>
              <w:rPr>
                <w:sz w:val="20"/>
                <w:szCs w:val="20"/>
                <w:color w:val="auto"/>
              </w:rPr>
            </w:pPr>
            <w:r>
              <w:rPr>
                <w:rFonts w:ascii="Arial" w:cs="Arial" w:eastAsia="Arial" w:hAnsi="Arial"/>
                <w:sz w:val="14"/>
                <w:szCs w:val="14"/>
                <w:color w:val="auto"/>
              </w:rPr>
              <w:t>843</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30,704,943</w:t>
            </w:r>
          </w:p>
        </w:tc>
        <w:tc>
          <w:tcPr>
            <w:tcW w:w="1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(119,434,484)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3,326,228</w:t>
            </w:r>
          </w:p>
        </w:tc>
      </w:tr>
      <w:tr>
        <w:trPr>
          <w:trHeight w:val="20"/>
        </w:trPr>
        <w:tc>
          <w:tcPr>
            <w:tcW w:w="1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left="20" w:right="5520"/>
        <w:spacing w:after="0" w:line="437" w:lineRule="auto"/>
        <w:rPr>
          <w:sz w:val="20"/>
          <w:szCs w:val="20"/>
          <w:color w:val="auto"/>
        </w:rPr>
      </w:pPr>
      <w:r>
        <w:rPr>
          <w:rFonts w:ascii="Arial" w:cs="Arial" w:eastAsia="Arial" w:hAnsi="Arial"/>
          <w:sz w:val="18"/>
          <w:szCs w:val="18"/>
          <w:color w:val="auto"/>
        </w:rPr>
        <w:t>See accompanying notes to unaudited condensed consolidated financial statements F-25</w:t>
      </w:r>
    </w:p>
    <w:p>
      <w:pPr>
        <w:sectPr>
          <w:pgSz w:w="11900" w:h="16838" w:orient="portrait"/>
          <w:cols w:equalWidth="0" w:num="1">
            <w:col w:w="11420"/>
          </w:cols>
          <w:pgMar w:left="240" w:top="455"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3"/>
              <w:spacing w:after="0" w:line="14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0"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(13,293,944)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(21,176,925)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726,805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708,833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Refundable research and development credit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(415,468)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(416,412)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(220,983)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(1,457,696)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14,076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(61,632)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(1,103,981)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1,348,377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2,422,245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(12,945,118)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(19,924,401)</w:t>
            </w:r>
          </w:p>
        </w:tc>
        <w:tc>
          <w:tcPr>
            <w:tcW w:w="0" w:type="dxa"/>
            <w:vAlign w:val="bottom"/>
          </w:tcPr>
          <w:p>
            <w:pPr>
              <w:spacing w:after="0"/>
              <w:rPr>
                <w:sz w:val="1"/>
                <w:szCs w:val="1"/>
                <w:color w:val="auto"/>
              </w:rPr>
            </w:pPr>
          </w:p>
        </w:tc>
      </w:tr>
      <w:tr>
        <w:trPr>
          <w:trHeight w:val="326"/>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D convertible preferred stock, net of issuance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14,863,020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14,863,020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1,917,902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(19,924,401)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36,003,546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24,863,488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37,921,448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4,939,087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left="20" w:right="5520"/>
        <w:spacing w:after="0" w:line="437" w:lineRule="auto"/>
        <w:rPr>
          <w:sz w:val="20"/>
          <w:szCs w:val="20"/>
          <w:color w:val="auto"/>
        </w:rPr>
      </w:pPr>
      <w:r>
        <w:rPr>
          <w:rFonts w:ascii="Arial" w:cs="Arial" w:eastAsia="Arial" w:hAnsi="Arial"/>
          <w:sz w:val="18"/>
          <w:szCs w:val="18"/>
          <w:color w:val="auto"/>
        </w:rPr>
        <w:t>See accompanying notes to unaudited condensed consolidated financial statements F-26</w:t>
      </w:r>
    </w:p>
    <w:p>
      <w:pPr>
        <w:sectPr>
          <w:pgSz w:w="11900" w:h="16838" w:orient="portrait"/>
          <w:cols w:equalWidth="0" w:num="1">
            <w:col w:w="11420"/>
          </w:cols>
          <w:pgMar w:left="240" w:top="455"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 AND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19" w:lineRule="exact"/>
        <w:rPr>
          <w:sz w:val="20"/>
          <w:szCs w:val="20"/>
          <w:color w:val="auto"/>
        </w:rPr>
      </w:pPr>
    </w:p>
    <w:p>
      <w:pPr>
        <w:ind w:right="420" w:firstLine="457"/>
        <w:spacing w:after="0" w:line="257" w:lineRule="auto"/>
        <w:rPr>
          <w:sz w:val="20"/>
          <w:szCs w:val="20"/>
          <w:color w:val="auto"/>
        </w:rPr>
      </w:pPr>
      <w:r>
        <w:rPr>
          <w:rFonts w:ascii="Arial" w:cs="Arial" w:eastAsia="Arial" w:hAnsi="Arial"/>
          <w:sz w:val="18"/>
          <w:szCs w:val="18"/>
          <w:color w:val="auto"/>
        </w:rPr>
        <w:t>Apellis Pharmaceuticals, Inc. (the “Company”) is a clinical-stage biopharmaceutical company focused on the development of novel therapeutic compounds to treat disease through the inhibition of the complement system, which is an integral component of the immune system, at the level of C3, the central protein in the complement cascade.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was incorporated in September 2009 under the laws of the State of Delaware and is located in Crestwood, Kentucky.</w:t>
      </w:r>
    </w:p>
    <w:p>
      <w:pPr>
        <w:spacing w:after="0" w:line="220" w:lineRule="exact"/>
        <w:rPr>
          <w:sz w:val="20"/>
          <w:szCs w:val="20"/>
          <w:color w:val="auto"/>
        </w:rPr>
      </w:pPr>
    </w:p>
    <w:p>
      <w:pPr>
        <w:ind w:right="300" w:firstLine="457"/>
        <w:spacing w:after="0" w:line="267" w:lineRule="auto"/>
        <w:rPr>
          <w:sz w:val="20"/>
          <w:szCs w:val="20"/>
          <w:color w:val="auto"/>
        </w:rPr>
      </w:pPr>
      <w:r>
        <w:rPr>
          <w:rFonts w:ascii="Arial" w:cs="Arial" w:eastAsia="Arial" w:hAnsi="Arial"/>
          <w:sz w:val="18"/>
          <w:szCs w:val="18"/>
          <w:color w:val="auto"/>
        </w:rPr>
        <w:t>The Company’s operations since inception have been limited to organizing and staffing the Company, acquiring rights to product candidates, business planning, raising capital and developing its product candidates.</w:t>
      </w:r>
    </w:p>
    <w:p>
      <w:pPr>
        <w:spacing w:after="0" w:line="180"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2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3" w:lineRule="exact"/>
        <w:rPr>
          <w:sz w:val="20"/>
          <w:szCs w:val="20"/>
          <w:color w:val="auto"/>
        </w:rPr>
      </w:pPr>
    </w:p>
    <w:p>
      <w:pPr>
        <w:ind w:right="420" w:firstLine="457"/>
        <w:spacing w:after="0" w:line="267"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and commitments in the normal course of business.</w:t>
      </w:r>
    </w:p>
    <w:p>
      <w:pPr>
        <w:spacing w:after="0" w:line="180"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The Company is subject to risks common to other biopharmaceutical companies in the clinical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FDA and other government regulations. If the Company does not successfully commercialize any of its product candidates, it will be unable to generate recurring product revenue or achieve profitability. Management’s plans in order to meet its short-term and longer term operating cash flow requirements include obtaining additional funding, including from a potential initial public offering (“IPO”) of its common stock.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uncertainties associated with the Company’s ability to (1) obtain additional debt or equity financing on terms that are favorable to the Company,</w:t>
      </w:r>
    </w:p>
    <w:p>
      <w:pPr>
        <w:spacing w:after="0" w:line="40" w:lineRule="exact"/>
        <w:rPr>
          <w:sz w:val="20"/>
          <w:szCs w:val="20"/>
          <w:color w:val="auto"/>
        </w:rPr>
      </w:pPr>
    </w:p>
    <w:p>
      <w:pPr>
        <w:ind w:right="20" w:firstLine="7"/>
        <w:spacing w:after="0" w:line="265" w:lineRule="auto"/>
        <w:tabs>
          <w:tab w:leader="none" w:pos="25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enter into collaborative agreements with strategic partners, and (3) succeed in its future operations, raise substantial doubt about the Company’s ability to continue as a going concern. The condensed consolidated financial statements do not include any adjustments relating to the recoverability and classification of recorded asset amounts or amounts of liabilities that might be necessary should the Company be unable to continue its operations. If the Company is not able to obtain the required funding in the near future, through an IPO or other means, or is not able to obtain funding on terms that are favorable to the Company, it will have a material adverse effect on its operations and strategic development plan for future growth. If the Company cannot successfully raise additional funding and implement its strategic development plan, then its liquidity, financial condition and business prospects will be materially and adversely affected, and the Company may have to cease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 AND 2017</w:t>
      </w:r>
    </w:p>
    <w:p>
      <w:pPr>
        <w:spacing w:after="0" w:line="109" w:lineRule="exact"/>
        <w:rPr>
          <w:sz w:val="20"/>
          <w:szCs w:val="20"/>
          <w:color w:val="auto"/>
        </w:rPr>
      </w:pPr>
    </w:p>
    <w:p>
      <w:pPr>
        <w:ind w:left="240" w:right="7900" w:hanging="233"/>
        <w:spacing w:after="0" w:line="374" w:lineRule="auto"/>
        <w:tabs>
          <w:tab w:leader="none" w:pos="19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Stock Split</w:t>
      </w:r>
    </w:p>
    <w:p>
      <w:pPr>
        <w:spacing w:after="0" w:line="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On October 27, 2017, the Company effectuated a l-for-2.133 reverse stock split of its outstanding common stock, which was approved by the Company’s board of directors on October 27, 2017. The reverse stock split resulted in an adjustment to the preferred stock conversion prices to reflect a proportional decrease in the number of shares of common stock to be issued upon conversion. The accompanying unaudited condensed consolidated financial statements and notes to the financial statements give retroactive effect to the reverse stock split for all periods presented. The shares of common stock retained a par value of $0.0001 per share. Accordingly, the stockholders’ deficit reflects the reverse stock split by reclassifying from “common stock” to “additional paid-in capital” in an amount equal to the par value of the decreased shares resulting from the reverse stock split.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3"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wholly-owned subsidiary, Apellis Australia Pty Ltd.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balance sheet as of December 31, 2016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six months ended June 30, 2017 are not necessarily indicative of the results to be expected for the year ending December 31, 2017 or for any other interim period or for any other future year.</w:t>
      </w:r>
    </w:p>
    <w:p>
      <w:pPr>
        <w:spacing w:after="0" w:line="189" w:lineRule="exact"/>
        <w:rPr>
          <w:sz w:val="20"/>
          <w:szCs w:val="20"/>
          <w:color w:val="auto"/>
        </w:rPr>
      </w:pPr>
    </w:p>
    <w:p>
      <w:pPr>
        <w:ind w:right="500" w:firstLine="457"/>
        <w:spacing w:after="0" w:line="267"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audited consolidated financial statements and the related notes thereto for the year ended December 31, 2016.</w:t>
      </w:r>
    </w:p>
    <w:p>
      <w:pPr>
        <w:spacing w:after="0" w:line="180"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During 2017, the Company identified and corrected an immaterial presentation error in the consolidated statements of operations and comprehensive loss for the six months ended June 30, 2016 and 2017. The error was the result of presenting $0.4 million of Australian research and development refundable credits for the six months ended June 30, 2016 and 2017, as an income tax benefit in those periods. As the enacted legislation in Australia provides for the credit to be received without regard to taxable income the credit was incorrectly classified as an income tax benefit. Accordingly, we have reclassified the credits as a reduction of research and development operating expenses. Net loss and comprehensive loss was not impacted by this error and no other line items within any of the other consolidated financial statements and footnotes were impacted by this error, other than the Company’s tax footnote.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3"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The accompanying unaudited pro forma balance sheet as of June 30, 2017 has been prepared to give effect to (i) the issuance and sale of 7,792,035 shares of series E convertible preferred stock in August 2017, which resulted in net proceeds of $19.7 million, (ii) the borrowing of $20.0 million under the Company’s term loan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5"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facility with Silicon Valley Bank in October 2017, (iii) the issuance and sale of a promissory note in an original principal amount of $7.0 million to an affiliate of one of the Company’s stockholders, (iv) the issuance of warrants to purchase 93,764 shares of common stock in connection with the $7.0 million promissory note and the issuance of 93,764 shares of common stock that Company expects to issue prior to the closing of its proposed initial public offering upon the exercise of such warrants for an aggregate exercise price of $514,200, and (iv) the automatic conversion of all outstanding shares of convertible preferred stock, including the shares of series E convertible preferred stock, into 30,070,034 shares of common stock as if the Company’s proposed initial public offering had occurred on June 30, 2017. The Company recorded the fair value of the warrant that was issued in connection with the promissory note described above in the aggregate amount of $430,160 as a discount to the promissory note. This amount is being accreted as additional interest expense over the term of the promissory note.</w:t>
      </w:r>
    </w:p>
    <w:p>
      <w:pPr>
        <w:spacing w:after="0" w:line="195" w:lineRule="exact"/>
        <w:rPr>
          <w:sz w:val="20"/>
          <w:szCs w:val="20"/>
          <w:color w:val="auto"/>
        </w:rPr>
      </w:pPr>
    </w:p>
    <w:p>
      <w:pPr>
        <w:ind w:right="20" w:firstLine="457"/>
        <w:spacing w:after="0" w:line="252" w:lineRule="auto"/>
        <w:rPr>
          <w:sz w:val="20"/>
          <w:szCs w:val="20"/>
          <w:color w:val="auto"/>
        </w:rPr>
      </w:pPr>
      <w:r>
        <w:rPr>
          <w:rFonts w:ascii="Arial" w:cs="Arial" w:eastAsia="Arial" w:hAnsi="Arial"/>
          <w:sz w:val="18"/>
          <w:szCs w:val="18"/>
          <w:color w:val="auto"/>
        </w:rPr>
        <w:t>In the accompanying condensed consolidated statements of operations and comprehensive loss, unaudited pro forma net loss per share, basic and diluted, for the six months ended June 30, 2017 have been prepared to give effect to (i) the issuance of 7,792,035 shares of series E convertible preferred stock, (ii) the issuance of 93,764 shares of common stock that the Company expects to issue prior to the closing of its proposed initial public offering upon the exercise of warrants, and (iii) the automatic conversion of all outstanding shares of convertible preferred stock, including the shares of series E convertible preferred stock, into 30,070,034 shares of common stock.</w:t>
      </w:r>
    </w:p>
    <w:p>
      <w:pPr>
        <w:spacing w:after="0" w:line="193"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The pro forma information referenced above does not reflect the issuance to Silicon Valley Bank of warrants to purchase 14,064 shares of common stock or any proceeds from the exercise of such warrants.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3" w:lineRule="exact"/>
        <w:rPr>
          <w:sz w:val="20"/>
          <w:szCs w:val="20"/>
          <w:color w:val="auto"/>
        </w:rPr>
      </w:pPr>
    </w:p>
    <w:p>
      <w:pPr>
        <w:ind w:right="80" w:firstLine="457"/>
        <w:spacing w:after="0" w:line="257" w:lineRule="auto"/>
        <w:rPr>
          <w:sz w:val="20"/>
          <w:szCs w:val="20"/>
          <w:color w:val="auto"/>
        </w:rPr>
      </w:pPr>
      <w:r>
        <w:rPr>
          <w:rFonts w:ascii="Arial" w:cs="Arial" w:eastAsia="Arial" w:hAnsi="Arial"/>
          <w:sz w:val="18"/>
          <w:szCs w:val="18"/>
          <w:color w:val="auto"/>
        </w:rPr>
        <w:t>Management believes that the carrying amounts of the Company’s financial instruments, including accounts payable and accrued expenses, approximate the fair value due to the short-term nature of those instruments. The Company follows the fair value hierarchy within Accounting Standards Codification (“ASC”) 820, Fair Value Measurements, and classifies its financial instruments as Level I.</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The standard will apply one comprehensive revenue recognition model across all contracts, entities and sectors. The core principle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new standard is that revenue should be recognized to depict the transfer of promised goods or services to customers in an amount that reflects the consideration to which the entity expects to be entitled in exchange for those goods or services. Once effective, ASU 2014-09 will replace most of the existing revenue recognition requirements in U.S. GAAP. The FASB also issued ASU 2015-14, </w:t>
      </w:r>
      <w:r>
        <w:rPr>
          <w:rFonts w:ascii="Arial" w:cs="Arial" w:eastAsia="Arial" w:hAnsi="Arial"/>
          <w:sz w:val="17"/>
          <w:szCs w:val="17"/>
          <w:i w:val="1"/>
          <w:iCs w:val="1"/>
          <w:color w:val="auto"/>
        </w:rPr>
        <w:t>Revenue from Contracts with Customers (Topic 606):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Date</w:t>
      </w:r>
      <w:r>
        <w:rPr>
          <w:rFonts w:ascii="Arial" w:cs="Arial" w:eastAsia="Arial" w:hAnsi="Arial"/>
          <w:sz w:val="17"/>
          <w:szCs w:val="17"/>
          <w:color w:val="auto"/>
        </w:rPr>
        <w:t>, which deferred the effective date of the standard for one year. As a result, the new standard is effective for annual reporting periods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after December 15, 2017, for public companies, including interim periods within that reporting period. The Company does not currently have revenues and the adoption of the new standard will have no impact on its consolidated financial statements.</w:t>
      </w:r>
    </w:p>
    <w:p>
      <w:pPr>
        <w:spacing w:after="0" w:line="181" w:lineRule="exact"/>
        <w:rPr>
          <w:sz w:val="20"/>
          <w:szCs w:val="20"/>
          <w:color w:val="auto"/>
        </w:rPr>
      </w:pPr>
    </w:p>
    <w:p>
      <w:pPr>
        <w:ind w:right="20" w:firstLine="457"/>
        <w:spacing w:after="0" w:line="304"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which requires management to evaluate whether there are conditions and events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entity’s ability to continue as a going concern within one year after the financial statements are issued and, if so,</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5"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to disclose that fact. Management is also required to evaluate and disclose whether its plans alleviate that doubt. The standard is effective for annual periods ending after December 15, 2016. With the adoption of the ASU 2014-15, The Company has expanded its disclosures within the </w:t>
      </w:r>
      <w:r>
        <w:rPr>
          <w:rFonts w:ascii="Arial" w:cs="Arial" w:eastAsia="Arial" w:hAnsi="Arial"/>
          <w:sz w:val="18"/>
          <w:szCs w:val="18"/>
          <w:i w:val="1"/>
          <w:iCs w:val="1"/>
          <w:color w:val="auto"/>
        </w:rPr>
        <w:t>Liquidity and Going Concern</w:t>
      </w:r>
      <w:r>
        <w:rPr>
          <w:rFonts w:ascii="Arial" w:cs="Arial" w:eastAsia="Arial" w:hAnsi="Arial"/>
          <w:sz w:val="18"/>
          <w:szCs w:val="18"/>
          <w:color w:val="auto"/>
        </w:rPr>
        <w:t xml:space="preserve"> section of Note 1.</w:t>
      </w:r>
    </w:p>
    <w:p>
      <w:pPr>
        <w:spacing w:after="0" w:line="188" w:lineRule="exact"/>
        <w:rPr>
          <w:sz w:val="20"/>
          <w:szCs w:val="20"/>
          <w:color w:val="auto"/>
        </w:rPr>
      </w:pPr>
    </w:p>
    <w:p>
      <w:pPr>
        <w:jc w:val="both"/>
        <w:ind w:right="140" w:firstLine="457"/>
        <w:spacing w:after="0" w:line="295"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This ASU requires the Company to classify deferred tax assets and liabilities as noncurrent amounts in the consolidated balance sheets. Such amounts were previously required to be classified as current and noncurrent assets and liabilities. The Company adopted the provisions of ASU 2015-17 effective January 1, 2017; however, there was no impact to the financial statements as a result of this adoption as the Company has recorded full valuation allowances against all deferred tax assets.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establishes a comprehensive new lease accounting model. The new standard:</w:t>
      </w:r>
    </w:p>
    <w:p>
      <w:pPr>
        <w:spacing w:after="0" w:line="29" w:lineRule="exact"/>
        <w:rPr>
          <w:sz w:val="20"/>
          <w:szCs w:val="20"/>
          <w:color w:val="auto"/>
        </w:rPr>
      </w:pPr>
    </w:p>
    <w:p>
      <w:pPr>
        <w:ind w:right="20" w:firstLine="7"/>
        <w:spacing w:after="0" w:line="291" w:lineRule="auto"/>
        <w:tabs>
          <w:tab w:leader="none" w:pos="24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The new standard is effective for fiscal years and interim periods beginning after December 15, 2018 and requires modified retrospective application. Early adoption is permitted. The Company is currently evaluating the impact that the adoption of ASU 2016-02 will have on its consolidated financial statements.</w:t>
      </w:r>
    </w:p>
    <w:p>
      <w:pPr>
        <w:spacing w:after="0" w:line="163"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The guidance simplified the accounting and financial reporting of the income tax impact of share-based compensation arrangements. This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excess tax benefits to be recorded as a discrete item within income tax expense rather than additional paid-in-capital. In addition, excess tax benefits are required to be classified as cash from operating activities rather than cash from financing activities. The Company adopted the provisions of ASU 2016-09 effective January 1, 2017. The Company elected to apply the cash flow guidance of ASU 2016-09 retrospectively to all prior periods; however, there was no impact to any period presented as no exercises have occurred. The Company adopted a change in accounting policy to recognize forfeitures of awards as they occur instead of estimating potential forfeitures. Historically, the Company estimated the number of awards expected to be forfeited and adjusted the estimate when it was no longer probable the employees would fulfill their service conditions. There was no impact on the financial statements as a result of this change in accounting policy as the Company’s historic forfeiture rate was estimated as 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Preferred Stock</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D Convertible Preferred Stock</w:t>
      </w:r>
    </w:p>
    <w:p>
      <w:pPr>
        <w:spacing w:after="0" w:line="113" w:lineRule="exact"/>
        <w:rPr>
          <w:sz w:val="20"/>
          <w:szCs w:val="20"/>
          <w:color w:val="auto"/>
        </w:rPr>
      </w:pPr>
    </w:p>
    <w:p>
      <w:pPr>
        <w:ind w:right="40" w:firstLine="457"/>
        <w:spacing w:after="0" w:line="267" w:lineRule="auto"/>
        <w:rPr>
          <w:sz w:val="20"/>
          <w:szCs w:val="20"/>
          <w:color w:val="auto"/>
        </w:rPr>
      </w:pPr>
      <w:r>
        <w:rPr>
          <w:rFonts w:ascii="Arial" w:cs="Arial" w:eastAsia="Arial" w:hAnsi="Arial"/>
          <w:sz w:val="18"/>
          <w:szCs w:val="18"/>
          <w:color w:val="auto"/>
        </w:rPr>
        <w:t>In January 2016, the Company issued 6,714,413 shares of series D convertible preferred stock (the “Series D Preferred”) at $2.234 per share for proceeds of $15,000,000, less issuance costs of $136,980.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June 30, 2017</w:t>
            </w:r>
          </w:p>
        </w:tc>
        <w:tc>
          <w:tcPr>
            <w:tcW w:w="0" w:type="dxa"/>
            <w:vAlign w:val="bottom"/>
          </w:tcPr>
          <w:p>
            <w:pPr>
              <w:spacing w:after="0"/>
              <w:rPr>
                <w:sz w:val="1"/>
                <w:szCs w:val="1"/>
                <w:color w:val="auto"/>
              </w:rPr>
            </w:pPr>
          </w:p>
        </w:tc>
      </w:tr>
      <w:tr>
        <w:trPr>
          <w:trHeight w:val="207"/>
        </w:trPr>
        <w:tc>
          <w:tcPr>
            <w:tcW w:w="40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Accrued research and development</w:t>
            </w:r>
          </w:p>
        </w:tc>
        <w:tc>
          <w:tcPr>
            <w:tcW w:w="47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871,066</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$ 2,790,072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Accrued payroll liabilities</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91,598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634,538</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89,361</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4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20" w:type="dxa"/>
            <w:vAlign w:val="bottom"/>
            <w:vMerge w:val="continue"/>
          </w:tcPr>
          <w:p>
            <w:pPr>
              <w:spacing w:after="0"/>
              <w:rPr>
                <w:sz w:val="19"/>
                <w:szCs w:val="19"/>
                <w:color w:val="auto"/>
              </w:rPr>
            </w:pPr>
          </w:p>
        </w:tc>
        <w:tc>
          <w:tcPr>
            <w:tcW w:w="4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1,091,726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$ 3,513,971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20" w:type="dxa"/>
            <w:vAlign w:val="bottom"/>
          </w:tcPr>
          <w:p>
            <w:pPr>
              <w:spacing w:after="0"/>
              <w:rPr>
                <w:sz w:val="24"/>
                <w:szCs w:val="24"/>
                <w:color w:val="auto"/>
              </w:rPr>
            </w:pPr>
          </w:p>
        </w:tc>
        <w:tc>
          <w:tcPr>
            <w:tcW w:w="5020" w:type="dxa"/>
            <w:vAlign w:val="bottom"/>
            <w:gridSpan w:val="2"/>
          </w:tcPr>
          <w:p>
            <w:pPr>
              <w:ind w:left="1520"/>
              <w:spacing w:after="0"/>
              <w:rPr>
                <w:sz w:val="20"/>
                <w:szCs w:val="20"/>
                <w:color w:val="auto"/>
              </w:rPr>
            </w:pPr>
            <w:r>
              <w:rPr>
                <w:rFonts w:ascii="Arial" w:cs="Arial" w:eastAsia="Arial" w:hAnsi="Arial"/>
                <w:sz w:val="18"/>
                <w:szCs w:val="18"/>
                <w:color w:val="auto"/>
              </w:rPr>
              <w:t>F-30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2016 AND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9" w:lineRule="exact"/>
        <w:rPr>
          <w:sz w:val="20"/>
          <w:szCs w:val="20"/>
          <w:color w:val="auto"/>
        </w:rPr>
      </w:pPr>
    </w:p>
    <w:p>
      <w:pPr>
        <w:ind w:right="80" w:firstLine="457"/>
        <w:spacing w:after="0" w:line="257" w:lineRule="auto"/>
        <w:rPr>
          <w:sz w:val="20"/>
          <w:szCs w:val="20"/>
          <w:color w:val="auto"/>
        </w:rPr>
      </w:pPr>
      <w:r>
        <w:rPr>
          <w:rFonts w:ascii="Arial" w:cs="Arial" w:eastAsia="Arial" w:hAnsi="Arial"/>
          <w:sz w:val="18"/>
          <w:szCs w:val="18"/>
          <w:color w:val="auto"/>
        </w:rPr>
        <w:t>The Company’s income tax provision is computed based on the federal statutory rate and the average state statutory rates, net of the related federal benefit. For the six months ended June 30, 2016 and 2017, there was no current or deferred income tax expense or benefit due to the Company’s net losses and increases in its deferred tax asset valuation allowance during those periods.</w:t>
      </w:r>
    </w:p>
    <w:p>
      <w:pPr>
        <w:spacing w:after="0" w:line="188" w:lineRule="exact"/>
        <w:rPr>
          <w:sz w:val="20"/>
          <w:szCs w:val="20"/>
          <w:color w:val="auto"/>
        </w:rPr>
      </w:pPr>
    </w:p>
    <w:p>
      <w:pPr>
        <w:ind w:right="240" w:firstLine="457"/>
        <w:spacing w:after="0" w:line="257" w:lineRule="auto"/>
        <w:rPr>
          <w:sz w:val="20"/>
          <w:szCs w:val="20"/>
          <w:color w:val="auto"/>
        </w:rPr>
      </w:pPr>
      <w:r>
        <w:rPr>
          <w:rFonts w:ascii="Arial" w:cs="Arial" w:eastAsia="Arial" w:hAnsi="Arial"/>
          <w:sz w:val="18"/>
          <w:szCs w:val="18"/>
          <w:color w:val="auto"/>
        </w:rPr>
        <w:t>The deferred tax asset includes approximately $29,195,000 of net operating loss carryforwards and $5,737,000 of research and development tax credit carryforwards. The Company has recorded a full valuation allowance against these deferred tax assets which are also subject to further review for full recoverability.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19"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In April 2017, the Company entered into a lease for office space in Waltham, Massachusetts (the “Waltham Lease”). The Waltham Lease has a term of 60 months and includes leasing 6,126 square feet of office space. The Waltham Lease provides for initial monthly lease payments of $17,612 per month. The base rent payable over the lease period is $1,117,995.</w:t>
      </w:r>
    </w:p>
    <w:p>
      <w:pPr>
        <w:spacing w:after="0" w:line="188" w:lineRule="exact"/>
        <w:rPr>
          <w:sz w:val="20"/>
          <w:szCs w:val="20"/>
          <w:color w:val="auto"/>
        </w:rPr>
      </w:pPr>
    </w:p>
    <w:p>
      <w:pPr>
        <w:ind w:firstLine="457"/>
        <w:spacing w:after="0" w:line="257" w:lineRule="auto"/>
        <w:rPr>
          <w:sz w:val="20"/>
          <w:szCs w:val="20"/>
          <w:color w:val="auto"/>
        </w:rPr>
      </w:pPr>
      <w:r>
        <w:rPr>
          <w:rFonts w:ascii="Arial" w:cs="Arial" w:eastAsia="Arial" w:hAnsi="Arial"/>
          <w:sz w:val="18"/>
          <w:szCs w:val="18"/>
          <w:color w:val="auto"/>
        </w:rPr>
        <w:t>In May 2017, the Company entered into a lease for office space in San Francisco, California (the “SF Lease”). The SF Lease has a term of 24 months and includes leasing 1,872 square feet of office space. The SF Lease provides for initial monthly lease payments of $7,800 per month. The base rent payable over the lease period is $182,208.</w:t>
      </w:r>
    </w:p>
    <w:p>
      <w:pPr>
        <w:spacing w:after="0" w:line="188" w:lineRule="exact"/>
        <w:rPr>
          <w:sz w:val="20"/>
          <w:szCs w:val="20"/>
          <w:color w:val="auto"/>
        </w:rPr>
      </w:pPr>
    </w:p>
    <w:p>
      <w:pPr>
        <w:jc w:val="both"/>
        <w:ind w:right="160" w:firstLine="457"/>
        <w:spacing w:after="0" w:line="279" w:lineRule="auto"/>
        <w:rPr>
          <w:sz w:val="20"/>
          <w:szCs w:val="20"/>
          <w:color w:val="auto"/>
        </w:rPr>
      </w:pPr>
      <w:r>
        <w:rPr>
          <w:rFonts w:ascii="Arial" w:cs="Arial" w:eastAsia="Arial" w:hAnsi="Arial"/>
          <w:sz w:val="17"/>
          <w:szCs w:val="17"/>
          <w:color w:val="auto"/>
        </w:rPr>
        <w:t>The Company contracts to conduct research and development activities with remaining contract costs of approximately $971,000 at June 30, 2017, that will be incurred in future periods. The scope of the services under the research and development contracts can be modified and the contracts cancelled by the Company upon written notice. In some instances, the contracts may be cancelled by the third party upon written notice.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19" w:lineRule="exact"/>
        <w:rPr>
          <w:sz w:val="20"/>
          <w:szCs w:val="20"/>
          <w:color w:val="auto"/>
        </w:rPr>
      </w:pPr>
    </w:p>
    <w:p>
      <w:pPr>
        <w:ind w:right="120" w:firstLine="457"/>
        <w:spacing w:after="0" w:line="257" w:lineRule="auto"/>
        <w:rPr>
          <w:sz w:val="20"/>
          <w:szCs w:val="20"/>
          <w:color w:val="auto"/>
        </w:rPr>
      </w:pPr>
      <w:r>
        <w:rPr>
          <w:rFonts w:ascii="Arial" w:cs="Arial" w:eastAsia="Arial" w:hAnsi="Arial"/>
          <w:sz w:val="18"/>
          <w:szCs w:val="18"/>
          <w:color w:val="auto"/>
        </w:rPr>
        <w:t>The Company estimates the fair value of each stock option grant using the Monte Carlo simulation model (“Monte Carlo”) for grants made prior to June 30, 2015 and the Black-Scholes option pricing model (“Black-Scholes”) for grants made on or after July 1, 2015. Unvested awards to non-employees are re-measured at each vesting date and at each financial reporting date.</w:t>
      </w:r>
    </w:p>
    <w:p>
      <w:pPr>
        <w:spacing w:after="0" w:line="188"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 xml:space="preserve">For grants in 2016 and 2017, the Company’s Board of Directors sets the exercise price for stock options granted on such dates at the fair value of its common stock with the assistance of a third-party specialist. Due to the absence of a public trading market for the Company’s common stock, since inception through June 30, 2017, the Company’s retrospective and contemporaneous determinations of the fair value of its common stock were performed using methodologies, approaches and assumptions consistent with the American Institute of Certified Public Accountants Audit and Accounting Practice Aid Series: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There are significant judgments and estimates inherent in the determination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Company’s common stock, including the contemporaneous and retrospective valuations. These judgments and estimates include assumptions regarding the Company’s future operating performance, the time to completing an initial public offering or other liquidity event and the determinations of the appropriate valuation methods. If the Company had made different assumptions, its share-based compensation expense, net loss and net loss per share could have been significantly different.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5"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13" w:lineRule="exact"/>
        <w:rPr>
          <w:sz w:val="20"/>
          <w:szCs w:val="20"/>
          <w:color w:val="auto"/>
        </w:rPr>
      </w:pPr>
    </w:p>
    <w:p>
      <w:pPr>
        <w:ind w:right="20" w:firstLine="457"/>
        <w:spacing w:after="0" w:line="267" w:lineRule="auto"/>
        <w:rPr>
          <w:sz w:val="20"/>
          <w:szCs w:val="20"/>
          <w:color w:val="auto"/>
        </w:rPr>
      </w:pPr>
      <w:r>
        <w:rPr>
          <w:rFonts w:ascii="Arial" w:cs="Arial" w:eastAsia="Arial" w:hAnsi="Arial"/>
          <w:sz w:val="18"/>
          <w:szCs w:val="18"/>
          <w:color w:val="auto"/>
        </w:rPr>
        <w:t>The common stock valuations were prepared using a hybrid of the option-pricing method (“OPM”), and the probability-weighted expected return method (“PWERM”).</w:t>
      </w:r>
    </w:p>
    <w:p>
      <w:pPr>
        <w:spacing w:after="0" w:line="180"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i w:val="1"/>
          <w:iCs w:val="1"/>
          <w:color w:val="auto"/>
        </w:rPr>
        <w:t>OPM</w:t>
      </w:r>
      <w:r>
        <w:rPr>
          <w:rFonts w:ascii="Arial" w:cs="Arial" w:eastAsia="Arial" w:hAnsi="Arial"/>
          <w:sz w:val="17"/>
          <w:szCs w:val="17"/>
          <w:color w:val="auto"/>
        </w:rPr>
        <w:t>. The OPM treats each class of common stock and preferred stock as call options on the total equity value of a company, with exercise prices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 at the time of a liquidity event, such as a strategic sale, merger or initial public offering.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liquidation preference is paid.</w:t>
      </w:r>
    </w:p>
    <w:p>
      <w:pPr>
        <w:spacing w:after="0" w:line="185" w:lineRule="exact"/>
        <w:rPr>
          <w:sz w:val="20"/>
          <w:szCs w:val="20"/>
          <w:color w:val="auto"/>
        </w:rPr>
      </w:pPr>
    </w:p>
    <w:p>
      <w:pPr>
        <w:ind w:firstLine="457"/>
        <w:spacing w:after="0" w:line="304" w:lineRule="auto"/>
        <w:rPr>
          <w:sz w:val="20"/>
          <w:szCs w:val="20"/>
          <w:color w:val="auto"/>
        </w:rPr>
      </w:pPr>
      <w:r>
        <w:rPr>
          <w:rFonts w:ascii="Arial" w:cs="Arial" w:eastAsia="Arial" w:hAnsi="Arial"/>
          <w:sz w:val="16"/>
          <w:szCs w:val="16"/>
          <w:color w:val="auto"/>
        </w:rPr>
        <w:t>The OPM uses Monte Carlo to price the call options. This model defines the securities’ fair values as functions of the current fair value of a company and uses assumptions such as the anticipated timing of a potential liquidity event and the estimated volatility of the equity securities. The aggregate value of the common stock derived from the OPM is then divided by the number of shares of common stock outstanding to arrive at the per share value.</w:t>
      </w:r>
    </w:p>
    <w:p>
      <w:pPr>
        <w:spacing w:after="0" w:line="154" w:lineRule="exact"/>
        <w:rPr>
          <w:sz w:val="20"/>
          <w:szCs w:val="20"/>
          <w:color w:val="auto"/>
        </w:rPr>
      </w:pPr>
    </w:p>
    <w:p>
      <w:pPr>
        <w:ind w:right="40" w:firstLine="457"/>
        <w:spacing w:after="0" w:line="254" w:lineRule="auto"/>
        <w:rPr>
          <w:sz w:val="20"/>
          <w:szCs w:val="20"/>
          <w:color w:val="auto"/>
        </w:rPr>
      </w:pPr>
      <w:r>
        <w:rPr>
          <w:rFonts w:ascii="Arial" w:cs="Arial" w:eastAsia="Arial" w:hAnsi="Arial"/>
          <w:sz w:val="18"/>
          <w:szCs w:val="18"/>
          <w:color w:val="auto"/>
        </w:rPr>
        <w:t>The Company used the OPM backsolve approach to estimate enterprise value under the OPM. The OPM backsolve approach uses the OPM to calculate the implied equity value based on recent sales of the company’s securities. For the OPM, the Company based its assumed volatility factor on the historical trading volatility of its publicly traded peer companies. For each valuation date, the Company determined the appropriate volatility to be used, considering such factors as its expected time to a liquidity event and its stage of development.</w:t>
      </w:r>
    </w:p>
    <w:p>
      <w:pPr>
        <w:spacing w:after="0" w:line="191" w:lineRule="exact"/>
        <w:rPr>
          <w:sz w:val="20"/>
          <w:szCs w:val="20"/>
          <w:color w:val="auto"/>
        </w:rPr>
      </w:pPr>
    </w:p>
    <w:p>
      <w:pPr>
        <w:ind w:right="40" w:firstLine="457"/>
        <w:spacing w:after="0" w:line="257" w:lineRule="auto"/>
        <w:rPr>
          <w:sz w:val="20"/>
          <w:szCs w:val="20"/>
          <w:color w:val="auto"/>
        </w:rPr>
      </w:pPr>
      <w:r>
        <w:rPr>
          <w:rFonts w:ascii="Arial" w:cs="Arial" w:eastAsia="Arial" w:hAnsi="Arial"/>
          <w:sz w:val="18"/>
          <w:szCs w:val="18"/>
          <w:color w:val="auto"/>
        </w:rPr>
        <w:t>To derive the fair value of the Company’s common stock using the OPM, the Company calculated the proceeds to the common stockholders based on the preferences and priorities of the preferred and common stock. The Company then applied a discount for lack of marketability to the common stock to account for the lack of access to an active public market.</w:t>
      </w:r>
    </w:p>
    <w:p>
      <w:pPr>
        <w:spacing w:after="0" w:line="188" w:lineRule="exact"/>
        <w:rPr>
          <w:sz w:val="20"/>
          <w:szCs w:val="20"/>
          <w:color w:val="auto"/>
        </w:rPr>
      </w:pPr>
    </w:p>
    <w:p>
      <w:pPr>
        <w:ind w:right="120" w:firstLine="457"/>
        <w:spacing w:after="0" w:line="291" w:lineRule="auto"/>
        <w:rPr>
          <w:sz w:val="20"/>
          <w:szCs w:val="20"/>
          <w:color w:val="auto"/>
        </w:rPr>
      </w:pPr>
      <w:r>
        <w:rPr>
          <w:rFonts w:ascii="Arial" w:cs="Arial" w:eastAsia="Arial" w:hAnsi="Arial"/>
          <w:sz w:val="16"/>
          <w:szCs w:val="16"/>
          <w:i w:val="1"/>
          <w:iCs w:val="1"/>
          <w:color w:val="auto"/>
        </w:rPr>
        <w:t>PWERM</w:t>
      </w:r>
      <w:r>
        <w:rPr>
          <w:rFonts w:ascii="Arial" w:cs="Arial" w:eastAsia="Arial" w:hAnsi="Arial"/>
          <w:sz w:val="16"/>
          <w:szCs w:val="16"/>
          <w:color w:val="auto"/>
        </w:rPr>
        <w:t>. The PWERM is a scenario-based methodology that estimates the fair value of common stock based upon an analysis of future values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is then applied to the common stock to account for the lack of access to an active public market.</w:t>
      </w:r>
    </w:p>
    <w:p>
      <w:pPr>
        <w:spacing w:after="0" w:line="165" w:lineRule="exact"/>
        <w:rPr>
          <w:sz w:val="20"/>
          <w:szCs w:val="20"/>
          <w:color w:val="auto"/>
        </w:rPr>
      </w:pPr>
    </w:p>
    <w:p>
      <w:pPr>
        <w:ind w:right="240" w:firstLine="457"/>
        <w:spacing w:after="0" w:line="251" w:lineRule="auto"/>
        <w:rPr>
          <w:sz w:val="20"/>
          <w:szCs w:val="20"/>
          <w:color w:val="auto"/>
        </w:rPr>
      </w:pPr>
      <w:r>
        <w:rPr>
          <w:rFonts w:ascii="Arial" w:cs="Arial" w:eastAsia="Arial" w:hAnsi="Arial"/>
          <w:sz w:val="18"/>
          <w:szCs w:val="18"/>
          <w:color w:val="auto"/>
        </w:rPr>
        <w:t>For the Company’s contemporaneous common stock valuations as of January 22, 2016, February 8, 2016, September 16, 2016, February 8, 2017 and May 18, 2017, the Company used a hybrid of the OPM and PWERM and considered two types of future event scenarios: an initial public offering and a sale transaction. The Company valued the initial public offering scenario using the OPM backsolve approach for these valuations. The Company’s third-party valuation consultant determined the relative probability of each type of future event scenario based on an analysis of market conditions at the time, including then-current initial public offering valuations of similarly situated companies, and expectations as to the timing and likely prospects of the future-event scenarios.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5"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right="20" w:firstLine="457"/>
        <w:spacing w:after="0" w:line="257" w:lineRule="auto"/>
        <w:rPr>
          <w:sz w:val="20"/>
          <w:szCs w:val="20"/>
          <w:color w:val="auto"/>
        </w:rPr>
      </w:pPr>
      <w:r>
        <w:rPr>
          <w:rFonts w:ascii="Arial" w:cs="Arial" w:eastAsia="Arial" w:hAnsi="Arial"/>
          <w:sz w:val="18"/>
          <w:szCs w:val="18"/>
          <w:color w:val="auto"/>
        </w:rPr>
        <w:t>To derive the fair value of the common stock for each scenario using the hybrid PWERM and OPM, the Company calculated the proceeds to the common stockholders based on the preferences and priorities of the preferred and common stock. The Company then applied a discount for lack of marketability to the common stock to account for the lack of access to an active public market.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Weighted -</w:t>
            </w:r>
          </w:p>
        </w:tc>
        <w:tc>
          <w:tcPr>
            <w:tcW w:w="28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Weighted -</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Weighted -</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112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4"/>
              </w:rPr>
              <w:t>Grant Date</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2"/>
                <w:szCs w:val="12"/>
                <w:color w:val="auto"/>
              </w:rPr>
            </w:pPr>
          </w:p>
        </w:tc>
        <w:tc>
          <w:tcPr>
            <w:tcW w:w="1120" w:type="dxa"/>
            <w:vAlign w:val="bottom"/>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2"/>
                <w:szCs w:val="12"/>
                <w:color w:val="auto"/>
              </w:rPr>
            </w:pP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Outstanding, December 31, 2016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3,831,237</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2.84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1.75</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$243,000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843,881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9.84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36,750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4,675,118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7.27</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482,050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June 30,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line="20" w:lineRule="exact"/>
              <w:rPr>
                <w:sz w:val="1"/>
                <w:szCs w:val="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5.76</w:t>
            </w: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373,842</w:t>
            </w:r>
          </w:p>
        </w:tc>
        <w:tc>
          <w:tcPr>
            <w:tcW w:w="0" w:type="dxa"/>
            <w:vAlign w:val="bottom"/>
          </w:tcPr>
          <w:p>
            <w:pPr>
              <w:spacing w:after="0" w:line="20" w:lineRule="exact"/>
              <w:rPr>
                <w:sz w:val="1"/>
                <w:szCs w:val="1"/>
                <w:color w:val="auto"/>
              </w:rPr>
            </w:pPr>
          </w:p>
        </w:tc>
      </w:tr>
      <w:tr>
        <w:trPr>
          <w:trHeight w:val="206"/>
        </w:trPr>
        <w:tc>
          <w:tcPr>
            <w:tcW w:w="5620" w:type="dxa"/>
            <w:vAlign w:val="bottom"/>
            <w:gridSpan w:val="2"/>
            <w:vMerge w:val="continue"/>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2,525,271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June 30,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2,149,847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40"/>
              <w:spacing w:after="0"/>
              <w:rPr>
                <w:sz w:val="20"/>
                <w:szCs w:val="20"/>
                <w:color w:val="auto"/>
              </w:rPr>
            </w:pPr>
            <w:r>
              <w:rPr>
                <w:rFonts w:ascii="Arial" w:cs="Arial" w:eastAsia="Arial" w:hAnsi="Arial"/>
                <w:sz w:val="18"/>
                <w:szCs w:val="18"/>
                <w:color w:val="auto"/>
                <w:w w:val="92"/>
              </w:rPr>
              <w:t>Total share-based compensation expense recognized was as follows:</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9"/>
              <w:spacing w:after="0" w:line="140"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02"/>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Research and development</w:t>
            </w: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224,503</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$ 343,164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502,302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365,669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726,805</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$ 708,833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and Pro Forma Net Loss per Common Share (Unaudited)</w:t>
      </w:r>
    </w:p>
    <w:p>
      <w:pPr>
        <w:spacing w:after="0" w:line="119" w:lineRule="exact"/>
        <w:rPr>
          <w:sz w:val="20"/>
          <w:szCs w:val="20"/>
          <w:color w:val="auto"/>
        </w:rPr>
      </w:pPr>
    </w:p>
    <w:p>
      <w:pPr>
        <w:ind w:right="80" w:firstLine="457"/>
        <w:spacing w:after="0" w:line="304" w:lineRule="auto"/>
        <w:rPr>
          <w:sz w:val="20"/>
          <w:szCs w:val="20"/>
          <w:color w:val="auto"/>
        </w:rPr>
      </w:pPr>
      <w:r>
        <w:rPr>
          <w:rFonts w:ascii="Arial" w:cs="Arial" w:eastAsia="Arial" w:hAnsi="Arial"/>
          <w:sz w:val="16"/>
          <w:szCs w:val="16"/>
          <w:color w:val="auto"/>
        </w:rPr>
        <w:t>Since the Company was in a loss position for all periods presented, basic net loss per common share is the same as diluted net loss per common share for all periods presented as the inclusion of all potential common shares outstanding would have been anti-dilutive. Shares outstanding presented below were excluded from the calculation of diluted net loss per share, prior to the use of the treasury stock method, as their effect is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20" w:type="dxa"/>
            <w:vAlign w:val="bottom"/>
          </w:tcPr>
          <w:p>
            <w:pPr>
              <w:spacing w:after="0"/>
              <w:rPr>
                <w:sz w:val="14"/>
                <w:szCs w:val="14"/>
                <w:color w:val="auto"/>
              </w:rPr>
            </w:pPr>
          </w:p>
        </w:tc>
        <w:tc>
          <w:tcPr>
            <w:tcW w:w="230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40"/>
        </w:trPr>
        <w:tc>
          <w:tcPr>
            <w:tcW w:w="91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8"/>
              <w:spacing w:after="0" w:line="140"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0"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07"/>
        </w:trPr>
        <w:tc>
          <w:tcPr>
            <w:tcW w:w="91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Convertible 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26,416,896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26,416,896</w:t>
            </w:r>
          </w:p>
        </w:tc>
        <w:tc>
          <w:tcPr>
            <w:tcW w:w="60" w:type="dxa"/>
            <w:vAlign w:val="bottom"/>
            <w:shd w:val="clear" w:color="auto" w:fill="CCEEFF"/>
          </w:tcPr>
          <w:p>
            <w:pPr>
              <w:spacing w:after="0"/>
              <w:rPr>
                <w:sz w:val="17"/>
                <w:szCs w:val="17"/>
                <w:color w:val="auto"/>
              </w:rPr>
            </w:pPr>
          </w:p>
        </w:tc>
      </w:tr>
      <w:tr>
        <w:trPr>
          <w:trHeight w:val="220"/>
        </w:trPr>
        <w:tc>
          <w:tcPr>
            <w:tcW w:w="9120" w:type="dxa"/>
            <w:vAlign w:val="bottom"/>
          </w:tcPr>
          <w:p>
            <w:pPr>
              <w:spacing w:after="0"/>
              <w:rPr>
                <w:sz w:val="20"/>
                <w:szCs w:val="20"/>
                <w:color w:val="auto"/>
              </w:rPr>
            </w:pPr>
            <w:r>
              <w:rPr>
                <w:rFonts w:ascii="Arial" w:cs="Arial" w:eastAsia="Arial" w:hAnsi="Arial"/>
                <w:sz w:val="18"/>
                <w:szCs w:val="18"/>
                <w:color w:val="auto"/>
              </w:rPr>
              <w:t>Common stock under option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3,331,939</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4,675,118</w:t>
            </w:r>
          </w:p>
        </w:tc>
        <w:tc>
          <w:tcPr>
            <w:tcW w:w="60" w:type="dxa"/>
            <w:vAlign w:val="bottom"/>
          </w:tcPr>
          <w:p>
            <w:pPr>
              <w:spacing w:after="0"/>
              <w:rPr>
                <w:sz w:val="19"/>
                <w:szCs w:val="19"/>
                <w:color w:val="auto"/>
              </w:rPr>
            </w:pPr>
          </w:p>
        </w:tc>
      </w:tr>
      <w:tr>
        <w:trPr>
          <w:trHeight w:val="213"/>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29,748,835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31,092,014</w:t>
            </w:r>
          </w:p>
        </w:tc>
      </w:tr>
      <w:tr>
        <w:trPr>
          <w:trHeight w:val="20"/>
        </w:trPr>
        <w:tc>
          <w:tcPr>
            <w:tcW w:w="9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 Forma Net Loss per Common Share</w:t>
      </w:r>
    </w:p>
    <w:p>
      <w:pPr>
        <w:spacing w:after="0" w:line="113"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The Company has presented pro forma basic and diluted net loss per common share, which has been computed to give effect to (i) the issuance of 7,792,035 shares of series E convertible preferred stock as if such issuance had occurred as of June 30, 2017, (ii) the issuance of 93,764 shares of common stock that the Company expects to issue prior to the closing of its proposed initial public offering upon the exercise of warrants, as if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5"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jc w:val="both"/>
        <w:ind w:right="260"/>
        <w:spacing w:after="0" w:line="304" w:lineRule="auto"/>
        <w:rPr>
          <w:sz w:val="20"/>
          <w:szCs w:val="20"/>
          <w:color w:val="auto"/>
        </w:rPr>
      </w:pPr>
      <w:r>
        <w:rPr>
          <w:rFonts w:ascii="Arial" w:cs="Arial" w:eastAsia="Arial" w:hAnsi="Arial"/>
          <w:sz w:val="16"/>
          <w:szCs w:val="16"/>
          <w:color w:val="auto"/>
        </w:rPr>
        <w:t>issuance had occurred as of June 30, 2017 and (iii) the conversion of all shares of convertible preferred stock outstanding as of June 30, 2017, including the series E convertible preferred stock, into shares of common stock as if such conversion had occurred as of January 1, 2017 or the original date of issuance, if later. The following table sets forth the computation of the Company’s pro forma basic and diluted net loss per common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1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Net loss used in computing net loss per common share, basic and diluted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(21,176,925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1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common share, basic and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18"/>
                <w:szCs w:val="18"/>
                <w:color w:val="auto"/>
              </w:rPr>
              <w:t>8,428,366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30,070,034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Pro forma adjustment to reflect assumed exercise of warrants to common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pro forma net loss per common share, 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38,592,164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180" w:type="dxa"/>
            <w:vAlign w:val="bottom"/>
            <w:gridSpan w:val="2"/>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19" w:lineRule="exact"/>
        <w:rPr>
          <w:sz w:val="20"/>
          <w:szCs w:val="20"/>
          <w:color w:val="auto"/>
        </w:rPr>
      </w:pPr>
    </w:p>
    <w:p>
      <w:pPr>
        <w:ind w:right="860" w:firstLine="457"/>
        <w:spacing w:after="0" w:line="267" w:lineRule="auto"/>
        <w:rPr>
          <w:sz w:val="20"/>
          <w:szCs w:val="20"/>
          <w:color w:val="auto"/>
        </w:rPr>
      </w:pPr>
      <w:r>
        <w:rPr>
          <w:rFonts w:ascii="Arial" w:cs="Arial" w:eastAsia="Arial" w:hAnsi="Arial"/>
          <w:sz w:val="18"/>
          <w:szCs w:val="18"/>
          <w:color w:val="auto"/>
        </w:rPr>
        <w:t>For its interim financial statements as of June 30, 2017, and for the six months then ended, the Company evaluated subsequent events through October 27, 2017, the date that these financial statements were issued.</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E Convertible Preferred Stock</w:t>
      </w:r>
    </w:p>
    <w:p>
      <w:pPr>
        <w:spacing w:after="0" w:line="113" w:lineRule="exact"/>
        <w:rPr>
          <w:sz w:val="20"/>
          <w:szCs w:val="20"/>
          <w:color w:val="auto"/>
        </w:rPr>
      </w:pPr>
    </w:p>
    <w:p>
      <w:pPr>
        <w:ind w:right="60" w:firstLine="457"/>
        <w:spacing w:after="0" w:line="267" w:lineRule="auto"/>
        <w:rPr>
          <w:sz w:val="20"/>
          <w:szCs w:val="20"/>
          <w:color w:val="auto"/>
        </w:rPr>
      </w:pPr>
      <w:r>
        <w:rPr>
          <w:rFonts w:ascii="Arial" w:cs="Arial" w:eastAsia="Arial" w:hAnsi="Arial"/>
          <w:sz w:val="18"/>
          <w:szCs w:val="18"/>
          <w:color w:val="auto"/>
        </w:rPr>
        <w:t>In August 2017, the Company issued 7,792,035 shares of series E convertible preferred stock (the “Series E Preferred”) at $2.571 per share for aggregate proceeds of $20,033,322, less issuance costs of $300,440.</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convertible preferred stock are as follows:</w:t>
      </w:r>
    </w:p>
    <w:p>
      <w:pPr>
        <w:spacing w:after="0" w:line="113" w:lineRule="exact"/>
        <w:rPr>
          <w:sz w:val="20"/>
          <w:szCs w:val="20"/>
          <w:color w:val="auto"/>
        </w:rPr>
      </w:pPr>
    </w:p>
    <w:p>
      <w:pPr>
        <w:ind w:right="420" w:firstLine="457"/>
        <w:spacing w:after="0" w:line="26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—All holders of convertible preferred stock and Common Stock will vote together on an as-converted basis as a single class, except as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set forth in the Certificate of Incorporation.</w:t>
      </w:r>
    </w:p>
    <w:p>
      <w:pPr>
        <w:spacing w:after="0" w:line="180" w:lineRule="exact"/>
        <w:rPr>
          <w:sz w:val="20"/>
          <w:szCs w:val="20"/>
          <w:color w:val="auto"/>
        </w:rPr>
      </w:pPr>
    </w:p>
    <w:p>
      <w:pPr>
        <w:ind w:right="60" w:firstLine="457"/>
        <w:spacing w:after="0" w:line="287" w:lineRule="auto"/>
        <w:rPr>
          <w:sz w:val="20"/>
          <w:szCs w:val="20"/>
          <w:color w:val="auto"/>
        </w:rPr>
      </w:pPr>
      <w:r>
        <w:rPr>
          <w:rFonts w:ascii="Arial" w:cs="Arial" w:eastAsia="Arial" w:hAnsi="Arial"/>
          <w:sz w:val="16"/>
          <w:szCs w:val="16"/>
          <w:color w:val="auto"/>
        </w:rPr>
        <w:t>So long as at least 20% of the shares of Series E Preferred issued pursuant to the Stock Purchase Agreement dated August 7, 2017 (subject to appropriate adjustments for stock splits and the like) remain outstanding, the Series E Preferred as a class will be entitled to elect one member of the Board of Directors; provided that the holders of record of the shares of Series E Preferred shall be entitled to elect two members of the Board of Directors if the Company consummates the Second Tranche Closing as defined in the Stock Purchase Agreement. So long as 4,219,870 shares of Series D Preferred (subject to appropriate adjustments for stock splits and the like) remain outstanding, the Series D Preferred as a class will be entitled to elect one member of the Board of Directors. So long as 1,920,000 shares of series C convertible preferred stock (the “Series C Preferred”) (subject to appropriate adjustments for stock splits and the like) remain outstanding, the Series C Preferred as a class will be entitled to elect two members of the Board of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any time when at least 5,834,303 shares of preferred stock (subject to appropriate adjustments for stock splits and the like) remain outstanding,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Company will not without the written consent of holders of at least 60% of the then outstanding shares of preferred stock, liquidate, dissolve or wind-up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affairs of the Company, or effect any merger, sale, lease, transfer exclusive license or other disposition of all or substantially all of the assets of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Company; amend the Certificate of Incorporation or Bylaws of the Company; authorize or issue any security having rights, preferences or privileges senior to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on parity with the preferred stock; increase the authorized number of shares of Series C Preferred, Series D Preferred or Series E Preferred; reclassify, alter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amend any security pari passu with or junior to the Series C Preferred, Series D Preferred or Series E Preferred with respect to liquidation, dividends or redemption, if such reclassification, alteration or amendment would render them senior to or pari passu with the Series C Preferred, Series D Preferred or Series E Preferred; pay any dividend; authorize any debt security; create or hold capital stock in any subsidiary that is not a wholly-owned subsidiary; or dispose of any subsidiary stock or all or substantially all of any subsidiary assets.</w:t>
      </w:r>
    </w:p>
    <w:p>
      <w:pPr>
        <w:spacing w:after="0" w:line="191"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Under the Voting Agreement dated August 7, 2017 (the “Voting Agreement”), the stockholders have agreed to vote their shares in favor of a Deemed Liquidation Event, as defined by the Certificate of Incorporation as amended to date (or other transaction in which at least a majority of the voting power of the Company is transferred), that has been approved by the Board of Directors and (a)(i) the holders of at least 60% of the outstanding shares of convertible preferred stock, or (ii) if the consideration for the Deemed Liquidation Event exceeds in $350,000,000, the holders of at least a majority of the convertible preferred stock, (b) the holders of at least a majority of the outstanding shares of Series C Preferred, (c) the holders of at least 60% of the outstanding shares of Series D Preferred and (d) the holders of at least 60% of the outstanding shares of Series E Preferred (the “Electing Parties”).</w:t>
      </w:r>
    </w:p>
    <w:p>
      <w:pPr>
        <w:spacing w:after="0" w:line="169" w:lineRule="exact"/>
        <w:rPr>
          <w:sz w:val="20"/>
          <w:szCs w:val="20"/>
          <w:color w:val="auto"/>
        </w:rPr>
      </w:pPr>
    </w:p>
    <w:p>
      <w:pPr>
        <w:jc w:val="both"/>
        <w:ind w:right="100" w:firstLine="457"/>
        <w:spacing w:after="0" w:line="257" w:lineRule="auto"/>
        <w:rPr>
          <w:sz w:val="20"/>
          <w:szCs w:val="20"/>
          <w:color w:val="auto"/>
        </w:rPr>
      </w:pPr>
      <w:r>
        <w:rPr>
          <w:rFonts w:ascii="Arial" w:cs="Arial" w:eastAsia="Arial" w:hAnsi="Arial"/>
          <w:sz w:val="18"/>
          <w:szCs w:val="18"/>
          <w:color w:val="auto"/>
        </w:rPr>
        <w:t>Under the Voting Agreement, the Board of Directors and the Electing Parties may require that the Company initiate a process to sell the Company. If the Board of Directors does not subsequently recommend the sale of the Company, the Board of Directors and the Electing Parties may require that the Company subsequently initiate the process again.</w:t>
      </w:r>
    </w:p>
    <w:p>
      <w:pPr>
        <w:spacing w:after="0" w:line="188"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The Voting Agreement will terminate upon the earliest to occur of: (i) immediately prior to the closing of a firm commitment underwritten public offering with a price per share, that when multiplied by the total number of shares of common stock then outstanding or then issuable upon conversion or exercise of outstanding convertible preferred stock, stock options or warrants immediately prior to the consummation of the offering, exceeds $325,000,000 within one year of August 7, 2017 and $350,000,000 thereafter and which results in gross proceeds to the Company of not less than $40 million (a “Qualified Public Offering”); (ii) a Deemed Liquidation Event; or (iii) upon the written consent of the Company, a majority of the convertible preferred stock, a majority of the Series C Preferred, 60% of the Series D Preferred and 60% of the Series E Preferred.</w:t>
      </w:r>
    </w:p>
    <w:p>
      <w:pPr>
        <w:spacing w:after="0" w:line="179" w:lineRule="exact"/>
        <w:rPr>
          <w:sz w:val="20"/>
          <w:szCs w:val="20"/>
          <w:color w:val="auto"/>
        </w:rPr>
      </w:pPr>
    </w:p>
    <w:p>
      <w:pPr>
        <w:ind w:right="240" w:firstLine="457"/>
        <w:spacing w:after="0" w:line="26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convertible preferred stock will not accrue any dividends. The holders of the convertible preferred stock will be entitled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in any dividends payable to holders of shares of common stock on an as-converted basis.</w:t>
      </w:r>
    </w:p>
    <w:p>
      <w:pPr>
        <w:spacing w:after="0" w:line="180" w:lineRule="exact"/>
        <w:rPr>
          <w:sz w:val="20"/>
          <w:szCs w:val="20"/>
          <w:color w:val="auto"/>
        </w:rPr>
      </w:pPr>
    </w:p>
    <w:p>
      <w:pPr>
        <w:ind w:right="340" w:firstLine="457"/>
        <w:spacing w:after="0" w:line="267" w:lineRule="auto"/>
        <w:rPr>
          <w:sz w:val="20"/>
          <w:szCs w:val="20"/>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—In the event of a liquidation, dissolution or winding up of the Company, the proceeds shall be paid in the following order of</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w:t>
      </w:r>
    </w:p>
    <w:p>
      <w:pPr>
        <w:spacing w:after="0" w:line="73" w:lineRule="exact"/>
        <w:rPr>
          <w:sz w:val="20"/>
          <w:szCs w:val="20"/>
          <w:color w:val="auto"/>
        </w:rPr>
      </w:pPr>
    </w:p>
    <w:p>
      <w:pPr>
        <w:ind w:right="380" w:firstLine="457"/>
        <w:spacing w:after="0" w:line="257" w:lineRule="auto"/>
        <w:rPr>
          <w:sz w:val="20"/>
          <w:szCs w:val="20"/>
          <w:color w:val="auto"/>
        </w:rPr>
      </w:pPr>
      <w:r>
        <w:rPr>
          <w:rFonts w:ascii="Arial" w:cs="Arial" w:eastAsia="Arial" w:hAnsi="Arial"/>
          <w:sz w:val="18"/>
          <w:szCs w:val="18"/>
          <w:color w:val="auto"/>
        </w:rPr>
        <w:t>First, the holders of Series E Preferred will be paid the higher of (i) the Series E Issue Price on each share of Series E Preferred ($2.571), and (ii) the amount that they would be paid if they first converted their shares of Series E Preferred into common stock immediately prior to voluntary or involuntary liquidation, dissolution or winding up of the Company, or a Deemed Liquidation Event.</w:t>
      </w:r>
    </w:p>
    <w:p>
      <w:pPr>
        <w:spacing w:after="0" w:line="188" w:lineRule="exact"/>
        <w:rPr>
          <w:sz w:val="20"/>
          <w:szCs w:val="20"/>
          <w:color w:val="auto"/>
        </w:rPr>
      </w:pPr>
    </w:p>
    <w:p>
      <w:pPr>
        <w:ind w:right="280" w:firstLine="457"/>
        <w:spacing w:after="0" w:line="257" w:lineRule="auto"/>
        <w:rPr>
          <w:sz w:val="20"/>
          <w:szCs w:val="20"/>
          <w:color w:val="auto"/>
        </w:rPr>
      </w:pPr>
      <w:r>
        <w:rPr>
          <w:rFonts w:ascii="Arial" w:cs="Arial" w:eastAsia="Arial" w:hAnsi="Arial"/>
          <w:sz w:val="18"/>
          <w:szCs w:val="18"/>
          <w:color w:val="auto"/>
        </w:rPr>
        <w:t>Then, the holders of Series D Preferred will be paid the higher of (i) the Series D Issue Price on each share of Series D Preferred ($2.234), and (ii) the amount that they would be paid if they first converted their shares of Series D Preferred into common stock immediately prior to voluntary or involuntary liquidation, dissolution or winding up of the Company, or a Deemed Liquidation Event.</w:t>
      </w:r>
    </w:p>
    <w:p>
      <w:pPr>
        <w:spacing w:after="0" w:line="188" w:lineRule="exact"/>
        <w:rPr>
          <w:sz w:val="20"/>
          <w:szCs w:val="20"/>
          <w:color w:val="auto"/>
        </w:rPr>
      </w:pPr>
    </w:p>
    <w:p>
      <w:pPr>
        <w:ind w:right="220" w:firstLine="457"/>
        <w:spacing w:after="0" w:line="267" w:lineRule="auto"/>
        <w:rPr>
          <w:sz w:val="20"/>
          <w:szCs w:val="20"/>
          <w:color w:val="auto"/>
        </w:rPr>
      </w:pPr>
      <w:r>
        <w:rPr>
          <w:rFonts w:ascii="Arial" w:cs="Arial" w:eastAsia="Arial" w:hAnsi="Arial"/>
          <w:sz w:val="18"/>
          <w:szCs w:val="18"/>
          <w:color w:val="auto"/>
        </w:rPr>
        <w:t>Next, the holders of Series C Preferred will be paid the higher of (i) one times the Series C Issue Price on each share of Series C Preferred ($1.25), and (ii) the amount that they would be paid if they first converted their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5"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right="480"/>
        <w:spacing w:after="0" w:line="267" w:lineRule="auto"/>
        <w:rPr>
          <w:sz w:val="20"/>
          <w:szCs w:val="20"/>
          <w:color w:val="auto"/>
        </w:rPr>
      </w:pPr>
      <w:r>
        <w:rPr>
          <w:rFonts w:ascii="Arial" w:cs="Arial" w:eastAsia="Arial" w:hAnsi="Arial"/>
          <w:sz w:val="18"/>
          <w:szCs w:val="18"/>
          <w:color w:val="auto"/>
        </w:rPr>
        <w:t>shares of Series C Preferred into common stock immediately prior to voluntary or involuntary liquidation, dissolution or winding up of the Company, or a Deemed Liquidation Event.</w:t>
      </w:r>
    </w:p>
    <w:p>
      <w:pPr>
        <w:spacing w:after="0" w:line="180" w:lineRule="exact"/>
        <w:rPr>
          <w:sz w:val="20"/>
          <w:szCs w:val="20"/>
          <w:color w:val="auto"/>
        </w:rPr>
      </w:pPr>
    </w:p>
    <w:p>
      <w:pPr>
        <w:ind w:right="120" w:firstLine="457"/>
        <w:spacing w:after="0" w:line="254" w:lineRule="auto"/>
        <w:rPr>
          <w:sz w:val="20"/>
          <w:szCs w:val="20"/>
          <w:color w:val="auto"/>
        </w:rPr>
      </w:pPr>
      <w:r>
        <w:rPr>
          <w:rFonts w:ascii="Arial" w:cs="Arial" w:eastAsia="Arial" w:hAnsi="Arial"/>
          <w:sz w:val="18"/>
          <w:szCs w:val="18"/>
          <w:color w:val="auto"/>
        </w:rPr>
        <w:t>Thereafter, the holders of Series A Preferred and Series B Preferred will be paid the higher of (i) one times the original purchase price of each share of Series A Preferred ($1.00) or Series B Preferred ($1.10), as applicable, and (ii) the amount that they would be paid if they first converted their shares of Series A Preferred or Series B Preferred, as applicable, into common stock immediately prior to voluntary or involuntary liquidation, dissolution or winding up of the Company, or a Deemed Liquidation Event.</w:t>
      </w:r>
    </w:p>
    <w:p>
      <w:pPr>
        <w:spacing w:after="0" w:line="191" w:lineRule="exact"/>
        <w:rPr>
          <w:sz w:val="20"/>
          <w:szCs w:val="20"/>
          <w:color w:val="auto"/>
        </w:rPr>
      </w:pPr>
    </w:p>
    <w:p>
      <w:pPr>
        <w:ind w:right="160" w:firstLine="457"/>
        <w:spacing w:after="0" w:line="267" w:lineRule="auto"/>
        <w:rPr>
          <w:sz w:val="20"/>
          <w:szCs w:val="20"/>
          <w:color w:val="auto"/>
        </w:rPr>
      </w:pPr>
      <w:r>
        <w:rPr>
          <w:rFonts w:ascii="Arial" w:cs="Arial" w:eastAsia="Arial" w:hAnsi="Arial"/>
          <w:sz w:val="18"/>
          <w:szCs w:val="18"/>
          <w:color w:val="auto"/>
        </w:rPr>
        <w:t>Upon the completion of the distributions to the holders of convertible preferred stock set forth above, then the assets and funds of the Company shall be distributed ratably to the holders of common stock.</w:t>
      </w:r>
    </w:p>
    <w:p>
      <w:pPr>
        <w:spacing w:after="0" w:line="180" w:lineRule="exact"/>
        <w:rPr>
          <w:sz w:val="20"/>
          <w:szCs w:val="20"/>
          <w:color w:val="auto"/>
        </w:rPr>
      </w:pPr>
    </w:p>
    <w:p>
      <w:pPr>
        <w:ind w:right="100" w:firstLine="457"/>
        <w:spacing w:after="0" w:line="254"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—The convertible preferred stock initially converts to common stock in a ratio of 2.133:1 at any time at the option of the holder,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adjustments for stock dividends, splits, combinations and other similar events. The Series C Preferred, the Series D Preferred and the Series E Preferred will receive broad-based weighted average antidilution protection for issuances of common stock equivalents for consideration less than the Series C Issue Price, the Series D Issue Price or the Series E Issue Price, respectively.</w:t>
      </w:r>
    </w:p>
    <w:p>
      <w:pPr>
        <w:spacing w:after="0" w:line="19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All shares of convertible preferred stock would automatically be converted into common stock at the then applicable conversion ratio, upon the closing of a Qualified Public Offering. Additionally, all shares of the applicable series of convertible preferred stock would automatically convert into common stock at the then applicable conversion ratio (i) in the case of Series E Preferred, upon the written consent of holders of at least 60% of the shares of Series E Convertible Preferred to convert the Series E Preferred, (ii) in the case of Series D Preferred, upon the written consent of holders of 60% of the shares of Series D Preferred to convert the Series D Preferred, (iii) in the case of Series C Preferred, upon the written consent of holders of a majority of the shares of Series C Convertible Preferred to convert the Series C Convertible Preferred, or (iv) in the case of Series A convertible preferred stock and Series B convertible preferred stock, upon the written consent of the holders of at least 60% of the shares of Series A and Series B convertible preferred stock (voting together), to convert the Series A and Series B convertible preferred stock.</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 Loan Facility and Promissory Note</w:t>
      </w:r>
    </w:p>
    <w:p>
      <w:pPr>
        <w:spacing w:after="0" w:line="10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October 20, 2017, the Company entered into a loan and security agreement with Silicon Valley Bank (“SVB”) to provide for a $20.0 million term loan facility (the “term loan facility”). Borrowings under the term loan facility bear interest at a floating rate per annum equal to the WSJ prime rate plus 1.50%; provided, however, that in an event of default, as defined in the loan and security agreement, the interest rate applicable to borrowings under such agreement will be increased by 5.0%. Under the agreement, the Company is required to make monthly interest-only payments through May 1, 2018 and is required to make 42 equal monthly payments of principal, plus accrued interest, from May 1, 2018 through October 1, 2021, when all unpaid principal and interest becomes due and payable. Notwithstanding the foregoing, if the Company raises net proceeds on or before March 31, 2018 of at least $100 million through an initial public offering, or through the sale of shares of the Company’s convertible preferred stock, the interest-only period shall be extended to November 1, 2019 and thereafter the Company will be required to make 24 equal monthly payments of principal, plus accrued interest, from November 1, 2019 through October 1, 2021.</w:t>
      </w:r>
    </w:p>
    <w:p>
      <w:pPr>
        <w:spacing w:after="0" w:line="184" w:lineRule="exact"/>
        <w:rPr>
          <w:sz w:val="20"/>
          <w:szCs w:val="20"/>
          <w:color w:val="auto"/>
        </w:rPr>
      </w:pPr>
    </w:p>
    <w:p>
      <w:pPr>
        <w:ind w:right="60" w:firstLine="457"/>
        <w:spacing w:after="0" w:line="257" w:lineRule="auto"/>
        <w:rPr>
          <w:sz w:val="20"/>
          <w:szCs w:val="20"/>
          <w:color w:val="auto"/>
        </w:rPr>
      </w:pPr>
      <w:r>
        <w:rPr>
          <w:rFonts w:ascii="Arial" w:cs="Arial" w:eastAsia="Arial" w:hAnsi="Arial"/>
          <w:sz w:val="18"/>
          <w:szCs w:val="18"/>
          <w:color w:val="auto"/>
        </w:rPr>
        <w:t>The Company may voluntarily prepay all, but not less than all, of the outstanding principal at any time prior to the maturity date, subject to a prepayment fee, which ranges from 0% to 2% of the outstanding principal. A final payment of $1.6 million is due upon the earlier to occur of the maturity of the loan, the acceleration or prepayment of all outstanding principal or the termination of the term loan facility.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5"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APELLIS PHARMACEUTICALS,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2016 AND 2017</w:t>
      </w:r>
    </w:p>
    <w:p>
      <w:pPr>
        <w:spacing w:after="0" w:line="115" w:lineRule="exact"/>
        <w:rPr>
          <w:sz w:val="20"/>
          <w:szCs w:val="20"/>
          <w:color w:val="auto"/>
        </w:rPr>
      </w:pPr>
    </w:p>
    <w:p>
      <w:pPr>
        <w:ind w:right="200" w:firstLine="457"/>
        <w:spacing w:after="0" w:line="295" w:lineRule="auto"/>
        <w:rPr>
          <w:sz w:val="20"/>
          <w:szCs w:val="20"/>
          <w:color w:val="auto"/>
        </w:rPr>
      </w:pPr>
      <w:r>
        <w:rPr>
          <w:rFonts w:ascii="Arial" w:cs="Arial" w:eastAsia="Arial" w:hAnsi="Arial"/>
          <w:sz w:val="16"/>
          <w:szCs w:val="16"/>
          <w:color w:val="auto"/>
        </w:rPr>
        <w:t>Borrowings under the term loan facility are secured by a first priority lien on all of the Company’s assets, excluding intellectual property owned by the Company. The Company has agreed to a negative pledge on its intellectual property and to grant a security interest on its interest in its licenses from Penn if Penn consents to such security interest. The term loan facility contains customary events of default and affirmative and negative covenants, including restrictions on the Company’s ability to pay dividends and incur additional debt, but does not contain any financial covenants.</w:t>
      </w:r>
    </w:p>
    <w:p>
      <w:pPr>
        <w:spacing w:after="0" w:line="162" w:lineRule="exact"/>
        <w:rPr>
          <w:sz w:val="20"/>
          <w:szCs w:val="20"/>
          <w:color w:val="auto"/>
        </w:rPr>
      </w:pPr>
    </w:p>
    <w:p>
      <w:pPr>
        <w:ind w:right="220" w:firstLine="457"/>
        <w:spacing w:after="0" w:line="254" w:lineRule="auto"/>
        <w:rPr>
          <w:sz w:val="20"/>
          <w:szCs w:val="20"/>
          <w:color w:val="auto"/>
        </w:rPr>
      </w:pPr>
      <w:r>
        <w:rPr>
          <w:rFonts w:ascii="Arial" w:cs="Arial" w:eastAsia="Arial" w:hAnsi="Arial"/>
          <w:sz w:val="18"/>
          <w:szCs w:val="18"/>
          <w:color w:val="auto"/>
        </w:rPr>
        <w:t>In connection with the Company’s entry into the term loan facility, the Company issued to SVB a warrant to purchase 14,064 shares of the Company’s common stock with an exercise price per share of $5.484. The warrant has a ten-year term and includes a put option pursuant to which, in the event of an acquisition, change in control or dissolution or winding up of the Company, an initial public offering or the expiration of the warrant, SVB may require the Company to repurchase the warrant for a total aggregate purchase price of $250,000.</w:t>
      </w:r>
    </w:p>
    <w:p>
      <w:pPr>
        <w:spacing w:after="0" w:line="191" w:lineRule="exact"/>
        <w:rPr>
          <w:sz w:val="20"/>
          <w:szCs w:val="20"/>
          <w:color w:val="auto"/>
        </w:rPr>
      </w:pPr>
    </w:p>
    <w:p>
      <w:pPr>
        <w:ind w:right="20" w:firstLine="457"/>
        <w:spacing w:after="0" w:line="254" w:lineRule="auto"/>
        <w:rPr>
          <w:sz w:val="20"/>
          <w:szCs w:val="20"/>
          <w:color w:val="auto"/>
        </w:rPr>
      </w:pPr>
      <w:r>
        <w:rPr>
          <w:rFonts w:ascii="Arial" w:cs="Arial" w:eastAsia="Arial" w:hAnsi="Arial"/>
          <w:sz w:val="18"/>
          <w:szCs w:val="18"/>
          <w:color w:val="auto"/>
        </w:rPr>
        <w:t>On October 19, 2017, the Company issued and sold an unsecured promissory note in the principal amount of $7.0 million to Golda Darty Partners S.A. (“GDP”), an affiliate of one of the Company’s stockholders. The promissory note bears interest at a rate per annum of 8.0%, and is due and payable quarterly in arrears on the 19th day of each April, July, October and January beginning on January 19, 2018. The promissory note has a maturity date of October 19, 2022. The promissory note is contractually subordinated to the term loan facility with SVB.</w:t>
      </w:r>
    </w:p>
    <w:p>
      <w:pPr>
        <w:spacing w:after="0" w:line="19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In connection with the issuance and sale of the above promissory note, the Company issued to GDP a warrant to purchase 93,764 shares of the Company’s common stock at a price per share of $5.484. The warrant may be exercised at any time and on or before the earliest of (i) October 19, 2018, (ii) the closing date of certain deemed liquidation events, as defined in the Company’s certificate of incorporation, and (iii) the closing date of the Company’s proposed initial public offering. The Company recorded the fair value of the warrant in the aggregate amount of $430,160 as a discount to the promissory note. This amount is being accreted as additional interest expense over the term of the promissory note.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5"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218440</wp:posOffset>
            </wp:positionV>
            <wp:extent cx="724852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278130</wp:posOffset>
            </wp:positionV>
            <wp:extent cx="7248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10,714,000 Shares</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53"/>
          <w:szCs w:val="53"/>
          <w:b w:val="1"/>
          <w:bCs w:val="1"/>
          <w:color w:val="auto"/>
        </w:rPr>
        <w:t>Apellis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2129790</wp:posOffset>
            </wp:positionV>
            <wp:extent cx="7283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2849245</wp:posOffset>
            </wp:positionH>
            <wp:positionV relativeFrom="paragraph">
              <wp:posOffset>791845</wp:posOffset>
            </wp:positionV>
            <wp:extent cx="1566545" cy="4997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66545"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November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269875</wp:posOffset>
            </wp:positionV>
            <wp:extent cx="72834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39"/>
          <w:szCs w:val="39"/>
          <w:b w:val="1"/>
          <w:bCs w:val="1"/>
          <w:color w:val="auto"/>
        </w:rPr>
        <w:t>Citigroup</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39"/>
          <w:szCs w:val="39"/>
          <w:b w:val="1"/>
          <w:bCs w:val="1"/>
          <w:color w:val="auto"/>
        </w:rPr>
        <w:t>J.P. Morgan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39"/>
          <w:szCs w:val="39"/>
          <w:b w:val="1"/>
          <w:bCs w:val="1"/>
          <w:color w:val="auto"/>
        </w:rPr>
        <w:t>Evercore ISI</w:t>
      </w:r>
    </w:p>
    <w:p>
      <w:pPr>
        <w:spacing w:after="0" w:line="238" w:lineRule="exact"/>
        <w:rPr>
          <w:sz w:val="20"/>
          <w:szCs w:val="20"/>
          <w:color w:val="auto"/>
        </w:rPr>
      </w:pPr>
    </w:p>
    <w:p>
      <w:pPr>
        <w:ind w:firstLine="457"/>
        <w:spacing w:after="0" w:line="279" w:lineRule="auto"/>
        <w:rPr>
          <w:sz w:val="20"/>
          <w:szCs w:val="20"/>
          <w:color w:val="auto"/>
        </w:rPr>
      </w:pPr>
      <w:r>
        <w:rPr>
          <w:rFonts w:ascii="Arial" w:cs="Arial" w:eastAsia="Arial" w:hAnsi="Arial"/>
          <w:sz w:val="17"/>
          <w:szCs w:val="17"/>
          <w:color w:val="auto"/>
        </w:rPr>
        <w:t>Through and including December 3, 2017 (25 days after the commencement of this 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248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193040</wp:posOffset>
            </wp:positionV>
            <wp:extent cx="724852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8525" cy="25400"/>
                    </a:xfrm>
                    <a:prstGeom prst="rect">
                      <a:avLst/>
                    </a:prstGeom>
                    <a:noFill/>
                  </pic:spPr>
                </pic:pic>
              </a:graphicData>
            </a:graphic>
          </wp:anchor>
        </w:drawing>
      </w:r>
    </w:p>
    <w:sectPr>
      <w:pgSz w:w="11900" w:h="16838" w:orient="portrait"/>
      <w:cols w:equalWidth="0" w:num="1">
        <w:col w:w="11340"/>
      </w:cols>
      <w:pgMar w:left="240" w:top="4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1)"/>
      <w:numFmt w:val="decimal"/>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lvl w:ilvl="1">
      <w:lvlJc w:val="left"/>
      <w:lvlText w:val="(%2)"/>
      <w:numFmt w:val="lowerRoman"/>
      <w:start w:val="3"/>
    </w:lvl>
  </w:abstractNum>
  <w:abstractNum w:abstractNumId="34">
    <w:nsid w:val="1A32234B"/>
    <w:multiLevelType w:val="hybridMultilevel"/>
    <w:lvl w:ilvl="0">
      <w:lvlJc w:val="left"/>
      <w:lvlText w:val="•"/>
      <w:numFmt w:val="bullet"/>
      <w:start w:val="1"/>
    </w:lvl>
    <w:lvl w:ilvl="1">
      <w:lvlJc w:val="left"/>
      <w:lvlText w:val="(%2)"/>
      <w:numFmt w:val="lowerRoman"/>
      <w:start w:val="5"/>
    </w:lvl>
  </w:abstractNum>
  <w:abstractNum w:abstractNumId="35">
    <w:nsid w:val="3B0FD379"/>
    <w:multiLevelType w:val="hybridMultilevel"/>
    <w:lvl w:ilvl="0">
      <w:lvlJc w:val="left"/>
      <w:lvlText w:val="(%1)"/>
      <w:numFmt w:val="decimal"/>
      <w:start w:val="1"/>
    </w:lvl>
    <w:lvl w:ilvl="1">
      <w:lvlJc w:val="left"/>
      <w:lvlText w:val="•"/>
      <w:numFmt w:val="bullet"/>
      <w:start w:val="1"/>
    </w:lvl>
  </w:abstractNum>
  <w:abstractNum w:abstractNumId="36">
    <w:nsid w:val="68EB2F63"/>
    <w:multiLevelType w:val="hybridMultilevel"/>
    <w:lvl w:ilvl="0">
      <w:lvlJc w:val="left"/>
      <w:lvlText w:val="(%1)"/>
      <w:numFmt w:val="decimal"/>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decimal"/>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1)"/>
      <w:numFmt w:val="decimal"/>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1)"/>
      <w:numFmt w:val="decimal"/>
      <w:start w:val="1"/>
    </w:lvl>
  </w:abstractNum>
  <w:abstractNum w:abstractNumId="74">
    <w:nsid w:val="7672BD23"/>
    <w:multiLevelType w:val="hybridMultilevel"/>
    <w:lvl w:ilvl="0">
      <w:lvlJc w:val="left"/>
      <w:lvlText w:val="(%1)"/>
      <w:numFmt w:val="decimal"/>
      <w:start w:val="4"/>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
      <w:numFmt w:val="bullet"/>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
      <w:numFmt w:val="bullet"/>
      <w:start w:val="1"/>
    </w:lvl>
  </w:abstractNum>
  <w:abstractNum w:abstractNumId="86">
    <w:nsid w:val="9DAF632"/>
    <w:multiLevelType w:val="hybridMultilevel"/>
    <w:lvl w:ilvl="0">
      <w:lvlJc w:val="left"/>
      <w:lvlText w:val="•"/>
      <w:numFmt w:val="bullet"/>
      <w:start w:val="1"/>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1)"/>
      <w:numFmt w:val="decimal"/>
      <w:start w:val="1"/>
    </w:lvl>
  </w:abstractNum>
  <w:abstractNum w:abstractNumId="89">
    <w:nsid w:val="5092CA79"/>
    <w:multiLevelType w:val="hybridMultilevel"/>
    <w:lvl w:ilvl="0">
      <w:lvlJc w:val="left"/>
      <w:lvlText w:val="(%1)"/>
      <w:numFmt w:val="decimal"/>
      <w:start w:val="1"/>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1)"/>
      <w:numFmt w:val="decimal"/>
      <w:start w:val="1"/>
    </w:lvl>
  </w:abstractNum>
  <w:abstractNum w:abstractNumId="92">
    <w:nsid w:val="288F1A34"/>
    <w:multiLevelType w:val="hybridMultilevel"/>
    <w:lvl w:ilvl="0">
      <w:lvlJc w:val="left"/>
      <w:lvlText w:val="(%1)"/>
      <w:numFmt w:val="decimal"/>
      <w:start w:val="5"/>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1)"/>
      <w:numFmt w:val="decimal"/>
      <w:start w:val="1"/>
    </w:lvl>
  </w:abstractNum>
  <w:abstractNum w:abstractNumId="98">
    <w:nsid w:val="53584BCB"/>
    <w:multiLevelType w:val="hybridMultilevel"/>
    <w:lvl w:ilvl="0">
      <w:lvlJc w:val="left"/>
      <w:lvlText w:val="(%1)"/>
      <w:numFmt w:val="decimal"/>
      <w:start w:val="8"/>
    </w:lvl>
  </w:abstractNum>
  <w:abstractNum w:abstractNumId="99">
    <w:nsid w:val="415E286C"/>
    <w:multiLevelType w:val="hybridMultilevel"/>
    <w:lvl w:ilvl="0">
      <w:lvlJc w:val="left"/>
      <w:lvlText w:val="(%1)"/>
      <w:numFmt w:val="decimal"/>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lvl w:ilvl="1">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1)"/>
      <w:numFmt w:val="lowerRoman"/>
      <w:start w:val="3"/>
    </w:lvl>
  </w:abstractNum>
  <w:abstractNum w:abstractNumId="113">
    <w:nsid w:val="2C27173B"/>
    <w:multiLevelType w:val="hybridMultilevel"/>
    <w:lvl w:ilvl="0">
      <w:lvlJc w:val="left"/>
      <w:lvlText w:val="•"/>
      <w:numFmt w:val="bullet"/>
      <w:start w:val="1"/>
    </w:lvl>
    <w:lvl w:ilvl="1">
      <w:lvlJc w:val="left"/>
      <w:lvlText w:val="•"/>
      <w:numFmt w:val="bullet"/>
      <w:start w:val="1"/>
    </w:lvl>
  </w:abstractNum>
  <w:abstractNum w:abstractNumId="114">
    <w:nsid w:val="4C9B0904"/>
    <w:multiLevelType w:val="hybridMultilevel"/>
    <w:lvl w:ilvl="0">
      <w:lvlJc w:val="left"/>
      <w:lvlText w:val="(%1)"/>
      <w:numFmt w:val="decimal"/>
      <w:start w:val="2"/>
    </w:lvl>
  </w:abstractNum>
  <w:abstractNum w:abstractNumId="115">
    <w:nsid w:val="6AA7B75C"/>
    <w:multiLevelType w:val="hybridMultilevel"/>
    <w:lvl w:ilvl="0">
      <w:lvlJc w:val="left"/>
      <w:lvlText w:val="%1."/>
      <w:numFmt w:val="decimal"/>
      <w:start w:val="2"/>
    </w:lvl>
  </w:abstractNum>
  <w:abstractNum w:abstractNumId="116">
    <w:nsid w:val="1DF029D3"/>
    <w:multiLevelType w:val="hybridMultilevel"/>
    <w:lvl w:ilvl="0">
      <w:lvlJc w:val="left"/>
      <w:lvlText w:val="(%1)"/>
      <w:numFmt w:val="lowerRoman"/>
      <w:start w:val="3"/>
    </w:lvl>
  </w:abstractNum>
  <w:abstractNum w:abstractNumId="117">
    <w:nsid w:val="5675FF36"/>
    <w:multiLevelType w:val="hybridMultilevel"/>
    <w:lvl w:ilvl="0">
      <w:lvlJc w:val="left"/>
      <w:lvlText w:val="(%1)"/>
      <w:numFmt w:val="lowerRoman"/>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lowerRoman"/>
      <w:start w:val="2"/>
    </w:lvl>
  </w:abstractNum>
  <w:abstractNum w:abstractNumId="120">
    <w:nsid w:val="2708C9AF"/>
    <w:multiLevelType w:val="hybridMultilevel"/>
    <w:lvl w:ilvl="0">
      <w:lvlJc w:val="left"/>
      <w:lvlText w:val="(%1)"/>
      <w:numFmt w:val="decimal"/>
      <w:start w:val="2"/>
    </w:lvl>
  </w:abstractNum>
  <w:abstractNum w:abstractNumId="121">
    <w:nsid w:val="5B25ACE2"/>
    <w:multiLevelType w:val="hybridMultilevel"/>
    <w:lvl w:ilvl="0">
      <w:lvlJc w:val="left"/>
      <w:lvlText w:val="%1."/>
      <w:numFmt w:val="decimal"/>
      <w:start w:val="2"/>
    </w:lvl>
  </w:abstractNum>
  <w:abstractNum w:abstractNumId="122">
    <w:nsid w:val="175DFCF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2019-12-07T12:40:22Z</dcterms:created>
  <dcterms:modified xsi:type="dcterms:W3CDTF">2019-12-07T12:40:22Z</dcterms:modified>
</cp:coreProperties>
</file>