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3397dsc14d9c.htm"/>
      <w:bookmarkStart w:id="1" w:name="ksd133397dsc14d9c"/>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14D-9 </w:t>
      </w:r>
    </w:p>
    <w:p>
      <w:pPr>
        <w:pStyle w:val="TextBody"/>
        <w:bidi w:val="0"/>
        <w:spacing w:before="240" w:after="0"/>
        <w:jc w:val="center"/>
        <w:rPr>
          <w:rFonts w:ascii="Times New Roman" w:hAnsi="Times New Roman"/>
          <w:b/>
          <w:sz w:val="24"/>
        </w:rPr>
      </w:pPr>
      <w:r>
        <w:rPr>
          <w:rFonts w:ascii="Times New Roman" w:hAnsi="Times New Roman"/>
          <w:b/>
          <w:sz w:val="24"/>
        </w:rPr>
        <w:t xml:space="preserve">SOLICITATION/RECOMMENDATION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UNDER SECTION 14(d)(4) 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Apellis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Apellis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 Filing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03753U106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Cedric Francois, M.D., Ph.D.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Apellis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100 Fifth Avenue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 02451 </w:t>
      </w:r>
    </w:p>
    <w:p>
      <w:pPr>
        <w:pStyle w:val="TextBody"/>
        <w:bidi w:val="0"/>
        <w:spacing w:before="0" w:after="0"/>
        <w:jc w:val="center"/>
        <w:rPr>
          <w:rFonts w:ascii="Times New Roman" w:hAnsi="Times New Roman"/>
          <w:b/>
          <w:sz w:val="20"/>
        </w:rPr>
      </w:pPr>
      <w:r>
        <w:rPr>
          <w:rFonts w:ascii="Times New Roman" w:hAnsi="Times New Roman"/>
          <w:b/>
          <w:sz w:val="20"/>
        </w:rPr>
        <w:t xml:space="preserve">(617) 977-5700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0" w:after="0"/>
        <w:jc w:val="center"/>
        <w:rPr>
          <w:rFonts w:ascii="Times New Roman" w:hAnsi="Times New Roman"/>
          <w:b/>
          <w:sz w:val="16"/>
        </w:rPr>
      </w:pPr>
      <w:r>
        <w:rPr>
          <w:rFonts w:ascii="Times New Roman" w:hAnsi="Times New Roman"/>
          <w:b/>
          <w:sz w:val="16"/>
        </w:rPr>
        <w:t xml:space="preserve">on behalf of the persons filing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sz w:val="20"/>
              </w:rPr>
            </w:pPr>
            <w:r>
              <w:rPr>
                <w:rFonts w:ascii="Times New Roman" w:hAnsi="Times New Roman"/>
                <w:b/>
                <w:sz w:val="20"/>
              </w:rPr>
              <w:t>Stuart M. Falber</w:t>
            </w:r>
          </w:p>
          <w:p>
            <w:pPr>
              <w:pStyle w:val="TableContents"/>
              <w:bidi w:val="0"/>
              <w:spacing w:before="0" w:after="0"/>
              <w:jc w:val="center"/>
              <w:rPr>
                <w:rFonts w:ascii="Times New Roman" w:hAnsi="Times New Roman"/>
                <w:b/>
                <w:sz w:val="20"/>
              </w:rPr>
            </w:pPr>
            <w:r>
              <w:rPr>
                <w:rFonts w:ascii="Times New Roman" w:hAnsi="Times New Roman"/>
                <w:b/>
                <w:sz w:val="20"/>
              </w:rPr>
              <w:t>Hal J. Leibowitz</w:t>
            </w:r>
          </w:p>
          <w:p>
            <w:pPr>
              <w:pStyle w:val="TableContents"/>
              <w:bidi w:val="0"/>
              <w:spacing w:before="0" w:after="0"/>
              <w:jc w:val="center"/>
              <w:rPr>
                <w:rFonts w:ascii="Times New Roman" w:hAnsi="Times New Roman"/>
                <w:b/>
                <w:sz w:val="20"/>
              </w:rPr>
            </w:pPr>
            <w:r>
              <w:rPr>
                <w:rFonts w:ascii="Times New Roman" w:hAnsi="Times New Roman"/>
                <w:b/>
                <w:sz w:val="20"/>
              </w:rPr>
              <w:t>Andrew R. Bonnes</w:t>
            </w:r>
          </w:p>
          <w:p>
            <w:pPr>
              <w:pStyle w:val="TableContents"/>
              <w:bidi w:val="0"/>
              <w:spacing w:before="0" w:after="0"/>
              <w:jc w:val="center"/>
              <w:rPr>
                <w:rFonts w:ascii="Times New Roman" w:hAnsi="Times New Roman"/>
                <w:b/>
                <w:sz w:val="20"/>
              </w:rPr>
            </w:pPr>
            <w:r>
              <w:rPr>
                <w:rFonts w:ascii="Times New Roman" w:hAnsi="Times New Roman"/>
                <w:b/>
                <w:sz w:val="20"/>
              </w:rPr>
              <w:t>Wilmer Cutler Pickering Hale and Dorr LLP</w:t>
            </w:r>
          </w:p>
          <w:p>
            <w:pPr>
              <w:pStyle w:val="TableContents"/>
              <w:bidi w:val="0"/>
              <w:spacing w:before="0" w:after="0"/>
              <w:jc w:val="center"/>
              <w:rPr>
                <w:rFonts w:ascii="Times New Roman" w:hAnsi="Times New Roman"/>
                <w:b/>
                <w:sz w:val="20"/>
              </w:rPr>
            </w:pPr>
            <w:r>
              <w:rPr>
                <w:rFonts w:ascii="Times New Roman" w:hAnsi="Times New Roman"/>
                <w:b/>
                <w:sz w:val="20"/>
              </w:rPr>
              <w:t>60 State Street</w:t>
            </w:r>
          </w:p>
          <w:p>
            <w:pPr>
              <w:pStyle w:val="TableContents"/>
              <w:bidi w:val="0"/>
              <w:spacing w:before="0" w:after="0"/>
              <w:jc w:val="center"/>
              <w:rPr>
                <w:rFonts w:ascii="Times New Roman" w:hAnsi="Times New Roman"/>
                <w:b/>
                <w:sz w:val="20"/>
              </w:rPr>
            </w:pPr>
            <w:r>
              <w:rPr>
                <w:rFonts w:ascii="Times New Roman" w:hAnsi="Times New Roman"/>
                <w:b/>
                <w:sz w:val="20"/>
              </w:rPr>
              <w:t>Boston, Massachusetts 02109</w:t>
            </w:r>
          </w:p>
          <w:p>
            <w:pPr>
              <w:pStyle w:val="TableContents"/>
              <w:bidi w:val="0"/>
              <w:spacing w:before="0" w:after="20"/>
              <w:jc w:val="center"/>
              <w:rPr>
                <w:rFonts w:ascii="Times New Roman" w:hAnsi="Times New Roman"/>
                <w:b/>
                <w:sz w:val="20"/>
              </w:rPr>
            </w:pPr>
            <w:r>
              <w:rPr>
                <w:rFonts w:ascii="Times New Roman" w:hAnsi="Times New Roman"/>
                <w:b/>
                <w:sz w:val="20"/>
              </w:rPr>
              <w:t>(617) 526-6000</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Adam O. Emmerich, Esq.</w:t>
            </w:r>
          </w:p>
          <w:p>
            <w:pPr>
              <w:pStyle w:val="TableContents"/>
              <w:bidi w:val="0"/>
              <w:spacing w:before="0" w:after="0"/>
              <w:jc w:val="center"/>
              <w:rPr>
                <w:rFonts w:ascii="Times New Roman" w:hAnsi="Times New Roman"/>
                <w:b/>
                <w:sz w:val="20"/>
              </w:rPr>
            </w:pPr>
            <w:r>
              <w:rPr>
                <w:rFonts w:ascii="Times New Roman" w:hAnsi="Times New Roman"/>
                <w:b/>
                <w:sz w:val="20"/>
              </w:rPr>
              <w:t>Ronald C. Chen, Esq.</w:t>
            </w:r>
          </w:p>
          <w:p>
            <w:pPr>
              <w:pStyle w:val="TableContents"/>
              <w:bidi w:val="0"/>
              <w:spacing w:before="0" w:after="0"/>
              <w:jc w:val="center"/>
              <w:rPr>
                <w:rFonts w:ascii="Times New Roman" w:hAnsi="Times New Roman"/>
                <w:b/>
                <w:sz w:val="20"/>
              </w:rPr>
            </w:pPr>
            <w:r>
              <w:rPr>
                <w:rFonts w:ascii="Times New Roman" w:hAnsi="Times New Roman"/>
                <w:b/>
                <w:sz w:val="20"/>
              </w:rPr>
              <w:t>Victor Goldfeld, Esq.</w:t>
            </w:r>
          </w:p>
          <w:p>
            <w:pPr>
              <w:pStyle w:val="TableContents"/>
              <w:bidi w:val="0"/>
              <w:spacing w:before="0" w:after="0"/>
              <w:jc w:val="center"/>
              <w:rPr>
                <w:rFonts w:ascii="Times New Roman" w:hAnsi="Times New Roman"/>
                <w:b/>
                <w:sz w:val="20"/>
              </w:rPr>
            </w:pPr>
            <w:r>
              <w:rPr>
                <w:rFonts w:ascii="Times New Roman" w:hAnsi="Times New Roman"/>
                <w:b/>
                <w:sz w:val="20"/>
              </w:rPr>
              <w:t>Wachtell, Lipton, Rosen &amp; Katz</w:t>
            </w:r>
          </w:p>
          <w:p>
            <w:pPr>
              <w:pStyle w:val="TableContents"/>
              <w:bidi w:val="0"/>
              <w:spacing w:before="0" w:after="0"/>
              <w:jc w:val="center"/>
              <w:rPr>
                <w:rFonts w:ascii="Times New Roman" w:hAnsi="Times New Roman"/>
                <w:b/>
                <w:sz w:val="20"/>
              </w:rPr>
            </w:pPr>
            <w:r>
              <w:rPr>
                <w:rFonts w:ascii="Times New Roman" w:hAnsi="Times New Roman"/>
                <w:b/>
                <w:sz w:val="20"/>
              </w:rPr>
              <w:t>51 West 52nd Street</w:t>
            </w:r>
          </w:p>
          <w:p>
            <w:pPr>
              <w:pStyle w:val="TableContents"/>
              <w:bidi w:val="0"/>
              <w:spacing w:before="0" w:after="0"/>
              <w:jc w:val="center"/>
              <w:rPr>
                <w:rFonts w:ascii="Times New Roman" w:hAnsi="Times New Roman"/>
                <w:b/>
                <w:sz w:val="20"/>
              </w:rPr>
            </w:pPr>
            <w:r>
              <w:rPr>
                <w:rFonts w:ascii="Times New Roman" w:hAnsi="Times New Roman"/>
                <w:b/>
                <w:sz w:val="20"/>
              </w:rPr>
              <w:t>New York, New York 10019</w:t>
            </w:r>
          </w:p>
          <w:p>
            <w:pPr>
              <w:pStyle w:val="TableContents"/>
              <w:bidi w:val="0"/>
              <w:spacing w:before="0" w:after="20"/>
              <w:jc w:val="center"/>
              <w:rPr>
                <w:rFonts w:ascii="Times New Roman" w:hAnsi="Times New Roman"/>
                <w:b/>
                <w:sz w:val="20"/>
              </w:rPr>
            </w:pPr>
            <w:r>
              <w:rPr>
                <w:rFonts w:ascii="Times New Roman" w:hAnsi="Times New Roman"/>
                <w:b/>
                <w:sz w:val="20"/>
              </w:rPr>
              <w:t>(212) 403-1000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Schedule 14D-9 relates to the below listed preliminary communications made before the commencement of a planned tender offer (the “Offer”) by Biogen Inc., a Delaware corporation (“Parent”), and Aspen Purchaser Sub, Inc., a Delaware corporation and wholly owned subsidiary of Parent (“Purchaser”), to acquire all of the issued and outstanding shares of the common stock, $0.0001 par value per share, of Apellis Pharmaceuticals, Inc., a Delaware corporation (the “Company”), to be commenced pursuant to the Agreement and Plan of Merger, dated as of March 31, 2026, by and among the Company, Parent and Purchaser (the “Merger Agreement”). Following the consummation of the Offer, subject to the terms and conditions of the Merger Agreement, and in accordance with the General Corporation Law of the State of Delaware, Purchaser will merge with and into the Company as provided in the Merger Agreement, with the Company continuing as the surviving corporation and a wholly owned subsidiary of Parent.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 99.1: Joint Press Release, dated March 31, 2026, issued by the Company and Parent (incorporated by reference to Exhibit 99.2 of the Current Report on Form 8-K as filed by the Company with the U.S. Securities and Exchange Commission (the “SEC”) on March 31, 2026 (File No. 001-38276).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 99.2: Email from Cedric Francois, M.D., Ph.D., President and Chief Executive Officer of the Company, sent to the Company’s employees, dated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 99.3: Investor-Analyst Courtesy Email, dated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Items #1-3 listed above were first used or made available on March 31, 2026. In addition, the information set forth under Items 1.01, 5.02, 8.01 and 9.01 of the Current Report on Form 8-K filed by the Company with the SEC on Mach 31, 2026 (including all exhibits attached thereto and incorporated therein by reference)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filing contains “forward-looking” statements that are subject to risks, uncertainties and other factors relating to future events and the future performance of Biogen Inc. (“Biogen”) and Apellis Pharmaceuticals, Inc. (“Apellis”), including regarding Biogen’s proposed acquisition of Apellis pursuant to that certain Agreement and Plan of Merger, dated as of March 31, 2026, by and among Biogen, Aspen Purchaser Sub, Inc. (“Purchaser”) and Apellis (the “Merger Agreement”, and the tender offer contemplated thereby, the “tender offer” and the merger contemplated thereby, the “merger”, and together with the other transactions contemplated thereby, the “transactions”), the prospective benefits of the transactions, the potential contingent consideration amounts and the terms and the anticipated occurrence, manner and timing of the proposed tender offer and the closing of the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factors, including, among other things: the risk that the transactions may not be completed in a timely manner, or at all; uncertainties as to the timing of the tender offer and merger; the possibility that various closing conditions of the tender offer or the merger may not be satisfied or waived, including that a governmental entity may prohibit, delay or refuse to grant approval for the consummation of the transactions (or only grant approval subject to adverse conditions or limitations); the difficulty of predicting the timing or outcome of regulatory approvals or actions, if any; uncertainty regarding how many of Apellis’ stockholders will tender their shares in the tender offer; the risk that competing offers or acquisition proposals will be made; the occurrence of any event, change or other circumstance that could give rise to the termination of the Merger Agreement and the transactions contemplated thereby; uncertainty as to the ultimate transaction costs; uncertainty regarding each of the milestones that are needed to be achieved to obtain the potential contingent consideration amounts, including the possibility that such milestones will never be achieved and that no contingent consideration payments may be made; the effect of the announcement or pendency of the transactions on the trading price of Apellis’ or Biogen’s common stock or Apellis’ or Biogen’s business, operating results or relationships with employees, collaborators, vendors, competitors or other business partners or governmental entities; risks that the transactions or transaction-related uncertainty may disrupt Apellis’ and Biogen’s current plans and business operations; potential difficulties retaining employees as a result of the transactions; risks related to diverting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attention of the management teams of Apellis and Biogen from ongoing business operations; the risk that stockholder litigation or legal proceedings in connection with the transactions may result in significant costs of defense, indemnification and liability, or present risks to the timing or certainty of the closing of the transactions; the outcome of any stockholder litigation or legal proceedings that may be instituted against Apellis or Biogen related to the transactions; changes in Apellis’ or Biogen’s respective businesses during the period between announcement and closing of the transactions; risks related to Biogen’s ability to realize the anticipated benefits of the transactions, including the possibility that the expected benefits from the transactions will not be realized or will not be realized within the expected time period and that Apellis and Biogen will not be integrated successfully; uncertainties pertaining to other business effects, including the effects of industry, market, economic, political or regulatory conditions, future exchange and interest rates and changes in tax and other laws, regulations, rates and policies; and other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A more complete description of these and other material risks can be found in Apellis’ and Biogen’s filings with the U.S. Securities and Exchange Commission (the “SEC”), including in the section entitled “Risk Factors” in Apellis’ Annual Report on Form 10-K for the fiscal year ended December 31, 2025 filed with the SEC on February 24, 2026 (and available at: https://www.sec.gov/ix?doc=/Archives/edgar/data/1492422/000119312526065179/apls-20251231.htm), in the section entitled “Risk Factors” in Biogen’s Annual Report on Form 10-K for the fiscal year ended December 31, 2025 filed with the SEC on February 6, 2026 (and available at: https://www.sec.gov/ix?doc=/Archives/edgar/data/875045/000087504526000013/biib-20251231.htm), in other filings Apellis and Biogen may make with the SEC in the future, including in their Quarterly Reports on Form 10-Q, as well as in the Schedule TO and related tender offer documents to be filed by Biogen and Purchaser and the Schedule 14D-9 to be filed by Apellis. Any forward-looking statements are made based on the current beliefs and judgments of Apellis’ and Biogen’s management, and the reader is cautioned not to rely on any forward-looking statements made by Apellis or Biogen. Any forward-looking statements contained herein speak only as of the date hereof, and Apellis and Biogen do not undertake and expressly disclaim any obligation to update any forward-looking statements contained herein, whether because of any new information, future events, changed circumstances or otherwise, except as otherwise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for Investors and Stockholders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tender offer referenced in this filing has not yet commenced. This filing is for informational purposes only and is neither an offer to purchase nor a solicitation of an offer to sell any securities, nor is it a substitute for the tender offer materials that Biogen, Purchaser or Apellis will file with the SEC. The solicitation and offer to buy outstanding shares of Apellis common stock will only be made pursuant to an Offer to Purchase and related tender offer materials that Biogen and Purchaser intend to file with the SEC. At the time the tender offer is commenced, Biogen and Purchaser will file a Tender Offer Statement on Schedule TO and thereafter Apellis will file a Solicitation/Recommendation Statement on Schedule 14D-9 with the SEC with respect to the tender offer. APELLIS’ STOCKHOLDERS ARE URGED TO CAREFULLY READ THE TENDER OFFER MATERIALS (INCLUDING AN OFFER TO PURCHASE, A RELATED LETTER OF TRANSMITTAL AND CERTAIN OTHER TENDER OFFER DOCUMENTS) AND THE SOLICITATION/RECOMMENDATION STATEMENT ON SCHEDULE 14D-9 (AS EACH MAY BE AMENDED OR SUPPLEMENTED FROM TIME TO TIME), WHEN THEY BECOME AVAILABLE, BECAUSE THEY WILL EACH CONTAIN IMPORTANT INFORMATION ABOUT THE TENDER OFFER AND MERGER THAT APELLIS’ STOCKHOLDERS SHOULD CONSIDER BEFORE MAKING ANY DECISION WITH RESPECT TO THE TENDER OFFER. The Schedule TO, including the Offer to Purchase, the related Letter of Transmittal and certain other tender offer documents, and the Solicitation/Recommendation Statement on Schedule 14D-9, will be made available to all of Apellis’ stockholders at no expense to them and will also be made available for free at the SEC’s website at www.sec.gov. Additional copies of the tender offer materials filed by Apellis may be obtained for free under the “Investors &amp; Media” section of the Company’s website at https://investors.apellis.com/investor-relations. Additional copies of the tender offer materials filed by Biogen and Purchaser may be obtained for free under the “Investors” section of Biogen’s website at https://investors.biogen.com. In addition to the Offer to Purchase, the related Letter of Transmittal and certain other tender offer documents and the Solicitation/Recommendation Statement on Schedule 14D-9, Apellis and Biogen each file annual, quarterly and current reports, proxy statements and other information with the SEC, which are available to the public over the internet at the SEC’s website at http://www.sec.gov.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
        <w:gridCol w:w="422"/>
        <w:gridCol w:w="8997"/>
      </w:tblGrid>
      <w:tr>
        <w:trPr/>
        <w:tc>
          <w:tcPr>
            <w:tcW w:w="786"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8997" w:type="dxa"/>
            <w:tcBorders/>
            <w:vAlign w:val="center"/>
          </w:tcPr>
          <w:p>
            <w:pPr>
              <w:pStyle w:val="TableContents"/>
              <w:bidi w:val="0"/>
              <w:spacing w:before="0" w:after="283"/>
              <w:jc w:val="left"/>
              <w:rPr>
                <w:sz w:val="4"/>
                <w:szCs w:val="4"/>
              </w:rPr>
            </w:pPr>
            <w:r>
              <w:rPr>
                <w:sz w:val="4"/>
                <w:szCs w:val="4"/>
              </w:rPr>
            </w:r>
          </w:p>
        </w:tc>
      </w:tr>
      <w:tr>
        <w:trPr/>
        <w:tc>
          <w:tcPr>
            <w:tcW w:w="786"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22" w:type="dxa"/>
            <w:tcBorders/>
            <w:vAlign w:val="bottom"/>
          </w:tcPr>
          <w:p>
            <w:pPr>
              <w:pStyle w:val="TableContents"/>
              <w:bidi w:val="0"/>
              <w:spacing w:before="0" w:after="283"/>
              <w:jc w:val="left"/>
              <w:rPr/>
            </w:pPr>
            <w:r>
              <w:rPr/>
              <w:t>  </w:t>
            </w:r>
          </w:p>
        </w:tc>
        <w:tc>
          <w:tcPr>
            <w:tcW w:w="89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99.1</w:t>
            </w:r>
          </w:p>
        </w:tc>
        <w:tc>
          <w:tcPr>
            <w:tcW w:w="42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2">
              <w:r>
                <w:rPr>
                  <w:rStyle w:val="InternetLink"/>
                </w:rPr>
                <w:t xml:space="preserve">Joint Press Release, dated March  31, 2026, issued by the Company and Parent (incorporated by reference to Exhibit 99.2 of the Current Report on Form 8-K as filed by the Company with the SEC on March 31, 2026 (File No. 001-38276). </w:t>
              </w:r>
            </w:hyperlink>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99.2</w:t>
            </w:r>
          </w:p>
        </w:tc>
        <w:tc>
          <w:tcPr>
            <w:tcW w:w="42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w:anchor="d133397dex992.htm">
              <w:r>
                <w:rPr>
                  <w:rStyle w:val="InternetLink"/>
                </w:rPr>
                <w:t xml:space="preserve">Email from Cedric Francois, M.D., Ph.D., President and Chief Executive Officer of the Company, sent to the Company’s employees, dated March 31, 2026. </w:t>
              </w:r>
            </w:hyperlink>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99.3</w:t>
            </w:r>
          </w:p>
        </w:tc>
        <w:tc>
          <w:tcPr>
            <w:tcW w:w="42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w:anchor="d133397dex993.htm">
              <w:r>
                <w:rPr>
                  <w:rStyle w:val="InternetLink"/>
                </w:rPr>
                <w:t xml:space="preserve">Investor-Analyst Courtesy Email, dated March 31, 2026. </w:t>
              </w:r>
            </w:hyperlink>
          </w:p>
        </w:tc>
      </w:tr>
    </w:tbl>
    <w:p>
      <w:pPr>
        <w:pStyle w:val="TextBody"/>
        <w:bidi w:val="0"/>
        <w:spacing w:before="0" w:after="0"/>
        <w:jc w:val="right"/>
        <w:rPr>
          <w:rFonts w:ascii="Times New Roman" w:hAnsi="Times New Roman"/>
          <w:b/>
          <w:sz w:val="20"/>
        </w:rPr>
      </w:pPr>
      <w:bookmarkStart w:id="2" w:name="d133397dex992.htm"/>
      <w:bookmarkStart w:id="3" w:name="ksd133397dex992"/>
      <w:bookmarkEnd w:id="2"/>
      <w:bookmarkEnd w:id="3"/>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Subject: Apellis to be acquired by Biogen </w:t>
      </w:r>
    </w:p>
    <w:p>
      <w:pPr>
        <w:pStyle w:val="TextBody"/>
        <w:bidi w:val="0"/>
        <w:spacing w:before="240" w:after="0"/>
        <w:jc w:val="left"/>
        <w:rPr>
          <w:rFonts w:ascii="Times New Roman" w:hAnsi="Times New Roman"/>
          <w:sz w:val="20"/>
        </w:rPr>
      </w:pPr>
      <w:r>
        <w:rPr>
          <w:rFonts w:ascii="Times New Roman" w:hAnsi="Times New Roman"/>
          <w:sz w:val="20"/>
        </w:rPr>
        <w:t xml:space="preserve">Dear Apellucians, </w:t>
      </w:r>
    </w:p>
    <w:p>
      <w:pPr>
        <w:pStyle w:val="TextBody"/>
        <w:bidi w:val="0"/>
        <w:spacing w:before="120" w:after="0"/>
        <w:jc w:val="left"/>
        <w:rPr>
          <w:rFonts w:ascii="Times New Roman" w:hAnsi="Times New Roman"/>
          <w:sz w:val="20"/>
        </w:rPr>
      </w:pPr>
      <w:r>
        <w:rPr>
          <w:rFonts w:ascii="Times New Roman" w:hAnsi="Times New Roman"/>
          <w:sz w:val="20"/>
        </w:rPr>
        <w:t xml:space="preserve">Today, we announced that Apellis has agreed to be acquired by Biogen, a global biotechnology company, for $41 per share in cash, representing a total value of approximately $5.6 billion. There is also upside potential with the contingent value right (CVR), which would deliver two additional cash payments to shareholders if certain annual sales thresholds for SYFOVRE are met. </w:t>
      </w:r>
    </w:p>
    <w:p>
      <w:pPr>
        <w:pStyle w:val="TextBody"/>
        <w:bidi w:val="0"/>
        <w:spacing w:before="240" w:after="0"/>
        <w:jc w:val="left"/>
        <w:rPr>
          <w:rFonts w:ascii="Times New Roman" w:hAnsi="Times New Roman"/>
          <w:sz w:val="20"/>
        </w:rPr>
      </w:pPr>
      <w:r>
        <w:rPr>
          <w:rFonts w:ascii="Times New Roman" w:hAnsi="Times New Roman"/>
          <w:sz w:val="20"/>
        </w:rPr>
        <w:t xml:space="preserve">This deal reflects the transformational impact of SYFOVRE and EMPAVELI, the strength of our science, and the extraordinary talent of our team. With Biogen’s scale, resources, and global reach, we’ll be able to expand our impact and reach even more patients, faster than we could on our own. After careful evaluation, our Board of Directors unanimously determined this is the right path forward for Apellis and our stakeholders. </w:t>
      </w:r>
    </w:p>
    <w:p>
      <w:pPr>
        <w:pStyle w:val="TextBody"/>
        <w:bidi w:val="0"/>
        <w:spacing w:before="240" w:after="0"/>
        <w:jc w:val="left"/>
        <w:rPr>
          <w:rFonts w:ascii="Times New Roman" w:hAnsi="Times New Roman"/>
          <w:sz w:val="20"/>
        </w:rPr>
      </w:pPr>
      <w:r>
        <w:rPr>
          <w:rFonts w:ascii="Times New Roman" w:hAnsi="Times New Roman"/>
          <w:sz w:val="20"/>
        </w:rPr>
        <w:t xml:space="preserve">As you know, our focus has been on building a leading biotech company. Over more than 15 years, we’ve grown Apellis from a startup founded on bold complement science into a commercial company delivering life-changing medicines to patients and advancing an innovative pipeline. Achieving three approvals in four years is rare in our industry, and it was only possible because of the deep commitment and expertise of this team. </w:t>
      </w:r>
    </w:p>
    <w:p>
      <w:pPr>
        <w:pStyle w:val="TextBody"/>
        <w:bidi w:val="0"/>
        <w:spacing w:before="240" w:after="0"/>
        <w:jc w:val="left"/>
        <w:rPr>
          <w:rFonts w:ascii="Times New Roman" w:hAnsi="Times New Roman"/>
          <w:sz w:val="20"/>
        </w:rPr>
      </w:pPr>
      <w:r>
        <w:rPr>
          <w:rFonts w:ascii="Times New Roman" w:hAnsi="Times New Roman"/>
          <w:sz w:val="20"/>
        </w:rPr>
        <w:t xml:space="preserve">Biogen recognizes our achievements and views this deal as an opportunity to enhance their growth portfolio in immunology and rare disease and accelerate their expansion into nephrology. </w:t>
      </w:r>
    </w:p>
    <w:p>
      <w:pPr>
        <w:pStyle w:val="TextBody"/>
        <w:bidi w:val="0"/>
        <w:spacing w:before="240" w:after="0"/>
        <w:jc w:val="left"/>
        <w:rPr>
          <w:rFonts w:ascii="Times New Roman" w:hAnsi="Times New Roman"/>
          <w:sz w:val="20"/>
        </w:rPr>
      </w:pPr>
      <w:r>
        <w:rPr>
          <w:rFonts w:ascii="Times New Roman" w:hAnsi="Times New Roman"/>
          <w:sz w:val="20"/>
        </w:rPr>
        <w:t xml:space="preserve">We expect the transaction to close in the second quarter of 2026, subject to customary closing conditions, including regulatory clearances and the tender of a majority of the shares of Apellis common stock then outstanding. Until then, Apellis and Biogen remain two separate and independent companies, and our priorities and focus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I know you’ll have questions about today’s news and hope you will join us for a Town Hall at 11:30 a.m. ET. An invitation will be sent shortly. </w:t>
      </w:r>
    </w:p>
    <w:p>
      <w:pPr>
        <w:pStyle w:val="TextBody"/>
        <w:bidi w:val="0"/>
        <w:spacing w:before="240" w:after="0"/>
        <w:jc w:val="left"/>
        <w:rPr>
          <w:rFonts w:ascii="Times New Roman" w:hAnsi="Times New Roman"/>
          <w:sz w:val="20"/>
        </w:rPr>
      </w:pPr>
      <w:r>
        <w:rPr>
          <w:rFonts w:ascii="Times New Roman" w:hAnsi="Times New Roman"/>
          <w:sz w:val="20"/>
        </w:rPr>
        <w:t xml:space="preserve">Today is the first step in the process, and in the coming weeks we will begin planning how our organizations come together. We are committed to keeping you updated as more information becomes available. </w:t>
      </w:r>
    </w:p>
    <w:p>
      <w:pPr>
        <w:pStyle w:val="TextBody"/>
        <w:bidi w:val="0"/>
        <w:spacing w:before="240" w:after="0"/>
        <w:jc w:val="left"/>
        <w:rPr>
          <w:rFonts w:ascii="Times New Roman" w:hAnsi="Times New Roman"/>
          <w:sz w:val="20"/>
        </w:rPr>
      </w:pPr>
      <w:r>
        <w:rPr>
          <w:rFonts w:ascii="Times New Roman" w:hAnsi="Times New Roman"/>
          <w:sz w:val="20"/>
        </w:rPr>
        <w:t xml:space="preserve">I’m incredibly proud of what we’ve built together—starting from a small lab in Kentucky to an organization that is making a difference in tens of thousands of patients’ lives. I couldn’t be more grateful for all that this team has accomplished and for the impact that will continue from what we’ve created together. </w:t>
      </w:r>
    </w:p>
    <w:p>
      <w:pPr>
        <w:pStyle w:val="TextBody"/>
        <w:bidi w:val="0"/>
        <w:spacing w:before="240" w:after="0"/>
        <w:jc w:val="left"/>
        <w:rPr>
          <w:rFonts w:ascii="Times New Roman" w:hAnsi="Times New Roman"/>
          <w:sz w:val="20"/>
        </w:rPr>
      </w:pPr>
      <w:r>
        <w:rPr>
          <w:rFonts w:ascii="Times New Roman" w:hAnsi="Times New Roman"/>
          <w:sz w:val="20"/>
        </w:rPr>
        <w:t xml:space="preserve">To learn more, please read our </w:t>
      </w:r>
      <w:r>
        <w:rPr>
          <w:rFonts w:ascii="Times New Roman" w:hAnsi="Times New Roman"/>
          <w:sz w:val="20"/>
          <w:u w:val="single"/>
        </w:rPr>
        <w:t>press 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Kind regards, </w:t>
      </w:r>
    </w:p>
    <w:p>
      <w:pPr>
        <w:pStyle w:val="TextBody"/>
        <w:bidi w:val="0"/>
        <w:spacing w:before="0" w:after="0"/>
        <w:jc w:val="left"/>
        <w:rPr>
          <w:rFonts w:ascii="Times New Roman" w:hAnsi="Times New Roman"/>
          <w:sz w:val="20"/>
        </w:rPr>
      </w:pPr>
      <w:r>
        <w:rPr>
          <w:rFonts w:ascii="Times New Roman" w:hAnsi="Times New Roman"/>
          <w:sz w:val="20"/>
        </w:rPr>
        <w:t xml:space="preserve">Cedric </w:t>
      </w:r>
    </w:p>
    <w:p>
      <w:pPr>
        <w:pStyle w:val="TextBody"/>
        <w:bidi w:val="0"/>
        <w:spacing w:before="240" w:after="0"/>
        <w:jc w:val="left"/>
        <w:rPr>
          <w:rFonts w:ascii="Times New Roman" w:hAnsi="Times New Roman"/>
          <w:b/>
          <w:sz w:val="20"/>
        </w:rPr>
      </w:pPr>
      <w:r>
        <w:rPr>
          <w:rFonts w:ascii="Times New Roman" w:hAnsi="Times New Roman"/>
          <w:b/>
          <w:sz w:val="20"/>
        </w:rPr>
        <w:t xml:space="preserve">Cedric Francois, MD, PhD </w:t>
      </w:r>
    </w:p>
    <w:p>
      <w:pPr>
        <w:pStyle w:val="TextBody"/>
        <w:bidi w:val="0"/>
        <w:spacing w:before="0" w:after="0"/>
        <w:jc w:val="left"/>
        <w:rPr>
          <w:rFonts w:ascii="Times New Roman" w:hAnsi="Times New Roman"/>
          <w:sz w:val="20"/>
        </w:rPr>
      </w:pPr>
      <w:r>
        <w:rPr>
          <w:rFonts w:ascii="Times New Roman" w:hAnsi="Times New Roman"/>
          <w:sz w:val="20"/>
        </w:rPr>
        <w:t xml:space="preserve">Co-Founder and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Apellis Pharmaceuticals,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that are subject to risks, uncertainties and other factors relating to future events and the future performance of Biogen Inc. (“Biogen”) and Apellis Pharmaceuticals, Inc. (“Apellis”), including regarding Biogen’s proposed acquisition of Apellis pursuant to that certain Agreement and Plan of Merger, dated as of March 31, 2026, by and among Biogen, Aspen Purchaser Sub, Inc. (“Purchaser”) and Apellis (the “Merger Agreement”, and the tender offer contemplated thereby, the “tender offer” and the merger contemplated thereby, the “merger”, and together with the other transactions contemplated thereby, the “transactions”), the prospective benefits of the transactions, the potential contingent consideration amounts and the terms and the anticipated occurrence, manner and timing of the proposed tender offer and the closing of the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factors, including, among other things: the risk that the transactions may not be completed in a timely manner, or at all; uncertainties as to the timing of the tender offer and merger; the possibility that various closing conditions of the tender offer or the merger may not be satisfied or waived, including that a governmental entity may prohibit, delay or refuse to grant approval for the consummation of the transactions (or only grant approval subject to adverse conditions or limitations); the difficulty of predicting the timing or outcome of regulatory approvals or actions, if any; uncertainty regarding how many of Apellis’ stockholders will tender their shares in the tender offer; the risk that competing offers or acquisition proposals will be made; the occurrence of any event, change or other circumstance that could give rise to the termination of the Merger Agreement and the transactions contemplated thereby; uncertainty as to the ultimate transaction costs; uncertainty regarding each of the milestones that are needed to be achieved to obtain the potential contingent consideration amounts, including the possibility that such milestones will never be achieved and that no contingent consideration payments may be made; the effect of the announcement or pendency of the transactions on the trading price of Apellis’ or Biogen’s common stock or Apellis’ or Biogen’s business, operating results or relationships with employees, collaborators, vendors, competitors or other business partners or governmental entities; risks that the transactions or transaction-related uncertainty may disrupt Apellis’ and Biogen’s current plans and business operations; potential difficulties retaining employees as a result of the transactions; risks related to diverting the attention of the management teams of Apellis and Biogen from ongoing business operations; the risk that stockholder litigation or legal proceedings in connection with the transactions may result in significant costs of defense, indemnification and liability, or present risks to the timing or certainty of the closing of the transactions; the outcome of any stockholder litigation or legal proceedings that may be instituted against Apellis or Biogen related to the transactions; changes in Apellis’ or Biogen’s respective businesses during the period between announcement and closing of the transactions; risks related to Biogen’s ability to realize the anticipated benefits of the transactions, including the possibility that the expected benefits from the transactions will not be realized or will not be realized within the expected time period and that Apellis and Biogen will not be integrated successfully; uncertainties pertaining to other business effects, including the effects of industry, market, economic, political or regulatory conditions, future exchange and interest rates and changes in tax and other laws, regulations, rates and policies; and other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A more complete description of these and other material risks can be found in Apellis’ and Biogen’s filings with the U.S. Securities and Exchange Commission (the “SEC”), including in the section entitled “Risk Factors” in Apellis’ Annual Report on Form 10-K for the fiscal year ended December 31, 2025 filed with the SEC on February 24, 2026 (and available at: </w:t>
      </w:r>
      <w:r>
        <w:rPr>
          <w:rFonts w:ascii="Times New Roman" w:hAnsi="Times New Roman"/>
          <w:sz w:val="20"/>
          <w:u w:val="single"/>
        </w:rPr>
        <w:t>https://www.sec.gov/ix?doc=/Archives/edgar/data/1492422/000119312526065179/apls-20251231.htm</w:t>
      </w:r>
      <w:r>
        <w:rPr>
          <w:rFonts w:ascii="Times New Roman" w:hAnsi="Times New Roman"/>
          <w:sz w:val="20"/>
        </w:rPr>
        <w:t xml:space="preserve">), in the section entitled “Risk Factors” in Biogen’s Annual Report on Form 10-K for the fiscal year ended December 31, 2025 filed with the SEC on February 6, 2026 (and available at: </w:t>
      </w:r>
      <w:r>
        <w:rPr>
          <w:rFonts w:ascii="Times New Roman" w:hAnsi="Times New Roman"/>
          <w:sz w:val="20"/>
          <w:u w:val="single"/>
        </w:rPr>
        <w:t>https://www.sec.gov/ix?doc=/Archives/edgar/data/875045/000087504526000013/biib-20251231.htm</w:t>
      </w:r>
      <w:r>
        <w:rPr>
          <w:rFonts w:ascii="Times New Roman" w:hAnsi="Times New Roman"/>
          <w:sz w:val="20"/>
        </w:rPr>
        <w:t xml:space="preserve">), in other filings Apellis and Biogen may make with the SEC in the future, including in their Quarterly Reports on Form 10-Q, as well as in the Schedule TO and related tender offer documents to be filed by Biogen and Purchaser and the Schedule 14D-9 to be filed by Apellis. Any forward-looking statements are made based on the current beliefs and judgments of Apellis’ and Biogen’s management, and the reader is cautioned not to rely on any forward-looking statements made by Apellis or Biogen. Any forward-looking statements contained herein speak only as of the date hereof, and Apellis and Biogen do not undertake and expressly disclaim any obligation to update any forward-looking statements contained herein, whether because of any new information, future events, changed circumstances or otherwise, except as otherwise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for Investors and Stockholders and Where to Find It </w:t>
      </w:r>
    </w:p>
    <w:p>
      <w:pPr>
        <w:pStyle w:val="TextBody"/>
        <w:bidi w:val="0"/>
        <w:spacing w:before="240" w:after="0"/>
        <w:jc w:val="left"/>
        <w:rPr>
          <w:rFonts w:ascii="Times New Roman" w:hAnsi="Times New Roman"/>
          <w:sz w:val="20"/>
        </w:rPr>
      </w:pPr>
      <w:r>
        <w:rPr>
          <w:rFonts w:ascii="Times New Roman" w:hAnsi="Times New Roman"/>
          <w:sz w:val="20"/>
        </w:rPr>
        <w:t xml:space="preserve">The tender offer referenced in this communication has not yet commenced. This communication is for informational purposes only and is neither an offer to purchase nor a solicitation of an offer to sell any securities, nor is it a substitute for the tender offer materials that Biogen, Purchaser or Apellis will file with the SEC. The solicitation and offer to buy outstanding shares of Apellis common stock will only be made pursuant to an Offer to Purchase and related tender offer materials that Biogen and Purchaser intend to file with the SEC. At the time the tender offer is commenced, Biogen and Purchaser will file a Tender Offer Statement on Schedule TO and thereafter Apellis will file a Solicitation/Recommendation Statement on Schedule 14D-9 with the SEC with respect to the tender offer. APELLIS’ STOCKHOLDERS ARE URGED TO CAREFULLY READ THE TENDER OFFER MATERIALS (INCLUDING AN OFFER TO PURCHASE, A RELATED LETTER OF TRANSMITTAL AND CERTAIN OTHER TENDER OFFER DOCUMENTS) AND THE SOLICITATION/RECOMMENDATION STATEMENT ON SCHEDULE 14D-9 (AS EACH MAY BE AMENDED OR SUPPLEMENTED FROM TIME TO TIME), WHEN THEY BECOME AVAILABLE, BECAUSE THEY WILL EACH CONTAIN IMPORTANT INFORMATION ABOUT THE TENDER OFFER AND MERGER THAT APELLIS’ STOCKHOLDERS SHOULD CONSIDER BEFORE MAKING ANY DECISION WITH RESPECT TO THE TENDER OFFER. The Schedule TO, including the Offer to Purchase, the related Letter of Transmittal and certain other tender offer documents, and the Solicitation/Recommendation Statement on Schedule 14D-9, will be made available to all of Apellis’ stockholders at no expense to them and will also be made available for free at the SEC’s website at </w:t>
      </w:r>
      <w:r>
        <w:rPr>
          <w:rFonts w:ascii="Times New Roman" w:hAnsi="Times New Roman"/>
          <w:sz w:val="20"/>
          <w:u w:val="single"/>
        </w:rPr>
        <w:t>www.sec.gov</w:t>
      </w:r>
      <w:r>
        <w:rPr>
          <w:rFonts w:ascii="Times New Roman" w:hAnsi="Times New Roman"/>
          <w:sz w:val="20"/>
        </w:rPr>
        <w:t xml:space="preserve">. Additional copies of the tender offer materials filed by Apellis may be obtained for free under the “Investors &amp; Media” section of the Company’s website at </w:t>
      </w:r>
      <w:r>
        <w:rPr>
          <w:rFonts w:ascii="Times New Roman" w:hAnsi="Times New Roman"/>
          <w:sz w:val="20"/>
          <w:u w:val="single"/>
        </w:rPr>
        <w:t>https://investors.apellis.com/investor-relations</w:t>
      </w:r>
      <w:r>
        <w:rPr>
          <w:rFonts w:ascii="Times New Roman" w:hAnsi="Times New Roman"/>
          <w:sz w:val="20"/>
        </w:rPr>
        <w:t xml:space="preserve">. Additional copies of the tender offer materials filed by Biogen and Purchaser may be obtained for free under the “Investors” section of Biogen’s website at </w:t>
      </w:r>
      <w:r>
        <w:rPr>
          <w:rFonts w:ascii="Times New Roman" w:hAnsi="Times New Roman"/>
          <w:sz w:val="20"/>
          <w:u w:val="single"/>
        </w:rPr>
        <w:t>https://investors.biogen.com</w:t>
      </w:r>
      <w:r>
        <w:rPr>
          <w:rFonts w:ascii="Times New Roman" w:hAnsi="Times New Roman"/>
          <w:sz w:val="20"/>
        </w:rPr>
        <w:t xml:space="preserve">. In addition to the Offer to Purchase, the related Letter of Transmittal and certain other tender offer documents and the Solicitation/Recommendation Statement on Schedule 14D-9, Apellis and Biogen each file annual, quarterly and current reports, proxy statements and other information with the SEC, which are available to the public over the internet at the SEC’s website at </w:t>
      </w:r>
      <w:r>
        <w:rPr>
          <w:rFonts w:ascii="Times New Roman" w:hAnsi="Times New Roman"/>
          <w:sz w:val="20"/>
          <w:u w:val="single"/>
        </w:rPr>
        <w:t>http://www.sec.gov</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33397dex993.htm"/>
      <w:bookmarkStart w:id="5" w:name="ksd133397dex993"/>
      <w:bookmarkEnd w:id="4"/>
      <w:bookmarkEnd w:id="5"/>
      <w:r>
        <w:rPr>
          <w:rFonts w:ascii="Times New Roman" w:hAnsi="Times New Roman"/>
          <w:b/>
          <w:sz w:val="20"/>
        </w:rPr>
        <w:t xml:space="preserve">Exhibit 99.3 </w:t>
      </w:r>
      <w:r>
        <w:br w:type="page"/>
      </w:r>
    </w:p>
    <w:p>
      <w:pPr>
        <w:pStyle w:val="TextBody"/>
        <w:bidi w:val="0"/>
        <w:spacing w:before="240" w:after="0"/>
        <w:jc w:val="left"/>
        <w:rPr>
          <w:rFonts w:ascii="Times New Roman" w:hAnsi="Times New Roman"/>
          <w:sz w:val="20"/>
        </w:rPr>
      </w:pPr>
      <w:r>
        <w:rPr>
          <w:rFonts w:ascii="Times New Roman" w:hAnsi="Times New Roman"/>
          <w:b/>
          <w:sz w:val="20"/>
        </w:rPr>
        <w:t>Subject:</w:t>
      </w:r>
      <w:r>
        <w:rPr>
          <w:rFonts w:ascii="Times New Roman" w:hAnsi="Times New Roman"/>
          <w:sz w:val="20"/>
        </w:rPr>
        <w:t xml:space="preserve"> Biogen to Acquire Apellis for $41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Good morning, </w:t>
      </w:r>
    </w:p>
    <w:p>
      <w:pPr>
        <w:pStyle w:val="TextBody"/>
        <w:bidi w:val="0"/>
        <w:spacing w:before="240" w:after="0"/>
        <w:jc w:val="left"/>
        <w:rPr>
          <w:rFonts w:ascii="Times New Roman" w:hAnsi="Times New Roman"/>
          <w:sz w:val="20"/>
        </w:rPr>
      </w:pPr>
      <w:r>
        <w:rPr>
          <w:rFonts w:ascii="Times New Roman" w:hAnsi="Times New Roman"/>
          <w:sz w:val="20"/>
        </w:rPr>
        <w:t xml:space="preserve">Today we announced that Apellis has entered into a definitive agreement to be acquired by Biogen for $41 per share in cash, representing an upfront equity consideration of approximately $5.6 billion. There is also upside potential with one contingent value right (CVR) per share, payable in two separate payments upon achievement of certain thresholds related to global sales of SYFOVRE. The joint transaction press release can be found </w:t>
      </w:r>
      <w:r>
        <w:rPr>
          <w:rFonts w:ascii="Times New Roman" w:hAnsi="Times New Roman"/>
          <w:sz w:val="20"/>
          <w:u w:val="single"/>
        </w:rPr>
        <w:t>here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delivers significant value to our shareholders at an approximately 86% premium to the 90-day volume-weighted average stock price. Under the terms of the agreement, Biogen will commence a tender offer to acquire all outstanding shares of Apellis.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reflects the progress Apellis has made in advancing our medicines for patients and building an innovative pipeline, and it is expected to further expand our impact. Following a thorough review by our Board of Directors, and with the assistance of independent legal and financial advisors, our Board unanimously determined that this transaction maximizes value for Apellis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expect the transaction to close in the second quarter of 2026, subject to customary closing conditions, including regulatory clearances and the tender of a majority of the shares of Apellis common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We would be happy to connect to discuss this news in more detail. If interested, please let me know and we will schedule a time to speak later today or in the days ahead.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Kind regards, </w:t>
      </w:r>
    </w:p>
    <w:p>
      <w:pPr>
        <w:pStyle w:val="TextBody"/>
        <w:bidi w:val="0"/>
        <w:spacing w:before="240" w:after="0"/>
        <w:jc w:val="left"/>
        <w:rPr>
          <w:rFonts w:ascii="Times New Roman" w:hAnsi="Times New Roman"/>
          <w:sz w:val="20"/>
        </w:rPr>
      </w:pPr>
      <w:r>
        <w:rPr>
          <w:rFonts w:ascii="Times New Roman" w:hAnsi="Times New Roman"/>
          <w:sz w:val="20"/>
        </w:rPr>
        <w:t xml:space="preserve">Eva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that are subject to risks, uncertainties and other factors relating to future events and the future performance of Biogen Inc. (“Biogen”) and Apellis Pharmaceuticals, Inc. (“Apellis”), including regarding Biogen’s proposed acquisition of Apellis pursuant to that certain Agreement and Plan of Merger, dated as of March 31, 2026, by and among Biogen, Aspen Purchaser Sub, Inc. (“Purchaser”) and Apellis (the “Merger Agreement”, and the tender offer contemplated thereby, the “tender offer” and the merger contemplated thereby, the “merger”, and together with the other transactions contemplated thereby, the “transactions”), the prospective benefits of the transactions, the potential contingent consideration amounts and the terms and the anticipated occurrence, manner and timing of the proposed tender offer and the closing of the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factors, including, among other things: the risk that the transactions may not be completed in a timely manner, or at all; uncertainties as to the timing of the tender offer and merger; the possibility that various closing conditions of the tender offer or the merger may not be satisfied or waived, including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that a governmental entity may prohibit, delay or refuse to grant approval for the consummation of the transactions (or only grant approval subject to adverse conditions or limitations); the difficulty of predicting the timing or outcome of regulatory approvals or actions, if any; uncertainty regarding how many of Apellis’ stockholders will tender their shares in the tender offer; the risk that competing offers or acquisition proposals will be made; the occurrence of any event, change or other circumstance that could give rise to the termination of the Merger Agreement and the transactions contemplated thereby; uncertainty as to the ultimate transaction costs; uncertainty regarding each of the milestones that are needed to be achieved to obtain the potential contingent consideration amounts, including the possibility that such milestones will never be achieved and that no contingent consideration payments may be made; the effect of the announcement or pendency of the transactions on the trading price of Apellis’ or Biogen’s common stock or Apellis’ or Biogen’s business, operating results or relationships with employees, collaborators, vendors, competitors or other business partners or governmental entities; risks that the transactions or transaction-related uncertainty may disrupt Apellis’ and Biogen’s current plans and business operations; potential difficulties retaining employees as a result of the transactions; risks related to diverting the attention of the management teams of Apellis and Biogen from ongoing business operations; the risk that stockholder litigation or legal proceedings in connection with the transactions may result in significant costs of defense, indemnification and liability, or present risks to the timing or certainty of the closing of the transactions; the outcome of any stockholder litigation or legal proceedings that may be instituted against Apellis or Biogen related to the transactions; changes in Apellis’ or Biogen’s respective businesses during the period between announcement and closing of the transactions; risks related to Biogen’s ability to realize the anticipated benefits of the transactions, including the possibility that the expected benefits from the transactions will not be realized or will not be realized within the expected time period and that Apellis and Biogen will not be integrated successfully; uncertainties pertaining to other business effects, including the effects of industry, market, economic, political or regulatory conditions, future exchange and interest rates and changes in tax and other laws, regulations, rates and policies; and other risks and uncertainties.</w:t>
      </w:r>
    </w:p>
    <w:p>
      <w:pPr>
        <w:pStyle w:val="TextBody"/>
        <w:bidi w:val="0"/>
        <w:spacing w:before="240" w:after="0"/>
        <w:jc w:val="left"/>
        <w:rPr>
          <w:rFonts w:ascii="Times New Roman" w:hAnsi="Times New Roman"/>
          <w:sz w:val="20"/>
        </w:rPr>
      </w:pPr>
      <w:r>
        <w:rPr>
          <w:rFonts w:ascii="Times New Roman" w:hAnsi="Times New Roman"/>
          <w:sz w:val="20"/>
        </w:rPr>
        <w:t>A more complete description of these and other material risks can be found in Apellis’ and Biogen’s filings with the U.S. Securities and Exchange Commission (the “SEC”), including in the section entitled “Risk Factors” in Apellis’ Annual Report on Form 10-K for the fiscal year ended December 31, 2025 filed with the SEC on February 24, 2026 (and available at: </w:t>
      </w:r>
      <w:r>
        <w:rPr>
          <w:rFonts w:ascii="Times New Roman" w:hAnsi="Times New Roman"/>
          <w:sz w:val="20"/>
          <w:u w:val="single"/>
        </w:rPr>
        <w:t>https://www.sec.gov/ix?doc=/Archives/edgar/data/1492422/000119312526065179/apls-20251231.htm</w:t>
      </w:r>
      <w:r>
        <w:rPr>
          <w:rFonts w:ascii="Times New Roman" w:hAnsi="Times New Roman"/>
          <w:sz w:val="20"/>
        </w:rPr>
        <w:t>), in the section entitled “Risk Factors” in Biogen’s Annual Report on Form 10-K for the fiscal year ended December 31, 2025 filed with the SEC on February 6, 2026 (and available at: </w:t>
      </w:r>
      <w:r>
        <w:rPr>
          <w:rFonts w:ascii="Times New Roman" w:hAnsi="Times New Roman"/>
          <w:sz w:val="20"/>
          <w:u w:val="single"/>
        </w:rPr>
        <w:t>https://www.sec.gov/ix?doc=/Archives/edgar/data/875045/000087504526000013/biib-20251231.htm</w:t>
      </w:r>
      <w:r>
        <w:rPr>
          <w:rFonts w:ascii="Times New Roman" w:hAnsi="Times New Roman"/>
          <w:sz w:val="20"/>
        </w:rPr>
        <w:t>), in other filings Apellis and Biogen may make with the SEC in the future, including in their Quarterly Reports on Form 10-Q, as well as in the Schedule TO and related tender offer documents to be filed by Biogen and Purchaser and the Schedule 14D-9 to be filed by Apellis. Any forward-looking statements are made based on the current beliefs and judgments of Apellis’ and Biogen’s management, and the reader is cautioned not to rely on any forward-looking statements made by Apellis or Biogen. Any forward-looking statements contained herein speak only as of the date hereof, and Apellis and Biogen do not undertake and expressly disclaim any obligation to update any forward-looking statements contained herein, whether because of any new information, future events, changed circumstances or otherwise, except as otherwise required by law.</w:t>
      </w:r>
    </w:p>
    <w:p>
      <w:pPr>
        <w:pStyle w:val="TextBody"/>
        <w:bidi w:val="0"/>
        <w:spacing w:before="360" w:after="0"/>
        <w:jc w:val="left"/>
        <w:rPr>
          <w:rFonts w:ascii="Times New Roman" w:hAnsi="Times New Roman"/>
          <w:b/>
          <w:sz w:val="20"/>
        </w:rPr>
      </w:pPr>
      <w:r>
        <w:rPr>
          <w:rFonts w:ascii="Times New Roman" w:hAnsi="Times New Roman"/>
          <w:b/>
          <w:sz w:val="20"/>
        </w:rPr>
        <w:t>Important Information for Investors and Stockholders and Where to Find It</w:t>
      </w:r>
    </w:p>
    <w:p>
      <w:pPr>
        <w:pStyle w:val="TextBody"/>
        <w:bidi w:val="0"/>
        <w:spacing w:before="120" w:after="0"/>
        <w:jc w:val="left"/>
        <w:rPr>
          <w:rFonts w:ascii="Times New Roman" w:hAnsi="Times New Roman"/>
          <w:sz w:val="20"/>
        </w:rPr>
      </w:pPr>
      <w:r>
        <w:rPr>
          <w:rFonts w:ascii="Times New Roman" w:hAnsi="Times New Roman"/>
          <w:sz w:val="20"/>
        </w:rPr>
        <w:t xml:space="preserve">The tender offer referenced in this communication has not yet commenced. This communication is for informational purposes only and is neither an offer to purchase nor a solicitation of an offer to sell any securities, nor is it a substitute for the tender offer materials that Biogen, Purchaser or Apellis will file with the SEC. The solicitation and offer to buy outstanding shares of Apellis common stock will only be made pursuant to an Offer to Purchase and related tender offer materials that Biogen and Purchaser intend to file with the SEC. At the time the tender offer is commenced, Biogen and Purchaser will file a Tender Offer Statement on Schedule TO and thereafter Apellis will file a Solicitation/Recommendation Statement on Schedule 14D-9 with the SEC with respect to the tender offer. APELLIS’ STOCKHOLDERS ARE URGED TO CAREFULLY READ THE TENDER OFFER MATERIALS (INCLUDING AN OFFER TO PURCHASE, A RELATED LETTER OF TRANSMITTAL AND CERTAIN OTHER TENDER OFFER DOCUMENTS) AND THE SOLICITATION/RECOMMENDATION STATEMENT ON SCHEDULE 14D-9 (AS EACH MAY BE AMENDED OR SUPPLEMENTED FROM TIME TO TIME), WHEN THEY BECOME AVAILABLE, BECAUSE THEY WILL EACH CONTAIN IMPORTANT INFORMATION ABOUT THE TENDER OFFER AND MERGER THAT APELLIS’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SHOULD CONSIDER BEFORE MAKING ANY DECISION WITH RESPECT TO THE TENDER OFFER. The Schedule TO, including the Offer to Purchase, the related Letter of Transmittal and certain other tender offer documents, and the Solicitation/Recommendation Statement on Schedule 14D-9, will be made available to all of Apellis’ stockholders at no expense to them and will also be made available for free at the SEC’s website at </w:t>
      </w:r>
      <w:r>
        <w:rPr>
          <w:rFonts w:ascii="Times New Roman" w:hAnsi="Times New Roman"/>
          <w:sz w:val="20"/>
          <w:u w:val="single"/>
        </w:rPr>
        <w:t>www.sec.gov</w:t>
      </w:r>
      <w:r>
        <w:rPr>
          <w:rFonts w:ascii="Times New Roman" w:hAnsi="Times New Roman"/>
          <w:sz w:val="20"/>
        </w:rPr>
        <w:t>. Additional copies of the tender offer materials filed by Apellis may be obtained for free under the “Investors &amp; Media” section of the Company’s website at </w:t>
      </w:r>
      <w:r>
        <w:rPr>
          <w:rFonts w:ascii="Times New Roman" w:hAnsi="Times New Roman"/>
          <w:sz w:val="20"/>
          <w:u w:val="single"/>
        </w:rPr>
        <w:t>https://investors.apellis.com/investor-relations</w:t>
      </w:r>
      <w:r>
        <w:rPr>
          <w:rFonts w:ascii="Times New Roman" w:hAnsi="Times New Roman"/>
          <w:sz w:val="20"/>
        </w:rPr>
        <w:t>. Additional copies of the tender offer materials filed by Biogen and Purchaser may be obtained for free under the “Investors” section of Biogen’s website at </w:t>
      </w:r>
      <w:r>
        <w:rPr>
          <w:rFonts w:ascii="Times New Roman" w:hAnsi="Times New Roman"/>
          <w:sz w:val="20"/>
          <w:u w:val="single"/>
        </w:rPr>
        <w:t>https://investors.biogen.com</w:t>
      </w:r>
      <w:r>
        <w:rPr>
          <w:rFonts w:ascii="Times New Roman" w:hAnsi="Times New Roman"/>
          <w:sz w:val="20"/>
        </w:rPr>
        <w:t>. In addition to the Offer to Purchase, the related Letter of Transmittal and certain other tender offer documents and the Solicitation/Recommendation Statement on Schedule 14D-9, Apellis and Biogen each file annual, quarterly and current reports, proxy statements and other information with the SEC, which are available to the public over the internet at the SEC’s website at </w:t>
      </w:r>
      <w:r>
        <w:rPr>
          <w:rFonts w:ascii="Times New Roman" w:hAnsi="Times New Roman"/>
          <w:sz w:val="20"/>
          <w:u w:val="single"/>
        </w:rPr>
        <w:t>http://www.sec.gov</w:t>
      </w:r>
      <w:r>
        <w:rPr>
          <w:rFonts w:ascii="Times New Roman" w:hAnsi="Times New Roman"/>
          <w:sz w:val="20"/>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92422/000119312526134916/d132653dex99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4950</Words>
  <Characters>28440</Characters>
  <CharactersWithSpaces>33394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