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37"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2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3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94"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32"/>
          <w:szCs w:val="32"/>
          <w:b w:val="1"/>
          <w:bCs w:val="1"/>
          <w:color w:val="auto"/>
        </w:rPr>
        <w:t>APELLIS PHARMACEUTICALS, INC.</w:t>
      </w:r>
    </w:p>
    <w:p>
      <w:pPr>
        <w:spacing w:after="0" w:line="4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6"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32"/>
          <w:szCs w:val="32"/>
          <w:b w:val="1"/>
          <w:bCs w:val="1"/>
          <w:color w:val="auto"/>
        </w:rPr>
        <w:t>ASPEN PURCHASER SUB, INC.</w:t>
      </w:r>
    </w:p>
    <w:p>
      <w:pPr>
        <w:spacing w:after="0" w:line="4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78"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32"/>
          <w:szCs w:val="32"/>
          <w:b w:val="1"/>
          <w:bCs w:val="1"/>
          <w:color w:val="auto"/>
        </w:rPr>
        <w:t>BIOGEN INC.</w:t>
      </w:r>
    </w:p>
    <w:p>
      <w:pPr>
        <w:spacing w:after="0" w:line="4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7"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(Names of Filing Persons (identifying status as offeror, issuer or other person))</w:t>
      </w:r>
    </w:p>
    <w:p>
      <w:pPr>
        <w:spacing w:after="0" w:line="203"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03753U106</w:t>
      </w:r>
    </w:p>
    <w:p>
      <w:pPr>
        <w:spacing w:after="0" w:line="3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Chief Corporation Counsel</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(617) 679-2000</w:t>
      </w:r>
    </w:p>
    <w:p>
      <w:pPr>
        <w:spacing w:after="0" w:line="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14"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3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Bethany A. Pfalzgraf</w:t>
      </w:r>
    </w:p>
    <w:p>
      <w:pPr>
        <w:spacing w:after="0" w:line="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Ryan J. Wichtowski</w:t>
      </w:r>
    </w:p>
    <w:p>
      <w:pPr>
        <w:spacing w:after="0" w:line="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7"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22" w:lineRule="exact"/>
        <w:rPr>
          <w:sz w:val="24"/>
          <w:szCs w:val="24"/>
          <w:color w:val="auto"/>
        </w:rPr>
      </w:pPr>
    </w:p>
    <w:p>
      <w:pPr>
        <w:ind w:left="460" w:right="6260" w:firstLine="7"/>
        <w:spacing w:after="0" w:line="220" w:lineRule="exact"/>
        <w:tabs>
          <w:tab w:leader="none" w:pos="90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460" w:right="612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4"/>
          <w:szCs w:val="24"/>
          <w:color w:val="auto"/>
        </w:rPr>
      </w:pPr>
    </w:p>
    <w:p>
      <w:pPr>
        <w:ind w:left="920" w:hanging="453"/>
        <w:spacing w:after="0"/>
        <w:tabs>
          <w:tab w:leader="none" w:pos="9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920" w:hanging="453"/>
        <w:spacing w:after="0"/>
        <w:tabs>
          <w:tab w:leader="none" w:pos="9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638810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1010" w:right="1119" w:bottom="940" w:gutter="0" w:footer="0" w:header="0"/>
        </w:sectPr>
      </w:pPr>
    </w:p>
    <w:bookmarkStart w:id="1" w:name="page2"/>
    <w:bookmarkEnd w:id="1"/>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Amendment No. 2 (this “Amendment”) amends and supplements the Tender Offer Statement on Schedule TO (as amended and together with any subsequent amendments and supplements thereto, the “Schedule TO”), filed with the U.S. Securities and Exchange Commission (“SEC”) on April 14, 2026, by Biogen Inc., a Delaware corporation (“Biogen”). The Schedule TO relates to the tender offer by Aspen Purchaser Sub, Inc., a Delaware corporation and a wholly owned indirect subsidiary of Biogen (“Purchaser”), for all of the outstanding shares of common stock, par value $0.0001 per share (the “Shares”), of Apellis Pharmaceuticals, Inc., a Delaware corporation (“Apellis”), in exchange for (i) $41.00 per Share, net to the seller in cash, without interest and subject to reduction for any applicable tax withholding,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one contractual, non-transferable contingent value right per Share representing the right to receive contingent cash payments of up to an aggregate of $4.00 in cash, without interest and subject to reduction for any applicable tax withholding, upon the achievement of certain specified milestones in accordance with the terms and conditions of the CVR Agreement (as defined in the Offer to Purchase), in each case, upon the terms and subject to the conditions set forth in the Offer to Purchase dated April 14, 2026 (together with any amendments and supplements thereto, the “Offer to Purchase”) and in the related Letter of Transmittal, copies of which were filed as Exhibit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 and Exhibit (a)(1)(B), respectively, to the Schedule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to the extent specifically provided in this Amendment, the information set forth in the Schedule TO remains unchanged. This Amendment is being filed to reflect certain updates as reflected below. Capitalized terms used but not defined herein have the respective meanings ascribed to them in the Schedule TO.</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to Purchase and Item 11 of the Schedule TO, to the extent such Item incorporates by reference the information contained in the Offer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are hereby amended and supplemented as follows:</w:t>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following new paragraph at the end of Section 15—“Conditions to the Offer” of the Offer to Purchase:</w:t>
      </w:r>
    </w:p>
    <w:p>
      <w:pPr>
        <w:spacing w:after="0" w:line="2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Condition has been satisfied by the expiration at 11:59 p.m., Eastern Time, on May 11, 2026 of the waiting period under the HSR Act applicable to the Offer and the consummation of the Merger.”</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following sentence to the end of the second paragraph under the heading “United States Antitrust Compliance” in Section 16 —“Certain Legal Matters; Regulatory Approvals” of the Offer to Purchase:</w:t>
      </w:r>
    </w:p>
    <w:p>
      <w:pPr>
        <w:spacing w:after="0" w:line="161" w:lineRule="exact"/>
        <w:rPr>
          <w:rFonts w:ascii="Times New Roman" w:cs="Times New Roman" w:eastAsia="Times New Roman" w:hAnsi="Times New Roman"/>
          <w:sz w:val="18"/>
          <w:szCs w:val="18"/>
          <w:color w:val="auto"/>
        </w:rPr>
      </w:pPr>
    </w:p>
    <w:p>
      <w:pPr>
        <w:jc w:val="both"/>
        <w:ind w:left="66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waiting period under the HSR Act applicable to the Offer and the consummation of the Merger expired at 11:59 p.m., Eastern Time, on May 11, 2026, and there is no voluntary agreement between Biogen and Apellis, on the one hand, and the FTC or the Antitrust Division, on the other hand, pursuant to which the parties have agreed not to consummate the Offer or the Merger. Accordingly, the Regulatory Condition has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4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200" w:lineRule="exact"/>
        <w:rPr>
          <w:sz w:val="20"/>
          <w:szCs w:val="20"/>
          <w:color w:val="auto"/>
        </w:rPr>
      </w:pPr>
    </w:p>
    <w:p>
      <w:pPr>
        <w:spacing w:after="0" w:line="2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/s/ Robin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26035</wp:posOffset>
            </wp:positionV>
            <wp:extent cx="25114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Name:Robin Kramer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ASPEN PURCHASER SUB, INC.</w:t>
      </w:r>
    </w:p>
    <w:p>
      <w:pPr>
        <w:spacing w:after="0" w:line="200" w:lineRule="exact"/>
        <w:rPr>
          <w:sz w:val="20"/>
          <w:szCs w:val="20"/>
          <w:color w:val="auto"/>
        </w:rPr>
      </w:pPr>
    </w:p>
    <w:p>
      <w:pPr>
        <w:spacing w:after="0" w:line="24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/s/ Michael Dambach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26035</wp:posOffset>
            </wp:positionV>
            <wp:extent cx="25114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3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Name:Michael Dambach</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Date: May 12, 2026</w:t>
      </w:r>
    </w:p>
    <w:sectPr>
      <w:pgSz w:w="11900" w:h="16838" w:orient="portrait"/>
      <w:cols w:equalWidth="0" w:num="1">
        <w:col w:w="10540"/>
      </w:cols>
      <w:pgMar w:left="98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2026-05-12T06:07:15Z</dcterms:created>
  <dcterms:modified xsi:type="dcterms:W3CDTF">2026-05-12T06:07:15Z</dcterms:modified>
</cp:coreProperties>
</file>