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Apellis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RTW Investments,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3,685,045.00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3,685,045.00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3,685,045.00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Roderick Wong</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3,685,045.00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3,685,045.00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3,685,045.00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66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2.9 %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Apellis Pharmaceuticals,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 Fifth Avenue, Waltham , MA, 02451.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120"/>
        <w:spacing w:after="0" w:line="253" w:lineRule="auto"/>
        <w:rPr>
          <w:sz w:val="20"/>
          <w:szCs w:val="20"/>
          <w:color w:val="auto"/>
        </w:rPr>
      </w:pPr>
      <w:r>
        <w:rPr>
          <w:rFonts w:ascii="Times New Roman" w:cs="Times New Roman" w:eastAsia="Times New Roman" w:hAnsi="Times New Roman"/>
          <w:sz w:val="21"/>
          <w:szCs w:val="21"/>
          <w:color w:val="auto"/>
        </w:rPr>
        <w:t>This statement is filed by: (i) RTW Investments, LP ("RTW Investments"), a Delaware limited partnership and the investment adviser to certain funds (the "RTW Funds"), with respect to shares of Common Stock, par value $0.0001</w:t>
      </w:r>
    </w:p>
    <w:p>
      <w:pPr>
        <w:spacing w:after="0" w:line="1" w:lineRule="exact"/>
        <w:rPr>
          <w:sz w:val="20"/>
          <w:szCs w:val="20"/>
          <w:color w:val="auto"/>
        </w:rPr>
      </w:pPr>
    </w:p>
    <w:p>
      <w:pPr>
        <w:ind w:left="920" w:right="20" w:hanging="912"/>
        <w:spacing w:after="0" w:line="201" w:lineRule="auto"/>
        <w:tabs>
          <w:tab w:leader="none" w:pos="92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per share (the "Shares") of Apellis Pharmaceuticals, Inc. (the "Company") directly held by the RTW Funds; and (ii) Roderick Wong, M.D. ("Dr. Wong"), the Managing Partner and Chief Investment Officer of RTW Investments, with respect to the Shares directly held by the RTW Funds. The foregoing persons are hereinafter sometimes collectively referred to as the "Reporting Persons." The filing of this statement should not be construed as an admission that any of the foregoing persons or any Reporting Person is, for the purposes of Section 13 of the Securities Exchange Act of 1934, as amended, the beneficial owner of the Shares reported herein.</w:t>
      </w:r>
    </w:p>
    <w:p>
      <w:pPr>
        <w:sectPr>
          <w:pgSz w:w="11900" w:h="16838" w:orient="portrait"/>
          <w:cols w:equalWidth="0" w:num="1">
            <w:col w:w="11080"/>
          </w:cols>
          <w:pgMar w:left="360" w:top="111" w:right="459" w:bottom="208" w:gutter="0" w:footer="0" w:header="0"/>
        </w:sect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The address of the business office of each of the Reporting Persons is 40 10th Avenue, Floor 7, New York, New York 10014.</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RTW Investments is a Delaware limited partnership. Dr. Wong is a citizen of the United States.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$0.0001 par value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2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6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160"/>
          </w:cols>
          <w:pgMar w:left="360" w:top="111" w:right="459" w:bottom="208" w:gutter="0" w:footer="0" w:header="0"/>
          <w:type w:val="continuous"/>
        </w:sectPr>
      </w:pPr>
    </w:p>
    <w:p>
      <w:pPr>
        <w:ind w:left="920" w:hanging="912"/>
        <w:spacing w:after="0"/>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Group, in accordance with Rule 240.13d-1(b)(1)(ii)(K).</w:t>
      </w:r>
    </w:p>
    <w:p>
      <w:pPr>
        <w:spacing w:after="0" w:line="3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ectPr>
          <w:pgSz w:w="11900" w:h="16838" w:orient="portrait"/>
          <w:cols w:equalWidth="0" w:num="1">
            <w:col w:w="11080"/>
          </w:cols>
          <w:pgMar w:left="360" w:top="111" w:right="459" w:bottom="208" w:gutter="0" w:footer="0" w:header="0"/>
          <w:type w:val="continuous"/>
        </w:sectPr>
      </w:pPr>
    </w:p>
    <w:bookmarkStart w:id="3" w:name="page4"/>
    <w:bookmarkEnd w:id="3"/>
    <w:p>
      <w:pPr>
        <w:jc w:val="both"/>
        <w:ind w:left="920" w:right="160"/>
        <w:spacing w:after="0"/>
        <w:rPr>
          <w:sz w:val="20"/>
          <w:szCs w:val="20"/>
          <w:color w:val="auto"/>
        </w:rPr>
      </w:pPr>
      <w:r>
        <w:rPr>
          <w:rFonts w:ascii="Times New Roman" w:cs="Times New Roman" w:eastAsia="Times New Roman" w:hAnsi="Times New Roman"/>
          <w:sz w:val="22"/>
          <w:szCs w:val="22"/>
          <w:color w:val="auto"/>
        </w:rPr>
        <w:t>The information required by Item 4(a) is set forth in Rows 5 - 9 of the cover page for each of the Reporting Persons and is incorporated herein by reference. The percentages set forth in Row 11 of the cover pages are calculated based upon 127,829,909 Shares outstanding as of February 17, 2026 as reported in the Company's Annual Report on Form 10-K filed with the Securities and Exchange Commission on February 24, 2026.</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RTW Investments: 2.9% Dr. Wong: 2.9%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RTW Investments: 0 Dr. Wong: 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RTW Investments: 3,685,045 Shares Dr. Wong: 3,685,045 Shares</w:t>
      </w:r>
    </w:p>
    <w:p>
      <w:pPr>
        <w:spacing w:after="0" w:line="287" w:lineRule="exact"/>
        <w:rPr>
          <w:sz w:val="20"/>
          <w:szCs w:val="20"/>
          <w:color w:val="auto"/>
        </w:rPr>
      </w:pPr>
    </w:p>
    <w:p>
      <w:pPr>
        <w:ind w:left="920" w:right="5320" w:firstLine="6"/>
        <w:spacing w:after="0" w:line="486" w:lineRule="auto"/>
        <w:tabs>
          <w:tab w:leader="none" w:pos="129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RTW Investments: 0 Dr. Wong: 0</w:t>
      </w:r>
    </w:p>
    <w:p>
      <w:pPr>
        <w:spacing w:after="0" w:line="1" w:lineRule="exact"/>
        <w:rPr>
          <w:rFonts w:ascii="Times New Roman" w:cs="Times New Roman" w:eastAsia="Times New Roman" w:hAnsi="Times New Roman"/>
          <w:sz w:val="22"/>
          <w:szCs w:val="22"/>
          <w:color w:val="auto"/>
        </w:rPr>
      </w:pPr>
    </w:p>
    <w:p>
      <w:pPr>
        <w:ind w:left="920" w:right="4540" w:firstLine="6"/>
        <w:spacing w:after="0" w:line="509" w:lineRule="auto"/>
        <w:tabs>
          <w:tab w:leader="none" w:pos="1286"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dispose or to direct the disposition of: RTW Investments: 3,685,045 Shares Dr. Wong: 3,685,045 Shares</w:t>
      </w:r>
    </w:p>
    <w:p>
      <w:pPr>
        <w:spacing w:after="0" w:line="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12"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520"/>
        <w:spacing w:after="0" w:line="256" w:lineRule="auto"/>
        <w:rPr>
          <w:sz w:val="20"/>
          <w:szCs w:val="20"/>
          <w:color w:val="auto"/>
        </w:rPr>
      </w:pPr>
      <w:r>
        <w:rPr>
          <w:rFonts w:ascii="Times New Roman" w:cs="Times New Roman" w:eastAsia="Times New Roman" w:hAnsi="Times New Roman"/>
          <w:sz w:val="22"/>
          <w:szCs w:val="22"/>
          <w:color w:val="auto"/>
        </w:rPr>
        <w:t>See Item 2. The RTW Funds have the right to receive or the power to direct the receipt of dividends from, or the proceeds from the sale of, the Shares reported herein.</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2"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RTW Investments, LP</w:t>
      </w:r>
    </w:p>
    <w:p>
      <w:pPr>
        <w:spacing w:after="0" w:line="152" w:lineRule="exact"/>
        <w:rPr>
          <w:sz w:val="20"/>
          <w:szCs w:val="20"/>
          <w:color w:val="auto"/>
        </w:rPr>
      </w:pPr>
    </w:p>
    <w:p>
      <w:pPr>
        <w:ind w:left="4860"/>
        <w:spacing w:after="0"/>
        <w:tabs>
          <w:tab w:leader="none" w:pos="5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Roderick Wong, M.D.</w:t>
      </w:r>
    </w:p>
    <w:p>
      <w:pPr>
        <w:spacing w:after="0" w:line="4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Name/Title: Roderick Wong, M.D., Managing Partner</w:t>
      </w:r>
    </w:p>
    <w:p>
      <w:pPr>
        <w:spacing w:after="0" w:line="44" w:lineRule="exact"/>
        <w:rPr>
          <w:sz w:val="20"/>
          <w:szCs w:val="20"/>
          <w:color w:val="auto"/>
        </w:rPr>
      </w:pPr>
    </w:p>
    <w:p>
      <w:pPr>
        <w:ind w:left="4860"/>
        <w:spacing w:after="0"/>
        <w:tabs>
          <w:tab w:leader="none" w:pos="5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Roderick Wong</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Roderick Wong, M.D.</w:t>
      </w:r>
    </w:p>
    <w:p>
      <w:pPr>
        <w:spacing w:after="0" w:line="4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Name/Title: Roderick Wong, M.D.</w:t>
      </w:r>
    </w:p>
    <w:p>
      <w:pPr>
        <w:spacing w:after="0" w:line="44"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0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Exhibit 99.1 Joint Filing Agreement (incorporated by reference to Exhibit 99.1 to the Reporting Persons' Schedule 13G filed with the SEC on February 17, 2026).</w:t>
      </w:r>
    </w:p>
    <w:sectPr>
      <w:pgSz w:w="11900" w:h="16838" w:orient="portrait"/>
      <w:cols w:equalWidth="0" w:num="1">
        <w:col w:w="10760"/>
      </w:cols>
      <w:pgMar w:left="360" w:top="112" w:right="7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decimal"/>
      <w:start w:val="1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1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2026-05-15T07:07:04Z</dcterms:created>
  <dcterms:modified xsi:type="dcterms:W3CDTF">2026-05-15T07:07:04Z</dcterms:modified>
</cp:coreProperties>
</file>