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240" w:after="0"/>
        <w:jc w:val="center"/>
        <w:rPr/>
      </w:pPr>
      <w:bookmarkStart w:id="0" w:name="apls-20230421.htm"/>
      <w:bookmarkStart w:id="1" w:name="ksapls20230421"/>
      <w:bookmarkEnd w:id="0"/>
      <w:bookmarkEnd w:id="1"/>
      <w:r>
        <w:rPr/>
        <w:t> </w:t>
      </w:r>
    </w:p>
    <w:p>
      <w:pPr>
        <w:pStyle w:val="TextBody"/>
        <w:spacing w:before="24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36"/>
        </w:rPr>
        <w:t>SCHEDULE 14A</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4"/>
        </w:rPr>
        <w:t>Proxy Statement Pursuant to Section 14(a)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(Amendment No.)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Filed by the Registrant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Filed by a Party other than the Registrant </w:t>
      </w:r>
      <w:r>
        <w:rPr>
          <w:rFonts w:ascii="Times New Roman" w:hAnsi="Times New Roman"/>
          <w:sz w:val="20"/>
        </w:rPr>
        <w:t xml:space="preserve">☐ </w:t>
      </w:r>
    </w:p>
    <w:p>
      <w:pPr>
        <w:pStyle w:val="TextBody"/>
        <w:spacing w:before="480" w:after="0"/>
        <w:jc w:val="left"/>
        <w:rPr>
          <w:rFonts w:ascii="Times New Roman" w:hAnsi="Times New Roman"/>
          <w:sz w:val="20"/>
        </w:rPr>
      </w:pPr>
      <w:r>
        <w:rPr>
          <w:rFonts w:ascii="Times New Roman;serif" w:hAnsi="Times New Roman;serif"/>
          <w:b w:val="false"/>
          <w:sz w:val="20"/>
        </w:rPr>
        <w:t>Check the appropriate box:</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val="false"/>
          <w:sz w:val="20"/>
        </w:rPr>
        <w:t>Preliminary Proxy Statement</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sz w:val="20"/>
        </w:rPr>
        <w:t>Confidential, for Use of the Commission Only (as permitted by Rule 14a-6(e)(2))</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val="false"/>
          <w:sz w:val="20"/>
        </w:rPr>
        <w:t>Definitive Proxy Statement</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val="false"/>
          <w:sz w:val="20"/>
        </w:rPr>
        <w:t>Definitive Additional Materials</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val="false"/>
          <w:sz w:val="20"/>
        </w:rPr>
        <w:t>Soliciting Material Pursuant to §240.14a-12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36"/>
        </w:rPr>
        <w:t>APELLIS PHARMACEUTICALS,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(Name of person(s) filing proxy statement, if other than the registrant)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Payment of Filing Fee (Check the appropriate box):</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val="false"/>
          <w:sz w:val="20"/>
        </w:rPr>
        <w:t>No fee required.</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val="false"/>
          <w:sz w:val="20"/>
        </w:rPr>
        <w:t>Fee paid previously with preliminary materials.</w:t>
      </w:r>
      <w:r>
        <w:rPr>
          <w:rFonts w:ascii="Times New Roman" w:hAnsi="Times New Roman"/>
          <w:sz w:val="20"/>
        </w:rPr>
        <w:t xml:space="preserve"> </w:t>
      </w:r>
    </w:p>
    <w:p>
      <w:pPr>
        <w:pStyle w:val="TextBody"/>
        <w:spacing w:before="240" w:after="0"/>
        <w:jc w:val="left"/>
        <w:rPr/>
      </w:pPr>
      <w:r>
        <w:rPr/>
        <w:t xml:space="preserve">☐ </w:t>
      </w:r>
      <w:r>
        <w:rPr>
          <w:rFonts w:ascii="Times New Roman;serif" w:hAnsi="Times New Roman;serif"/>
          <w:b w:val="false"/>
          <w:sz w:val="20"/>
        </w:rPr>
        <w:t>Fee computed on table in exhibit required by Item 25(b) per Exchange Act Rules 14a-6(i)(1) and 0-11.</w:t>
      </w:r>
      <w:r>
        <w:rPr>
          <w:rFonts w:ascii="Times New Roman" w:hAnsi="Times New Roman"/>
          <w:sz w:val="20"/>
        </w:rPr>
        <w:t xml:space="preserve"> </w:t>
      </w:r>
    </w:p>
    <w:p>
      <w:pPr>
        <w:pStyle w:val="TextBody"/>
        <w:pBdr>
          <w:bottom w:val="double" w:sz="6" w:space="1" w:color="000000"/>
        </w:pBdr>
        <w:spacing w:before="240" w:after="0"/>
        <w:jc w:val="center"/>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4"/>
        </w:rPr>
        <w:t>A LETTER FROM CEDRIC FRANCOIS, OUR CHIEF EXECUTIVE OFFICER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Dear Apellis Stockholders,</w:t>
      </w:r>
    </w:p>
    <w:p>
      <w:pPr>
        <w:pStyle w:val="TextBody"/>
        <w:spacing w:before="0" w:after="0"/>
        <w:jc w:val="left"/>
        <w:rPr>
          <w:rFonts w:ascii="Times New Roman" w:hAnsi="Times New Roman"/>
          <w:sz w:val="20"/>
        </w:rPr>
      </w:pPr>
      <w:r>
        <w:rPr>
          <w:rFonts w:ascii="Times New Roman;serif" w:hAnsi="Times New Roman;serif"/>
          <w:b w:val="false"/>
          <w:sz w:val="18"/>
        </w:rPr>
        <w:t>On behalf of the team at Apellis, I would like to say thank you for your continued support of our company over the past few years. 2022 was a transformational year for Apellis and your support has been critical in getting us to this point.</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journey started more than a decade ago in a university lab in Kentucky, where my fellow co-founders and I set out with a simple – but scientifically difficult – mission: transform the treatment of complement-driven diseases by targeting C3, the central protein in the complement cascade. In last year’s proxy statement, I shared that we had fulfilled one of our initial promises by obtaining FDA approval for EMPAVELI, the first-ever targeted C3 therapy. This year, we have ushered in our second FDA-approved therapy with SYFOVRE, the first and only therapy for geographic atrophy (GA) secondary to age-related macular degeneration (AMD), a leading cause of blindness worldwide.</w:t>
      </w:r>
    </w:p>
    <w:p>
      <w:pPr>
        <w:pStyle w:val="TextBody"/>
        <w:spacing w:before="0" w:after="0"/>
        <w:jc w:val="left"/>
        <w:rPr>
          <w:rFonts w:ascii="Times New Roman" w:hAnsi="Times New Roman"/>
          <w:sz w:val="20"/>
        </w:rPr>
      </w:pPr>
      <w:r>
        <w:rPr>
          <w:rFonts w:ascii="Times New Roman;serif" w:hAnsi="Times New Roman;serif"/>
          <w:b w:val="false"/>
          <w:sz w:val="18"/>
        </w:rPr>
        <w:t>For this, I am also overwhelmed with gratitude for the relentless commitment by all our employees. I look back with pride on the past few years of incredible execution by our entire team. Drug development is a long and risky endeavor, requiring a significant amount of passion, patience, and resilience to transform a scientific hypothesis into a life-changing therapy. Receiving our first two FDA approvals in less than two years is a rare achievement in our industry, and the team is only just getting started.</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believe that we are now positioned for an extraordinary 2023. Our strategic focus for 2023 is centered on four key pillars.</w:t>
      </w:r>
    </w:p>
    <w:p>
      <w:pPr>
        <w:pStyle w:val="TextBody"/>
        <w:spacing w:before="120" w:after="0"/>
        <w:jc w:val="left"/>
        <w:rPr>
          <w:rFonts w:ascii="Times New Roman" w:hAnsi="Times New Roman"/>
          <w:b/>
          <w:sz w:val="18"/>
        </w:rPr>
      </w:pPr>
      <w:r>
        <w:rPr>
          <w:rFonts w:ascii="Times New Roman" w:hAnsi="Times New Roman"/>
          <w:b/>
          <w:sz w:val="18"/>
        </w:rPr>
        <w:t>1.</w:t>
      </w:r>
    </w:p>
    <w:p>
      <w:pPr>
        <w:pStyle w:val="TextBody"/>
        <w:spacing w:before="120" w:after="283"/>
        <w:jc w:val="left"/>
        <w:rPr/>
      </w:pPr>
      <w:r>
        <w:rPr>
          <w:rFonts w:ascii="Times New Roman;serif" w:hAnsi="Times New Roman;serif"/>
          <w:b/>
          <w:sz w:val="18"/>
        </w:rPr>
        <w:t>Deliver SYFOVRE, the first and only treatment for GA, in the United States and prepare for global approvals.</w:t>
      </w:r>
      <w:r>
        <w:rPr/>
        <w:t xml:space="preserve"> </w:t>
      </w:r>
      <w:r>
        <w:rPr>
          <w:rFonts w:ascii="Times New Roman;serif" w:hAnsi="Times New Roman;serif"/>
          <w:b w:val="false"/>
          <w:sz w:val="18"/>
        </w:rPr>
        <w:t>The approval of SYFOVRE is grounded in this medicine’s ability to slow the progression of GA, with a U.S. prescribing label that we believe details the significant benefits it offers to patients and physicians. We are now focused on bringing SYFOVRE to the more than one million people in the United States today living with GA. This is just the first step in providing the significant benefits SYFOVRE offers to patients and physicians worldwide. We have submitted applications for approval in several global markets, including Europe, and expect decisions to come beginning early in 2024.</w:t>
      </w:r>
    </w:p>
    <w:p>
      <w:pPr>
        <w:pStyle w:val="TextBody"/>
        <w:spacing w:before="120" w:after="0"/>
        <w:jc w:val="left"/>
        <w:rPr>
          <w:rFonts w:ascii="Times New Roman" w:hAnsi="Times New Roman"/>
          <w:b/>
          <w:sz w:val="18"/>
        </w:rPr>
      </w:pPr>
      <w:r>
        <w:rPr>
          <w:rFonts w:ascii="Times New Roman" w:hAnsi="Times New Roman"/>
          <w:b/>
          <w:sz w:val="18"/>
        </w:rPr>
        <w:t>2.</w:t>
      </w:r>
    </w:p>
    <w:p>
      <w:pPr>
        <w:pStyle w:val="TextBody"/>
        <w:spacing w:before="120" w:after="283"/>
        <w:jc w:val="left"/>
        <w:rPr/>
      </w:pPr>
      <w:r>
        <w:rPr>
          <w:rFonts w:ascii="Times New Roman;serif" w:hAnsi="Times New Roman;serif"/>
          <w:b/>
          <w:sz w:val="18"/>
        </w:rPr>
        <w:t xml:space="preserve">Maximize the value of EMPAVELI. </w:t>
      </w:r>
      <w:r>
        <w:rPr>
          <w:rFonts w:ascii="Times New Roman;serif" w:hAnsi="Times New Roman;serif"/>
          <w:b w:val="false"/>
          <w:sz w:val="18"/>
        </w:rPr>
        <w:t xml:space="preserve">Launched in 2021, EMPAVELI continues to elevate the standard of care for patients with paroxysmal nocturnal hemoglobinuria (PNH), a rare, life-threatening blood disease. In 2022, we were pleased to report approximately $65 million in U.S. net product sales. We are now focused on strengthening the clinical profile of the drug and bringing EMPAVELI to even more patients with PNH, especially in the face of potential additional competition later this year. We are also developing systemic pegcetacoplan for additional indications together with our collaborator </w:t>
      </w:r>
      <w:r>
        <w:rPr>
          <w:rFonts w:ascii="Times New Roman;serif" w:hAnsi="Times New Roman;serif"/>
          <w:b w:val="false"/>
          <w:sz w:val="17"/>
        </w:rPr>
        <w:t>Swedish Orphan Biovitrum AB (Publ) (Sobi)</w:t>
      </w:r>
      <w:r>
        <w:rPr>
          <w:rFonts w:ascii="Times New Roman;serif" w:hAnsi="Times New Roman;serif"/>
          <w:b w:val="false"/>
          <w:sz w:val="18"/>
        </w:rPr>
        <w:t>, with four clinical programs underway in five separate diseases.</w:t>
      </w:r>
    </w:p>
    <w:p>
      <w:pPr>
        <w:pStyle w:val="TextBody"/>
        <w:spacing w:before="120" w:after="0"/>
        <w:jc w:val="left"/>
        <w:rPr>
          <w:rFonts w:ascii="Times New Roman" w:hAnsi="Times New Roman"/>
          <w:b/>
          <w:sz w:val="18"/>
        </w:rPr>
      </w:pPr>
      <w:r>
        <w:rPr>
          <w:rFonts w:ascii="Times New Roman" w:hAnsi="Times New Roman"/>
          <w:b/>
          <w:sz w:val="18"/>
        </w:rPr>
        <w:t>3.</w:t>
      </w:r>
    </w:p>
    <w:p>
      <w:pPr>
        <w:pStyle w:val="TextBody"/>
        <w:spacing w:before="120" w:after="283"/>
        <w:jc w:val="left"/>
        <w:rPr/>
      </w:pPr>
      <w:r>
        <w:rPr>
          <w:rFonts w:ascii="Times New Roman;serif" w:hAnsi="Times New Roman;serif"/>
          <w:b/>
          <w:sz w:val="18"/>
        </w:rPr>
        <w:t>Advance our early-stage pipeline and Beam Therapeutics collaboration.</w:t>
      </w:r>
      <w:r>
        <w:rPr/>
        <w:t xml:space="preserve"> </w:t>
      </w:r>
      <w:r>
        <w:rPr>
          <w:rFonts w:ascii="Times New Roman;serif" w:hAnsi="Times New Roman;serif"/>
          <w:b w:val="false"/>
          <w:sz w:val="18"/>
        </w:rPr>
        <w:t xml:space="preserve">This past year we have been actively advancing several of our pre-clinical programs through IND-enabling studies and anticipate continuing to make meaningful progress in 2023 with two programs expected to head into the clinic. We also continue to collaborate closely with Beam Therapeutics, Inc. (Beam), a biotechnology company committed to establishing the leading, fully integrated platform for precision genetic medicines. As part of our collaboration, we are combining Beam’s best-in-class technology for precision gene editing with Apellis’ leading position in complement with the advancement of compelling targeted C3 therapies to discover new treatments for complement-driven diseases. </w:t>
      </w:r>
    </w:p>
    <w:p>
      <w:pPr>
        <w:pStyle w:val="TextBody"/>
        <w:spacing w:before="120" w:after="0"/>
        <w:jc w:val="left"/>
        <w:rPr>
          <w:rFonts w:ascii="Times New Roman" w:hAnsi="Times New Roman"/>
          <w:b/>
          <w:sz w:val="18"/>
        </w:rPr>
      </w:pPr>
      <w:r>
        <w:rPr>
          <w:rFonts w:ascii="Times New Roman" w:hAnsi="Times New Roman"/>
          <w:b/>
          <w:sz w:val="18"/>
        </w:rPr>
        <w:t>4.</w:t>
      </w:r>
    </w:p>
    <w:p>
      <w:pPr>
        <w:pStyle w:val="TextBody"/>
        <w:spacing w:before="120" w:after="283"/>
        <w:jc w:val="left"/>
        <w:rPr/>
      </w:pPr>
      <w:r>
        <w:rPr>
          <w:rFonts w:ascii="Times New Roman;serif" w:hAnsi="Times New Roman;serif"/>
          <w:b/>
          <w:sz w:val="18"/>
        </w:rPr>
        <w:t>Strengthen our environmental, social and governance strategy.</w:t>
      </w:r>
      <w:r>
        <w:rPr/>
        <w:t xml:space="preserve"> </w:t>
      </w:r>
      <w:r>
        <w:rPr>
          <w:rFonts w:ascii="Times New Roman;serif" w:hAnsi="Times New Roman;serif"/>
          <w:b w:val="false"/>
          <w:sz w:val="18"/>
        </w:rPr>
        <w:t>We continue to advance our environmental, social and governance (ESG) practices. We strive to bring transformative medicines to patients, provide an engaging and inclusive workplace for our employees, minimize our impact on the environment, and always demonstrate integrity in our actions. In 2022, we published our inaugural sustainability report, where we highlight several policies and programs that are critical for our ESG initiatives, including the launch of Project Apollo, an updated quality management system, focused on helping our teams efficiently drive compliance, product quality, innovation, and patient safety across the company. We also established a diversity, equity, and inclusion (DEI) program aimed at developing and implementing a DEI strategy that aligns with our commitment to foster a sense of belonging and safety for all employees. We recognize that we have more work to do across our ESG efforts, and in 2023 are building a strategic framework to support our continued efforts and we look forward to sharing our progress with you.</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To close, I would like to extend my gratitude to everyone who has helped Apellis reach this pivotal point in our company’s trajectory. I am honored to be a part of this journey and look forward to continuing to share our progress in 2023 and beyond.</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Sincerely,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Cedric Francois</w:t>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val="false"/>
          <w:sz w:val="18"/>
        </w:rPr>
        <w:t>Cedric Francois, Chief Executive Officer</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April 21, 2023</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pPr>
      <w:r>
        <w:rPr/>
        <w:drawing>
          <wp:inline distT="0" distB="0" distL="0" distR="0">
            <wp:extent cx="17907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571500"/>
                    </a:xfrm>
                    <a:prstGeom prst="rect">
                      <a:avLst/>
                    </a:prstGeom>
                  </pic:spPr>
                </pic:pic>
              </a:graphicData>
            </a:graphic>
          </wp:inline>
        </w:drawing>
      </w:r>
    </w:p>
    <w:p>
      <w:pPr>
        <w:pStyle w:val="TextBody"/>
        <w:spacing w:before="200" w:after="0"/>
        <w:jc w:val="center"/>
        <w:rPr>
          <w:rFonts w:ascii="Times New Roman" w:hAnsi="Times New Roman"/>
          <w:sz w:val="20"/>
        </w:rPr>
      </w:pPr>
      <w:r>
        <w:rPr>
          <w:rFonts w:ascii="Times New Roman;serif" w:hAnsi="Times New Roman;serif"/>
          <w:b/>
          <w:sz w:val="20"/>
        </w:rPr>
        <w:t>APELLIS PHARMACEUTICALS,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100 Fifth Avenue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Waltham, Massachusetts 02451</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(617) 977-5700</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4"/>
        </w:rPr>
        <w:t>NOTICE OF 2023 ANNUAL MEETING OF STOCKHOLDERS</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To Be Held on June 1,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Dear Stockholders: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You are cordially invited to attend the 2023 annual meeting of stockholders, or the Annual Meeting, of Apellis Pharmaceuticals, Inc. The meeting is scheduled to be held via the Internet at </w:t>
      </w:r>
      <w:r>
        <w:rPr>
          <w:rFonts w:ascii="Times New Roman;serif" w:hAnsi="Times New Roman;serif"/>
          <w:b/>
          <w:i/>
          <w:sz w:val="18"/>
        </w:rPr>
        <w:t>https://www.proxydocs.com/APLS</w:t>
      </w:r>
      <w:r>
        <w:rPr>
          <w:rFonts w:ascii="Times New Roman" w:hAnsi="Times New Roman"/>
          <w:sz w:val="20"/>
        </w:rPr>
        <w:t xml:space="preserve"> </w:t>
      </w:r>
      <w:r>
        <w:rPr>
          <w:rFonts w:ascii="Times New Roman;serif" w:hAnsi="Times New Roman;serif"/>
          <w:b w:val="false"/>
          <w:sz w:val="18"/>
        </w:rPr>
        <w:t>on Thursday, June 1, 2023 at 10:00 a.m., Eastern time.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Only stockholders who owned shares of our common stock at the close of business on April 3, 2023 can vote at the Annual Meeting or any adjournment or postponement that may take place. At the Annual Meeting, stockholders will consider and vote on the following matters:</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Election of two Class III directors to hold office until the 2026 annual meeting of stockholders;</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Ratification of the appointment of Deloitte &amp; Touche LLP as our independent registered public accounting firm for the fiscal year ending December 31, 2023;</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Approval of an advisory vote on executive compensation; and</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Transaction of any other business that may properly come before the Annual Meeting or any adjournment or postponement thereof.</w:t>
      </w:r>
    </w:p>
    <w:p>
      <w:pPr>
        <w:pStyle w:val="TextBody"/>
        <w:spacing w:before="0" w:after="0"/>
        <w:jc w:val="left"/>
        <w:rPr>
          <w:rFonts w:ascii="Times New Roman" w:hAnsi="Times New Roman"/>
          <w:sz w:val="20"/>
        </w:rPr>
      </w:pPr>
      <w:r>
        <w:rPr>
          <w:rFonts w:ascii="Times New Roman;serif" w:hAnsi="Times New Roman;serif"/>
          <w:b w:val="false"/>
          <w:sz w:val="18"/>
        </w:rPr>
        <w:t xml:space="preserve">As noted above, our Annual Meeting will be a “virtual meeting” of stockholders, which will be conducted exclusively via the Internet. There will not be a physical meeting location, and stockholders will not be able to attend the Annual Meeting in person. This means that you can attend the Annual Meeting online, vote your shares during the online meeting and submit questions before the virtual meeting by visiting </w:t>
      </w:r>
      <w:r>
        <w:rPr>
          <w:rFonts w:ascii="Times New Roman;serif" w:hAnsi="Times New Roman;serif"/>
          <w:b/>
          <w:i/>
          <w:sz w:val="18"/>
        </w:rPr>
        <w:t>https://www.proxydocs.com/APLS</w:t>
      </w:r>
      <w:r>
        <w:rPr>
          <w:rFonts w:ascii="Times New Roman;serif" w:hAnsi="Times New Roman;serif"/>
          <w:b w:val="false"/>
          <w:sz w:val="18"/>
        </w:rPr>
        <w:t>.</w:t>
      </w:r>
    </w:p>
    <w:p>
      <w:pPr>
        <w:pStyle w:val="TextBody"/>
        <w:spacing w:before="0" w:after="0"/>
        <w:jc w:val="left"/>
        <w:rPr>
          <w:rFonts w:ascii="Times New Roman" w:hAnsi="Times New Roman"/>
          <w:sz w:val="20"/>
        </w:rPr>
      </w:pPr>
      <w:r>
        <w:rPr>
          <w:rFonts w:ascii="Times New Roman;serif" w:hAnsi="Times New Roman;serif"/>
          <w:b w:val="false"/>
          <w:sz w:val="18"/>
        </w:rPr>
        <w:t xml:space="preserve">In order to attend the meeting online and vote your shares electronically during the meeting, you must register in advance at </w:t>
      </w:r>
      <w:r>
        <w:rPr>
          <w:rFonts w:ascii="Times New Roman;serif" w:hAnsi="Times New Roman;serif"/>
          <w:b/>
          <w:i/>
          <w:sz w:val="18"/>
          <w:u w:val="single"/>
        </w:rPr>
        <w:t>https://www.proxydocs.com/APLS</w:t>
      </w:r>
      <w:r>
        <w:rPr>
          <w:rFonts w:ascii="Times New Roman" w:hAnsi="Times New Roman"/>
          <w:sz w:val="20"/>
        </w:rPr>
        <w:t xml:space="preserve"> </w:t>
      </w:r>
      <w:r>
        <w:rPr>
          <w:rFonts w:ascii="Times New Roman;serif" w:hAnsi="Times New Roman;serif"/>
          <w:b w:val="false"/>
          <w:sz w:val="18"/>
        </w:rPr>
        <w:t>prior to the deadline of May 31, 2023 at 5:00 p.m., Eastern Time. Upon completing your registration, you will</w:t>
      </w:r>
      <w:r>
        <w:rPr>
          <w:rFonts w:ascii="Times New Roman" w:hAnsi="Times New Roman"/>
          <w:sz w:val="20"/>
        </w:rPr>
        <w:t xml:space="preserve"> </w:t>
      </w:r>
      <w:r>
        <w:rPr>
          <w:rFonts w:ascii="Times New Roman;serif" w:hAnsi="Times New Roman;serif"/>
          <w:b w:val="false"/>
          <w:sz w:val="18"/>
        </w:rPr>
        <w:t>receive further instructions via email, including your unique links that will allow you to access the meeting and will permit you to submit questions. Further information about how to attend the Annual Meeting online, vote your shares and submit questions is included in the accompanying proxy statement for the Annual Meeting. Whether or not you expect to attend the Annual Meeting, please vote your shares to ensure your representation and the presence of a quorum at the Annual Meeting.</w:t>
      </w:r>
    </w:p>
    <w:p>
      <w:pPr>
        <w:pStyle w:val="TextBody"/>
        <w:spacing w:before="0" w:after="0"/>
        <w:jc w:val="both"/>
        <w:rPr>
          <w:rFonts w:ascii="Times New Roman" w:hAnsi="Times New Roman"/>
          <w:sz w:val="20"/>
        </w:rPr>
      </w:pPr>
      <w:r>
        <w:rPr>
          <w:rFonts w:ascii="Times New Roman;serif" w:hAnsi="Times New Roman;serif"/>
          <w:b w:val="false"/>
          <w:sz w:val="18"/>
        </w:rPr>
        <w:t xml:space="preserve">You can find more information, including the nominees for director, in the accompanying proxy statement, which is available for viewing, printing and downloading at </w:t>
      </w:r>
      <w:r>
        <w:rPr>
          <w:rFonts w:ascii="Times New Roman;serif" w:hAnsi="Times New Roman;serif"/>
          <w:b/>
          <w:i/>
          <w:sz w:val="18"/>
        </w:rPr>
        <w:t>https://www.proxydocs.com/APLS</w:t>
      </w:r>
      <w:r>
        <w:rPr>
          <w:rFonts w:ascii="Times New Roman;serif" w:hAnsi="Times New Roman;serif"/>
          <w:b w:val="false"/>
          <w:sz w:val="18"/>
        </w:rPr>
        <w:t>. As outlined in the accompanying proxy statement, the board of directors recommends that you vote in favor of each director nominee in proposal one and in favor of proposals two and three.</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Instead of mailing a paper copy of our proxy materials to all of our stockholders, we are providing access to our proxy materials via the Internet under the “notice and access” rules of the Securities and Exchange Commission. As a result, we are sending to our stockholders a Notice of Internet Availability of Proxy Materials, or the Notice, instead of a paper copy of the proxy statement and our annual report for the fiscal year ended December 31</w:t>
      </w:r>
      <w:r>
        <w:rPr>
          <w:rFonts w:ascii="Times New Roman;serif" w:hAnsi="Times New Roman;serif"/>
          <w:b w:val="false"/>
          <w:sz w:val="20"/>
        </w:rPr>
        <w:t xml:space="preserve">, </w:t>
      </w:r>
      <w:r>
        <w:rPr>
          <w:rFonts w:ascii="Times New Roman;serif" w:hAnsi="Times New Roman;serif"/>
          <w:b w:val="false"/>
          <w:sz w:val="18"/>
        </w:rPr>
        <w:t>2022, or the 2022 Annual Report. We plan to send the Notice on or about April 21, 2023. The Notice contains instructions on how to access those documents over the Internet. The Notice also contains instructions on how each of our stockholders can receive a paper copy of our proxy materials, including the proxy statement, our 2022 Annual Report, and a form of proxy card</w:t>
      </w:r>
    </w:p>
    <w:p>
      <w:pPr>
        <w:pStyle w:val="TextBody"/>
        <w:spacing w:before="0" w:after="0"/>
        <w:jc w:val="left"/>
        <w:rPr>
          <w:rFonts w:ascii="Times New Roman" w:hAnsi="Times New Roman"/>
          <w:sz w:val="20"/>
        </w:rPr>
      </w:pPr>
      <w:r>
        <w:rPr>
          <w:rFonts w:ascii="Times New Roman;serif" w:hAnsi="Times New Roman;serif"/>
          <w:b w:val="false"/>
          <w:sz w:val="18"/>
        </w:rPr>
        <w:t xml:space="preserve">Stockholders of record at the close of business on April 3, 2023, the record date for the Annual Meeting, are entitled to notice of, and to vote at, the Annual Meeting or any adjournment or postponement of the Annual Meeting. If you are a stockholder of record, you may vote your shares on the Internet prior to the Annual Meeting by visiting </w:t>
      </w:r>
      <w:r>
        <w:rPr>
          <w:rFonts w:ascii="Times New Roman;serif" w:hAnsi="Times New Roman;serif"/>
          <w:b/>
          <w:i/>
          <w:sz w:val="18"/>
        </w:rPr>
        <w:t>https://www.proxypush.com/APLS</w:t>
      </w:r>
      <w:r>
        <w:rPr>
          <w:rFonts w:ascii="Times New Roman;serif" w:hAnsi="Times New Roman;serif"/>
          <w:b w:val="false"/>
          <w:sz w:val="18"/>
        </w:rPr>
        <w:t>, by telephone by calling 866-362-4346 and following the recorded instructions or by completing, signing, dating, and returning a proxy card. You may also vote your shares online at the Annual Meeting. Your vote is important regardless of the number of shares you own. If you mail your proxy card or vote by telephone or the Internet and then decide to vote your shares online during the Annual Meeting, you may still do so. Your proxy is revocable in accordance with the procedures set forth in the accompanying proxy statement.</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your shares are held in “street name,” that is, held for your account by a bank, broker or other nominee, you will receive instructions from the holder of record that you must follow for your shares to be voted. Stockholders that own shares in “street name” must demonstrate proof of beneficial ownership to virtually attend the Annual Meeting and must obtain a legal proxy from their bank, broker or other nominee to vote during the Annual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tbl>
      <w:tblPr>
        <w:tblW w:w="2851" w:type="dxa"/>
        <w:jc w:val="left"/>
        <w:tblInd w:w="0" w:type="dxa"/>
        <w:tblCellMar>
          <w:top w:w="28" w:type="dxa"/>
          <w:left w:w="28" w:type="dxa"/>
          <w:bottom w:w="28" w:type="dxa"/>
          <w:right w:w="28" w:type="dxa"/>
        </w:tblCellMar>
      </w:tblPr>
      <w:tblGrid>
        <w:gridCol w:w="2851"/>
      </w:tblGrid>
      <w:tr>
        <w:trPr/>
        <w:tc>
          <w:tcPr>
            <w:tcW w:w="285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By Order of the Board of Directors,</w:t>
            </w:r>
          </w:p>
        </w:tc>
      </w:tr>
      <w:tr>
        <w:trPr/>
        <w:tc>
          <w:tcPr>
            <w:tcW w:w="2851" w:type="dxa"/>
            <w:tcBorders/>
            <w:shd w:fill="auto" w:val="clear"/>
            <w:vAlign w:val="center"/>
          </w:tcPr>
          <w:p>
            <w:pPr>
              <w:pStyle w:val="TableContents"/>
              <w:spacing w:before="0" w:after="283"/>
              <w:ind w:left="0" w:right="0" w:hanging="0"/>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 Cedric Francois</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Cedric Francois</w:t>
            </w:r>
          </w:p>
          <w:p>
            <w:pPr>
              <w:pStyle w:val="TableContents"/>
              <w:spacing w:before="0" w:after="20"/>
              <w:ind w:left="0" w:right="0" w:hanging="0"/>
              <w:jc w:val="left"/>
              <w:rPr>
                <w:rFonts w:ascii="Times New Roman;serif" w:hAnsi="Times New Roman;serif"/>
                <w:b w:val="false"/>
                <w:sz w:val="18"/>
              </w:rPr>
            </w:pPr>
            <w:r>
              <w:rPr>
                <w:rFonts w:ascii="Times New Roman;serif" w:hAnsi="Times New Roman;serif"/>
                <w:b w:val="false"/>
                <w:sz w:val="18"/>
              </w:rPr>
              <w:t>President and Chief Executive Officer</w:t>
            </w:r>
          </w:p>
        </w:tc>
      </w:tr>
    </w:tbl>
    <w:p>
      <w:pPr>
        <w:pStyle w:val="TextBody"/>
        <w:spacing w:before="240" w:after="0"/>
        <w:jc w:val="left"/>
        <w:rPr>
          <w:rFonts w:ascii="Times New Roman" w:hAnsi="Times New Roman"/>
          <w:sz w:val="20"/>
        </w:rPr>
      </w:pPr>
      <w:r>
        <w:rPr>
          <w:rFonts w:ascii="Times New Roman;serif" w:hAnsi="Times New Roman;serif"/>
          <w:b w:val="false"/>
          <w:sz w:val="20"/>
        </w:rPr>
        <w:t>Waltham, Massachusetts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April 21, 2023</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APELLIS PHARMACEUTICALS, INC.</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PROXY STATEMENT</w:t>
      </w:r>
      <w:r>
        <w:rPr>
          <w:rFonts w:ascii="Times New Roman" w:hAnsi="Times New Roman"/>
          <w:sz w:val="20"/>
        </w:rPr>
        <w:t xml:space="preserve"> </w:t>
      </w:r>
    </w:p>
    <w:p>
      <w:pPr>
        <w:pStyle w:val="TextBody"/>
        <w:spacing w:before="240" w:after="0"/>
        <w:jc w:val="center"/>
        <w:rPr>
          <w:rFonts w:ascii="Times New Roman" w:hAnsi="Times New Roman"/>
          <w:sz w:val="20"/>
        </w:rPr>
      </w:pPr>
      <w:bookmarkStart w:id="2" w:name="toc"/>
      <w:bookmarkEnd w:id="2"/>
      <w:r>
        <w:rPr>
          <w:rFonts w:ascii="Times New Roman;serif" w:hAnsi="Times New Roman;serif"/>
          <w:b/>
          <w:sz w:val="20"/>
        </w:rPr>
        <w:t>TABLE OF CONTENTS</w:t>
      </w:r>
      <w:r>
        <w:rPr>
          <w:rFonts w:ascii="Times New Roman" w:hAnsi="Times New Roman"/>
          <w:sz w:val="20"/>
        </w:rPr>
        <w:t xml:space="preserve"> </w:t>
      </w:r>
    </w:p>
    <w:tbl>
      <w:tblPr>
        <w:tblW w:w="7739" w:type="dxa"/>
        <w:jc w:val="left"/>
        <w:tblInd w:w="0" w:type="dxa"/>
        <w:tblCellMar>
          <w:top w:w="28" w:type="dxa"/>
          <w:left w:w="28" w:type="dxa"/>
          <w:bottom w:w="28" w:type="dxa"/>
          <w:right w:w="28" w:type="dxa"/>
        </w:tblCellMar>
      </w:tblPr>
      <w:tblGrid>
        <w:gridCol w:w="6721"/>
        <w:gridCol w:w="1018"/>
      </w:tblGrid>
      <w:tr>
        <w:trPr/>
        <w:tc>
          <w:tcPr>
            <w:tcW w:w="6721" w:type="dxa"/>
            <w:tcBorders/>
            <w:shd w:fill="FFFFFF" w:val="clear"/>
            <w:vAlign w:val="center"/>
          </w:tcPr>
          <w:p>
            <w:pPr>
              <w:pStyle w:val="TableContents"/>
              <w:spacing w:before="0" w:after="283"/>
              <w:rPr>
                <w:sz w:val="4"/>
                <w:szCs w:val="4"/>
              </w:rPr>
            </w:pPr>
            <w:r>
              <w:rPr>
                <w:sz w:val="4"/>
                <w:szCs w:val="4"/>
              </w:rPr>
            </w:r>
          </w:p>
        </w:tc>
        <w:tc>
          <w:tcPr>
            <w:tcW w:w="1018" w:type="dxa"/>
            <w:tcBorders/>
            <w:shd w:fill="FFFFFF" w:val="clear"/>
            <w:vAlign w:val="center"/>
          </w:tcPr>
          <w:p>
            <w:pPr>
              <w:pStyle w:val="TableContents"/>
              <w:spacing w:before="0" w:after="283"/>
              <w:rPr>
                <w:sz w:val="4"/>
                <w:szCs w:val="4"/>
              </w:rPr>
            </w:pPr>
            <w:r>
              <w:rPr>
                <w:sz w:val="4"/>
                <w:szCs w:val="4"/>
              </w:rPr>
            </w:r>
          </w:p>
        </w:tc>
      </w:tr>
      <w:tr>
        <w:trPr/>
        <w:tc>
          <w:tcPr>
            <w:tcW w:w="672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72" w:firstLine="90"/>
              <w:jc w:val="right"/>
              <w:rPr/>
            </w:pPr>
            <w:r>
              <w:rPr/>
              <w:t>     </w:t>
            </w:r>
            <w:r>
              <w:rPr>
                <w:rFonts w:ascii="Times New Roman;serif" w:hAnsi="Times New Roman;serif"/>
                <w:b/>
                <w:sz w:val="16"/>
              </w:rPr>
              <w:t>Page</w:t>
            </w:r>
            <w:r>
              <w:rPr>
                <w:rFonts w:ascii="Times New Roman" w:hAnsi="Times New Roman"/>
                <w:sz w:val="16"/>
              </w:rPr>
              <w:t xml:space="preserve"> </w:t>
            </w:r>
          </w:p>
        </w:tc>
      </w:tr>
      <w:tr>
        <w:trPr/>
        <w:tc>
          <w:tcPr>
            <w:tcW w:w="6721" w:type="dxa"/>
            <w:tcBorders/>
            <w:shd w:fill="auto" w:val="clear"/>
            <w:vAlign w:val="center"/>
          </w:tcPr>
          <w:p>
            <w:pPr>
              <w:pStyle w:val="TableContents"/>
              <w:spacing w:before="0" w:after="0"/>
              <w:ind w:left="0" w:right="0" w:hanging="0"/>
              <w:jc w:val="left"/>
              <w:rPr/>
            </w:pPr>
            <w:hyperlink w:anchor="business_highlights">
              <w:r>
                <w:rPr>
                  <w:rStyle w:val="InternetLink"/>
                  <w:rFonts w:ascii="Times New Roman;serif" w:hAnsi="Times New Roman;serif"/>
                  <w:b w:val="false"/>
                  <w:sz w:val="20"/>
                  <w:u w:val="single"/>
                </w:rPr>
                <w:t>BUSINESS HIGHLIGHTS</w:t>
              </w:r>
            </w:hyperlink>
            <w:r>
              <w:rPr>
                <w:rFonts w:ascii="Times New Roman" w:hAnsi="Times New Roman"/>
                <w:sz w:val="20"/>
              </w:rPr>
              <w:t xml:space="preserve"> </w:t>
            </w:r>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information_concerning_solicitation">
              <w:r>
                <w:rPr>
                  <w:rStyle w:val="InternetLink"/>
                  <w:rFonts w:ascii="Times New Roman;serif" w:hAnsi="Times New Roman;serif"/>
                  <w:b w:val="false"/>
                  <w:sz w:val="20"/>
                  <w:u w:val="single"/>
                </w:rPr>
                <w:t>INFORMATION CONCERNING SOLICITATION AND VOTING</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important_information_about_the_annual">
              <w:r>
                <w:rPr>
                  <w:rStyle w:val="InternetLink"/>
                  <w:rFonts w:ascii="Times New Roman;serif" w:hAnsi="Times New Roman;serif"/>
                  <w:b w:val="false"/>
                  <w:sz w:val="20"/>
                  <w:u w:val="single"/>
                </w:rPr>
                <w:t>IMPORTANT INFORMATION ABOUT THE ANNUAL MEETING AND VOTING</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our_board_of_directors">
              <w:r>
                <w:rPr>
                  <w:rStyle w:val="InternetLink"/>
                  <w:rFonts w:ascii="Times New Roman;serif" w:hAnsi="Times New Roman;serif"/>
                  <w:b w:val="false"/>
                  <w:sz w:val="20"/>
                  <w:u w:val="single"/>
                </w:rPr>
                <w:t>OUR BOARD OF DIRECTORS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how_our_directors_are_selecte">
              <w:r>
                <w:rPr>
                  <w:rStyle w:val="InternetLink"/>
                  <w:rFonts w:ascii="Times New Roman;serif" w:hAnsi="Times New Roman;serif"/>
                  <w:b w:val="false"/>
                  <w:sz w:val="20"/>
                  <w:u w:val="single"/>
                </w:rPr>
                <w:t>HOW OUR DIRECTORS ARE SELECTED AND ELECTED</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how_our_board_of_directors_is_organized">
              <w:r>
                <w:rPr>
                  <w:rStyle w:val="InternetLink"/>
                  <w:rFonts w:ascii="Times New Roman;serif" w:hAnsi="Times New Roman;serif"/>
                  <w:b w:val="false"/>
                  <w:sz w:val="20"/>
                  <w:u w:val="single"/>
                </w:rPr>
                <w:t>HOW OUR BOARD OF DIRECTORS IS ORGANIZED AND GOVERNED</w:t>
              </w:r>
            </w:hyperlink>
            <w:r>
              <w:rPr>
                <w:rFonts w:ascii="Times New Roman" w:hAnsi="Times New Roman"/>
                <w:sz w:val="20"/>
              </w:rPr>
              <w:t xml:space="preserve"> </w:t>
            </w:r>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12</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how_our_directors_are_compensated">
              <w:r>
                <w:rPr>
                  <w:rStyle w:val="InternetLink"/>
                  <w:rFonts w:ascii="Times New Roman;serif" w:hAnsi="Times New Roman;serif"/>
                  <w:b w:val="false"/>
                  <w:sz w:val="20"/>
                  <w:u w:val="single"/>
                </w:rPr>
                <w:t>HOW OUR DIRECTORS ARE COMPENSATED</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16</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our_auditors">
              <w:r>
                <w:rPr>
                  <w:rStyle w:val="InternetLink"/>
                  <w:rFonts w:ascii="Times New Roman;serif" w:hAnsi="Times New Roman;serif"/>
                  <w:b w:val="false"/>
                  <w:sz w:val="20"/>
                  <w:u w:val="single"/>
                </w:rPr>
                <w:t>OUR AUDITORS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our_executives">
              <w:r>
                <w:rPr>
                  <w:rStyle w:val="InternetLink"/>
                  <w:rFonts w:ascii="Times New Roman;serif" w:hAnsi="Times New Roman;serif"/>
                  <w:b w:val="false"/>
                  <w:sz w:val="20"/>
                  <w:u w:val="single"/>
                </w:rPr>
                <w:t>OUR EXECUTIVES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our_executive_compensation_programs">
              <w:r>
                <w:rPr>
                  <w:rStyle w:val="InternetLink"/>
                  <w:rFonts w:ascii="Times New Roman;serif" w:hAnsi="Times New Roman;serif"/>
                  <w:b w:val="false"/>
                  <w:sz w:val="20"/>
                  <w:u w:val="single"/>
                </w:rPr>
                <w:t>OUR EXECUTIVE COMPENSATION PROGRAMS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compensation_discussion_and_analysis">
              <w:r>
                <w:rPr>
                  <w:rStyle w:val="InternetLink"/>
                  <w:rFonts w:ascii="Times New Roman;serif" w:hAnsi="Times New Roman;serif"/>
                  <w:b w:val="false"/>
                  <w:caps/>
                  <w:sz w:val="20"/>
                  <w:u w:val="single"/>
                </w:rPr>
                <w:t>COMPENSATION DISCUSSION AND ANALYSIS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further_information_regarding_executive">
              <w:r>
                <w:rPr>
                  <w:rStyle w:val="InternetLink"/>
                  <w:rFonts w:ascii="Times New Roman;serif" w:hAnsi="Times New Roman;serif"/>
                  <w:b w:val="false"/>
                  <w:sz w:val="20"/>
                  <w:u w:val="single"/>
                </w:rPr>
                <w:t>FURTHER INFORMATION REGARDING EXECUTIVE COMPENSATION</w:t>
              </w:r>
            </w:hyperlink>
            <w:r>
              <w:rPr>
                <w:rFonts w:ascii="Times New Roman" w:hAnsi="Times New Roman"/>
                <w:sz w:val="20"/>
              </w:rPr>
              <w:t xml:space="preserve"> </w:t>
            </w:r>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transactions_with_related_persons">
              <w:r>
                <w:rPr>
                  <w:rStyle w:val="InternetLink"/>
                  <w:rFonts w:ascii="Times New Roman;serif" w:hAnsi="Times New Roman;serif"/>
                  <w:b w:val="false"/>
                  <w:sz w:val="20"/>
                  <w:u w:val="single"/>
                </w:rPr>
                <w:t>TRANSACTIONS WITH RELATED PERSONS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principal_stockholders">
              <w:r>
                <w:rPr>
                  <w:rStyle w:val="InternetLink"/>
                  <w:rFonts w:ascii="Times New Roman;serif" w:hAnsi="Times New Roman;serif"/>
                  <w:b w:val="false"/>
                  <w:sz w:val="20"/>
                  <w:u w:val="single"/>
                </w:rPr>
                <w:t>PRINCIPAL STOCKHOLDERS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report_of_the_audit_committee_of_the">
              <w:r>
                <w:rPr>
                  <w:rStyle w:val="InternetLink"/>
                  <w:rFonts w:ascii="Times New Roman;serif" w:hAnsi="Times New Roman;serif"/>
                  <w:b w:val="false"/>
                  <w:sz w:val="20"/>
                  <w:u w:val="single"/>
                </w:rPr>
                <w:t>REPORT OF THE AUDIT COMMITTEE OF THE BOARD OF DIRECTORS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householding">
              <w:r>
                <w:rPr>
                  <w:rStyle w:val="InternetLink"/>
                  <w:rFonts w:ascii="Times New Roman;serif" w:hAnsi="Times New Roman;serif"/>
                  <w:b w:val="false"/>
                  <w:sz w:val="20"/>
                  <w:u w:val="single"/>
                </w:rPr>
                <w:t>HOUSEHOLDING</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stockholder_proposals_for">
              <w:r>
                <w:rPr>
                  <w:rStyle w:val="InternetLink"/>
                  <w:rFonts w:ascii="Times New Roman;serif" w:hAnsi="Times New Roman;serif"/>
                  <w:b w:val="false"/>
                  <w:sz w:val="20"/>
                  <w:u w:val="single"/>
                </w:rPr>
                <w:t>STOCKHOLDER PROPOSALS FOR OUR 2024 ANNUAL MEETING</w:t>
              </w:r>
            </w:hyperlink>
            <w:r>
              <w:rPr>
                <w:rFonts w:ascii="Times New Roman" w:hAnsi="Times New Roman"/>
                <w:sz w:val="20"/>
              </w:rPr>
              <w:t xml:space="preserve"> </w:t>
            </w:r>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50</w:t>
            </w:r>
          </w:p>
        </w:tc>
      </w:tr>
      <w:tr>
        <w:trPr/>
        <w:tc>
          <w:tcPr>
            <w:tcW w:w="6721"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hyperlink w:anchor="other_matters">
              <w:r>
                <w:rPr>
                  <w:rStyle w:val="InternetLink"/>
                  <w:rFonts w:ascii="Times New Roman;serif" w:hAnsi="Times New Roman;serif"/>
                  <w:b w:val="false"/>
                  <w:sz w:val="20"/>
                  <w:u w:val="single"/>
                </w:rPr>
                <w:t>OTHER MATTERS</w:t>
              </w:r>
            </w:hyperlink>
          </w:p>
        </w:tc>
        <w:tc>
          <w:tcPr>
            <w:tcW w:w="1018" w:type="dxa"/>
            <w:tcBorders/>
            <w:shd w:fill="auto" w:val="cle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51</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 w:name="business_highlights"/>
      <w:bookmarkEnd w:id="3"/>
      <w:r>
        <w:rPr>
          <w:rFonts w:ascii="Times New Roman;serif" w:hAnsi="Times New Roman;serif"/>
          <w:b/>
          <w:sz w:val="22"/>
        </w:rPr>
        <w:t>BUSINESS HIGHLIGHTS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At Apellis, we combine courageous science and compassion to develop life-changing medicines for some of the most challenging diseases patients face. Our goal is to transform treatment for a broad range of debilitating diseases by controlling a part of the immune system known as the complement cascade.</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1"/>
        <w:gridCol w:w="9564"/>
      </w:tblGrid>
      <w:tr>
        <w:trPr/>
        <w:tc>
          <w:tcPr>
            <w:tcW w:w="641" w:type="dxa"/>
            <w:tcBorders/>
            <w:shd w:fill="auto" w:val="clear"/>
            <w:vAlign w:val="center"/>
          </w:tcPr>
          <w:p>
            <w:pPr>
              <w:pStyle w:val="TableContents"/>
              <w:spacing w:before="0" w:after="283"/>
              <w:rPr>
                <w:sz w:val="4"/>
                <w:szCs w:val="4"/>
              </w:rPr>
            </w:pPr>
            <w:r>
              <w:rPr>
                <w:sz w:val="4"/>
                <w:szCs w:val="4"/>
              </w:rPr>
            </w:r>
          </w:p>
        </w:tc>
        <w:tc>
          <w:tcPr>
            <w:tcW w:w="9564" w:type="dxa"/>
            <w:tcBorders/>
            <w:shd w:fill="auto" w:val="clear"/>
            <w:vAlign w:val="center"/>
          </w:tcPr>
          <w:p>
            <w:pPr>
              <w:pStyle w:val="TableContents"/>
              <w:spacing w:before="0" w:after="283"/>
              <w:rPr>
                <w:sz w:val="4"/>
                <w:szCs w:val="4"/>
              </w:rPr>
            </w:pPr>
            <w:r>
              <w:rPr>
                <w:sz w:val="4"/>
                <w:szCs w:val="4"/>
              </w:rPr>
            </w:r>
          </w:p>
        </w:tc>
      </w:tr>
      <w:tr>
        <w:trPr/>
        <w:tc>
          <w:tcPr>
            <w:tcW w:w="641" w:type="dxa"/>
            <w:tcBorders/>
            <w:shd w:fill="auto" w:val="clear"/>
            <w:vAlign w:val="center"/>
          </w:tcPr>
          <w:p>
            <w:pPr>
              <w:pStyle w:val="TableContents"/>
              <w:spacing w:before="0" w:after="20"/>
              <w:ind w:left="0" w:right="0" w:hanging="0"/>
              <w:jc w:val="left"/>
              <w:rPr/>
            </w:pPr>
            <w:r>
              <w:rPr/>
              <w:drawing>
                <wp:inline distT="0" distB="0" distL="0" distR="0">
                  <wp:extent cx="29527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5275" cy="276225"/>
                          </a:xfrm>
                          <a:prstGeom prst="rect">
                            <a:avLst/>
                          </a:prstGeom>
                        </pic:spPr>
                      </pic:pic>
                    </a:graphicData>
                  </a:graphic>
                </wp:inline>
              </w:drawing>
            </w:r>
            <w:r>
              <w:rPr/>
              <w:t> </w:t>
            </w:r>
          </w:p>
          <w:p>
            <w:pPr>
              <w:pStyle w:val="TableContents"/>
              <w:spacing w:before="0" w:after="20"/>
              <w:ind w:left="0" w:right="0" w:hanging="0"/>
              <w:jc w:val="left"/>
              <w:rPr/>
            </w:pPr>
            <w:r>
              <w:rPr/>
              <w:t> </w:t>
            </w:r>
          </w:p>
        </w:tc>
        <w:tc>
          <w:tcPr>
            <w:tcW w:w="9564"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19"/>
              </w:rPr>
              <w:t>Corporate and Financial Highlights</w:t>
            </w:r>
          </w:p>
          <w:p>
            <w:pPr>
              <w:pStyle w:val="TableContents"/>
              <w:spacing w:before="0" w:after="0"/>
              <w:ind w:left="489" w:right="0" w:hanging="0"/>
              <w:jc w:val="left"/>
              <w:rPr/>
            </w:pPr>
            <w:r>
              <w:rPr/>
              <w:t>•</w:t>
            </w:r>
          </w:p>
          <w:p>
            <w:pPr>
              <w:pStyle w:val="TableContents"/>
              <w:spacing w:before="0" w:after="0"/>
              <w:jc w:val="left"/>
              <w:rPr/>
            </w:pPr>
            <w:r>
              <w:rPr>
                <w:rFonts w:ascii="Times New Roman;serif" w:hAnsi="Times New Roman;serif"/>
                <w:b w:val="false"/>
                <w:sz w:val="16"/>
              </w:rPr>
              <w:t xml:space="preserve">EMPAVELI, the first targeted C3 therapy approved by the </w:t>
            </w:r>
            <w:r>
              <w:rPr>
                <w:rFonts w:ascii="Times New Roman;serif" w:hAnsi="Times New Roman;serif"/>
                <w:b w:val="false"/>
                <w:sz w:val="17"/>
              </w:rPr>
              <w:t>U.S. Food and Drug Administration, or the FDA</w:t>
            </w:r>
            <w:r>
              <w:rPr>
                <w:rFonts w:ascii="Times New Roman;serif" w:hAnsi="Times New Roman;serif"/>
                <w:b w:val="false"/>
                <w:sz w:val="16"/>
              </w:rPr>
              <w:t>, continued to elevate the standard of care for patients with PNH in its second year on the market.</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SYFOVRE was approved by the FDA in February 2023 and is the first and only treatment available for GA.</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We raised gross proceeds of $402.5 million in March 2022 and $402.5 million in February 2023 in two underwritten public offerings of our common stock.</w:t>
            </w:r>
          </w:p>
        </w:tc>
      </w:tr>
      <w:tr>
        <w:trPr/>
        <w:tc>
          <w:tcPr>
            <w:tcW w:w="641" w:type="dxa"/>
            <w:tcBorders/>
            <w:shd w:fill="auto" w:val="clear"/>
            <w:vAlign w:val="center"/>
          </w:tcPr>
          <w:p>
            <w:pPr>
              <w:pStyle w:val="TableContents"/>
              <w:spacing w:before="0" w:after="0"/>
              <w:ind w:left="0" w:right="0" w:hanging="0"/>
              <w:jc w:val="left"/>
              <w:rPr/>
            </w:pPr>
            <w:r>
              <w:rPr/>
              <w:t> </w:t>
            </w:r>
          </w:p>
        </w:tc>
        <w:tc>
          <w:tcPr>
            <w:tcW w:w="9564" w:type="dxa"/>
            <w:tcBorders/>
            <w:shd w:fill="auto" w:val="clear"/>
            <w:vAlign w:val="center"/>
          </w:tcPr>
          <w:p>
            <w:pPr>
              <w:pStyle w:val="TableContents"/>
              <w:spacing w:before="0" w:after="283"/>
              <w:ind w:left="0" w:right="0" w:hanging="0"/>
              <w:rPr>
                <w:sz w:val="4"/>
                <w:szCs w:val="4"/>
              </w:rPr>
            </w:pPr>
            <w:r>
              <w:rPr>
                <w:sz w:val="4"/>
                <w:szCs w:val="4"/>
              </w:rPr>
            </w:r>
          </w:p>
        </w:tc>
      </w:tr>
      <w:tr>
        <w:trPr/>
        <w:tc>
          <w:tcPr>
            <w:tcW w:w="641" w:type="dxa"/>
            <w:tcBorders/>
            <w:shd w:fill="auto" w:val="clear"/>
            <w:vAlign w:val="center"/>
          </w:tcPr>
          <w:p>
            <w:pPr>
              <w:pStyle w:val="TableContents"/>
              <w:spacing w:before="0" w:after="20"/>
              <w:ind w:left="0" w:right="0" w:hanging="0"/>
              <w:jc w:val="left"/>
              <w:rPr/>
            </w:pPr>
            <w:r>
              <w:rPr/>
              <w:drawing>
                <wp:inline distT="0" distB="0" distL="0" distR="0">
                  <wp:extent cx="20002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025" cy="295275"/>
                          </a:xfrm>
                          <a:prstGeom prst="rect">
                            <a:avLst/>
                          </a:prstGeom>
                        </pic:spPr>
                      </pic:pic>
                    </a:graphicData>
                  </a:graphic>
                </wp:inline>
              </w:drawing>
            </w:r>
            <w:r>
              <w:rPr/>
              <w:t> </w:t>
            </w:r>
          </w:p>
        </w:tc>
        <w:tc>
          <w:tcPr>
            <w:tcW w:w="9564"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Rare Disease Highlights</w:t>
            </w:r>
          </w:p>
          <w:p>
            <w:pPr>
              <w:pStyle w:val="TableContents"/>
              <w:spacing w:before="0" w:after="0"/>
              <w:ind w:left="0" w:right="0" w:hanging="0"/>
              <w:jc w:val="left"/>
              <w:rPr/>
            </w:pPr>
            <w:r>
              <w:rPr/>
              <w:t> </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We launched EMPAVELI as a commercial product in the United States in May 2021 for the treatment of PNH. We recorded $65.1 million in net product revenue from sales of EMPAVELI in the year ended December 31, 2022.</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In February 2023, the FDA approved the supplemental new drug application, or sNDA, with the Phase 3 PRINCE results and the 48-week Phase 3 PEGASUS data.</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We and Swedish Orphan Biovitrum AB (Publ), or Sobi, have advanced multiple late-stage clinical trials with systemic pegcetacoplan in multiple indications.</w:t>
            </w:r>
          </w:p>
        </w:tc>
      </w:tr>
      <w:tr>
        <w:trPr/>
        <w:tc>
          <w:tcPr>
            <w:tcW w:w="641" w:type="dxa"/>
            <w:tcBorders/>
            <w:shd w:fill="auto" w:val="clear"/>
            <w:vAlign w:val="center"/>
          </w:tcPr>
          <w:p>
            <w:pPr>
              <w:pStyle w:val="TableContents"/>
              <w:spacing w:before="0" w:after="0"/>
              <w:ind w:left="0" w:right="0" w:hanging="0"/>
              <w:jc w:val="left"/>
              <w:rPr/>
            </w:pPr>
            <w:r>
              <w:rPr/>
              <w:drawing>
                <wp:inline distT="0" distB="0" distL="0" distR="0">
                  <wp:extent cx="3143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14325" cy="314325"/>
                          </a:xfrm>
                          <a:prstGeom prst="rect">
                            <a:avLst/>
                          </a:prstGeom>
                        </pic:spPr>
                      </pic:pic>
                    </a:graphicData>
                  </a:graphic>
                </wp:inline>
              </w:drawing>
            </w:r>
          </w:p>
        </w:tc>
        <w:tc>
          <w:tcPr>
            <w:tcW w:w="9564"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Ophthalmology Highlights</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In July 2022, the FDA accepted and granted Priority Review designation for the new drug application, or NDA, for intravitreal pegcetacoplan in GA. </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In August 2022, we reported top-line results from the 24-month Phase 3 DERBY and OAKS studies evaluating intravitreal pegcetacoplan in GA showing increased effects over time and a continued favorable safety profile. </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In November 2022, we submitted the 24-month data as a Major Amendment to the NDA, extending the review period to February 2023.</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The FDA approved intravitreal pegcetacoplan, with the brand name SYFOVRE, in February 2023.</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We launched SYFOVRE in the United States in March 2023 and believe it has the potential to be a breakthrough for patients with GA, a disease that affects approximately one million people in the United States and five million people worldwide.</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A marketing authorization application for intravitreal pegcetacoplan was validated and is currently under review by the European Medicines Agency, or EMA, with a European Commission, or EC, decision expected in early 2024.</w:t>
            </w:r>
          </w:p>
        </w:tc>
      </w:tr>
      <w:tr>
        <w:trPr/>
        <w:tc>
          <w:tcPr>
            <w:tcW w:w="641" w:type="dxa"/>
            <w:tcBorders/>
            <w:shd w:fill="auto" w:val="clear"/>
            <w:vAlign w:val="center"/>
          </w:tcPr>
          <w:p>
            <w:pPr>
              <w:pStyle w:val="TableContents"/>
              <w:spacing w:before="0" w:after="0"/>
              <w:ind w:left="0" w:right="0" w:hanging="0"/>
              <w:jc w:val="left"/>
              <w:rPr/>
            </w:pPr>
            <w:r>
              <w:rPr/>
              <w:drawing>
                <wp:inline distT="0" distB="0" distL="0" distR="0">
                  <wp:extent cx="29527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5275" cy="295275"/>
                          </a:xfrm>
                          <a:prstGeom prst="rect">
                            <a:avLst/>
                          </a:prstGeom>
                        </pic:spPr>
                      </pic:pic>
                    </a:graphicData>
                  </a:graphic>
                </wp:inline>
              </w:drawing>
            </w:r>
            <w:r>
              <w:rPr/>
              <w:t> </w:t>
            </w:r>
          </w:p>
        </w:tc>
        <w:tc>
          <w:tcPr>
            <w:tcW w:w="956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Neurology Highlights</w:t>
            </w:r>
          </w:p>
          <w:p>
            <w:pPr>
              <w:pStyle w:val="TableContents"/>
              <w:spacing w:before="120" w:after="0"/>
              <w:ind w:left="489" w:right="0" w:hanging="0"/>
              <w:jc w:val="left"/>
              <w:rPr/>
            </w:pPr>
            <w:r>
              <w:rPr/>
              <w:t>•</w:t>
            </w:r>
          </w:p>
          <w:p>
            <w:pPr>
              <w:pStyle w:val="TableContents"/>
              <w:spacing w:before="120" w:after="283"/>
              <w:jc w:val="left"/>
              <w:rPr>
                <w:rFonts w:ascii="Times New Roman;serif" w:hAnsi="Times New Roman;serif"/>
                <w:b w:val="false"/>
                <w:sz w:val="17"/>
              </w:rPr>
            </w:pPr>
            <w:r>
              <w:rPr>
                <w:rFonts w:ascii="Times New Roman;serif" w:hAnsi="Times New Roman;serif"/>
                <w:b w:val="false"/>
                <w:sz w:val="17"/>
              </w:rPr>
              <w:t>We continue to advance pre-clinical studies of APL-1030, a first-in-class, brain-active C3 inhibitor for neurological diseases.</w:t>
            </w:r>
          </w:p>
          <w:p>
            <w:pPr>
              <w:pStyle w:val="TableContents"/>
              <w:spacing w:before="0" w:after="0"/>
              <w:ind w:left="0" w:right="0" w:hanging="0"/>
              <w:jc w:val="left"/>
              <w:rPr/>
            </w:pPr>
            <w:r>
              <w:rPr/>
              <w:t> </w:t>
            </w:r>
          </w:p>
        </w:tc>
      </w:tr>
      <w:tr>
        <w:trPr/>
        <w:tc>
          <w:tcPr>
            <w:tcW w:w="641" w:type="dxa"/>
            <w:tcBorders/>
            <w:shd w:fill="auto" w:val="clear"/>
            <w:vAlign w:val="center"/>
          </w:tcPr>
          <w:p>
            <w:pPr>
              <w:pStyle w:val="TableContents"/>
              <w:spacing w:before="0" w:after="0"/>
              <w:ind w:left="0" w:right="0" w:hanging="0"/>
              <w:jc w:val="left"/>
              <w:rPr/>
            </w:pPr>
            <w:r>
              <w:rPr/>
              <w:drawing>
                <wp:inline distT="0" distB="0" distL="0" distR="0">
                  <wp:extent cx="342900"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2900" cy="257175"/>
                          </a:xfrm>
                          <a:prstGeom prst="rect">
                            <a:avLst/>
                          </a:prstGeom>
                        </pic:spPr>
                      </pic:pic>
                    </a:graphicData>
                  </a:graphic>
                </wp:inline>
              </w:drawing>
            </w:r>
          </w:p>
        </w:tc>
        <w:tc>
          <w:tcPr>
            <w:tcW w:w="9564" w:type="dxa"/>
            <w:tcBorders/>
            <w:shd w:fill="auto" w:val="clear"/>
            <w:vAlign w:val="center"/>
          </w:tcPr>
          <w:p>
            <w:pPr>
              <w:pStyle w:val="TableContents"/>
              <w:spacing w:before="0" w:after="0"/>
              <w:ind w:left="0" w:right="0" w:hanging="0"/>
              <w:jc w:val="left"/>
              <w:rPr>
                <w:rFonts w:ascii="Times New Roman" w:hAnsi="Times New Roman"/>
                <w:sz w:val="19"/>
              </w:rPr>
            </w:pPr>
            <w:r>
              <w:rPr>
                <w:rFonts w:ascii="Times New Roman;serif" w:hAnsi="Times New Roman;serif"/>
                <w:b/>
                <w:sz w:val="19"/>
              </w:rPr>
              <w:t>People and Culture Highlights</w:t>
            </w:r>
            <w:r>
              <w:rPr>
                <w:rFonts w:ascii="Times New Roman" w:hAnsi="Times New Roman"/>
                <w:sz w:val="19"/>
              </w:rPr>
              <w:t xml:space="preserve"> </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We published our inaugural environmental, social and governance (ESG) report which provides more detail on the policies and programs we believe are critical for our ESG initiatives. </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We established a compliance committee of the Board of Directors to provide Board oversight and feedback regarding the Company’s compliance program.</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We launched Project Apollo, an updated quality management system, focused on helping our teams efficiently drive compliance, product quality, innovation, and patient safety across the company.</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We established a diversity, equity, and inclusion (DEI) program (Belonging@Apellis) aimed at developing and implementing a DEI strategy that aligns with our commitment to foster a sense of belonging and safety for all employees. In addition to a resource site developed within Apellis' intranet in 2022, the Belonging team also held 6 DEI employee-wide events.</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We launched a Matrix Leadership Development training program for individual contributors and managers.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240" w:after="0"/>
        <w:jc w:val="center"/>
        <w:rPr>
          <w:rFonts w:ascii="Times New Roman" w:hAnsi="Times New Roman"/>
          <w:sz w:val="20"/>
        </w:rPr>
      </w:pPr>
      <w:r>
        <w:rPr>
          <w:rFonts w:ascii="Times New Roman;serif" w:hAnsi="Times New Roman;serif"/>
          <w:b/>
          <w:sz w:val="20"/>
        </w:rPr>
        <w:t>100 Fifth Avenue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Waltham, Massachusetts 02451</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(617) 977-5700</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PROXY STATEMENT</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2023 ANNUAL MEETING OF STOCKHOLDERS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To Be Held on June 1, 2023</w:t>
      </w:r>
      <w:r>
        <w:rPr>
          <w:rFonts w:ascii="Times New Roman" w:hAnsi="Times New Roman"/>
          <w:sz w:val="20"/>
        </w:rPr>
        <w:t xml:space="preserve"> </w:t>
      </w:r>
    </w:p>
    <w:p>
      <w:pPr>
        <w:pStyle w:val="TextBody"/>
        <w:spacing w:before="240" w:after="0"/>
        <w:jc w:val="center"/>
        <w:rPr>
          <w:rFonts w:ascii="Times New Roman" w:hAnsi="Times New Roman"/>
          <w:sz w:val="20"/>
        </w:rPr>
      </w:pPr>
      <w:bookmarkStart w:id="4" w:name="information_concerning_solicitation"/>
      <w:bookmarkEnd w:id="4"/>
      <w:r>
        <w:rPr>
          <w:rFonts w:ascii="Times New Roman;serif" w:hAnsi="Times New Roman;serif"/>
          <w:b/>
          <w:sz w:val="24"/>
        </w:rPr>
        <w:t>INFORMATION CONCERNING SOLICITATION</w:t>
      </w:r>
      <w:r>
        <w:rPr>
          <w:rFonts w:ascii="Times New Roman" w:hAnsi="Times New Roman"/>
          <w:sz w:val="20"/>
        </w:rPr>
        <w:t xml:space="preserve"> </w:t>
      </w:r>
      <w:r>
        <w:rPr>
          <w:rFonts w:ascii="Times New Roman;serif" w:hAnsi="Times New Roman;serif"/>
          <w:b/>
          <w:sz w:val="24"/>
        </w:rPr>
        <w:t>AND VOTING</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This proxy statement contains information about the Annual Meeting of Stockholders of Apellis Pharmaceuticals, Inc., or the Annual Meeting, to be held on Thursday, June 1, 2023 at 10:00 a.m., Eastern time. The meeting will be held via the Internet at </w:t>
      </w:r>
      <w:r>
        <w:rPr>
          <w:rFonts w:ascii="Times New Roman;serif" w:hAnsi="Times New Roman;serif"/>
          <w:b/>
          <w:i/>
          <w:sz w:val="18"/>
        </w:rPr>
        <w:t>https://www.proxydocs.com/APLS</w:t>
      </w:r>
      <w:r>
        <w:rPr>
          <w:rFonts w:ascii="Times New Roman;serif" w:hAnsi="Times New Roman;serif"/>
          <w:b w:val="false"/>
          <w:sz w:val="18"/>
        </w:rPr>
        <w:t>. There will not be a physical meeting location, and stockholders will not be able to attend the Annual Meeting in person. Further information about how to attend the Annual Meeting online is included below.</w:t>
      </w:r>
    </w:p>
    <w:p>
      <w:pPr>
        <w:pStyle w:val="TextBody"/>
        <w:spacing w:before="0" w:after="0"/>
        <w:jc w:val="both"/>
        <w:rPr>
          <w:rFonts w:ascii="Times New Roman;serif" w:hAnsi="Times New Roman;serif"/>
          <w:b w:val="false"/>
          <w:sz w:val="18"/>
        </w:rPr>
      </w:pPr>
      <w:r>
        <w:rPr>
          <w:rFonts w:ascii="Times New Roman;serif" w:hAnsi="Times New Roman;serif"/>
          <w:b w:val="false"/>
          <w:sz w:val="18"/>
        </w:rPr>
        <w:t>The board of directors of Apellis is using this proxy statement to solicit proxies for use at the Annual Meeting. In this proxy statement, unless expressly stated otherwise or the context otherwise requires, references to “Apellis,” “the Company,” “our company,” “we,” “us,” “our” and similar terms refer to Apellis Pharmaceuticals, Inc.</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All properly submitted proxies will be voted in accordance with the instructions contained in those proxies. If no instructions are specified, the shares represented by submitted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Instead of mailing a paper copy of our proxy materials to all of our stockholders, we are providing access to our proxy materials over the Internet under the Securities and Exchange Commission’s, or SEC, “notice and access” rules. As a result, we are mailing to our stockholders a Notice of Internet Availability of Proxy Materials, or the Notice, instead of a paper copy of this proxy statement and our annual report for the fiscal year ended December 31, 2022, or the 2022 Annual Report. We plan to send the Notice on or about April 21, 2023. The Notice contains instructions on how to access those documents over the Internet. The Notice also contains instructions on how each of our stockholders can receive a paper copy of our proxy materials, including this proxy statement, our 2022 Annual Report and a form of proxy card.</w:t>
      </w:r>
    </w:p>
    <w:p>
      <w:pPr>
        <w:pStyle w:val="TextBody"/>
        <w:spacing w:before="0" w:after="0"/>
        <w:jc w:val="center"/>
        <w:rPr>
          <w:rFonts w:ascii="Times New Roman;serif" w:hAnsi="Times New Roman;serif"/>
          <w:b/>
          <w:sz w:val="18"/>
        </w:rPr>
      </w:pPr>
      <w:r>
        <w:rPr>
          <w:rFonts w:ascii="Times New Roman;serif" w:hAnsi="Times New Roman;serif"/>
          <w:b/>
          <w:sz w:val="18"/>
        </w:rPr>
        <w:t>Important Notice Regarding the Availability of Proxy Materials for</w:t>
      </w:r>
    </w:p>
    <w:p>
      <w:pPr>
        <w:pStyle w:val="TextBody"/>
        <w:spacing w:before="0" w:after="0"/>
        <w:jc w:val="center"/>
        <w:rPr>
          <w:rFonts w:ascii="Times New Roman;serif" w:hAnsi="Times New Roman;serif"/>
          <w:b/>
          <w:sz w:val="18"/>
        </w:rPr>
      </w:pPr>
      <w:r>
        <w:rPr>
          <w:rFonts w:ascii="Times New Roman;serif" w:hAnsi="Times New Roman;serif"/>
          <w:b/>
          <w:sz w:val="18"/>
        </w:rPr>
        <w:t>the Annual Meeting of Stockholders to be Held on June 1, 2023:</w:t>
      </w:r>
    </w:p>
    <w:p>
      <w:pPr>
        <w:pStyle w:val="TextBody"/>
        <w:spacing w:before="0" w:after="0"/>
        <w:jc w:val="center"/>
        <w:rPr>
          <w:rFonts w:ascii="Times New Roman;serif" w:hAnsi="Times New Roman;serif"/>
          <w:b/>
          <w:sz w:val="18"/>
        </w:rPr>
      </w:pPr>
      <w:r>
        <w:rPr>
          <w:rFonts w:ascii="Times New Roman;serif" w:hAnsi="Times New Roman;serif"/>
          <w:b/>
          <w:sz w:val="18"/>
        </w:rPr>
        <w:t>This proxy statement and our 2022 Annual Report are</w:t>
      </w:r>
    </w:p>
    <w:p>
      <w:pPr>
        <w:pStyle w:val="TextBody"/>
        <w:spacing w:before="0" w:after="0"/>
        <w:jc w:val="center"/>
        <w:rPr>
          <w:rFonts w:ascii="Times New Roman;serif" w:hAnsi="Times New Roman;serif"/>
          <w:b/>
          <w:sz w:val="18"/>
        </w:rPr>
      </w:pPr>
      <w:r>
        <w:rPr>
          <w:rFonts w:ascii="Times New Roman;serif" w:hAnsi="Times New Roman;serif"/>
          <w:b/>
          <w:sz w:val="18"/>
        </w:rPr>
        <w:t>available for viewing, printing and downloading at https://www.proxydocs.com/APLS.</w:t>
      </w:r>
    </w:p>
    <w:p>
      <w:pPr>
        <w:pStyle w:val="TextBody"/>
        <w:spacing w:before="0" w:after="0"/>
        <w:jc w:val="left"/>
        <w:rPr>
          <w:rFonts w:ascii="Times New Roman" w:hAnsi="Times New Roman"/>
          <w:sz w:val="20"/>
        </w:rPr>
      </w:pPr>
      <w:r>
        <w:rPr>
          <w:rFonts w:ascii="Times New Roman;serif" w:hAnsi="Times New Roman;serif"/>
          <w:b/>
          <w:sz w:val="18"/>
        </w:rPr>
        <w:t xml:space="preserve">A copy of our annual report on Form 10-K for the fiscal year ended December 31, 2022, as filed with the SEC, except for exhibits, will be furnished without charge to any stockholder upon written request to Apellis Pharmaceuticals, Inc. 100 Fifth Avenue, Waltham, Massachusetts 02451. This proxy statement and our 2022 Annual Report, which includes our annual report on Form 10-K for the fiscal year ended December 31, 2022, are also available on the SEC’s website at </w:t>
      </w:r>
      <w:r>
        <w:rPr>
          <w:rFonts w:ascii="Times New Roman;serif" w:hAnsi="Times New Roman;serif"/>
          <w:b/>
          <w:sz w:val="18"/>
          <w:u w:val="single"/>
        </w:rPr>
        <w:t>http://www.sec.gov</w:t>
      </w:r>
      <w:r>
        <w:rPr>
          <w:rFonts w:ascii="Times New Roman;serif" w:hAnsi="Times New Roman;serif"/>
          <w:b/>
          <w:sz w:val="18"/>
        </w:rPr>
        <w: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5" w:name="important_information_about_the_annual"/>
      <w:bookmarkEnd w:id="5"/>
      <w:r>
        <w:rPr>
          <w:rFonts w:ascii="Times New Roman;serif" w:hAnsi="Times New Roman;serif"/>
          <w:b/>
          <w:sz w:val="24"/>
        </w:rPr>
        <w:t>IMPORTANT INFORMATION ABOUT THE ANNUAL</w:t>
      </w:r>
      <w:r>
        <w:rPr>
          <w:rFonts w:ascii="Times New Roman" w:hAnsi="Times New Roman"/>
          <w:sz w:val="20"/>
        </w:rPr>
        <w:t xml:space="preserve"> </w:t>
      </w:r>
      <w:r>
        <w:rPr>
          <w:rFonts w:ascii="Times New Roman;serif" w:hAnsi="Times New Roman;serif"/>
          <w:b/>
          <w:sz w:val="24"/>
        </w:rPr>
        <w:t>MEETING AND VOTING</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Purpose of the Annual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At the Annual Meeting, our stockholders will consider and vote on the following matters:</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elect two Class III directors to hold office until the 2026 annual meeting of stockholders;</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ratify the appointment of Deloitte &amp; Touche LLP as our independent registered public accounting firm for the fiscal year ending December 31, 2023;</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approve an advisory vote on executive compensation; and</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to transact any other business that may properly come before the annual meeting or any adjournment or postponement thereof.</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As of the date of this proxy statement, we are not aware of any business to come before the meeting other than the first three items noted above.</w:t>
      </w:r>
    </w:p>
    <w:p>
      <w:pPr>
        <w:pStyle w:val="TextBody"/>
        <w:spacing w:before="0" w:after="0"/>
        <w:jc w:val="left"/>
        <w:rPr>
          <w:rFonts w:ascii="Times New Roman;serif" w:hAnsi="Times New Roman;serif"/>
          <w:b/>
          <w:sz w:val="18"/>
        </w:rPr>
      </w:pPr>
      <w:r>
        <w:rPr>
          <w:rFonts w:ascii="Times New Roman;serif" w:hAnsi="Times New Roman;serif"/>
          <w:b/>
          <w:sz w:val="18"/>
        </w:rPr>
        <w:t>Board of Directors Recommendation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board of directors unanimously recommends that you vote:</w:t>
      </w:r>
    </w:p>
    <w:p>
      <w:pPr>
        <w:pStyle w:val="TextBody"/>
        <w:spacing w:before="0" w:after="0"/>
        <w:jc w:val="left"/>
        <w:rPr>
          <w:rFonts w:ascii="Times New Roman" w:hAnsi="Times New Roman"/>
          <w:sz w:val="20"/>
        </w:rPr>
      </w:pPr>
      <w:r>
        <w:rPr>
          <w:rFonts w:ascii="Times New Roman;serif" w:hAnsi="Times New Roman;serif"/>
          <w:b/>
          <w:sz w:val="18"/>
        </w:rPr>
        <w:t xml:space="preserve">FOR </w:t>
      </w:r>
      <w:r>
        <w:rPr>
          <w:rFonts w:ascii="Times New Roman;serif" w:hAnsi="Times New Roman;serif"/>
          <w:b w:val="false"/>
          <w:sz w:val="18"/>
        </w:rPr>
        <w:t>the election of two Class III directors, each to hold office until the 2026 annual meeting of stockholders;</w:t>
      </w:r>
    </w:p>
    <w:p>
      <w:pPr>
        <w:pStyle w:val="TextBody"/>
        <w:spacing w:before="0" w:after="0"/>
        <w:jc w:val="left"/>
        <w:rPr>
          <w:rFonts w:ascii="Times New Roman" w:hAnsi="Times New Roman"/>
          <w:sz w:val="20"/>
        </w:rPr>
      </w:pPr>
      <w:r>
        <w:rPr>
          <w:rFonts w:ascii="Times New Roman;serif" w:hAnsi="Times New Roman;serif"/>
          <w:b/>
          <w:sz w:val="18"/>
        </w:rPr>
        <w:t xml:space="preserve">FOR </w:t>
      </w:r>
      <w:r>
        <w:rPr>
          <w:rFonts w:ascii="Times New Roman;serif" w:hAnsi="Times New Roman;serif"/>
          <w:b w:val="false"/>
          <w:sz w:val="18"/>
        </w:rPr>
        <w:t>the ratification of the appointment of Deloitte &amp; Touche LLP as our independent registered public accounting firm for the fiscal year ending</w:t>
      </w:r>
      <w:r>
        <w:rPr>
          <w:rFonts w:ascii="Times New Roman" w:hAnsi="Times New Roman"/>
          <w:sz w:val="20"/>
        </w:rPr>
        <w:t xml:space="preserve"> </w:t>
      </w:r>
      <w:r>
        <w:rPr>
          <w:rFonts w:ascii="Times New Roman;serif" w:hAnsi="Times New Roman;serif"/>
          <w:b w:val="false"/>
          <w:sz w:val="18"/>
        </w:rPr>
        <w:t>December 31, 2023; and</w:t>
      </w:r>
    </w:p>
    <w:p>
      <w:pPr>
        <w:pStyle w:val="TextBody"/>
        <w:spacing w:before="0" w:after="0"/>
        <w:jc w:val="left"/>
        <w:rPr>
          <w:rFonts w:ascii="Times New Roman" w:hAnsi="Times New Roman"/>
          <w:sz w:val="20"/>
        </w:rPr>
      </w:pPr>
      <w:r>
        <w:rPr>
          <w:rFonts w:ascii="Times New Roman;serif" w:hAnsi="Times New Roman;serif"/>
          <w:b/>
          <w:sz w:val="18"/>
        </w:rPr>
        <w:t xml:space="preserve">FOR </w:t>
      </w:r>
      <w:r>
        <w:rPr>
          <w:rFonts w:ascii="Times New Roman;serif" w:hAnsi="Times New Roman;serif"/>
          <w:b w:val="false"/>
          <w:sz w:val="18"/>
        </w:rPr>
        <w:t>the approval of the advisory vote on executive compensation.</w:t>
      </w:r>
    </w:p>
    <w:p>
      <w:pPr>
        <w:pStyle w:val="TextBody"/>
        <w:spacing w:before="0" w:after="0"/>
        <w:jc w:val="left"/>
        <w:rPr>
          <w:rFonts w:ascii="Times New Roman;serif" w:hAnsi="Times New Roman;serif"/>
          <w:b/>
          <w:sz w:val="18"/>
        </w:rPr>
      </w:pPr>
      <w:r>
        <w:rPr>
          <w:rFonts w:ascii="Times New Roman;serif" w:hAnsi="Times New Roman;serif"/>
          <w:b/>
          <w:sz w:val="18"/>
        </w:rPr>
        <w:t>Availability of Proxy Materials</w:t>
      </w:r>
    </w:p>
    <w:p>
      <w:pPr>
        <w:pStyle w:val="TextBody"/>
        <w:spacing w:before="0" w:after="0"/>
        <w:jc w:val="both"/>
        <w:rPr>
          <w:rFonts w:ascii="Times New Roman" w:hAnsi="Times New Roman"/>
          <w:sz w:val="20"/>
        </w:rPr>
      </w:pPr>
      <w:r>
        <w:rPr>
          <w:rFonts w:ascii="Times New Roman;serif" w:hAnsi="Times New Roman;serif"/>
          <w:b w:val="false"/>
          <w:sz w:val="18"/>
        </w:rPr>
        <w:t xml:space="preserve">The proxy materials, including this proxy statement, a proxy card and our 2022 Annual Report, are available for viewing, printing and downloading on the Internet at </w:t>
      </w:r>
      <w:r>
        <w:rPr>
          <w:rFonts w:ascii="Times New Roman;serif" w:hAnsi="Times New Roman;serif"/>
          <w:b/>
          <w:i/>
          <w:sz w:val="18"/>
        </w:rPr>
        <w:t>https://www.proxydocs.com/APLS</w:t>
      </w:r>
      <w:r>
        <w:rPr>
          <w:rFonts w:ascii="Times New Roman;serif" w:hAnsi="Times New Roman;serif"/>
          <w:b w:val="false"/>
          <w:sz w:val="18"/>
        </w:rPr>
        <w:t>. If you would like to receive a paper copy of our proxy materials, you should follow the instructions for requesting paper materials in the Notice.</w:t>
      </w:r>
    </w:p>
    <w:p>
      <w:pPr>
        <w:pStyle w:val="TextBody"/>
        <w:spacing w:before="0" w:after="0"/>
        <w:jc w:val="left"/>
        <w:rPr>
          <w:rFonts w:ascii="Times New Roman;serif" w:hAnsi="Times New Roman;serif"/>
          <w:b/>
          <w:sz w:val="18"/>
        </w:rPr>
      </w:pPr>
      <w:r>
        <w:rPr>
          <w:rFonts w:ascii="Times New Roman;serif" w:hAnsi="Times New Roman;serif"/>
          <w:b/>
          <w:sz w:val="18"/>
        </w:rPr>
        <w:t>How do I attend the Annual Meeting?</w:t>
      </w:r>
    </w:p>
    <w:p>
      <w:pPr>
        <w:pStyle w:val="TextBody"/>
        <w:spacing w:before="0" w:after="0"/>
        <w:jc w:val="left"/>
        <w:rPr>
          <w:rFonts w:ascii="Times New Roman" w:hAnsi="Times New Roman"/>
          <w:sz w:val="20"/>
        </w:rPr>
      </w:pPr>
      <w:r>
        <w:rPr>
          <w:rFonts w:ascii="Times New Roman;serif" w:hAnsi="Times New Roman;serif"/>
          <w:b w:val="false"/>
          <w:sz w:val="18"/>
        </w:rPr>
        <w:t xml:space="preserve">The Annual Meeting will be a virtual meeting and you may not attend in person. In order to attend the meeting online, you must register in advance at </w:t>
      </w:r>
      <w:r>
        <w:rPr>
          <w:rFonts w:ascii="Times New Roman;serif" w:hAnsi="Times New Roman;serif"/>
          <w:b/>
          <w:i/>
          <w:sz w:val="18"/>
          <w:u w:val="single"/>
        </w:rPr>
        <w:t>https://www.proxydocs.com/APLS</w:t>
      </w:r>
      <w:r>
        <w:rPr>
          <w:rFonts w:ascii="Times New Roman" w:hAnsi="Times New Roman"/>
          <w:sz w:val="20"/>
        </w:rPr>
        <w:t xml:space="preserve"> </w:t>
      </w:r>
      <w:r>
        <w:rPr>
          <w:rFonts w:ascii="Times New Roman;serif" w:hAnsi="Times New Roman;serif"/>
          <w:b w:val="false"/>
          <w:sz w:val="18"/>
        </w:rPr>
        <w:t>prior to the deadline of May 31, 2023 at 5:00 p.m., Eastern Time. You may attend the Annual Meeting online by</w:t>
      </w:r>
      <w:r>
        <w:rPr>
          <w:rFonts w:ascii="Times New Roman" w:hAnsi="Times New Roman"/>
          <w:sz w:val="20"/>
        </w:rPr>
        <w:t xml:space="preserve"> </w:t>
      </w:r>
      <w:r>
        <w:rPr>
          <w:rFonts w:ascii="Times New Roman;serif" w:hAnsi="Times New Roman;serif"/>
          <w:b w:val="false"/>
          <w:sz w:val="18"/>
        </w:rPr>
        <w:t>following the instructions you receive once registration is complete. The meeting will start at 10:00 a.m., Eastern Time, on Thursday, June 1, 2023.</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Online registration will begin at 5:00 p.m., Eastern Time on April 21, 2023, and you should allow ample time for the online registration.</w:t>
      </w:r>
    </w:p>
    <w:p>
      <w:pPr>
        <w:pStyle w:val="TextBody"/>
        <w:spacing w:before="0" w:after="0"/>
        <w:jc w:val="both"/>
        <w:rPr>
          <w:rFonts w:ascii="Times New Roman;serif" w:hAnsi="Times New Roman;serif"/>
          <w:b w:val="false"/>
          <w:sz w:val="18"/>
        </w:rPr>
      </w:pPr>
      <w:r>
        <w:rPr>
          <w:rFonts w:ascii="Times New Roman;serif" w:hAnsi="Times New Roman;serif"/>
          <w:b w:val="false"/>
          <w:sz w:val="18"/>
        </w:rPr>
        <w:t>Upon completing your registration, you will receive further instructions via email, including your unique link that will allow you access to the meeting and you will have the ability to submit questions. Please be sure to follow instructions found on your proxy card and/or voting authorization form and subsequent instructions that will be delivered to you via email.</w:t>
      </w:r>
    </w:p>
    <w:p>
      <w:pPr>
        <w:pStyle w:val="TextBody"/>
        <w:spacing w:before="0" w:after="0"/>
        <w:jc w:val="left"/>
        <w:rPr>
          <w:rFonts w:ascii="Times New Roman;serif" w:hAnsi="Times New Roman;serif"/>
          <w:b w:val="false"/>
          <w:sz w:val="18"/>
        </w:rPr>
      </w:pPr>
      <w:r>
        <w:rPr>
          <w:rFonts w:ascii="Times New Roman;serif" w:hAnsi="Times New Roman;serif"/>
          <w:b w:val="false"/>
          <w:sz w:val="18"/>
        </w:rPr>
        <w:t>You may log on to the virtual meeting starting one hour before it begins. If you encounter any difficulties accessing the virtual meeting during check-in or at the time of the virtual meeting, please contact technical support, whose contact information will be included in the email containing the unique link granting access into the meeting. There will be technicians standing by and ready to assist you starting at 9:00 a.m., Eastern Time, on Thursday, June 1, 2023, if you have any technical difficulties accessing the virtual meeting.</w:t>
      </w:r>
    </w:p>
    <w:p>
      <w:pPr>
        <w:pStyle w:val="TextBody"/>
        <w:spacing w:before="240" w:after="0"/>
        <w:jc w:val="left"/>
        <w:rPr>
          <w:rFonts w:ascii="Times New Roman;serif" w:hAnsi="Times New Roman;serif"/>
          <w:b/>
          <w:sz w:val="18"/>
        </w:rPr>
      </w:pPr>
      <w:r>
        <w:rPr>
          <w:rFonts w:ascii="Times New Roman;serif" w:hAnsi="Times New Roman;serif"/>
          <w:b/>
          <w:sz w:val="18"/>
        </w:rPr>
        <w:t>Are there other things I should know if I intend to attend the virtual Annual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Please note that you can only access the virtual Annual Meeting via a unique link to the Annual Meeting that will be emailed to you at 9:00 a.m., Eastern Time, on June 1, 2023 if registration was properly submitted prior to the deadline of May 31, 2023 at 5:00 p.m., Eastern Time.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Why is the Annual Meeting a virtual, online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Annual Meeting will be a virtual meeting of stockholders where stockholders will participate by accessing a website using the Internet. There will not be a physical meeting location. We believe that hosting a virtual meeting facilitates stockholder attendance and participation at our Annual Meeting by enabling stockholders to participate from any location around the world. We have designed the virtual annual meeting to provide the same rights and opportunities to participate as stockholders have at an in-person meeting, including the right to vote and ask questions through the virtual meeting platform.</w:t>
      </w:r>
    </w:p>
    <w:p>
      <w:pPr>
        <w:pStyle w:val="TextBody"/>
        <w:spacing w:before="0" w:after="0"/>
        <w:jc w:val="left"/>
        <w:rPr>
          <w:rFonts w:ascii="Times New Roman;serif" w:hAnsi="Times New Roman;serif"/>
          <w:b/>
          <w:sz w:val="18"/>
        </w:rPr>
      </w:pPr>
      <w:r>
        <w:rPr>
          <w:rFonts w:ascii="Times New Roman;serif" w:hAnsi="Times New Roman;serif"/>
          <w:b/>
          <w:sz w:val="18"/>
        </w:rPr>
        <w:t>Who can vote at the Annual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Only stockholders of record at the close of business on the record date, April 3, 2023, are entitled to receive notice of the Annual Meeting and to vote the shares of our common stock that they held on that date. As of April 3, 2023, there were 116,179,141 shares of common stock issued and outstanding. Each share of common stock is entitled to one vote on each matter properly brought before the Annual Meeting.</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Difference between a “stockholder of record” and a beneficial owner of shares held in “street name”</w:t>
      </w:r>
    </w:p>
    <w:p>
      <w:pPr>
        <w:pStyle w:val="TextBody"/>
        <w:spacing w:before="0" w:after="0"/>
        <w:jc w:val="left"/>
        <w:rPr>
          <w:rFonts w:ascii="Times New Roman" w:hAnsi="Times New Roman"/>
          <w:sz w:val="20"/>
        </w:rPr>
      </w:pPr>
      <w:r>
        <w:rPr>
          <w:rFonts w:ascii="Times New Roman;serif" w:hAnsi="Times New Roman;serif"/>
          <w:b w:val="false"/>
          <w:i/>
          <w:sz w:val="18"/>
        </w:rPr>
        <w:t>Stockholder of Record</w:t>
      </w:r>
      <w:r>
        <w:rPr>
          <w:rFonts w:ascii="Times New Roman;serif" w:hAnsi="Times New Roman;serif"/>
          <w:b w:val="false"/>
          <w:sz w:val="18"/>
        </w:rPr>
        <w:t>. If your shares are registered directly in your name with our transfer agent, American Stock Transfer, then you are considered a</w:t>
      </w:r>
      <w:r>
        <w:rPr>
          <w:rFonts w:ascii="Times New Roman" w:hAnsi="Times New Roman"/>
          <w:sz w:val="20"/>
        </w:rPr>
        <w:t xml:space="preserve"> “</w:t>
      </w:r>
      <w:r>
        <w:rPr>
          <w:rFonts w:ascii="Times New Roman;serif" w:hAnsi="Times New Roman;serif"/>
          <w:b w:val="false"/>
          <w:sz w:val="18"/>
        </w:rPr>
        <w:t>stockholder of record” of those shares. In this case, your Notice has been sent to you directly by us. You may vote your shares by proxy prior to the Annual Meeting by following the instructions contained in the Notice and in the section titled “How to Vote” on page 4 of this proxy statement.</w:t>
      </w:r>
    </w:p>
    <w:p>
      <w:pPr>
        <w:pStyle w:val="TextBody"/>
        <w:spacing w:before="0" w:after="0"/>
        <w:jc w:val="left"/>
        <w:rPr>
          <w:rFonts w:ascii="Times New Roman" w:hAnsi="Times New Roman"/>
          <w:sz w:val="20"/>
        </w:rPr>
      </w:pPr>
      <w:r>
        <w:rPr>
          <w:rFonts w:ascii="Times New Roman;serif" w:hAnsi="Times New Roman;serif"/>
          <w:b w:val="false"/>
          <w:i/>
          <w:sz w:val="18"/>
        </w:rPr>
        <w:t>Beneficial Owners of Shares Held in Street Name</w:t>
      </w:r>
      <w:r>
        <w:rPr>
          <w:rFonts w:ascii="Times New Roman;serif" w:hAnsi="Times New Roman;serif"/>
          <w:b w:val="false"/>
          <w:sz w:val="18"/>
        </w:rPr>
        <w:t>. If your shares are held by a bank, broker or other nominee, then</w:t>
      </w:r>
      <w:r>
        <w:rPr>
          <w:rFonts w:ascii="Times New Roman" w:hAnsi="Times New Roman"/>
          <w:sz w:val="20"/>
        </w:rPr>
        <w:t xml:space="preserve"> </w:t>
      </w:r>
      <w:r>
        <w:rPr>
          <w:rFonts w:ascii="Times New Roman;serif" w:hAnsi="Times New Roman;serif"/>
          <w:b w:val="false"/>
          <w:sz w:val="18"/>
        </w:rPr>
        <w:t>you are considered the beneficial owner of those shares, which are held in “street name.” In this case, your Notice will be forwarded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your shares are held in “street name,” your bank, brokerage firm or other nominee may under certain circumstances vote your shares if you do not return your voting instructions. Banks, brokerage firms and other nominees can vote customers’ unvoted shares on discretionary matters but they will not be allowed to vote your shares with respect to certain non-discretionary items. If you do not return voting instructions to your bank, brokerage firm or other nominee to vote your shares, your bank, brokerage firm or other nominee may, on discretionary matters, either vote your shares or leave your shares unvoted. “Broker non-votes” occur when your bank, brokerage firm or other nominee submits a proxy for your shares (because the bank, brokerage firm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brokerage firm or other nominee either does not have the authority to vote on that proposal and has not received voting instructions from you or has discretionary authority but chooses not to exercise it.</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Why did I receive a notice in the mail regarding the Internet availability of proxy materials instead of a full set of proxy materials?</w:t>
      </w:r>
    </w:p>
    <w:p>
      <w:pPr>
        <w:pStyle w:val="TextBody"/>
        <w:spacing w:before="0" w:after="0"/>
        <w:jc w:val="left"/>
        <w:rPr>
          <w:rFonts w:ascii="Times New Roman" w:hAnsi="Times New Roman"/>
          <w:sz w:val="20"/>
        </w:rPr>
      </w:pPr>
      <w:r>
        <w:rPr>
          <w:rFonts w:ascii="Times New Roman;serif" w:hAnsi="Times New Roman;serif"/>
          <w:b w:val="false"/>
          <w:sz w:val="18"/>
        </w:rPr>
        <w:t xml:space="preserve">We are pleased to comply with the rules of the SEC that allow companies to distribute their proxy materials over the Internet under the “notice and access” approach. As a result, we are sending our stockholders of record and beneficial owners a copy of the Notice instead of paper copies of this proxy statement, our proxy card, and our 2022 Annual Report. We plan to send the Notice on or about April 21, 2023. Detailed instructions on how to access these materials via the Internet may be found in the Notice. This proxy statement and our 2022 Annual Report are available for viewing, printing and downloading on the Internet at </w:t>
      </w:r>
      <w:r>
        <w:rPr>
          <w:rFonts w:ascii="Times New Roman;serif" w:hAnsi="Times New Roman;serif"/>
          <w:b/>
          <w:i/>
          <w:sz w:val="18"/>
        </w:rPr>
        <w:t>https://www.proxydocs.com/APLS</w:t>
      </w:r>
      <w:r>
        <w:rPr>
          <w:rFonts w:ascii="Times New Roman;serif" w:hAnsi="Times New Roman;serif"/>
          <w:b w:val="false"/>
          <w:sz w:val="18"/>
        </w:rPr>
        <w:t>.</w:t>
      </w:r>
    </w:p>
    <w:p>
      <w:pPr>
        <w:pStyle w:val="TextBody"/>
        <w:spacing w:before="0" w:after="0"/>
        <w:jc w:val="left"/>
        <w:rPr>
          <w:rFonts w:ascii="Times New Roman" w:hAnsi="Times New Roman"/>
          <w:sz w:val="20"/>
        </w:rPr>
      </w:pPr>
      <w:r>
        <w:rPr>
          <w:rFonts w:ascii="Times New Roman;serif" w:hAnsi="Times New Roman;serif"/>
          <w:b w:val="false"/>
          <w:sz w:val="18"/>
        </w:rPr>
        <w:t>The Notice also identifies the date and time of the virtual Annual Meeting; instructions on how to attend the Annual Meeting online; the matters to be acted upon at the Annual Meeting and our board of directors’ recommendation with regard to each matter; a toll-free telephone number, an e-mail address, and a website where stockholders can request to receive, free of charge, a paper or e-mail copy of this proxy statement, our Annual Report on Form 10-K for the year ended December 31, 2022, and a form of proxy relating to the Annual Meeting; and information on how to access and vote the form of proxy</w:t>
      </w:r>
      <w:r>
        <w:rPr>
          <w:rFonts w:ascii="Times New Roman;serif" w:hAnsi="Times New Roman;serif"/>
          <w:b w:val="false"/>
          <w:sz w:val="20"/>
        </w:rPr>
        <w:t>.</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How to Vote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you are a stockholder of record, you can vote your shares in one of two ways: either by proxy or online at the Annual Meeting. If you choose to vote by proxy, you may do so by telephone, via the Internet or by mail. Each of these methods is explained below.</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18"/>
        </w:rPr>
        <w:t>By Telephone</w:t>
      </w:r>
      <w:r>
        <w:rPr>
          <w:rFonts w:ascii="Times New Roman;serif" w:hAnsi="Times New Roman;serif"/>
          <w:b w:val="false"/>
          <w:sz w:val="18"/>
        </w:rPr>
        <w:t>. You may transmit your proxy over the phone by calling 866-362-4346 and following the instructions provided in the</w:t>
      </w:r>
      <w:r>
        <w:rPr/>
        <w:t xml:space="preserve"> </w:t>
      </w:r>
      <w:r>
        <w:rPr>
          <w:rFonts w:ascii="Times New Roman;serif" w:hAnsi="Times New Roman;serif"/>
          <w:b w:val="false"/>
          <w:sz w:val="18"/>
        </w:rPr>
        <w:t>Notice and on the proxy card. You will need to have your Notice or proxy card in hand when you call.</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18"/>
        </w:rPr>
        <w:t>Via the Internet Prior to the Annual Meeting</w:t>
      </w:r>
      <w:r>
        <w:rPr>
          <w:rFonts w:ascii="Times New Roman;serif" w:hAnsi="Times New Roman;serif"/>
          <w:b w:val="false"/>
          <w:sz w:val="18"/>
        </w:rPr>
        <w:t>. You may transmit your proxy via the Internet prior to the Annual Meeting by following</w:t>
      </w:r>
      <w:r>
        <w:rPr/>
        <w:t xml:space="preserve"> </w:t>
      </w:r>
      <w:r>
        <w:rPr>
          <w:rFonts w:ascii="Times New Roman;serif" w:hAnsi="Times New Roman;serif"/>
          <w:b w:val="false"/>
          <w:sz w:val="18"/>
        </w:rPr>
        <w:t xml:space="preserve">the instructions provided in the Notice and on the proxy card. If you vote over the Internet prior to the Annual Meeting, you will need to have your Notice or proxy card in hand when you access the website. The website is available at </w:t>
      </w:r>
      <w:r>
        <w:rPr>
          <w:rFonts w:ascii="Times New Roman;serif" w:hAnsi="Times New Roman;serif"/>
          <w:b/>
          <w:i/>
          <w:sz w:val="18"/>
        </w:rPr>
        <w:t>https://www.proxypush.com/APLS</w:t>
      </w:r>
      <w:r>
        <w:rPr>
          <w:rFonts w:ascii="Times New Roman;serif" w:hAnsi="Times New Roman;serif"/>
          <w:b w:val="false"/>
          <w:sz w:val="18"/>
        </w:rPr>
        <w:t>.</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18"/>
        </w:rPr>
        <w:t>By Mail</w:t>
      </w:r>
      <w:r>
        <w:rPr>
          <w:rFonts w:ascii="Times New Roman;serif" w:hAnsi="Times New Roman;serif"/>
          <w:b w:val="false"/>
          <w:sz w:val="18"/>
        </w:rPr>
        <w:t>. If you requested printed copies of proxy materials, you can vote by mailing your proxy card as described in the proxy</w:t>
      </w:r>
      <w:r>
        <w:rPr/>
        <w:t xml:space="preserve"> </w:t>
      </w:r>
      <w:r>
        <w:rPr>
          <w:rFonts w:ascii="Times New Roman;serif" w:hAnsi="Times New Roman;serif"/>
          <w:b w:val="false"/>
          <w:sz w:val="18"/>
        </w:rPr>
        <w:t>materials.</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18"/>
        </w:rPr>
        <w:t>Via the Internet during the Annual Meeting</w:t>
      </w:r>
      <w:r>
        <w:rPr>
          <w:rFonts w:ascii="Times New Roman;serif" w:hAnsi="Times New Roman;serif"/>
          <w:b w:val="false"/>
          <w:sz w:val="18"/>
        </w:rPr>
        <w:t>. You may vote your shares online while virtually attending the Annual Meeting by</w:t>
      </w:r>
      <w:r>
        <w:rPr/>
        <w:t xml:space="preserve"> </w:t>
      </w:r>
      <w:r>
        <w:rPr>
          <w:rFonts w:ascii="Times New Roman;serif" w:hAnsi="Times New Roman;serif"/>
          <w:b w:val="false"/>
          <w:sz w:val="18"/>
        </w:rPr>
        <w:t xml:space="preserve">visiting </w:t>
      </w:r>
      <w:r>
        <w:rPr>
          <w:rFonts w:ascii="Times New Roman;serif" w:hAnsi="Times New Roman;serif"/>
          <w:b/>
          <w:i/>
          <w:sz w:val="18"/>
        </w:rPr>
        <w:t>https://www.proxydocs.com/APLS</w:t>
      </w:r>
      <w:r>
        <w:rPr>
          <w:rFonts w:ascii="Times New Roman;serif" w:hAnsi="Times New Roman;serif"/>
          <w:b w:val="false"/>
          <w:sz w:val="18"/>
        </w:rPr>
        <w:t xml:space="preserve">. In order to vote during the virtual meeting, you must register in advance at </w:t>
      </w:r>
      <w:r>
        <w:rPr>
          <w:rFonts w:ascii="Times New Roman;serif" w:hAnsi="Times New Roman;serif"/>
          <w:b/>
          <w:i/>
          <w:sz w:val="18"/>
          <w:u w:val="single"/>
        </w:rPr>
        <w:t>https://www.proxydocs.com/APLS</w:t>
      </w:r>
      <w:r>
        <w:rPr/>
        <w:t xml:space="preserve"> </w:t>
      </w:r>
      <w:r>
        <w:rPr>
          <w:rFonts w:ascii="Times New Roman;serif" w:hAnsi="Times New Roman;serif"/>
          <w:b w:val="false"/>
          <w:sz w:val="18"/>
        </w:rPr>
        <w:t>prior to the deadline of May 31, 2023 at 5:00 p.m., Eastern Time. If you vote by proxy prior to the</w:t>
      </w:r>
      <w:r>
        <w:rPr/>
        <w:t xml:space="preserve"> </w:t>
      </w:r>
      <w:r>
        <w:rPr>
          <w:rFonts w:ascii="Times New Roman;serif" w:hAnsi="Times New Roman;serif"/>
          <w:b w:val="false"/>
          <w:sz w:val="18"/>
        </w:rPr>
        <w:t>Annual Meeting and choose to attend the Annual Meeting online, there is no need to vote again during the Annual Meeting unless you wish to change your vote.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Even if you plan to attend the Annual Meeting online, we urge you to vote your shares by proxy in advance of the Annual Meeting so that if you should become unable to attend the Annual Meeting your shares will be voted as directed by you.</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Telephone and Internet voting for stockholders of record will be available up until 5:00 p.m., Eastern time on May 31, 2023, and mailed proxy cards must be received by 5:00 p.m., Eastern time on May 31, 2023 in order to be counted at the Annual Meeting. If the Annual Meeting is adjourned or postponed, these deadlines may be extended.</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your shares are held in street name,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May 31, 2023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Can I vote my shares by filling out and returning the Notice of Internet Availability of Proxy Materials?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No. The Notice contains instructions on how to vote via the Internet, by telephone, by requesting and returning a paper proxy card, or by submitting a ballot online at the Annual Meeting.</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Quorum</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 quorum of stockholders is necessary to hold a valid meeting. Our amended and restated bylaws provide that a quorum will exist if stockholders holding a majority of the shares of stock issued and outstanding and entitled to vote are present at the meeting in person, by means of remote communication or by proxy. If a quorum is not present, the meeting may be adjourned or postponed until a quorum is obtained.</w:t>
      </w:r>
    </w:p>
    <w:p>
      <w:pPr>
        <w:pStyle w:val="TextBody"/>
        <w:spacing w:before="0" w:after="0"/>
        <w:jc w:val="left"/>
        <w:rPr>
          <w:rFonts w:ascii="Times New Roman;serif" w:hAnsi="Times New Roman;serif"/>
          <w:b w:val="false"/>
          <w:sz w:val="18"/>
        </w:rPr>
      </w:pPr>
      <w:r>
        <w:rPr>
          <w:rFonts w:ascii="Times New Roman;serif" w:hAnsi="Times New Roman;serif"/>
          <w:b w:val="false"/>
          <w:sz w:val="18"/>
        </w:rPr>
        <w:t>For purposes of determining whether a quorum exists, we will count as present any shares that are voted over the Internet, by telephone, by completing and submitting a proxy by mail or that are represented in person at the Annual Meeting. Further, for purposes of establishing a quorum, we will count as present shares that a stockholder holds even if the stockholder votes to abstain or only votes on one of the proposals. In addition, we will count as present shares that are “broker non-votes.”</w:t>
      </w:r>
    </w:p>
    <w:p>
      <w:pPr>
        <w:pStyle w:val="TextBody"/>
        <w:spacing w:before="0" w:after="0"/>
        <w:jc w:val="left"/>
        <w:rPr>
          <w:rFonts w:ascii="Times New Roman;serif" w:hAnsi="Times New Roman;serif"/>
          <w:b/>
          <w:sz w:val="18"/>
        </w:rPr>
      </w:pPr>
      <w:r>
        <w:rPr>
          <w:rFonts w:ascii="Times New Roman;serif" w:hAnsi="Times New Roman;serif"/>
          <w:b/>
          <w:sz w:val="18"/>
        </w:rPr>
        <w:t>Ballot Measures Considered “Discretionary” and “Non-Discretionary”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election of directors (Proposal No. 1) is a matter considered non-discretionary under applicable rules. A broker or other nominee cannot vote without instructions on non-discretionary matters, and therefore there may be broker non-votes on Proposal No. 1.</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ratification of the appointment of Deloitte &amp; Touche LLP as our independent registered public accounting firm for the fiscal year ending December 31, 2023 (Proposal No. 2) is a matter considered discretionary under applicable rules. A broker or other nominee generally may exercise discretionary authority and vote on discretionary matters. If brokers and other nominees exercise this discretionary authority, no broker non-votes are expected to occur in connection with Proposal No. 2.</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Approval of the advisory vote on executive compensation (Proposal No. 3) is a matter considered non-discretionary under applicable rules. A broker or other nominee cannot vote without instructions on non-discretionary matters, and therefore there may be broker non-votes on Proposal No. 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Votes Required</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To be elected, a director must receive a plurality of the votes cast by stockholders entitled to vote at the meeting on such matter (Proposal No. 1). The affirmative vote of the holders of shares of stock having a majority in voting power of the votes cast by the holders of all of the shares of stock present or represented at the meeting and voting affirmatively or negatively on such matter is required for the ratification of the appointment of Deloitte &amp; Touche LLP as our independent registered public accounting firm for the fiscal year ending December 31, 2023 (Proposal No. 2) and approval of the advisory vote on executive compensation (Proposal No. 3).</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Abstentions and broker non-votes will not be counted as votes cast or voted on any of the proposals. Accordingly, abstentions and broker non-votes will have no effect on the voting on any of these proposals.</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Method of Counting Votes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Each holder of common stock is entitled to one vote at the Annual Meeting on each matter to come before the Annual Meeting, including the election of directors, for each share held by such stockholder as of the record date. Votes cast virtually at the Annual Meeting or by proxy by mail, via the Internet prior to the Annual Meeting or by telephone will be tabulated by the inspector of election appointed for the Annual Meeting, who will also determine whether a quorum is present.</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Revoking a Proxy; Changing Your Vote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you are a stockholder of record, you may revoke your proxy before the vote is taken at the meeting:</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by submitting a new proxy with a later date before the applicable deadline either signed and returned by mail or transmitted using the telephone or Internet voting procedures prior to the Annual Meeting described in the “How to Vote” section above;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by voting online at the meeting as described in the “How to Vote” section above; or </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by filing a written revocation with our corporate Secretary before the Annual Meeting.</w:t>
      </w:r>
    </w:p>
    <w:p>
      <w:pPr>
        <w:pStyle w:val="TextBody"/>
        <w:spacing w:before="0" w:after="0"/>
        <w:jc w:val="left"/>
        <w:rPr/>
      </w:pPr>
      <w:r>
        <w:rPr/>
        <w:t> </w:t>
      </w:r>
    </w:p>
    <w:p>
      <w:pPr>
        <w:pStyle w:val="TextBody"/>
        <w:spacing w:before="0" w:after="0"/>
        <w:jc w:val="both"/>
        <w:rPr>
          <w:rFonts w:ascii="Times New Roman;serif" w:hAnsi="Times New Roman;serif"/>
          <w:b w:val="false"/>
          <w:sz w:val="18"/>
        </w:rPr>
      </w:pPr>
      <w:r>
        <w:rPr>
          <w:rFonts w:ascii="Times New Roman;serif" w:hAnsi="Times New Roman;serif"/>
          <w:b w:val="false"/>
          <w:sz w:val="18"/>
        </w:rPr>
        <w:t>If your shares are held in “street name,” you may submit new voting instructions by contacting your bank, broker or other nominee holding your account. You may also vote online at the Annual Meeting, which will have the effect of revoking any previously submitted voting instructions, if you obtain a legal proxy from the organization that holds your shares as described in the “How to Vote” section above.</w:t>
      </w:r>
    </w:p>
    <w:p>
      <w:pPr>
        <w:pStyle w:val="TextBody"/>
        <w:spacing w:before="0" w:after="0"/>
        <w:jc w:val="both"/>
        <w:rPr>
          <w:rFonts w:ascii="Times New Roman;serif" w:hAnsi="Times New Roman;serif"/>
          <w:b w:val="false"/>
          <w:sz w:val="18"/>
        </w:rPr>
      </w:pPr>
      <w:r>
        <w:rPr>
          <w:rFonts w:ascii="Times New Roman;serif" w:hAnsi="Times New Roman;serif"/>
          <w:b w:val="false"/>
          <w:sz w:val="18"/>
        </w:rPr>
        <w:t>Virtually attending the Annual Meeting, without voting online during the Annual Meeting, will not revoke your prior Internet vote, telephone vote or proxy submitted by mail, as the case may be.</w:t>
      </w:r>
    </w:p>
    <w:p>
      <w:pPr>
        <w:pStyle w:val="TextBody"/>
        <w:spacing w:before="0" w:after="0"/>
        <w:jc w:val="left"/>
        <w:rPr>
          <w:rFonts w:ascii="Times New Roman;serif" w:hAnsi="Times New Roman;serif"/>
          <w:b/>
          <w:sz w:val="18"/>
        </w:rPr>
      </w:pPr>
      <w:r>
        <w:rPr>
          <w:rFonts w:ascii="Times New Roman;serif" w:hAnsi="Times New Roman;serif"/>
          <w:b/>
          <w:sz w:val="18"/>
        </w:rPr>
        <w:t>Costs of Proxy Solicitation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will bear the costs of soliciting proxies. Our directors, officers and regular employees, without additional remuneration, may solicit proxies by mail, telephone, facsimile, email, personal interviews and other means.</w:t>
      </w:r>
    </w:p>
    <w:p>
      <w:pPr>
        <w:pStyle w:val="TextBody"/>
        <w:spacing w:before="0" w:after="0"/>
        <w:jc w:val="left"/>
        <w:rPr>
          <w:rFonts w:ascii="Times New Roman;serif" w:hAnsi="Times New Roman;serif"/>
          <w:b/>
          <w:sz w:val="18"/>
        </w:rPr>
      </w:pPr>
      <w:r>
        <w:rPr>
          <w:rFonts w:ascii="Times New Roman;serif" w:hAnsi="Times New Roman;serif"/>
          <w:b/>
          <w:sz w:val="18"/>
        </w:rPr>
        <w:t>How do I submit a question at the Annual Meeting?</w:t>
      </w:r>
    </w:p>
    <w:p>
      <w:pPr>
        <w:pStyle w:val="TextBody"/>
        <w:spacing w:before="0" w:after="0"/>
        <w:jc w:val="left"/>
        <w:rPr>
          <w:rFonts w:ascii="Times New Roman" w:hAnsi="Times New Roman"/>
          <w:sz w:val="20"/>
        </w:rPr>
      </w:pPr>
      <w:r>
        <w:rPr>
          <w:rFonts w:ascii="Times New Roman;serif" w:hAnsi="Times New Roman;serif"/>
          <w:b w:val="false"/>
          <w:sz w:val="18"/>
        </w:rPr>
        <w:t xml:space="preserve">If you wish to submit a question before the Annual Meeting, you may log into the virtual meeting platform using the unique link provided to you via email following the completion of your registration at </w:t>
      </w:r>
      <w:r>
        <w:rPr>
          <w:rFonts w:ascii="Times New Roman;serif" w:hAnsi="Times New Roman;serif"/>
          <w:b/>
          <w:i/>
          <w:sz w:val="18"/>
        </w:rPr>
        <w:t>https://www.proxydocs.com/APLS</w:t>
      </w:r>
      <w:r>
        <w:rPr>
          <w:rFonts w:ascii="Times New Roman;serif" w:hAnsi="Times New Roman;serif"/>
          <w:b w:val="false"/>
          <w:sz w:val="18"/>
        </w:rPr>
        <w:t xml:space="preserve">, type your question into the “Ask a Question” field, and click “Submit”. Our virtual meeting will be governed by our Rules of Conduct which will be posted at </w:t>
      </w:r>
      <w:r>
        <w:rPr>
          <w:rFonts w:ascii="Times New Roman;serif" w:hAnsi="Times New Roman;serif"/>
          <w:b/>
          <w:i/>
          <w:sz w:val="18"/>
        </w:rPr>
        <w:t>https://www.proxydocs.com/APLS</w:t>
      </w:r>
      <w:r>
        <w:rPr>
          <w:rFonts w:ascii="Times New Roman" w:hAnsi="Times New Roman"/>
          <w:sz w:val="20"/>
        </w:rPr>
        <w:t xml:space="preserve"> </w:t>
      </w:r>
      <w:r>
        <w:rPr>
          <w:rFonts w:ascii="Times New Roman;serif" w:hAnsi="Times New Roman;serif"/>
          <w:b w:val="false"/>
          <w:sz w:val="18"/>
        </w:rPr>
        <w:t>in advance of the meeting. The Rules of Conduct will address the ability of stockholders to ask questions during the meeting, including rules on permissible topics, and rules for how questions and comments will be recognized and disclosed to meeting participants.</w:t>
      </w:r>
    </w:p>
    <w:p>
      <w:pPr>
        <w:pStyle w:val="TextBody"/>
        <w:spacing w:before="0" w:after="0"/>
        <w:jc w:val="left"/>
        <w:rPr>
          <w:rFonts w:ascii="Times New Roman;serif" w:hAnsi="Times New Roman;serif"/>
          <w:b/>
          <w:sz w:val="18"/>
        </w:rPr>
      </w:pPr>
      <w:r>
        <w:rPr>
          <w:rFonts w:ascii="Times New Roman;serif" w:hAnsi="Times New Roman;serif"/>
          <w:b/>
          <w:sz w:val="18"/>
        </w:rPr>
        <w:t>Voting Results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plan to announce preliminary voting results at the Annual Meeting and will publish final results in a Current Report on Form 8-K, to be filed with the SEC within four business days following the Annual Meeting.</w:t>
      </w:r>
    </w:p>
    <w:p>
      <w:pPr>
        <w:pStyle w:val="TextBody"/>
        <w:spacing w:before="0" w:after="0"/>
        <w:jc w:val="left"/>
        <w:rPr>
          <w:rFonts w:ascii="Times New Roman;serif" w:hAnsi="Times New Roman;serif"/>
          <w:b/>
          <w:sz w:val="18"/>
        </w:rPr>
      </w:pPr>
      <w:r>
        <w:rPr>
          <w:rFonts w:ascii="Times New Roman;serif" w:hAnsi="Times New Roman;serif"/>
          <w:b/>
          <w:sz w:val="18"/>
        </w:rPr>
        <w:t>Forward-Looking Statements</w:t>
      </w:r>
    </w:p>
    <w:p>
      <w:pPr>
        <w:pStyle w:val="TextBody"/>
        <w:spacing w:before="0" w:after="0"/>
        <w:jc w:val="left"/>
        <w:rPr>
          <w:rFonts w:ascii="Times New Roman" w:hAnsi="Times New Roman"/>
          <w:sz w:val="20"/>
        </w:rPr>
      </w:pPr>
      <w:r>
        <w:rPr>
          <w:rFonts w:ascii="Times New Roman;serif" w:hAnsi="Times New Roman;serif"/>
          <w:b w:val="false"/>
          <w:sz w:val="18"/>
        </w:rPr>
        <w:t>Statements in this proxy statement, including the letter from our chief executive officer included in this proxy statement, about future expectations, plans and prospects, as well as any other statements regarding matters that are not historical facts, may constitute “forward-looking statements” within the meaning of The Private Securities Litigation Reform Act of 1995. The words “anticipate,” “believe,” “continue,” “could,” “estimate,” “expect,” “intend,” “may,” “plan,” “potential,” “predict,” “project,” “should,” “target,” “will,” “would” and similar expressions are intended to</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identify forward-looking statements, although not all forward-looking statements contain these identifying words. Actual results may differ materially from those indicated by such forward-looking statements as a result of various important factors, including those discussed in the “Risk Factors” section of Apellis’ annual report on Form 10-K for the fiscal year ended December 31, 2022</w:t>
      </w:r>
      <w:r>
        <w:rPr>
          <w:rFonts w:ascii="Times New Roman" w:hAnsi="Times New Roman"/>
          <w:sz w:val="20"/>
        </w:rPr>
        <w:t xml:space="preserve"> </w:t>
      </w:r>
      <w:r>
        <w:rPr>
          <w:rFonts w:ascii="Times New Roman;serif" w:hAnsi="Times New Roman;serif"/>
          <w:b w:val="false"/>
          <w:sz w:val="18"/>
        </w:rPr>
        <w:t>filed with the SEC on February 21, 2023 and the risks described in other filings that Apellis may make with the Securities and Exchange Commission. Any forward-looking statements contained in this proxy statement speak only as of the date hereof, and Apellis specifically disclaims any obligation to update any forward-looking statement, whether as a result of new information, future events or otherwise.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6" w:name="our_board_of_directors"/>
      <w:bookmarkEnd w:id="6"/>
      <w:r>
        <w:rPr>
          <w:rFonts w:ascii="Times New Roman;serif" w:hAnsi="Times New Roman;serif"/>
          <w:b/>
          <w:sz w:val="24"/>
        </w:rPr>
        <w:t>OUR BOARD OF DIRECTORS</w:t>
      </w:r>
      <w:r>
        <w:rPr>
          <w:rFonts w:ascii="Times New Roman" w:hAnsi="Times New Roman"/>
          <w:sz w:val="20"/>
        </w:rPr>
        <w:t xml:space="preserve"> </w:t>
      </w:r>
    </w:p>
    <w:p>
      <w:pPr>
        <w:pStyle w:val="TextBody"/>
        <w:spacing w:before="0" w:after="0"/>
        <w:jc w:val="center"/>
        <w:rPr/>
      </w:pPr>
      <w:r>
        <w:rPr/>
        <w:t> </w:t>
      </w:r>
    </w:p>
    <w:p>
      <w:pPr>
        <w:pStyle w:val="TextBody"/>
        <w:spacing w:before="0" w:after="0"/>
        <w:jc w:val="both"/>
        <w:rPr>
          <w:rFonts w:ascii="Times New Roman;serif" w:hAnsi="Times New Roman;serif"/>
          <w:b w:val="false"/>
          <w:sz w:val="18"/>
        </w:rPr>
      </w:pPr>
      <w:r>
        <w:rPr>
          <w:rFonts w:ascii="Times New Roman;serif" w:hAnsi="Times New Roman;serif"/>
          <w:b w:val="false"/>
          <w:sz w:val="18"/>
        </w:rPr>
        <w:t>Our board of directors currently consists of six members.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Class I directors are Paul Fonteyne and Stephanie Monaghan O’Brien, and their terms expire at the annual meeting of stockholders to be held in 2024;</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Class II directors are A. Sinclair Dunlop and Alec Machiels, and their terms expire at the annual meeting of stockholders to be held in 2025;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Class III directors are Gerald Chan and Cedric Francois, and their terms expire at the Annual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Upon the expiration of the term of a class of directors, directors in that class will be eligible to be elected for a new three-year term at the annual meeting of stockholders in the year in which their term expires.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pStyle w:val="TextBody"/>
        <w:spacing w:before="0" w:after="0"/>
        <w:jc w:val="left"/>
        <w:rPr>
          <w:rFonts w:ascii="Times New Roman;serif" w:hAnsi="Times New Roman;serif"/>
          <w:b/>
          <w:sz w:val="18"/>
        </w:rPr>
      </w:pPr>
      <w:r>
        <w:rPr>
          <w:rFonts w:ascii="Times New Roman;serif" w:hAnsi="Times New Roman;serif"/>
          <w:b/>
          <w:sz w:val="18"/>
        </w:rPr>
        <w:t>PROPOSAL NO. 1—ELECTION OF TWO CLASS III DIRECTORS</w:t>
      </w:r>
    </w:p>
    <w:p>
      <w:pPr>
        <w:pStyle w:val="TextBody"/>
        <w:spacing w:before="0" w:after="0"/>
        <w:jc w:val="left"/>
        <w:rPr>
          <w:rFonts w:ascii="Times New Roman" w:hAnsi="Times New Roman"/>
          <w:sz w:val="20"/>
        </w:rPr>
      </w:pPr>
      <w:r>
        <w:rPr>
          <w:rFonts w:ascii="Times New Roman;serif" w:hAnsi="Times New Roman;serif"/>
          <w:b w:val="false"/>
          <w:sz w:val="18"/>
        </w:rPr>
        <w:t>Our board of directors has nominated Gerald Chan and Cedric Francois for election as the Class III directors at the Annual Meeting.</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Each of Dr. Chan and Dr. Francois is presently a director and has indicated a willingness to continue to serve as director, if elected. If either Dr. Chan or Dr. Francois becomes unable or unwilling to serve, however, the proxies may be voted for substitute nominees selected by our board of directors.</w:t>
      </w:r>
    </w:p>
    <w:p>
      <w:pPr>
        <w:pStyle w:val="TextBody"/>
        <w:spacing w:before="240" w:after="0"/>
        <w:jc w:val="left"/>
        <w:rPr>
          <w:rFonts w:ascii="Times New Roman" w:hAnsi="Times New Roman"/>
          <w:sz w:val="20"/>
        </w:rPr>
      </w:pPr>
      <w:r>
        <w:rPr>
          <w:rFonts w:ascii="Times New Roman;serif" w:hAnsi="Times New Roman;serif"/>
          <w:b/>
          <w:i/>
          <w:sz w:val="18"/>
        </w:rPr>
        <w:t>Class III Director Nominees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Biographical information as of March 31, 2023, including principal occupation and business experience during the last five years, for our nominees for election as Class III directors at our Annual Meeting is set forth below.</w:t>
      </w:r>
      <w:r>
        <w:rPr>
          <w:rFonts w:ascii="Times New Roman" w:hAnsi="Times New Roman"/>
          <w:sz w:val="20"/>
        </w:rPr>
        <w:t xml:space="preserve"> </w:t>
      </w:r>
    </w:p>
    <w:p>
      <w:pPr>
        <w:pStyle w:val="TextBody"/>
        <w:spacing w:before="120" w:after="0"/>
        <w:jc w:val="left"/>
        <w:rPr/>
      </w:pPr>
      <w:r>
        <w:rPr/>
        <w:t> </w:t>
      </w:r>
    </w:p>
    <w:tbl>
      <w:tblPr>
        <w:tblW w:w="10205" w:type="dxa"/>
        <w:jc w:val="left"/>
        <w:tblInd w:w="0" w:type="dxa"/>
        <w:tblCellMar>
          <w:top w:w="28" w:type="dxa"/>
          <w:left w:w="28" w:type="dxa"/>
          <w:bottom w:w="28" w:type="dxa"/>
          <w:right w:w="28" w:type="dxa"/>
        </w:tblCellMar>
      </w:tblPr>
      <w:tblGrid>
        <w:gridCol w:w="2328"/>
        <w:gridCol w:w="446"/>
        <w:gridCol w:w="7431"/>
      </w:tblGrid>
      <w:tr>
        <w:trPr/>
        <w:tc>
          <w:tcPr>
            <w:tcW w:w="232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7431" w:type="dxa"/>
            <w:tcBorders/>
            <w:shd w:fill="auto" w:val="clear"/>
            <w:vAlign w:val="center"/>
          </w:tcPr>
          <w:p>
            <w:pPr>
              <w:pStyle w:val="TableContents"/>
              <w:spacing w:before="0" w:after="283"/>
              <w:rPr>
                <w:sz w:val="4"/>
                <w:szCs w:val="4"/>
              </w:rPr>
            </w:pPr>
            <w:r>
              <w:rPr>
                <w:sz w:val="4"/>
                <w:szCs w:val="4"/>
              </w:rPr>
            </w:r>
          </w:p>
        </w:tc>
      </w:tr>
      <w:tr>
        <w:trPr/>
        <w:tc>
          <w:tcPr>
            <w:tcW w:w="2328"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31" w:type="dxa"/>
            <w:tcBorders>
              <w:top w:val="single" w:sz="6"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2328" w:type="dxa"/>
            <w:vMerge w:val="restart"/>
            <w:tcBorders/>
            <w:shd w:fill="auto" w:val="clear"/>
            <w:vAlign w:val="center"/>
          </w:tcPr>
          <w:p>
            <w:pPr>
              <w:pStyle w:val="TableContents"/>
              <w:spacing w:before="0" w:after="0"/>
              <w:ind w:left="0" w:right="0" w:hanging="0"/>
              <w:jc w:val="left"/>
              <w:rPr/>
            </w:pPr>
            <w:r>
              <w:rPr/>
              <w:drawing>
                <wp:inline distT="0" distB="0" distL="0" distR="0">
                  <wp:extent cx="1143000" cy="1162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 cy="11620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Gerald Chan, Sc.D.</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Chairman of the Board</w:t>
            </w:r>
          </w:p>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Independent Director since 2013</w:t>
            </w:r>
          </w:p>
          <w:p>
            <w:pPr>
              <w:pStyle w:val="TableContents"/>
              <w:spacing w:before="0" w:after="0"/>
              <w:ind w:left="0" w:right="0" w:hanging="0"/>
              <w:jc w:val="left"/>
              <w:rPr>
                <w:rFonts w:ascii="Times New Roman" w:hAnsi="Times New Roman"/>
                <w:sz w:val="17"/>
              </w:rPr>
            </w:pPr>
            <w:r>
              <w:rPr>
                <w:rFonts w:ascii="Times New Roman;serif" w:hAnsi="Times New Roman;serif"/>
                <w:b w:val="false"/>
                <w:sz w:val="17"/>
              </w:rPr>
              <w:t>Age:</w:t>
            </w:r>
            <w:r>
              <w:rPr>
                <w:rFonts w:ascii="Times New Roman" w:hAnsi="Times New Roman"/>
                <w:sz w:val="17"/>
              </w:rPr>
              <w:t> </w:t>
            </w:r>
            <w:r>
              <w:rPr>
                <w:rFonts w:ascii="Times New Roman;serif" w:hAnsi="Times New Roman;serif"/>
                <w:b/>
                <w:sz w:val="17"/>
              </w:rPr>
              <w:t>72</w:t>
            </w:r>
          </w:p>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Committees:</w:t>
            </w:r>
          </w:p>
          <w:p>
            <w:pPr>
              <w:pStyle w:val="TableContents"/>
              <w:spacing w:before="0" w:after="0"/>
              <w:ind w:left="216"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Nominating and Corporate Governance (Chair)</w:t>
            </w:r>
          </w:p>
        </w:tc>
        <w:tc>
          <w:tcPr>
            <w:tcW w:w="446" w:type="dxa"/>
            <w:tcBorders/>
            <w:shd w:fill="auto" w:val="clear"/>
            <w:vAlign w:val="center"/>
          </w:tcPr>
          <w:p>
            <w:pPr>
              <w:pStyle w:val="TableContents"/>
              <w:spacing w:before="0" w:after="283"/>
              <w:ind w:left="0" w:right="0" w:hanging="0"/>
              <w:rPr>
                <w:sz w:val="4"/>
                <w:szCs w:val="4"/>
              </w:rPr>
            </w:pPr>
            <w:r>
              <w:rPr>
                <w:sz w:val="4"/>
                <w:szCs w:val="4"/>
              </w:rPr>
            </w:r>
          </w:p>
        </w:tc>
        <w:tc>
          <w:tcPr>
            <w:tcW w:w="74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7"/>
              </w:rPr>
              <w:t>Experience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Co-Founder, Morningside Group, a private investment group with venture, private equity and property investments (1986 – present)</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Member, American Academy of Arts and Sciences (since 2017), Scientific Advisory Committee of Brigham and Women’s Hospital (since 2018), Global Advisory Council of Harvard University (since 2012), Dean’s Board of Advisors of the Harvard T.H. Chan School of Public Health (since 2011), advisory board of the Johns Hopkins Nanjing Center (since 2004)</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Post-doctoral training, Dana-Farber Cancer Institute</w:t>
            </w:r>
          </w:p>
        </w:tc>
      </w:tr>
      <w:tr>
        <w:trPr/>
        <w:tc>
          <w:tcPr>
            <w:tcW w:w="2328" w:type="dxa"/>
            <w:vMerge w:val="continue"/>
            <w:tcBorders/>
            <w:shd w:fill="auto" w:val="clear"/>
            <w:vAlign w:val="center"/>
          </w:tcPr>
          <w:p>
            <w:pPr>
              <w:pStyle w:val="Normal"/>
              <w:rPr/>
            </w:pPr>
            <w:r>
              <w:rPr/>
            </w:r>
          </w:p>
        </w:tc>
        <w:tc>
          <w:tcPr>
            <w:tcW w:w="4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31"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Qualifications</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Extensive experience in life science investments and serving on boards of directors</w:t>
            </w:r>
          </w:p>
        </w:tc>
      </w:tr>
      <w:tr>
        <w:trPr/>
        <w:tc>
          <w:tcPr>
            <w:tcW w:w="2328" w:type="dxa"/>
            <w:vMerge w:val="continue"/>
            <w:tcBorders/>
            <w:shd w:fill="auto" w:val="clear"/>
            <w:vAlign w:val="center"/>
          </w:tcPr>
          <w:p>
            <w:pPr>
              <w:pStyle w:val="Normal"/>
              <w:rPr/>
            </w:pPr>
            <w:r>
              <w:rPr/>
            </w:r>
          </w:p>
        </w:tc>
        <w:tc>
          <w:tcPr>
            <w:tcW w:w="4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31"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Education</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S.M., Medical Radiological Physics and Sc.D., Radiation Biology, Harvard University</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B.S. and M.S., Engineering, University of California, Los Angeles</w:t>
            </w:r>
          </w:p>
        </w:tc>
      </w:tr>
      <w:tr>
        <w:trPr/>
        <w:tc>
          <w:tcPr>
            <w:tcW w:w="2328" w:type="dxa"/>
            <w:vMerge w:val="continue"/>
            <w:tcBorders/>
            <w:shd w:fill="auto" w:val="clear"/>
            <w:vAlign w:val="center"/>
          </w:tcPr>
          <w:p>
            <w:pPr>
              <w:pStyle w:val="Normal"/>
              <w:rPr/>
            </w:pPr>
            <w:r>
              <w:rPr/>
            </w:r>
          </w:p>
        </w:tc>
        <w:tc>
          <w:tcPr>
            <w:tcW w:w="7877" w:type="dxa"/>
            <w:gridSpan w:val="2"/>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Other Boards</w:t>
            </w:r>
          </w:p>
        </w:tc>
      </w:tr>
      <w:tr>
        <w:trPr/>
        <w:tc>
          <w:tcPr>
            <w:tcW w:w="2328" w:type="dxa"/>
            <w:vMerge w:val="continue"/>
            <w:tcBorders/>
            <w:shd w:fill="auto" w:val="clear"/>
            <w:vAlign w:val="center"/>
          </w:tcPr>
          <w:p>
            <w:pPr>
              <w:pStyle w:val="Normal"/>
              <w:rPr/>
            </w:pPr>
            <w:r>
              <w:rPr/>
            </w:r>
          </w:p>
        </w:tc>
        <w:tc>
          <w:tcPr>
            <w:tcW w:w="4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firstLine="360"/>
              <w:rPr>
                <w:sz w:val="4"/>
                <w:szCs w:val="4"/>
              </w:rPr>
            </w:pPr>
            <w:r>
              <w:rPr>
                <w:sz w:val="4"/>
                <w:szCs w:val="4"/>
              </w:rPr>
            </w:r>
          </w:p>
        </w:tc>
        <w:tc>
          <w:tcPr>
            <w:tcW w:w="7431" w:type="dxa"/>
            <w:tcBorders>
              <w:bottom w:val="single" w:sz="8" w:space="0" w:color="000000"/>
            </w:tcBorders>
            <w:shd w:fill="auto" w:val="clear"/>
            <w:tcMar>
              <w:top w:w="0" w:type="dxa"/>
              <w:left w:w="0" w:type="dxa"/>
              <w:right w:w="0" w:type="dxa"/>
            </w:tcMar>
            <w:vAlign w:val="center"/>
          </w:tcPr>
          <w:p>
            <w:pPr>
              <w:pStyle w:val="TableContents"/>
              <w:spacing w:before="120" w:after="0"/>
              <w:ind w:left="0" w:right="0" w:hanging="0"/>
              <w:jc w:val="left"/>
              <w:rPr/>
            </w:pPr>
            <w:r>
              <w:rPr/>
              <w:t>•</w:t>
            </w:r>
          </w:p>
          <w:p>
            <w:pPr>
              <w:pStyle w:val="TableContents"/>
              <w:spacing w:before="120" w:after="0"/>
              <w:jc w:val="left"/>
              <w:rPr>
                <w:rFonts w:ascii="Times New Roman;serif" w:hAnsi="Times New Roman;serif"/>
                <w:b w:val="false"/>
                <w:sz w:val="17"/>
              </w:rPr>
            </w:pPr>
            <w:r>
              <w:rPr>
                <w:rFonts w:ascii="Times New Roman;serif" w:hAnsi="Times New Roman;serif"/>
                <w:b w:val="false"/>
                <w:sz w:val="17"/>
              </w:rPr>
              <w:t>Stealth BioTherapeutics Corp (private; public from 2019 -- 2022)</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Hang Lung Group Limited (1986 – present)</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LumiraDx Limited (2020 – present)</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Aduro Biotech Inc. (2014 – 2018)</w:t>
            </w:r>
          </w:p>
        </w:tc>
      </w:tr>
    </w:tbl>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543"/>
        <w:gridCol w:w="109"/>
        <w:gridCol w:w="7553"/>
      </w:tblGrid>
      <w:tr>
        <w:trPr/>
        <w:tc>
          <w:tcPr>
            <w:tcW w:w="2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53" w:type="dxa"/>
            <w:tcBorders/>
            <w:shd w:fill="auto" w:val="clear"/>
            <w:vAlign w:val="center"/>
          </w:tcPr>
          <w:p>
            <w:pPr>
              <w:pStyle w:val="TableContents"/>
              <w:spacing w:before="0" w:after="283"/>
              <w:rPr>
                <w:sz w:val="4"/>
                <w:szCs w:val="4"/>
              </w:rPr>
            </w:pPr>
            <w:r>
              <w:rPr>
                <w:sz w:val="4"/>
                <w:szCs w:val="4"/>
              </w:rPr>
            </w:r>
          </w:p>
        </w:tc>
      </w:tr>
      <w:tr>
        <w:trPr/>
        <w:tc>
          <w:tcPr>
            <w:tcW w:w="2543" w:type="dxa"/>
            <w:vMerge w:val="restart"/>
            <w:tcBorders>
              <w:top w:val="single" w:sz="8" w:space="0" w:color="000000"/>
            </w:tcBorders>
            <w:shd w:fill="auto" w:val="clear"/>
            <w:tcMar>
              <w:left w:w="0" w:type="dxa"/>
              <w:bottom w:w="0" w:type="dxa"/>
              <w:right w:w="0" w:type="dxa"/>
            </w:tcMar>
            <w:vAlign w:val="center"/>
          </w:tcPr>
          <w:p>
            <w:pPr>
              <w:pStyle w:val="TableContents"/>
              <w:spacing w:before="80" w:after="0"/>
              <w:ind w:left="0" w:right="0" w:hanging="0"/>
              <w:jc w:val="left"/>
              <w:rPr/>
            </w:pPr>
            <w:r>
              <w:rPr/>
              <w:drawing>
                <wp:inline distT="0" distB="0" distL="0" distR="0">
                  <wp:extent cx="1162050" cy="1162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62050" cy="11620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Cedric Francois, M.D., Ph.D.</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President and Chief Executive Officer</w:t>
            </w:r>
          </w:p>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Director since 2009</w:t>
            </w:r>
          </w:p>
          <w:p>
            <w:pPr>
              <w:pStyle w:val="TableContents"/>
              <w:spacing w:before="0" w:after="20"/>
              <w:ind w:left="0" w:right="0" w:hanging="0"/>
              <w:jc w:val="left"/>
              <w:rPr>
                <w:rFonts w:ascii="Times New Roman" w:hAnsi="Times New Roman"/>
                <w:sz w:val="17"/>
              </w:rPr>
            </w:pPr>
            <w:r>
              <w:rPr>
                <w:rFonts w:ascii="Times New Roman;serif" w:hAnsi="Times New Roman;serif"/>
                <w:b w:val="false"/>
                <w:sz w:val="17"/>
              </w:rPr>
              <w:t>Age:</w:t>
            </w:r>
            <w:r>
              <w:rPr>
                <w:rFonts w:ascii="Times New Roman" w:hAnsi="Times New Roman"/>
                <w:sz w:val="17"/>
              </w:rPr>
              <w:t> </w:t>
            </w:r>
            <w:r>
              <w:rPr>
                <w:rFonts w:ascii="Times New Roman;serif" w:hAnsi="Times New Roman;serif"/>
                <w:b/>
                <w:sz w:val="17"/>
              </w:rPr>
              <w:t>50</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3" w:type="dxa"/>
            <w:tcBorders>
              <w:top w:val="single" w:sz="8" w:space="0" w:color="000000"/>
              <w:bottom w:val="single" w:sz="6" w:space="0" w:color="000000"/>
            </w:tcBorders>
            <w:shd w:fill="auto" w:val="clear"/>
            <w:tcMar>
              <w:left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Experience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Co-Founder, President and Chief Executive Officer, Apellis (2009 – present)</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Co-Founder, President and Chief Executive Officer, Potentia Pharmaceuticals, Inc. (Potentia), a private biotechnology company, the assets of which we purchased in September 2015 (2001 – 2018)</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Co-Founder, Revon Systems, LLC (Revon), a private healthcare software company (2014 – 2019)</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Following postgraduate training in pediatric and transplant surgery, was a member of the research team that performed the first successful hand transplantation and of the Louisville Face Transplant Team, whose work supported hand transplantation in Lyon, France</w:t>
            </w:r>
          </w:p>
        </w:tc>
      </w:tr>
      <w:tr>
        <w:trPr/>
        <w:tc>
          <w:tcPr>
            <w:tcW w:w="2543"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3" w:type="dxa"/>
            <w:tcBorders/>
            <w:shd w:fill="auto" w:val="clear"/>
            <w:vAlign w:val="center"/>
          </w:tcPr>
          <w:p>
            <w:pPr>
              <w:pStyle w:val="TableContents"/>
              <w:spacing w:before="60" w:after="0"/>
              <w:ind w:left="0" w:right="0" w:hanging="0"/>
              <w:jc w:val="left"/>
              <w:rPr/>
            </w:pPr>
            <w:r>
              <w:rPr/>
              <w:t> </w:t>
            </w:r>
            <w:r>
              <w:rPr>
                <w:rFonts w:ascii="Times New Roman;serif" w:hAnsi="Times New Roman;serif"/>
                <w:b w:val="false"/>
                <w:sz w:val="17"/>
              </w:rPr>
              <w:t>Qualifications</w:t>
            </w:r>
          </w:p>
          <w:p>
            <w:pPr>
              <w:pStyle w:val="TableContents"/>
              <w:spacing w:before="120" w:after="0"/>
              <w:ind w:left="0" w:right="0" w:hanging="0"/>
              <w:jc w:val="left"/>
              <w:rPr/>
            </w:pPr>
            <w:r>
              <w:rPr/>
              <w:t>•</w:t>
            </w:r>
          </w:p>
          <w:p>
            <w:pPr>
              <w:pStyle w:val="TableContents"/>
              <w:spacing w:before="120" w:after="0"/>
              <w:jc w:val="left"/>
              <w:rPr>
                <w:rFonts w:ascii="Times New Roman;serif" w:hAnsi="Times New Roman;serif"/>
                <w:b w:val="false"/>
                <w:sz w:val="17"/>
              </w:rPr>
            </w:pPr>
            <w:r>
              <w:rPr>
                <w:rFonts w:ascii="Times New Roman;serif" w:hAnsi="Times New Roman;serif"/>
                <w:b w:val="false"/>
                <w:sz w:val="17"/>
              </w:rPr>
              <w:t>Expertise and extensive leadership experience in immunology and immune system-mediated diseases</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Extensive knowledge of our company based on his role as co-founder and Chief Executive Officer</w:t>
            </w:r>
          </w:p>
        </w:tc>
      </w:tr>
      <w:tr>
        <w:trPr/>
        <w:tc>
          <w:tcPr>
            <w:tcW w:w="2543"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3"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Education</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M.D., University of Leuven (Belgium)</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Ph.D., Physiology, University of Louisville</w:t>
            </w:r>
          </w:p>
        </w:tc>
      </w:tr>
      <w:tr>
        <w:trPr/>
        <w:tc>
          <w:tcPr>
            <w:tcW w:w="2543"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3"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rFonts w:ascii="Times New Roman;serif" w:hAnsi="Times New Roman;serif"/>
                <w:b w:val="false"/>
                <w:sz w:val="17"/>
              </w:rPr>
            </w:pPr>
            <w:r>
              <w:rPr>
                <w:rFonts w:ascii="Times New Roman;serif" w:hAnsi="Times New Roman;serif"/>
                <w:b w:val="false"/>
                <w:sz w:val="17"/>
              </w:rPr>
              <w:t>Other Boards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Liberate Medical (private)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Acuamark Diagnostics (private)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Potentia Pharmaceuticals (2001 – 2018) (private)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Revon Systems (2014 – 2019) (private)</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proxies will be voted in favor of Gerald Chan and Cedric Francois unless a contrary specification is made in the proxy.</w:t>
      </w:r>
    </w:p>
    <w:p>
      <w:pPr>
        <w:pStyle w:val="TextBody"/>
        <w:spacing w:before="0" w:after="0"/>
        <w:jc w:val="left"/>
        <w:rPr>
          <w:rFonts w:ascii="Times New Roman" w:hAnsi="Times New Roman"/>
          <w:sz w:val="20"/>
        </w:rPr>
      </w:pPr>
      <w:r>
        <w:rPr>
          <w:rFonts w:ascii="Times New Roman;serif" w:hAnsi="Times New Roman;serif"/>
          <w:b/>
          <w:sz w:val="18"/>
        </w:rPr>
        <w:t>The board of directors recommends voting “FOR” the election of Gerald Chan and Cedric Francois as the Class III directors for a three-year term ending at the annual meeting of stockholders to be held in 2026</w:t>
      </w:r>
      <w:r>
        <w:rPr>
          <w:rFonts w:ascii="Times New Roman;serif" w:hAnsi="Times New Roman;serif"/>
          <w:b w:val="false"/>
          <w:sz w:val="18"/>
        </w:rPr>
        <w:t>.</w:t>
      </w:r>
    </w:p>
    <w:p>
      <w:pPr>
        <w:pStyle w:val="TextBody"/>
        <w:spacing w:before="0" w:after="0"/>
        <w:jc w:val="left"/>
        <w:rPr>
          <w:rFonts w:ascii="Times New Roman;serif" w:hAnsi="Times New Roman;serif"/>
          <w:b/>
          <w:sz w:val="18"/>
        </w:rPr>
      </w:pPr>
      <w:r>
        <w:rPr>
          <w:rFonts w:ascii="Times New Roman;serif" w:hAnsi="Times New Roman;serif"/>
          <w:b/>
          <w:sz w:val="18"/>
        </w:rPr>
        <w:t>DIRECTORS CONTINUING IN OFFICE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Biographical information as of March 31, 2023, including principal occupation and business experience during the last five years, for our directors continuing in office after the Annual Meeting is set forth below.</w:t>
      </w:r>
    </w:p>
    <w:p>
      <w:pPr>
        <w:pStyle w:val="TextBody"/>
        <w:spacing w:before="0" w:after="0"/>
        <w:jc w:val="left"/>
        <w:rPr>
          <w:rFonts w:ascii="Times New Roman;serif" w:hAnsi="Times New Roman;serif"/>
          <w:b/>
          <w:i/>
          <w:sz w:val="18"/>
        </w:rPr>
      </w:pPr>
      <w:r>
        <w:rPr>
          <w:rFonts w:ascii="Times New Roman;serif" w:hAnsi="Times New Roman;serif"/>
          <w:b/>
          <w:i/>
          <w:sz w:val="18"/>
        </w:rPr>
        <w:t>Class I Directors (Term Expires at 2024 Annual Meeting)</w:t>
      </w:r>
    </w:p>
    <w:tbl>
      <w:tblPr>
        <w:tblW w:w="10205" w:type="dxa"/>
        <w:jc w:val="left"/>
        <w:tblInd w:w="0" w:type="dxa"/>
        <w:tblCellMar>
          <w:top w:w="28" w:type="dxa"/>
          <w:left w:w="28" w:type="dxa"/>
          <w:bottom w:w="28" w:type="dxa"/>
          <w:right w:w="28" w:type="dxa"/>
        </w:tblCellMar>
      </w:tblPr>
      <w:tblGrid>
        <w:gridCol w:w="2095"/>
        <w:gridCol w:w="532"/>
        <w:gridCol w:w="7578"/>
      </w:tblGrid>
      <w:tr>
        <w:trPr/>
        <w:tc>
          <w:tcPr>
            <w:tcW w:w="209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7578" w:type="dxa"/>
            <w:tcBorders/>
            <w:shd w:fill="auto" w:val="clear"/>
            <w:vAlign w:val="center"/>
          </w:tcPr>
          <w:p>
            <w:pPr>
              <w:pStyle w:val="TableContents"/>
              <w:spacing w:before="0" w:after="283"/>
              <w:rPr>
                <w:sz w:val="4"/>
                <w:szCs w:val="4"/>
              </w:rPr>
            </w:pPr>
            <w:r>
              <w:rPr>
                <w:sz w:val="4"/>
                <w:szCs w:val="4"/>
              </w:rPr>
            </w:r>
          </w:p>
        </w:tc>
      </w:tr>
      <w:tr>
        <w:trPr/>
        <w:tc>
          <w:tcPr>
            <w:tcW w:w="2095"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32"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78"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095" w:type="dxa"/>
            <w:vMerge w:val="restart"/>
            <w:tcBorders/>
            <w:shd w:fill="auto" w:val="clear"/>
            <w:vAlign w:val="center"/>
          </w:tcPr>
          <w:p>
            <w:pPr>
              <w:pStyle w:val="TableContents"/>
              <w:spacing w:before="0" w:after="0"/>
              <w:ind w:left="0" w:right="0" w:hanging="0"/>
              <w:jc w:val="left"/>
              <w:rPr/>
            </w:pPr>
            <w:r>
              <w:rPr/>
              <w:drawing>
                <wp:inline distT="0" distB="0" distL="0" distR="0">
                  <wp:extent cx="1162050" cy="1162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62050" cy="11620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Paul Fonteyne</w:t>
            </w:r>
          </w:p>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Independent Director since 2020</w:t>
            </w:r>
          </w:p>
          <w:p>
            <w:pPr>
              <w:pStyle w:val="TableContents"/>
              <w:spacing w:before="0" w:after="0"/>
              <w:ind w:left="0" w:right="0" w:hanging="0"/>
              <w:jc w:val="left"/>
              <w:rPr>
                <w:rFonts w:ascii="Times New Roman" w:hAnsi="Times New Roman"/>
                <w:sz w:val="17"/>
              </w:rPr>
            </w:pPr>
            <w:r>
              <w:rPr>
                <w:rFonts w:ascii="Times New Roman;serif" w:hAnsi="Times New Roman;serif"/>
                <w:b w:val="false"/>
                <w:sz w:val="17"/>
              </w:rPr>
              <w:t>Age:</w:t>
            </w:r>
            <w:r>
              <w:rPr>
                <w:rFonts w:ascii="Times New Roman" w:hAnsi="Times New Roman"/>
                <w:sz w:val="17"/>
              </w:rPr>
              <w:t> </w:t>
            </w:r>
            <w:r>
              <w:rPr>
                <w:rFonts w:ascii="Times New Roman;serif" w:hAnsi="Times New Roman;serif"/>
                <w:b/>
                <w:sz w:val="17"/>
              </w:rPr>
              <w:t>61</w:t>
            </w:r>
          </w:p>
          <w:p>
            <w:pPr>
              <w:pStyle w:val="TableContents"/>
              <w:spacing w:before="0" w:after="0"/>
              <w:ind w:left="0" w:right="0" w:hanging="0"/>
              <w:jc w:val="left"/>
              <w:rPr>
                <w:rFonts w:ascii="Times New Roman" w:hAnsi="Times New Roman"/>
                <w:sz w:val="17"/>
              </w:rPr>
            </w:pPr>
            <w:r>
              <w:rPr>
                <w:rFonts w:ascii="Times New Roman;serif" w:hAnsi="Times New Roman;serif"/>
                <w:b w:val="false"/>
                <w:sz w:val="17"/>
              </w:rPr>
              <w:t>Committees:</w:t>
            </w:r>
            <w:r>
              <w:rPr>
                <w:rFonts w:ascii="Times New Roman" w:hAnsi="Times New Roman"/>
                <w:sz w:val="17"/>
              </w:rPr>
              <w:t xml:space="preserve"> </w:t>
            </w:r>
          </w:p>
          <w:p>
            <w:pPr>
              <w:pStyle w:val="TableContents"/>
              <w:spacing w:before="0" w:after="0"/>
              <w:ind w:left="216"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Audit</w:t>
            </w:r>
          </w:p>
          <w:p>
            <w:pPr>
              <w:pStyle w:val="TableContents"/>
              <w:spacing w:before="0" w:after="0"/>
              <w:ind w:left="216"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Compensation </w:t>
            </w:r>
          </w:p>
          <w:p>
            <w:pPr>
              <w:pStyle w:val="TableContents"/>
              <w:spacing w:before="0" w:after="0"/>
              <w:ind w:left="216"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Compliance (Chair)</w:t>
            </w:r>
          </w:p>
        </w:tc>
        <w:tc>
          <w:tcPr>
            <w:tcW w:w="532" w:type="dxa"/>
            <w:tcBorders/>
            <w:shd w:fill="auto" w:val="clear"/>
            <w:vAlign w:val="center"/>
          </w:tcPr>
          <w:p>
            <w:pPr>
              <w:pStyle w:val="TableContents"/>
              <w:spacing w:before="0" w:after="283"/>
              <w:ind w:left="0" w:right="0" w:hanging="0"/>
              <w:rPr>
                <w:sz w:val="4"/>
                <w:szCs w:val="4"/>
              </w:rPr>
            </w:pPr>
            <w:r>
              <w:rPr>
                <w:sz w:val="4"/>
                <w:szCs w:val="4"/>
              </w:rPr>
            </w:r>
          </w:p>
        </w:tc>
        <w:tc>
          <w:tcPr>
            <w:tcW w:w="7578"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7"/>
              </w:rPr>
              <w:t>Experience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Executive-in-Residence, Canaan Partners, a venture capital firm dedicated to early stage investing in health care and technology (2019 – present)</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Held number of senior executive roles, Boehringer Ingelheim; Chairman, Boehringer Ingelheim USA (2018 – 2019); President and Chief Executive Officer, Boehringer Ingelheim USA (2011 – 2018); President, Boehringer Ingelheim Animal Health USA (2018 – 2019); Corporate Senior Vice President, Prescription Medicines Marketing, Boehringer Ingelheim GmbH (2009 – 2011); joined 2004</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Held commercial leadership roles, Merck and Co. Inc. (1995 – 2004)</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Held commercial leadership roles, Abbott Laboratories (1987 – 1995) </w:t>
            </w:r>
          </w:p>
        </w:tc>
      </w:tr>
      <w:tr>
        <w:trPr/>
        <w:tc>
          <w:tcPr>
            <w:tcW w:w="2095" w:type="dxa"/>
            <w:vMerge w:val="continue"/>
            <w:tcBorders/>
            <w:shd w:fill="auto" w:val="clear"/>
            <w:vAlign w:val="center"/>
          </w:tcPr>
          <w:p>
            <w:pPr>
              <w:pStyle w:val="Normal"/>
              <w:rPr/>
            </w:pPr>
            <w:r>
              <w:rPr/>
            </w:r>
          </w:p>
        </w:tc>
        <w:tc>
          <w:tcPr>
            <w:tcW w:w="53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78"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Qualifications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Extensive experience leading large commercial organizations in the pharmaceutical industry</w:t>
            </w:r>
          </w:p>
          <w:p>
            <w:pPr>
              <w:pStyle w:val="TableContents"/>
              <w:spacing w:before="0" w:after="0"/>
              <w:ind w:left="0" w:right="0" w:hanging="0"/>
              <w:jc w:val="left"/>
              <w:rPr/>
            </w:pPr>
            <w:r>
              <w:rPr/>
              <w:t>•</w:t>
            </w:r>
          </w:p>
          <w:p>
            <w:pPr>
              <w:pStyle w:val="TableContents"/>
              <w:spacing w:before="0" w:after="283"/>
              <w:jc w:val="left"/>
              <w:rPr>
                <w:rFonts w:ascii="Times New Roman;serif" w:hAnsi="Times New Roman;serif"/>
                <w:b w:val="false"/>
                <w:sz w:val="17"/>
              </w:rPr>
            </w:pPr>
            <w:r>
              <w:rPr>
                <w:rFonts w:ascii="Times New Roman;serif" w:hAnsi="Times New Roman;serif"/>
                <w:b w:val="false"/>
                <w:sz w:val="17"/>
              </w:rPr>
              <w:t>Significant sales and marketing management experience</w:t>
            </w:r>
          </w:p>
        </w:tc>
      </w:tr>
      <w:tr>
        <w:trPr/>
        <w:tc>
          <w:tcPr>
            <w:tcW w:w="2095" w:type="dxa"/>
            <w:vMerge w:val="continue"/>
            <w:tcBorders/>
            <w:shd w:fill="auto" w:val="clear"/>
            <w:vAlign w:val="center"/>
          </w:tcPr>
          <w:p>
            <w:pPr>
              <w:pStyle w:val="Normal"/>
              <w:rPr/>
            </w:pPr>
            <w:r>
              <w:rPr/>
            </w:r>
          </w:p>
        </w:tc>
        <w:tc>
          <w:tcPr>
            <w:tcW w:w="53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78"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Education</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M.B.A., Carnegie Mellon University</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M.S., Chemical Engineering, University of Brussels (Belgium)</w:t>
            </w:r>
          </w:p>
        </w:tc>
      </w:tr>
      <w:tr>
        <w:trPr/>
        <w:tc>
          <w:tcPr>
            <w:tcW w:w="209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110" w:type="dxa"/>
            <w:gridSpan w:val="2"/>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Other Boards</w:t>
            </w:r>
          </w:p>
        </w:tc>
      </w:tr>
      <w:tr>
        <w:trPr/>
        <w:tc>
          <w:tcPr>
            <w:tcW w:w="209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32" w:type="dxa"/>
            <w:tcBorders/>
            <w:shd w:fill="auto" w:val="clear"/>
            <w:tcMar>
              <w:top w:w="0" w:type="dxa"/>
              <w:left w:w="0" w:type="dxa"/>
              <w:bottom w:w="0" w:type="dxa"/>
              <w:right w:w="0" w:type="dxa"/>
            </w:tcMar>
            <w:vAlign w:val="center"/>
          </w:tcPr>
          <w:p>
            <w:pPr>
              <w:pStyle w:val="TableContents"/>
              <w:spacing w:before="0" w:after="283"/>
              <w:ind w:left="0" w:right="0" w:firstLine="446"/>
              <w:rPr>
                <w:sz w:val="4"/>
                <w:szCs w:val="4"/>
              </w:rPr>
            </w:pPr>
            <w:r>
              <w:rPr>
                <w:sz w:val="4"/>
                <w:szCs w:val="4"/>
              </w:rPr>
            </w:r>
          </w:p>
        </w:tc>
        <w:tc>
          <w:tcPr>
            <w:tcW w:w="7578" w:type="dxa"/>
            <w:tcBorders/>
            <w:shd w:fill="auto" w:val="clear"/>
            <w:vAlign w:val="center"/>
          </w:tcPr>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Covetrus Inc. (2021 – 2022)</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Ypsomed AG (2018 -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Gelesis, Inc. (2018 -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DalCor Pharmaceuticals (private)</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AMAG Pharmaceuticals, Inc. (2019 - 2020)</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ResTORbio, Inc. (2017 – 2020)</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PhRMA, the industry association for the pharmaceutical industry (formerly) </w:t>
            </w:r>
          </w:p>
        </w:tc>
      </w:tr>
    </w:tbl>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00"/>
        <w:gridCol w:w="109"/>
        <w:gridCol w:w="7696"/>
      </w:tblGrid>
      <w:tr>
        <w:trPr/>
        <w:tc>
          <w:tcPr>
            <w:tcW w:w="2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6" w:type="dxa"/>
            <w:tcBorders/>
            <w:shd w:fill="auto" w:val="clear"/>
            <w:vAlign w:val="center"/>
          </w:tcPr>
          <w:p>
            <w:pPr>
              <w:pStyle w:val="TableContents"/>
              <w:spacing w:before="0" w:after="283"/>
              <w:rPr>
                <w:sz w:val="4"/>
                <w:szCs w:val="4"/>
              </w:rPr>
            </w:pPr>
            <w:r>
              <w:rPr>
                <w:sz w:val="4"/>
                <w:szCs w:val="4"/>
              </w:rPr>
            </w:r>
          </w:p>
        </w:tc>
      </w:tr>
      <w:tr>
        <w:trPr/>
        <w:tc>
          <w:tcPr>
            <w:tcW w:w="2400" w:type="dxa"/>
            <w:vMerge w:val="restart"/>
            <w:tcBorders>
              <w:top w:val="single" w:sz="8" w:space="0" w:color="000000"/>
            </w:tcBorders>
            <w:shd w:fill="auto" w:val="clear"/>
            <w:tcMar>
              <w:left w:w="0" w:type="dxa"/>
              <w:bottom w:w="0" w:type="dxa"/>
              <w:right w:w="0" w:type="dxa"/>
            </w:tcMar>
            <w:vAlign w:val="center"/>
          </w:tcPr>
          <w:p>
            <w:pPr>
              <w:pStyle w:val="TableContents"/>
              <w:spacing w:before="80" w:after="0"/>
              <w:ind w:left="0" w:right="0" w:hanging="0"/>
              <w:jc w:val="left"/>
              <w:rPr/>
            </w:pPr>
            <w:r>
              <w:rPr/>
              <w:drawing>
                <wp:inline distT="0" distB="0" distL="0" distR="0">
                  <wp:extent cx="1162050" cy="1162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62050" cy="11620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Stephanie Monaghan O’Brien</w:t>
            </w:r>
          </w:p>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Independent Director since 2013</w:t>
            </w:r>
          </w:p>
          <w:p>
            <w:pPr>
              <w:pStyle w:val="TableContents"/>
              <w:spacing w:before="0" w:after="0"/>
              <w:ind w:left="0" w:right="0" w:hanging="0"/>
              <w:jc w:val="left"/>
              <w:rPr>
                <w:rFonts w:ascii="Times New Roman" w:hAnsi="Times New Roman"/>
                <w:sz w:val="17"/>
              </w:rPr>
            </w:pPr>
            <w:r>
              <w:rPr>
                <w:rFonts w:ascii="Times New Roman;serif" w:hAnsi="Times New Roman;serif"/>
                <w:b w:val="false"/>
                <w:sz w:val="17"/>
              </w:rPr>
              <w:t>Age:</w:t>
            </w:r>
            <w:r>
              <w:rPr>
                <w:rFonts w:ascii="Times New Roman" w:hAnsi="Times New Roman"/>
                <w:sz w:val="17"/>
              </w:rPr>
              <w:t> </w:t>
            </w:r>
            <w:r>
              <w:rPr>
                <w:rFonts w:ascii="Times New Roman;serif" w:hAnsi="Times New Roman;serif"/>
                <w:b/>
                <w:sz w:val="17"/>
              </w:rPr>
              <w:t>64</w:t>
            </w:r>
          </w:p>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Committees:</w:t>
            </w:r>
          </w:p>
          <w:p>
            <w:pPr>
              <w:pStyle w:val="TableContents"/>
              <w:spacing w:before="0" w:after="0"/>
              <w:ind w:left="216"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Compensation (Chair)</w:t>
            </w:r>
          </w:p>
          <w:p>
            <w:pPr>
              <w:pStyle w:val="TableContents"/>
              <w:spacing w:before="0" w:after="0"/>
              <w:ind w:left="216"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Nominating and Corporate Governance </w:t>
            </w:r>
          </w:p>
          <w:p>
            <w:pPr>
              <w:pStyle w:val="TableContents"/>
              <w:spacing w:before="0" w:after="0"/>
              <w:ind w:left="216"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Compliance</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96" w:type="dxa"/>
            <w:tcBorders>
              <w:top w:val="single" w:sz="8" w:space="0" w:color="000000"/>
              <w:bottom w:val="single" w:sz="6" w:space="0" w:color="000000"/>
            </w:tcBorders>
            <w:shd w:fill="auto" w:val="clear"/>
            <w:tcMar>
              <w:left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Experience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Attorney, Morningside Technology Advisory, LLC (1997 – present)</w:t>
            </w:r>
          </w:p>
        </w:tc>
      </w:tr>
      <w:tr>
        <w:trPr/>
        <w:tc>
          <w:tcPr>
            <w:tcW w:w="2400"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96" w:type="dxa"/>
            <w:tcBorders/>
            <w:shd w:fill="auto" w:val="clear"/>
            <w:vAlign w:val="center"/>
          </w:tcPr>
          <w:p>
            <w:pPr>
              <w:pStyle w:val="TableContents"/>
              <w:spacing w:before="60" w:after="0"/>
              <w:ind w:left="0" w:right="0" w:hanging="0"/>
              <w:jc w:val="left"/>
              <w:rPr/>
            </w:pPr>
            <w:r>
              <w:rPr/>
              <w:t> </w:t>
            </w:r>
            <w:r>
              <w:rPr>
                <w:rFonts w:ascii="Times New Roman;serif" w:hAnsi="Times New Roman;serif"/>
                <w:b w:val="false"/>
                <w:sz w:val="17"/>
              </w:rPr>
              <w:t>Qualifications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Extensive investment and business experience, including 25 years of experience successfully building early-stage life science and technology companies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Extensive experience serving on both public and private company boards</w:t>
            </w:r>
          </w:p>
        </w:tc>
      </w:tr>
      <w:tr>
        <w:trPr/>
        <w:tc>
          <w:tcPr>
            <w:tcW w:w="2400"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96"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Education</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J.D., New York University School of Law</w:t>
            </w:r>
          </w:p>
          <w:p>
            <w:pPr>
              <w:pStyle w:val="TableContents"/>
              <w:spacing w:before="0" w:after="0"/>
              <w:ind w:left="0" w:right="0" w:hanging="0"/>
              <w:jc w:val="left"/>
              <w:rPr/>
            </w:pPr>
            <w:r>
              <w:rPr/>
              <w:t>•</w:t>
            </w:r>
          </w:p>
          <w:p>
            <w:pPr>
              <w:pStyle w:val="TableContents"/>
              <w:spacing w:before="0" w:after="0"/>
              <w:jc w:val="left"/>
              <w:rPr/>
            </w:pPr>
            <w:r>
              <w:rPr>
                <w:rFonts w:ascii="Times New Roman;serif" w:hAnsi="Times New Roman;serif"/>
                <w:b w:val="false"/>
                <w:sz w:val="17"/>
              </w:rPr>
              <w:t xml:space="preserve">A.B., </w:t>
            </w:r>
            <w:r>
              <w:rPr>
                <w:rFonts w:ascii="Times New Roman;serif" w:hAnsi="Times New Roman;serif"/>
                <w:b w:val="false"/>
                <w:i/>
                <w:sz w:val="17"/>
              </w:rPr>
              <w:t>cum laude</w:t>
            </w:r>
            <w:r>
              <w:rPr>
                <w:rFonts w:ascii="Times New Roman;serif" w:hAnsi="Times New Roman;serif"/>
                <w:b w:val="false"/>
                <w:sz w:val="17"/>
              </w:rPr>
              <w:t>, Harvard College</w:t>
            </w:r>
          </w:p>
        </w:tc>
      </w:tr>
      <w:tr>
        <w:trPr/>
        <w:tc>
          <w:tcPr>
            <w:tcW w:w="2400"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96" w:type="dxa"/>
            <w:tcBorders>
              <w:top w:val="single" w:sz="6"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Other Boards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Aduro Biotech Inc. (2011 – 2020)</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Numerous private pre-clinical and clinical-stage companies developing drugs across a broad spectrum of therapeutic focus, including Apic Bio, Inc., Meissa Vaccines, Inc. and Vigeo Therapeutics, Inc., and numerous early-stage technology companies developing disruptive technologies and business methods, including 2020, Inc., Canopy Education, Inc., and Linc Global, Inc.</w:t>
            </w:r>
          </w:p>
        </w:tc>
      </w:tr>
    </w:tbl>
    <w:p>
      <w:pPr>
        <w:pStyle w:val="TextBody"/>
        <w:spacing w:before="240" w:after="0"/>
        <w:jc w:val="left"/>
        <w:rPr>
          <w:rFonts w:ascii="Times New Roman" w:hAnsi="Times New Roman"/>
          <w:sz w:val="20"/>
        </w:rPr>
      </w:pPr>
      <w:r>
        <w:rPr>
          <w:rFonts w:ascii="Times New Roman;serif" w:hAnsi="Times New Roman;serif"/>
          <w:b/>
          <w:i/>
          <w:sz w:val="20"/>
        </w:rPr>
        <w:t>Class II Directors (Term Expires at 2025 Annual Meeting)</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417"/>
        <w:gridCol w:w="146"/>
        <w:gridCol w:w="7642"/>
      </w:tblGrid>
      <w:tr>
        <w:trPr/>
        <w:tc>
          <w:tcPr>
            <w:tcW w:w="24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42" w:type="dxa"/>
            <w:tcBorders/>
            <w:shd w:fill="auto" w:val="clear"/>
            <w:vAlign w:val="center"/>
          </w:tcPr>
          <w:p>
            <w:pPr>
              <w:pStyle w:val="TableContents"/>
              <w:spacing w:before="0" w:after="283"/>
              <w:rPr>
                <w:sz w:val="4"/>
                <w:szCs w:val="4"/>
              </w:rPr>
            </w:pPr>
            <w:r>
              <w:rPr>
                <w:sz w:val="4"/>
                <w:szCs w:val="4"/>
              </w:rPr>
            </w:r>
          </w:p>
        </w:tc>
      </w:tr>
      <w:tr>
        <w:trPr/>
        <w:tc>
          <w:tcPr>
            <w:tcW w:w="2417"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42"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417" w:type="dxa"/>
            <w:vMerge w:val="restart"/>
            <w:tcBorders/>
            <w:shd w:fill="auto" w:val="clear"/>
            <w:vAlign w:val="center"/>
          </w:tcPr>
          <w:p>
            <w:pPr>
              <w:pStyle w:val="TableContents"/>
              <w:spacing w:before="0" w:after="0"/>
              <w:ind w:left="0" w:right="0" w:hanging="0"/>
              <w:jc w:val="left"/>
              <w:rPr/>
            </w:pPr>
            <w:r>
              <w:rPr/>
              <w:drawing>
                <wp:inline distT="0" distB="0" distL="0" distR="0">
                  <wp:extent cx="1162050" cy="1152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62050" cy="1152525"/>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A. Sinclair Dunlop</w:t>
            </w:r>
          </w:p>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Independent Director since 2010</w:t>
            </w:r>
          </w:p>
          <w:p>
            <w:pPr>
              <w:pStyle w:val="TableContents"/>
              <w:spacing w:before="0" w:after="0"/>
              <w:ind w:left="0" w:right="0" w:hanging="0"/>
              <w:jc w:val="left"/>
              <w:rPr>
                <w:rFonts w:ascii="Times New Roman" w:hAnsi="Times New Roman"/>
                <w:sz w:val="17"/>
              </w:rPr>
            </w:pPr>
            <w:r>
              <w:rPr>
                <w:rFonts w:ascii="Times New Roman;serif" w:hAnsi="Times New Roman;serif"/>
                <w:b w:val="false"/>
                <w:sz w:val="17"/>
              </w:rPr>
              <w:t xml:space="preserve">Age: </w:t>
            </w:r>
            <w:r>
              <w:rPr>
                <w:rFonts w:ascii="Times New Roman;serif" w:hAnsi="Times New Roman;serif"/>
                <w:b/>
                <w:sz w:val="17"/>
              </w:rPr>
              <w:t>51</w:t>
            </w:r>
          </w:p>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Committees: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642"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7"/>
              </w:rPr>
              <w:t>Experience</w:t>
            </w:r>
            <w:r>
              <w:rPr>
                <w:rFonts w:ascii="Times New Roman" w:hAnsi="Times New Roman"/>
                <w:sz w:val="17"/>
              </w:rPr>
              <w:t xml:space="preserve"> </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Co-Founder and Managing Partner, Epidarex Capital, an early-stage venture fund platform with approximately $250 million in assets under management (July 2010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Founder and Managing Partner, Masa Life Science Ventures, LP, an early-stage venture fund that successfully built an international portfolio of leading life science and health technology companies (2005 – 2010)</w:t>
            </w:r>
          </w:p>
        </w:tc>
      </w:tr>
      <w:tr>
        <w:trPr/>
        <w:tc>
          <w:tcPr>
            <w:tcW w:w="2417" w:type="dxa"/>
            <w:vMerge w:val="continue"/>
            <w:tcBorders/>
            <w:shd w:fill="auto" w:val="clear"/>
            <w:vAlign w:val="center"/>
          </w:tcPr>
          <w:p>
            <w:pPr>
              <w:pStyle w:val="Normal"/>
              <w:rPr/>
            </w:pPr>
            <w:r>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42" w:type="dxa"/>
            <w:tcBorders>
              <w:top w:val="single" w:sz="8"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Qualifications</w:t>
            </w:r>
          </w:p>
          <w:p>
            <w:pPr>
              <w:pStyle w:val="TableContents"/>
              <w:spacing w:before="120" w:after="0"/>
              <w:ind w:left="0" w:right="0" w:hanging="0"/>
              <w:jc w:val="left"/>
              <w:rPr/>
            </w:pPr>
            <w:r>
              <w:rPr/>
              <w:t>•</w:t>
            </w:r>
          </w:p>
          <w:p>
            <w:pPr>
              <w:pStyle w:val="TableContents"/>
              <w:spacing w:before="120" w:after="0"/>
              <w:jc w:val="left"/>
              <w:rPr>
                <w:rFonts w:ascii="Times New Roman;serif" w:hAnsi="Times New Roman;serif"/>
                <w:b w:val="false"/>
                <w:sz w:val="17"/>
              </w:rPr>
            </w:pPr>
            <w:r>
              <w:rPr>
                <w:rFonts w:ascii="Times New Roman;serif" w:hAnsi="Times New Roman;serif"/>
                <w:b w:val="false"/>
                <w:sz w:val="17"/>
              </w:rPr>
              <w:t>Extensive investment and business experience, including 20 years of experience successfully building early-stage life science companies and delivering competitive returns to international investors</w:t>
            </w:r>
          </w:p>
        </w:tc>
      </w:tr>
      <w:tr>
        <w:trPr/>
        <w:tc>
          <w:tcPr>
            <w:tcW w:w="2417" w:type="dxa"/>
            <w:vMerge w:val="continue"/>
            <w:tcBorders/>
            <w:shd w:fill="auto" w:val="clear"/>
            <w:vAlign w:val="center"/>
          </w:tcPr>
          <w:p>
            <w:pPr>
              <w:pStyle w:val="Normal"/>
              <w:rPr/>
            </w:pPr>
            <w:r>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42" w:type="dxa"/>
            <w:tcBorders>
              <w:top w:val="single" w:sz="8"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Education</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M.B.A., Columbia Business School, where he was the R.C. Kopf British-American Fellow in international business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M.A., Political Economy, with Honors, University of Glasgow</w:t>
            </w:r>
          </w:p>
          <w:p>
            <w:pPr>
              <w:pStyle w:val="TableContents"/>
              <w:spacing w:before="0" w:after="0"/>
              <w:ind w:left="0" w:right="0" w:hanging="0"/>
              <w:jc w:val="left"/>
              <w:rPr/>
            </w:pPr>
            <w:r>
              <w:rPr/>
              <w:t>•</w:t>
            </w:r>
          </w:p>
          <w:p>
            <w:pPr>
              <w:pStyle w:val="TableContents"/>
              <w:spacing w:before="0" w:after="0"/>
              <w:ind w:left="0" w:right="0" w:firstLine="360"/>
              <w:jc w:val="left"/>
              <w:rPr>
                <w:rFonts w:ascii="Times New Roman;serif" w:hAnsi="Times New Roman;serif"/>
                <w:b w:val="false"/>
                <w:sz w:val="17"/>
              </w:rPr>
            </w:pPr>
            <w:r>
              <w:rPr>
                <w:rFonts w:ascii="Times New Roman;serif" w:hAnsi="Times New Roman;serif"/>
                <w:b w:val="false"/>
                <w:sz w:val="17"/>
              </w:rPr>
              <w:t>M.A., International Relations, Maxwell School of Citizenship and Public Affairs at Syracuse University</w:t>
            </w:r>
          </w:p>
        </w:tc>
      </w:tr>
      <w:tr>
        <w:trPr/>
        <w:tc>
          <w:tcPr>
            <w:tcW w:w="2417" w:type="dxa"/>
            <w:tcBorders>
              <w:bottom w:val="single" w:sz="8" w:space="0" w:color="000000"/>
            </w:tcBorders>
            <w:shd w:fill="auto" w:val="clear"/>
            <w:tcMar>
              <w:top w:w="0" w:type="dxa"/>
              <w:left w:w="0" w:type="dxa"/>
              <w:right w:w="0" w:type="dxa"/>
            </w:tcMar>
            <w:vAlign w:val="center"/>
          </w:tcPr>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Audit </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Nominating and Corporate Governance </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Compliance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642" w:type="dxa"/>
            <w:tcBorders>
              <w:top w:val="single" w:sz="8" w:space="0" w:color="000000"/>
              <w:bottom w:val="single" w:sz="8" w:space="0" w:color="000000"/>
            </w:tcBorders>
            <w:shd w:fill="auto" w:val="clear"/>
            <w:tcMar>
              <w:left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Other Boards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Clyde Biosciences (private)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Epidarex Management (private)</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Epidarex Capital Management (private)</w:t>
            </w:r>
          </w:p>
        </w:tc>
      </w:tr>
      <w:tr>
        <w:trPr/>
        <w:tc>
          <w:tcPr>
            <w:tcW w:w="2417" w:type="dxa"/>
            <w:vMerge w:val="restart"/>
            <w:tcBorders/>
            <w:shd w:fill="auto" w:val="clear"/>
            <w:vAlign w:val="center"/>
          </w:tcPr>
          <w:p>
            <w:pPr>
              <w:pStyle w:val="TableContents"/>
              <w:spacing w:before="0" w:after="0"/>
              <w:ind w:left="0" w:right="0" w:hanging="0"/>
              <w:jc w:val="left"/>
              <w:rPr/>
            </w:pPr>
            <w:r>
              <w:rPr/>
              <w:drawing>
                <wp:inline distT="0" distB="0" distL="0" distR="0">
                  <wp:extent cx="1162050" cy="1162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62050" cy="11620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Alec Machiels</w:t>
            </w:r>
          </w:p>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Independent Director since 2009</w:t>
            </w:r>
          </w:p>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Age: 50</w:t>
            </w:r>
          </w:p>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Committees:</w:t>
            </w:r>
          </w:p>
        </w:tc>
        <w:tc>
          <w:tcPr>
            <w:tcW w:w="146" w:type="dxa"/>
            <w:tcBorders/>
            <w:shd w:fill="auto" w:val="clear"/>
            <w:vAlign w:val="center"/>
          </w:tcPr>
          <w:p>
            <w:pPr>
              <w:pStyle w:val="TableContents"/>
              <w:spacing w:before="0" w:after="0"/>
              <w:ind w:left="0" w:right="0" w:hanging="0"/>
              <w:jc w:val="left"/>
              <w:rPr/>
            </w:pPr>
            <w:r>
              <w:rPr/>
              <w:t> </w:t>
            </w:r>
          </w:p>
        </w:tc>
        <w:tc>
          <w:tcPr>
            <w:tcW w:w="7642"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7"/>
              </w:rPr>
              <w:t>Experience</w:t>
            </w:r>
            <w:r>
              <w:rPr>
                <w:rFonts w:ascii="Times New Roman" w:hAnsi="Times New Roman"/>
                <w:sz w:val="17"/>
              </w:rPr>
              <w:t xml:space="preserve"> </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Founding Managing Partner, CoLift, LLC, a private equity platform (2019 – present)</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Partner, Pegasus Capital Advisors, L.P., a private equity firm (2006 - 2019); joined in 2002</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Co-Founder, Potentia; Chief Executive Officer (2001 – 2002)</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Co-Founder, Revon (2013- 2019)</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Financial analyst, Financial Services Group (London) and Private Equity Group (New York), Goldman Sachs (1996 - 1999) </w:t>
            </w:r>
          </w:p>
        </w:tc>
      </w:tr>
      <w:tr>
        <w:trPr/>
        <w:tc>
          <w:tcPr>
            <w:tcW w:w="2417" w:type="dxa"/>
            <w:vMerge w:val="continue"/>
            <w:tcBorders/>
            <w:shd w:fill="auto" w:val="clear"/>
            <w:vAlign w:val="center"/>
          </w:tcPr>
          <w:p>
            <w:pPr>
              <w:pStyle w:val="Normal"/>
              <w:rPr/>
            </w:pPr>
            <w:r>
              <w:rPr/>
            </w:r>
          </w:p>
        </w:tc>
        <w:tc>
          <w:tcPr>
            <w:tcW w:w="146"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42" w:type="dxa"/>
            <w:tcBorders>
              <w:top w:val="single" w:sz="8"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Qualifications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Strong background in financial management and investment in businesses</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Experience serving on the boards of both public and private companies</w:t>
            </w:r>
          </w:p>
        </w:tc>
      </w:tr>
      <w:tr>
        <w:trPr/>
        <w:tc>
          <w:tcPr>
            <w:tcW w:w="2417" w:type="dxa"/>
            <w:vMerge w:val="continue"/>
            <w:tcBorders/>
            <w:shd w:fill="auto" w:val="clear"/>
            <w:vAlign w:val="center"/>
          </w:tcPr>
          <w:p>
            <w:pPr>
              <w:pStyle w:val="Normal"/>
              <w:rPr/>
            </w:pPr>
            <w:r>
              <w:rPr/>
            </w:r>
          </w:p>
        </w:tc>
        <w:tc>
          <w:tcPr>
            <w:tcW w:w="146"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42" w:type="dxa"/>
            <w:tcBorders>
              <w:top w:val="single" w:sz="8"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Education</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M.B.A., Harvard Business School</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License in law, KU Leuven Law School (Belgium)</w:t>
            </w:r>
          </w:p>
          <w:p>
            <w:pPr>
              <w:pStyle w:val="TableContents"/>
              <w:spacing w:before="0" w:after="0"/>
              <w:ind w:left="0"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M.A., International Economics, Konstanz University (Germany)</w:t>
            </w:r>
          </w:p>
        </w:tc>
      </w:tr>
      <w:tr>
        <w:trPr/>
        <w:tc>
          <w:tcPr>
            <w:tcW w:w="241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Audit (Chair)</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 xml:space="preserve">Compensation </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7"/>
              </w:rPr>
            </w:pPr>
            <w:r>
              <w:rPr>
                <w:rFonts w:ascii="Times New Roman;serif" w:hAnsi="Times New Roman;serif"/>
                <w:b w:val="false"/>
                <w:sz w:val="17"/>
              </w:rPr>
              <w:t>Compliance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42" w:type="dxa"/>
            <w:tcBorders>
              <w:top w:val="single" w:sz="8" w:space="0" w:color="000000"/>
            </w:tcBorders>
            <w:shd w:fill="auto" w:val="clear"/>
            <w:tcMar>
              <w:left w:w="0" w:type="dxa"/>
              <w:bottom w:w="0" w:type="dxa"/>
              <w:right w:w="0" w:type="dxa"/>
            </w:tcMar>
            <w:vAlign w:val="center"/>
          </w:tcPr>
          <w:p>
            <w:pPr>
              <w:pStyle w:val="TableContents"/>
              <w:spacing w:before="60" w:after="0"/>
              <w:ind w:left="0" w:right="0" w:hanging="0"/>
              <w:jc w:val="left"/>
              <w:rPr/>
            </w:pPr>
            <w:r>
              <w:rPr/>
              <w:t> </w:t>
            </w:r>
            <w:r>
              <w:rPr>
                <w:rFonts w:ascii="Times New Roman;serif" w:hAnsi="Times New Roman;serif"/>
                <w:b w:val="false"/>
                <w:sz w:val="17"/>
              </w:rPr>
              <w:t>Other Boards</w:t>
            </w:r>
          </w:p>
          <w:p>
            <w:pPr>
              <w:pStyle w:val="TableContents"/>
              <w:spacing w:before="0" w:after="0"/>
              <w:ind w:left="0" w:right="0" w:hanging="0"/>
              <w:jc w:val="left"/>
              <w:rPr/>
            </w:pPr>
            <w:r>
              <w:rPr/>
              <w:t>•</w:t>
            </w:r>
          </w:p>
          <w:p>
            <w:pPr>
              <w:pStyle w:val="TableContents"/>
              <w:jc w:val="left"/>
              <w:rPr>
                <w:rFonts w:ascii="Times New Roman;serif" w:hAnsi="Times New Roman;serif"/>
                <w:b w:val="false"/>
                <w:sz w:val="17"/>
              </w:rPr>
            </w:pPr>
            <w:r>
              <w:rPr>
                <w:rFonts w:ascii="Times New Roman;serif" w:hAnsi="Times New Roman;serif"/>
                <w:b w:val="false"/>
                <w:sz w:val="17"/>
              </w:rPr>
              <w:t>Previously served on the board of directors of several public and private companies</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7" w:name="how_our_directors_are_selecte"/>
      <w:bookmarkEnd w:id="7"/>
      <w:r>
        <w:rPr>
          <w:rFonts w:ascii="Times New Roman;serif" w:hAnsi="Times New Roman;serif"/>
          <w:b/>
          <w:sz w:val="20"/>
        </w:rPr>
        <w:t>HOW OUR DIRECTORS ARE SELECTED AND ELECTED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Director Nomination Process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of directors. While there are no specific minimum qualifications for a committee-recommended nominee to our board of directors, the qualifications, qualities and skills that our nominating and corporate governance committee believes must be met by a committee-recommended nominee for a position on our board of directors are as follows: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Nominees should have a reputation for integrity, honesty and adherence to high ethical standards.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Nominees should have demonstrated business acumen, experience and ability to exercise sound judgments in matters that relate to our current and long-term objectives and should be willing and able to contribute positively to our decision-making process.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Nominees should have a commitment to understand our company and our industry and to regularly attend and participate in meetings of our board of directors and its committees.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Nominees should not have, nor appear to have, a conflict of interest that would impair the nominee’s ability to represent the interests of all of our stockholders and to fulfill the responsibilities of a director.</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Nominees shall not be discriminated against on the basis of race, religion, national origin, sex, sexual orientation, disability or any other basis proscribed by law. The value of diversity on our board of directors is considered.</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knowledge of our business, understanding of the competitive landscape in which we operate and adherence to high ethical standards. Certain individual qualifications and skills of our directors that contribute to our board of directors’ effectiveness as a whole are described above in “Proposal No. 1— Election of Class III Directors.”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nominating and corporate governance committee may use a third-party search firm in those situations where particular qualifications are required or where existing contacts are not sufficient to identify an appropriate candidate.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2024 Annual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stockholder-recommended candidate and recommends his or her election, then his or her name will be included on our proxy card for the next annual meeting.</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Director Independence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Applicable rules of the Nasdaq Stock Market LLC, or Nasdaq,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under the Exchange Act,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February 2023,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Cedric Francois,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Francois is not deemed to be an independent director under these rules because he is our President and Chief Executive Officer.</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There are no family relationships among any of our directors or executive officers.</w:t>
      </w:r>
    </w:p>
    <w:p>
      <w:pPr>
        <w:pStyle w:val="TextBody"/>
        <w:spacing w:before="240" w:after="0"/>
        <w:jc w:val="left"/>
        <w:rPr>
          <w:rFonts w:ascii="Times New Roman" w:hAnsi="Times New Roman"/>
          <w:sz w:val="20"/>
        </w:rPr>
      </w:pPr>
      <w:bookmarkStart w:id="8" w:name="how_our_board_of_directors_is_organized"/>
      <w:bookmarkEnd w:id="8"/>
      <w:r>
        <w:rPr>
          <w:rFonts w:ascii="Times New Roman;serif" w:hAnsi="Times New Roman;serif"/>
          <w:b/>
          <w:sz w:val="20"/>
        </w:rPr>
        <w:t>HOW OUR BOARD OF DIRECTORS IS ORGANIZED AND GOVERNED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Committees of the Board of Directors</w:t>
      </w:r>
    </w:p>
    <w:p>
      <w:pPr>
        <w:pStyle w:val="TextBody"/>
        <w:spacing w:before="0" w:after="0"/>
        <w:jc w:val="left"/>
        <w:rPr>
          <w:rFonts w:ascii="Times New Roman" w:hAnsi="Times New Roman"/>
          <w:sz w:val="20"/>
        </w:rPr>
      </w:pPr>
      <w:r>
        <w:rPr>
          <w:rFonts w:ascii="Times New Roman;serif" w:hAnsi="Times New Roman;serif"/>
          <w:b w:val="false"/>
          <w:sz w:val="18"/>
        </w:rPr>
        <w:t xml:space="preserve">Our board of directors has established an audit committee, a compensation committee, a compliance committee and a nominating and corporate governance committee. Each of the audit committee, compensation committee, compliance committee and nominating and corporate governance committee operates under a charter, and each such committee reviews its respective charter at least annually. A current copy of the charter for each of the audit committee, the compensation committee, the compliance committee and the nominating and corporate governance committee is posted on the “Corporate Governance” page of the “Investors &amp; Media” section of our website, which is located at </w:t>
      </w:r>
      <w:r>
        <w:rPr>
          <w:rFonts w:ascii="Times New Roman;serif" w:hAnsi="Times New Roman;serif"/>
          <w:b/>
          <w:i/>
          <w:sz w:val="18"/>
          <w:u w:val="single"/>
        </w:rPr>
        <w:t>www.apellis.com</w:t>
      </w:r>
      <w:r>
        <w:rPr>
          <w:rFonts w:ascii="Times New Roman;serif" w:hAnsi="Times New Roman;serif"/>
          <w:b w:val="false"/>
          <w:sz w:val="18"/>
        </w:rPr>
        <w:t>.</w:t>
      </w:r>
    </w:p>
    <w:p>
      <w:pPr>
        <w:pStyle w:val="TextBody"/>
        <w:spacing w:before="0" w:after="0"/>
        <w:jc w:val="left"/>
        <w:rPr>
          <w:rFonts w:ascii="Times New Roman;serif" w:hAnsi="Times New Roman;serif"/>
          <w:b/>
          <w:i/>
          <w:sz w:val="18"/>
        </w:rPr>
      </w:pPr>
      <w:r>
        <w:rPr>
          <w:rFonts w:ascii="Times New Roman;serif" w:hAnsi="Times New Roman;serif"/>
          <w:b/>
          <w:i/>
          <w:sz w:val="18"/>
        </w:rPr>
        <w:t>Audit Committee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members of our audit committee are Alec Machiels, A. Sinclair Dunlop and Paul Fonteyne, and Mr. Machiels is the chair of the audit committee. Our audit committee met five times during 2022. Our audit committee’s responsibilities include: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appointing, approving the compensation of, and assessing the independence of our independent registered public accounting firm;</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overseeing the work of our independent registered public accounting firm, including through the receipt and consideration of reports from such firm;</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discussing with management and our independent registered public accounting firm our annual and quarterly financial statements and related disclosures;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monitoring our internal control over financial reporting, disclosure controls and procedures and code of business conduct and ethics;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overseeing our internal audit function, if any;</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overseeing our compliance with statutes, regulations and policies regarding interactions with physicians, payors and patients;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overseeing our risk assessment and risk management policies;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establishing procedures for the receipt and retention of accounting related complaints and concerns;</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meeting independently with our internal auditing staff, if any, our independent registered public accounting firm and management;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approving or ratifying any related person transactions;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preparing the audit committee report required by SEC rules.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All audit and non-audit services, other than de minimis non-audit services, to be provided to us by our independent registered public accounting firm must be approved in advance by our audit committee.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board of directors has determined that Mr. Machiels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pStyle w:val="TextBody"/>
        <w:spacing w:before="0" w:after="0"/>
        <w:jc w:val="left"/>
        <w:rPr>
          <w:rFonts w:ascii="Times New Roman" w:hAnsi="Times New Roman"/>
          <w:sz w:val="20"/>
        </w:rPr>
      </w:pPr>
      <w:r>
        <w:rPr>
          <w:rFonts w:ascii="Times New Roman;serif" w:hAnsi="Times New Roman;serif"/>
          <w:b w:val="false"/>
          <w:sz w:val="18"/>
        </w:rPr>
        <w:t xml:space="preserve">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1-866-278-5991 and a secure web form available at </w:t>
      </w:r>
      <w:r>
        <w:rPr>
          <w:rFonts w:ascii="Times New Roman;serif" w:hAnsi="Times New Roman;serif"/>
          <w:b/>
          <w:i/>
          <w:sz w:val="18"/>
        </w:rPr>
        <w:t>https://www.whistleblowerservices.com/apls</w:t>
      </w:r>
      <w:r>
        <w:rPr>
          <w:rFonts w:ascii="Times New Roman;serif" w:hAnsi="Times New Roman;serif"/>
          <w:b w:val="false"/>
          <w:sz w:val="18"/>
        </w:rPr>
        <w:t>.</w:t>
      </w:r>
    </w:p>
    <w:p>
      <w:pPr>
        <w:pStyle w:val="TextBody"/>
        <w:spacing w:before="0" w:after="0"/>
        <w:jc w:val="left"/>
        <w:rPr/>
      </w:pPr>
      <w:r>
        <w:rPr/>
        <w:t> </w:t>
      </w:r>
    </w:p>
    <w:p>
      <w:pPr>
        <w:pStyle w:val="TextBody"/>
        <w:spacing w:before="0" w:after="0"/>
        <w:jc w:val="left"/>
        <w:rPr>
          <w:rFonts w:ascii="Times New Roman;serif" w:hAnsi="Times New Roman;serif"/>
          <w:b/>
          <w:i/>
          <w:sz w:val="18"/>
        </w:rPr>
      </w:pPr>
      <w:r>
        <w:rPr>
          <w:rFonts w:ascii="Times New Roman;serif" w:hAnsi="Times New Roman;serif"/>
          <w:b/>
          <w:i/>
          <w:sz w:val="18"/>
        </w:rPr>
        <w:t>Compensation Committee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members of our compensation committee are Stephanie Monaghan O’Brien, Paul Fonteyne and Alec Machiels, and Ms. O’Brien is the chair of the compensation committee. Our compensation committee met six times during 2022. Our compensation committee’s responsibilities include: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approving, or making recommendations to our board of directors with respect to, the compensation of our Chief Executive Officer and our other executive officers;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overseeing the evaluation of our senior executives;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overseeing and administering our cash and equity incentive plans;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making recommendations to our board of directors with respect to director compensation and management succession planning;</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discussing annually with management our “Compensation Discussion and Analysis” disclosure;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preparing the compensation committee report.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believe that the composition of our compensation committee meets the requirements for independence under current Nasdaq and SEC rules and regulations.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Under its charter, the compensation committee may from time-to-time delegate authority to subcommittees as it deems appropriate. Pursuant to our 2017 Stock Incentive Plan, or our 2017 Plan, and 2020 Inducement Stock Incentive Plan, or our 2020 Plan, the compensation committee has delegated to our chief executive officer, chief financial officer and chief people officer the authority to approve grants of stock options to employees who are not executive officers and an annual aggregate maximum amount of awards that can be granted pursuant to such delegated authority.</w:t>
      </w:r>
    </w:p>
    <w:p>
      <w:pPr>
        <w:pStyle w:val="TextBody"/>
        <w:spacing w:before="0" w:after="0"/>
        <w:jc w:val="left"/>
        <w:rPr>
          <w:rFonts w:ascii="Times New Roman;serif" w:hAnsi="Times New Roman;serif"/>
          <w:b w:val="false"/>
          <w:i/>
          <w:sz w:val="18"/>
        </w:rPr>
      </w:pPr>
      <w:r>
        <w:rPr>
          <w:rFonts w:ascii="Times New Roman;serif" w:hAnsi="Times New Roman;serif"/>
          <w:b w:val="false"/>
          <w:i/>
          <w:sz w:val="18"/>
        </w:rPr>
        <w:t>Compensation Committee Interlocks and Insider Participation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During 2022, the members of our compensation committee were Ms. O’Brien, Mr. Fonteyne and Mr. Machiels. 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ever has been, an officer or employee of our company.</w:t>
      </w:r>
    </w:p>
    <w:p>
      <w:pPr>
        <w:pStyle w:val="TextBody"/>
        <w:spacing w:before="0" w:after="0"/>
        <w:jc w:val="left"/>
        <w:rPr>
          <w:rFonts w:ascii="Times New Roman;serif" w:hAnsi="Times New Roman;serif"/>
          <w:b/>
          <w:i/>
          <w:sz w:val="18"/>
        </w:rPr>
      </w:pPr>
      <w:r>
        <w:rPr>
          <w:rFonts w:ascii="Times New Roman;serif" w:hAnsi="Times New Roman;serif"/>
          <w:b/>
          <w:i/>
          <w:sz w:val="18"/>
        </w:rPr>
        <w:t>Compliance Committee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March 2023, our board of directors established the compliance committee to oversee and to provide strategic direction with respect to our healthcare compliance and ethics program. The members of the compliance committee are A. Sinclair Dunlop, Paul Fonteyne, Alec Machiels and Stephanie O’Brien, and Mr. Fonteyne is the chair of the compliance committee. Our compliance committee’s responsibilities include: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the implementation of our compliance program, and key company policies, including the code of conduct;</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evaluating and monitoring the adequacy and effectiveness of our compliance program, considering recommendations for its improvement and providing an annual evaluation of our compliance program to the board of directors;</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assessing risk arising from healthcare compliance matters; and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overseeing investigations of any executive officer with respect to matters covered by our compliance program.</w:t>
      </w:r>
    </w:p>
    <w:p>
      <w:pPr>
        <w:pStyle w:val="TextBody"/>
        <w:spacing w:before="0" w:after="0"/>
        <w:jc w:val="left"/>
        <w:rPr/>
      </w:pPr>
      <w:r>
        <w:rPr/>
        <w:t> </w:t>
      </w:r>
    </w:p>
    <w:p>
      <w:pPr>
        <w:pStyle w:val="TextBody"/>
        <w:spacing w:before="0" w:after="0"/>
        <w:jc w:val="left"/>
        <w:rPr>
          <w:rFonts w:ascii="Times New Roman;serif" w:hAnsi="Times New Roman;serif"/>
          <w:b/>
          <w:i/>
          <w:sz w:val="18"/>
        </w:rPr>
      </w:pPr>
      <w:r>
        <w:rPr>
          <w:rFonts w:ascii="Times New Roman;serif" w:hAnsi="Times New Roman;serif"/>
          <w:b/>
          <w:i/>
          <w:sz w:val="18"/>
        </w:rPr>
        <w:t>Nominating and Corporate Governance Committee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members of our nominating and corporate governance committee are Gerald Chan, A. Sinclair Dunlop and Stephanie Monaghan O’Brien, and Dr. Chan is the chair of the nominating and corporate governance committee. Our nominating and corporate governance committee met once during 2022. Our nominating and corporate governance committee’s responsibilities include: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identifying individuals qualified to become members of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recommending to our board of directors the persons to be nominated for election as directors and to each of our board’s committees;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making recommendations to our board of directors with respect to our board leadership structure and board committee structure;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making recommendations to our board of directors with respect to accepting director resignations;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developing and recommending corporate governance guidelines to our board of directors;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overseeing an annual evaluation of our board of directors.</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believe that the composition of our nominating and corporate governance committee meets the requirements for independence under current Nasdaq and SEC rules and regulations.</w:t>
      </w:r>
    </w:p>
    <w:p>
      <w:pPr>
        <w:pStyle w:val="TextBody"/>
        <w:spacing w:before="0" w:after="0"/>
        <w:jc w:val="left"/>
        <w:rPr>
          <w:rFonts w:ascii="Times New Roman;serif" w:hAnsi="Times New Roman;serif"/>
          <w:b/>
          <w:sz w:val="18"/>
        </w:rPr>
      </w:pPr>
      <w:r>
        <w:rPr>
          <w:rFonts w:ascii="Times New Roman;serif" w:hAnsi="Times New Roman;serif"/>
          <w:b/>
          <w:sz w:val="18"/>
        </w:rPr>
        <w:t>Board of Director Meetings and Attendance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board of directors recognizes the importance of director attendance at board and committee meetings. Our board of directors met twelve times during 2022. During 2022,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 During 2022, the independent directors met in executive session five times to discuss various matters, including oversight of our executive officers.</w:t>
      </w:r>
    </w:p>
    <w:p>
      <w:pPr>
        <w:pStyle w:val="TextBody"/>
        <w:spacing w:before="0" w:after="0"/>
        <w:jc w:val="left"/>
        <w:rPr>
          <w:rFonts w:ascii="Times New Roman;serif" w:hAnsi="Times New Roman;serif"/>
          <w:b/>
          <w:sz w:val="18"/>
        </w:rPr>
      </w:pPr>
      <w:r>
        <w:rPr>
          <w:rFonts w:ascii="Times New Roman;serif" w:hAnsi="Times New Roman;serif"/>
          <w:b/>
          <w:sz w:val="18"/>
        </w:rPr>
        <w:t>Director Attendance at Annual Meeting of Stockholders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corporate governance guidelines provide that directors are responsible for attending the annual meeting of stockholders. Each of our directors attended the 2022 annual meeting of stockholders.</w:t>
      </w:r>
    </w:p>
    <w:p>
      <w:pPr>
        <w:pStyle w:val="TextBody"/>
        <w:spacing w:before="0" w:after="0"/>
        <w:jc w:val="left"/>
        <w:rPr>
          <w:rFonts w:ascii="Times New Roman;serif" w:hAnsi="Times New Roman;serif"/>
          <w:b/>
          <w:sz w:val="18"/>
        </w:rPr>
      </w:pPr>
      <w:r>
        <w:rPr>
          <w:rFonts w:ascii="Times New Roman;serif" w:hAnsi="Times New Roman;serif"/>
          <w:b/>
          <w:sz w:val="18"/>
        </w:rPr>
        <w:t>Code of Business Conduct and Ethics</w:t>
      </w:r>
    </w:p>
    <w:p>
      <w:pPr>
        <w:pStyle w:val="TextBody"/>
        <w:spacing w:before="0" w:after="0"/>
        <w:jc w:val="left"/>
        <w:rPr>
          <w:rFonts w:ascii="Times New Roman" w:hAnsi="Times New Roman"/>
          <w:sz w:val="20"/>
        </w:rPr>
      </w:pPr>
      <w:r>
        <w:rPr>
          <w:rFonts w:ascii="Times New Roman;serif" w:hAnsi="Times New Roman;serif"/>
          <w:b w:val="false"/>
          <w:sz w:val="18"/>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page of the “Investors &amp; Media” section of our website, which is located at </w:t>
      </w:r>
      <w:r>
        <w:rPr>
          <w:rFonts w:ascii="Times New Roman;serif" w:hAnsi="Times New Roman;serif"/>
          <w:b/>
          <w:i/>
          <w:sz w:val="18"/>
        </w:rPr>
        <w:t>www.apellis.com</w:t>
      </w:r>
      <w:r>
        <w:rPr>
          <w:rFonts w:ascii="Times New Roman;serif" w:hAnsi="Times New Roman;serif"/>
          <w:b w:val="false"/>
          <w:sz w:val="18"/>
        </w:rPr>
        <w:t>. If we make any substantive amendments to, or grant any waivers from, the code of business conduct and ethics for any officer or director, we will disclose the nature of such amendment or waiver on our website or in a Current Report on Form 8-K.</w:t>
      </w:r>
    </w:p>
    <w:p>
      <w:pPr>
        <w:pStyle w:val="TextBody"/>
        <w:spacing w:before="0" w:after="0"/>
        <w:jc w:val="left"/>
        <w:rPr>
          <w:rFonts w:ascii="Times New Roman;serif" w:hAnsi="Times New Roman;serif"/>
          <w:b/>
          <w:sz w:val="18"/>
        </w:rPr>
      </w:pPr>
      <w:r>
        <w:rPr>
          <w:rFonts w:ascii="Times New Roman;serif" w:hAnsi="Times New Roman;serif"/>
          <w:b/>
          <w:sz w:val="18"/>
        </w:rPr>
        <w:t>Corporate Governance Guidelines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board of directors has adopted corporate governance guidelines to assist the board of directors in the exercise of its duties and responsibilities and to serve the best interests of our company and our stockholders. These guidelines provide that:</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principal responsibility of our board of directors is to oversee our management;</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 majority of the members of the board of directors must be independent directors, unless otherwise permitted by Nasdaq rules;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independent directors meet in executive session at least twice a year;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directors have full and free access to management and, as necessary, independent advisors;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our nominating and corporate governance committee will oversee periodic self-evaluations of the board of directors to determine whether it and its committees are functioning effectively.</w:t>
      </w:r>
    </w:p>
    <w:p>
      <w:pPr>
        <w:pStyle w:val="TextBody"/>
        <w:spacing w:before="0" w:after="0"/>
        <w:jc w:val="left"/>
        <w:rPr>
          <w:rFonts w:ascii="Times New Roman" w:hAnsi="Times New Roman"/>
          <w:sz w:val="20"/>
        </w:rPr>
      </w:pPr>
      <w:r>
        <w:rPr>
          <w:rFonts w:ascii="Times New Roman;serif" w:hAnsi="Times New Roman;serif"/>
          <w:b w:val="false"/>
          <w:sz w:val="18"/>
        </w:rPr>
        <w:t xml:space="preserve">A copy of the corporate governance guidelines is available on the “Corporate Governance” page of the “Investors &amp; Media” section of our website, which is located at </w:t>
      </w:r>
      <w:r>
        <w:rPr>
          <w:rFonts w:ascii="Times New Roman;serif" w:hAnsi="Times New Roman;serif"/>
          <w:b/>
          <w:i/>
          <w:sz w:val="18"/>
        </w:rPr>
        <w:t>www.apellis.com</w:t>
      </w:r>
      <w:r>
        <w:rPr>
          <w:rFonts w:ascii="Times New Roman;serif" w:hAnsi="Times New Roman;serif"/>
          <w:b w:val="false"/>
          <w:sz w:val="18"/>
        </w:rPr>
        <w:t>.</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Board Leadership Structure and Oversight of Risk</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corporate governance guidelines provide that the nominating and corporate governance committee shall periodically assess the board of directors’ leadership structure, including whether the offices of chief executive officer and chair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 of our board of directors is independent within the meaning of the Nasdaq rules.</w:t>
      </w:r>
    </w:p>
    <w:p>
      <w:pPr>
        <w:pStyle w:val="TextBody"/>
        <w:spacing w:before="0" w:after="0"/>
        <w:jc w:val="both"/>
        <w:rPr>
          <w:rFonts w:ascii="Times New Roman;serif" w:hAnsi="Times New Roman;serif"/>
          <w:b w:val="false"/>
          <w:sz w:val="18"/>
        </w:rPr>
      </w:pPr>
      <w:r>
        <w:rPr>
          <w:rFonts w:ascii="Times New Roman;serif" w:hAnsi="Times New Roman;serif"/>
          <w:b w:val="false"/>
          <w:sz w:val="18"/>
        </w:rPr>
        <w:t>We currently separate the roles of chief executive officer and chair of the board of directors. Our president and chief executive officer is responsible for setting the strategic direction for our company and the day-to-day leadership and performance of our company, while the chair of our board of directors presides over meetings of the board of directors, including executive sessions of the board of directors, and performs oversight responsibilities. Separating the duties of the chair of the board from the duties of the chief executive officer allows our chief executive officer to focus on our day-to-day business, while allowing the chair of the board to lead the board of directors in its fundamental role of providing advice to and independent oversight of management. Specifically, our chair of the board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w:t>
      </w:r>
    </w:p>
    <w:p>
      <w:pPr>
        <w:pStyle w:val="TextBody"/>
        <w:spacing w:before="0" w:after="0"/>
        <w:jc w:val="both"/>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Risk is inherent with every business and how well a business manages risk can ultimately determine its success. We face a number of risks, including</w:t>
      </w:r>
    </w:p>
    <w:p>
      <w:pPr>
        <w:pStyle w:val="TextBody"/>
        <w:spacing w:before="0" w:after="0"/>
        <w:jc w:val="left"/>
        <w:rPr>
          <w:rFonts w:ascii="Times New Roman" w:hAnsi="Times New Roman"/>
          <w:sz w:val="20"/>
        </w:rPr>
      </w:pPr>
      <w:r>
        <w:rPr>
          <w:rFonts w:ascii="Times New Roman;serif" w:hAnsi="Times New Roman;serif"/>
          <w:b w:val="false"/>
          <w:sz w:val="18"/>
        </w:rPr>
        <w:t>those described under “Risk Factors” in our annual report on Form 10-K for the year ended December 31, 2022. Our board of directors is actively involved in oversight of risks that could affect us.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8"/>
        </w:rPr>
        <w:t>Our board of directors oversees our risk management processes directly and through its</w:t>
      </w:r>
      <w:r>
        <w:rPr>
          <w:rFonts w:ascii="Times New Roman" w:hAnsi="Times New Roman"/>
          <w:sz w:val="20"/>
        </w:rPr>
        <w:t xml:space="preserve"> </w:t>
      </w:r>
      <w:r>
        <w:rPr>
          <w:rFonts w:ascii="Times New Roman;serif" w:hAnsi="Times New Roman;serif"/>
          <w:b w:val="false"/>
          <w:sz w:val="18"/>
        </w:rPr>
        <w:t>committees. Our management is responsible for risk management on a day-to-day basis and our board and its committees oversee the risk management</w:t>
      </w:r>
      <w:r>
        <w:rPr>
          <w:rFonts w:ascii="Times New Roman" w:hAnsi="Times New Roman"/>
          <w:sz w:val="20"/>
        </w:rPr>
        <w:t xml:space="preserve"> </w:t>
      </w:r>
      <w:r>
        <w:rPr>
          <w:rFonts w:ascii="Times New Roman;serif" w:hAnsi="Times New Roman;serif"/>
          <w:b w:val="false"/>
          <w:sz w:val="18"/>
        </w:rPr>
        <w:t>activities of management. Our board of directors receives full reports from each committee chair regarding the committee’s considerations and actions and regular reports directly from officers responsible for oversight of particular risks within our company, in order to understand the company’s risk identification, risk management and risk mitigation strategies with respect to areas of potential material risk, including operations, finance, legal, regulatory, strategic, reputational and human capital risk.</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8"/>
        </w:rPr>
        <w:t>Our audit committee oversees risk management activities related to financial controls and our legal, financial and financial and corporate compliance risks. Our audit committee reviews information regarding our liquidity and operations and our policies with respect to risk assessment, risk management, loss prevention and regulatory compliance. Oversight by the audit committee includes direct communication with our external auditors, and discussions with management regarding significant financial and other risk exposures and risks relating to data privacy and cybersecurity and the actions management has taken to limit, monitor or control such exposures.</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compensation committee oversees risk management activities relating to our compensation policies and practices. The compensation committee considers whether our compensation programs properly align pay with performance and assesses whether any of our compensation policies or programs has the potential to encourage excessive risk-taking and assesses risk with respect to human capital management. Oversight by the compensation committee includes direct communication with our compensation consultants.</w:t>
      </w:r>
    </w:p>
    <w:p>
      <w:pPr>
        <w:pStyle w:val="TextBody"/>
        <w:spacing w:before="0" w:after="0"/>
        <w:jc w:val="left"/>
        <w:rPr>
          <w:rFonts w:ascii="Times New Roman" w:hAnsi="Times New Roman"/>
          <w:sz w:val="20"/>
        </w:rPr>
      </w:pPr>
      <w:r>
        <w:rPr>
          <w:rFonts w:ascii="Times New Roman;serif" w:hAnsi="Times New Roman;serif"/>
          <w:b w:val="false"/>
          <w:sz w:val="18"/>
        </w:rPr>
        <w:t>Our nominating and corporate governance committee oversees risk management activities relating to board composition, the independence of the board, corporate governance practices, potential conflicts of interest, ESG issues and management succession planning.</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compliance committee manages healthcare compliance risks by overseeing, evaluating and monitoring our healthcare compliance policies, standards, procedures, systems and initiatives as well as our information technology systems dedicated to regulatory and commercial compliance. Oversight by the compliance committee includes direct communication with our management, including regular reports from our general counsel and chief compliance officer, regarding legal, regulatory and reputation risk exposures relating to regulatory and healthcare compliance, with input from outside counsel or other advisors as appropriate.</w:t>
      </w:r>
    </w:p>
    <w:p>
      <w:pPr>
        <w:pStyle w:val="TextBody"/>
        <w:spacing w:before="0" w:after="0"/>
        <w:jc w:val="left"/>
        <w:rPr>
          <w:rFonts w:ascii="Times New Roman" w:hAnsi="Times New Roman"/>
          <w:sz w:val="20"/>
        </w:rPr>
      </w:pPr>
      <w:r>
        <w:rPr>
          <w:rFonts w:ascii="Times New Roman;serif" w:hAnsi="Times New Roman;serif"/>
          <w:b w:val="false"/>
          <w:sz w:val="18"/>
        </w:rPr>
        <w:t>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 including with respect to cybersecurity, manufacturing and supply activities, healthcare compliance, human capital management, board and employee diversity, and environmental, social and governance topics and risks, and reviews these topics with management on a regular basis.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Board Diversity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strive to achieve diversity in the broadest sense, including persons diverse in geography, gender, ethnicity, age and experiences. The overall diversity is an important consideration in the director selection and nomination process. Our nominating and corporate governance committee assesses diversity in connection with the annual nomination process as well as in new director searches.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accordance with Nasdaq’s board diversity listing standards, we are also disclosing aggregated statistical information about the members of our board directors as voluntarily identified to us by each of our directors.</w:t>
      </w:r>
    </w:p>
    <w:tbl>
      <w:tblPr>
        <w:tblW w:w="7610" w:type="dxa"/>
        <w:jc w:val="left"/>
        <w:tblInd w:w="0" w:type="dxa"/>
        <w:tblCellMar>
          <w:top w:w="28" w:type="dxa"/>
          <w:left w:w="28" w:type="dxa"/>
          <w:bottom w:w="28" w:type="dxa"/>
          <w:right w:w="28" w:type="dxa"/>
        </w:tblCellMar>
      </w:tblPr>
      <w:tblGrid>
        <w:gridCol w:w="3751"/>
        <w:gridCol w:w="901"/>
        <w:gridCol w:w="706"/>
        <w:gridCol w:w="1276"/>
        <w:gridCol w:w="976"/>
      </w:tblGrid>
      <w:tr>
        <w:trPr/>
        <w:tc>
          <w:tcPr>
            <w:tcW w:w="375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r>
      <w:tr>
        <w:trPr/>
        <w:tc>
          <w:tcPr>
            <w:tcW w:w="7610" w:type="dxa"/>
            <w:gridSpan w:val="5"/>
            <w:tcBorders>
              <w:top w:val="single" w:sz="6" w:space="0" w:color="000000"/>
              <w:left w:val="single" w:sz="6" w:space="0" w:color="000000"/>
              <w:bottom w:val="single" w:sz="6" w:space="0" w:color="000000"/>
              <w:right w:val="single" w:sz="6" w:space="0" w:color="000000"/>
            </w:tcBorders>
            <w:shd w:fill="auto" w:val="clear"/>
            <w:tcMar>
              <w:left w:w="160" w:type="dxa"/>
              <w:right w:w="4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Board Diversity Matrix (As of April 21, 2023)</w:t>
            </w:r>
          </w:p>
        </w:tc>
      </w:tr>
      <w:tr>
        <w:trPr/>
        <w:tc>
          <w:tcPr>
            <w:tcW w:w="3751" w:type="dxa"/>
            <w:tcBorders>
              <w:left w:val="single" w:sz="6" w:space="0" w:color="000000"/>
              <w:right w:val="single" w:sz="6" w:space="0" w:color="000000"/>
            </w:tcBorders>
            <w:shd w:fill="auto" w:val="clear"/>
            <w:tcMar>
              <w:top w:w="0" w:type="dxa"/>
              <w:left w:w="160" w:type="dxa"/>
              <w:bottom w:w="0" w:type="dxa"/>
            </w:tcMar>
            <w:vAlign w:val="center"/>
          </w:tcPr>
          <w:p>
            <w:pPr>
              <w:pStyle w:val="TableContents"/>
              <w:spacing w:before="0" w:after="0"/>
              <w:ind w:left="0" w:right="0" w:hanging="0"/>
              <w:jc w:val="left"/>
              <w:rPr/>
            </w:pPr>
            <w:r>
              <w:rPr/>
              <w:t>  </w:t>
            </w:r>
            <w:r>
              <w:rPr>
                <w:rFonts w:ascii="Times New Roman;serif" w:hAnsi="Times New Roman;serif"/>
                <w:b/>
                <w:sz w:val="20"/>
              </w:rPr>
              <w:t>Total Number of Directors</w:t>
            </w:r>
          </w:p>
        </w:tc>
        <w:tc>
          <w:tcPr>
            <w:tcW w:w="3859" w:type="dxa"/>
            <w:gridSpan w:val="4"/>
            <w:tcBorders>
              <w:right w:val="single" w:sz="6" w:space="0" w:color="000000"/>
            </w:tcBorders>
            <w:shd w:fill="auto" w:val="clear"/>
            <w:tcMar>
              <w:top w:w="0" w:type="dxa"/>
              <w:left w:w="0" w:type="dxa"/>
              <w:bottom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r>
      <w:tr>
        <w:trPr/>
        <w:tc>
          <w:tcPr>
            <w:tcW w:w="3751" w:type="dxa"/>
            <w:tcBorders>
              <w:top w:val="single" w:sz="6" w:space="0" w:color="000000"/>
              <w:left w:val="single" w:sz="6" w:space="0" w:color="000000"/>
              <w:bottom w:val="single" w:sz="6" w:space="0" w:color="000000"/>
              <w:right w:val="single" w:sz="6" w:space="0" w:color="000000"/>
            </w:tcBorders>
            <w:shd w:fill="auto" w:val="clear"/>
            <w:tcMar>
              <w:left w:w="144" w:type="dxa"/>
            </w:tcMar>
            <w:vAlign w:val="center"/>
          </w:tcPr>
          <w:p>
            <w:pPr>
              <w:pStyle w:val="TableContents"/>
              <w:spacing w:before="0" w:after="283"/>
              <w:ind w:left="0" w:right="0" w:hanging="0"/>
              <w:rPr>
                <w:sz w:val="4"/>
                <w:szCs w:val="4"/>
              </w:rPr>
            </w:pPr>
            <w:r>
              <w:rPr>
                <w:sz w:val="4"/>
                <w:szCs w:val="4"/>
              </w:rPr>
            </w:r>
          </w:p>
        </w:tc>
        <w:tc>
          <w:tcPr>
            <w:tcW w:w="901"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  </w:t>
            </w:r>
            <w:r>
              <w:rPr>
                <w:rFonts w:ascii="Times New Roman;serif" w:hAnsi="Times New Roman;serif"/>
                <w:b/>
                <w:sz w:val="20"/>
              </w:rPr>
              <w:t>Female</w:t>
            </w:r>
            <w:r>
              <w:rPr>
                <w:rFonts w:ascii="Times New Roman" w:hAnsi="Times New Roman"/>
                <w:sz w:val="20"/>
              </w:rPr>
              <w:t xml:space="preserve"> </w:t>
            </w:r>
          </w:p>
        </w:tc>
        <w:tc>
          <w:tcPr>
            <w:tcW w:w="70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before="0" w:after="0"/>
              <w:ind w:left="0" w:right="0" w:hanging="0"/>
              <w:jc w:val="center"/>
              <w:rPr/>
            </w:pPr>
            <w:r>
              <w:rPr/>
              <w:t>  </w:t>
            </w:r>
            <w:r>
              <w:rPr>
                <w:rFonts w:ascii="Times New Roman;serif" w:hAnsi="Times New Roman;serif"/>
                <w:b/>
                <w:sz w:val="20"/>
              </w:rPr>
              <w:t>Male</w:t>
            </w:r>
            <w:r>
              <w:rPr>
                <w:rFonts w:ascii="Times New Roman" w:hAnsi="Times New Roman"/>
                <w:sz w:val="20"/>
              </w:rPr>
              <w:t xml:space="preserve"> </w:t>
            </w:r>
          </w:p>
        </w:tc>
        <w:tc>
          <w:tcPr>
            <w:tcW w:w="1276"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  </w:t>
            </w:r>
            <w:r>
              <w:rPr>
                <w:rFonts w:ascii="Times New Roman;serif" w:hAnsi="Times New Roman;serif"/>
                <w:b/>
                <w:sz w:val="20"/>
              </w:rPr>
              <w:t>Non-Binary</w:t>
            </w:r>
            <w:r>
              <w:rPr>
                <w:rFonts w:ascii="Times New Roman" w:hAnsi="Times New Roman"/>
                <w:sz w:val="20"/>
              </w:rPr>
              <w:t xml:space="preserve"> </w:t>
            </w:r>
          </w:p>
        </w:tc>
        <w:tc>
          <w:tcPr>
            <w:tcW w:w="97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Did Not</w:t>
              <w:br/>
              <w:t xml:space="preserve">  Disclose </w:t>
              <w:br/>
              <w:t>Gender</w:t>
            </w:r>
          </w:p>
        </w:tc>
      </w:tr>
      <w:tr>
        <w:trPr/>
        <w:tc>
          <w:tcPr>
            <w:tcW w:w="7610" w:type="dxa"/>
            <w:gridSpan w:val="5"/>
            <w:tcBorders>
              <w:left w:val="single" w:sz="6" w:space="0" w:color="000000"/>
              <w:right w:val="single" w:sz="6" w:space="0" w:color="000000"/>
            </w:tcBorders>
            <w:shd w:fill="auto" w:val="clear"/>
            <w:tcMar>
              <w:top w:w="0" w:type="dxa"/>
              <w:left w:w="160" w:type="dxa"/>
              <w:bottom w:w="0" w:type="dxa"/>
              <w:right w:w="40" w:type="dxa"/>
            </w:tcMar>
            <w:vAlign w:val="center"/>
          </w:tcPr>
          <w:p>
            <w:pPr>
              <w:pStyle w:val="TableContents"/>
              <w:spacing w:before="0" w:after="0"/>
              <w:ind w:left="0" w:right="0" w:hanging="0"/>
              <w:jc w:val="left"/>
              <w:rPr/>
            </w:pPr>
            <w:r>
              <w:rPr/>
              <w:t>  </w:t>
            </w:r>
            <w:r>
              <w:rPr>
                <w:rFonts w:ascii="Times New Roman;serif" w:hAnsi="Times New Roman;serif"/>
                <w:b/>
                <w:sz w:val="20"/>
              </w:rPr>
              <w:t>Part I: Gender Identity</w:t>
            </w:r>
          </w:p>
        </w:tc>
      </w:tr>
      <w:tr>
        <w:trPr/>
        <w:tc>
          <w:tcPr>
            <w:tcW w:w="3751" w:type="dxa"/>
            <w:tcBorders>
              <w:top w:val="single" w:sz="6" w:space="0" w:color="000000"/>
              <w:left w:val="single" w:sz="6" w:space="0" w:color="000000"/>
              <w:bottom w:val="single" w:sz="6" w:space="0" w:color="000000"/>
              <w:right w:val="single" w:sz="6" w:space="0" w:color="000000"/>
            </w:tcBorders>
            <w:shd w:fill="auto" w:val="clear"/>
            <w:tcMar>
              <w:left w:w="160" w:type="dxa"/>
            </w:tcMar>
            <w:vAlign w:val="center"/>
          </w:tcPr>
          <w:p>
            <w:pPr>
              <w:pStyle w:val="TableContents"/>
              <w:spacing w:before="0" w:after="0"/>
              <w:ind w:left="0" w:right="0" w:hanging="0"/>
              <w:jc w:val="left"/>
              <w:rPr/>
            </w:pPr>
            <w:r>
              <w:rPr/>
              <w:t>  </w:t>
            </w:r>
            <w:r>
              <w:rPr>
                <w:rFonts w:ascii="Times New Roman;serif" w:hAnsi="Times New Roman;serif"/>
                <w:b w:val="false"/>
                <w:sz w:val="20"/>
              </w:rPr>
              <w:t>Directors</w:t>
            </w:r>
          </w:p>
        </w:tc>
        <w:tc>
          <w:tcPr>
            <w:tcW w:w="901"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70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276"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w:t>
            </w:r>
          </w:p>
        </w:tc>
        <w:tc>
          <w:tcPr>
            <w:tcW w:w="97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before="0" w:after="0"/>
              <w:ind w:left="0" w:right="0" w:hanging="0"/>
              <w:jc w:val="center"/>
              <w:rPr/>
            </w:pPr>
            <w:r>
              <w:rPr/>
              <w:t>–</w:t>
            </w:r>
          </w:p>
        </w:tc>
      </w:tr>
      <w:tr>
        <w:trPr/>
        <w:tc>
          <w:tcPr>
            <w:tcW w:w="7610" w:type="dxa"/>
            <w:gridSpan w:val="5"/>
            <w:tcBorders>
              <w:left w:val="single" w:sz="6" w:space="0" w:color="000000"/>
              <w:right w:val="single" w:sz="6" w:space="0" w:color="000000"/>
            </w:tcBorders>
            <w:shd w:fill="auto" w:val="clear"/>
            <w:tcMar>
              <w:top w:w="0" w:type="dxa"/>
              <w:left w:w="160" w:type="dxa"/>
              <w:bottom w:w="0" w:type="dxa"/>
              <w:right w:w="40" w:type="dxa"/>
            </w:tcMar>
            <w:vAlign w:val="center"/>
          </w:tcPr>
          <w:p>
            <w:pPr>
              <w:pStyle w:val="TableContents"/>
              <w:spacing w:before="0" w:after="0"/>
              <w:ind w:left="0" w:right="0" w:firstLine="78"/>
              <w:jc w:val="left"/>
              <w:rPr/>
            </w:pPr>
            <w:r>
              <w:rPr/>
              <w:t>  </w:t>
            </w:r>
            <w:r>
              <w:rPr>
                <w:rFonts w:ascii="Times New Roman;serif" w:hAnsi="Times New Roman;serif"/>
                <w:b/>
                <w:sz w:val="20"/>
              </w:rPr>
              <w:t>Part II: Demographic Background</w:t>
            </w:r>
          </w:p>
        </w:tc>
      </w:tr>
      <w:tr>
        <w:trPr/>
        <w:tc>
          <w:tcPr>
            <w:tcW w:w="3751" w:type="dxa"/>
            <w:tcBorders>
              <w:top w:val="single" w:sz="6" w:space="0" w:color="000000"/>
              <w:left w:val="single" w:sz="6" w:space="0" w:color="000000"/>
              <w:bottom w:val="single" w:sz="6" w:space="0" w:color="000000"/>
              <w:right w:val="single" w:sz="6" w:space="0" w:color="000000"/>
            </w:tcBorders>
            <w:shd w:fill="auto" w:val="clear"/>
            <w:tcMar>
              <w:left w:w="160" w:type="dxa"/>
            </w:tcMar>
            <w:vAlign w:val="center"/>
          </w:tcPr>
          <w:p>
            <w:pPr>
              <w:pStyle w:val="TableContents"/>
              <w:spacing w:before="0" w:after="0"/>
              <w:ind w:left="78" w:right="0" w:hanging="0"/>
              <w:jc w:val="left"/>
              <w:rPr/>
            </w:pPr>
            <w:r>
              <w:rPr/>
              <w:t> </w:t>
            </w:r>
            <w:r>
              <w:rPr>
                <w:rFonts w:ascii="Times New Roman;serif" w:hAnsi="Times New Roman;serif"/>
                <w:b w:val="false"/>
                <w:sz w:val="20"/>
              </w:rPr>
              <w:t>African American or Black</w:t>
            </w:r>
          </w:p>
        </w:tc>
        <w:tc>
          <w:tcPr>
            <w:tcW w:w="901"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w:t>
            </w:r>
          </w:p>
        </w:tc>
        <w:tc>
          <w:tcPr>
            <w:tcW w:w="70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before="0" w:after="0"/>
              <w:ind w:left="0" w:right="0" w:hanging="0"/>
              <w:jc w:val="center"/>
              <w:rPr/>
            </w:pPr>
            <w:r>
              <w:rPr/>
              <w:t>–</w:t>
            </w:r>
          </w:p>
        </w:tc>
        <w:tc>
          <w:tcPr>
            <w:tcW w:w="1276"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w:t>
            </w:r>
          </w:p>
        </w:tc>
        <w:tc>
          <w:tcPr>
            <w:tcW w:w="97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before="0" w:after="0"/>
              <w:ind w:left="0" w:right="0" w:firstLine="78"/>
              <w:jc w:val="center"/>
              <w:rPr/>
            </w:pPr>
            <w:r>
              <w:rPr/>
              <w:t>–</w:t>
            </w:r>
          </w:p>
        </w:tc>
      </w:tr>
      <w:tr>
        <w:trPr/>
        <w:tc>
          <w:tcPr>
            <w:tcW w:w="3751" w:type="dxa"/>
            <w:tcBorders>
              <w:left w:val="single" w:sz="6" w:space="0" w:color="000000"/>
              <w:right w:val="single" w:sz="6" w:space="0" w:color="000000"/>
            </w:tcBorders>
            <w:shd w:fill="auto" w:val="clear"/>
            <w:tcMar>
              <w:top w:w="0" w:type="dxa"/>
              <w:left w:w="160" w:type="dxa"/>
              <w:bottom w:w="0" w:type="dxa"/>
            </w:tcMar>
            <w:vAlign w:val="center"/>
          </w:tcPr>
          <w:p>
            <w:pPr>
              <w:pStyle w:val="TableContents"/>
              <w:spacing w:before="0" w:after="0"/>
              <w:ind w:left="78" w:right="0" w:hanging="0"/>
              <w:jc w:val="left"/>
              <w:rPr/>
            </w:pPr>
            <w:r>
              <w:rPr/>
              <w:t> </w:t>
            </w:r>
            <w:r>
              <w:rPr>
                <w:rFonts w:ascii="Times New Roman;serif" w:hAnsi="Times New Roman;serif"/>
                <w:b w:val="false"/>
                <w:sz w:val="20"/>
              </w:rPr>
              <w:t>Alaskan Native or Native American</w:t>
            </w:r>
          </w:p>
        </w:tc>
        <w:tc>
          <w:tcPr>
            <w:tcW w:w="901" w:type="dxa"/>
            <w:tcBorders>
              <w:right w:val="single" w:sz="8"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w:t>
            </w:r>
          </w:p>
        </w:tc>
        <w:tc>
          <w:tcPr>
            <w:tcW w:w="70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1276" w:type="dxa"/>
            <w:tcBorders>
              <w:bottom w:val="single" w:sz="6"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97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firstLine="78"/>
              <w:jc w:val="center"/>
              <w:rPr/>
            </w:pPr>
            <w:r>
              <w:rPr/>
              <w:t>–</w:t>
            </w:r>
          </w:p>
        </w:tc>
      </w:tr>
      <w:tr>
        <w:trPr/>
        <w:tc>
          <w:tcPr>
            <w:tcW w:w="3751" w:type="dxa"/>
            <w:tcBorders>
              <w:top w:val="single" w:sz="6" w:space="0" w:color="000000"/>
              <w:left w:val="single" w:sz="6" w:space="0" w:color="000000"/>
              <w:bottom w:val="single" w:sz="6" w:space="0" w:color="000000"/>
              <w:right w:val="single" w:sz="6" w:space="0" w:color="000000"/>
            </w:tcBorders>
            <w:shd w:fill="auto" w:val="clear"/>
            <w:tcMar>
              <w:left w:w="160" w:type="dxa"/>
            </w:tcMar>
            <w:vAlign w:val="center"/>
          </w:tcPr>
          <w:p>
            <w:pPr>
              <w:pStyle w:val="TableContents"/>
              <w:spacing w:before="0" w:after="0"/>
              <w:ind w:left="78" w:right="0" w:hanging="0"/>
              <w:jc w:val="left"/>
              <w:rPr/>
            </w:pPr>
            <w:r>
              <w:rPr/>
              <w:t> </w:t>
            </w:r>
            <w:r>
              <w:rPr>
                <w:rFonts w:ascii="Times New Roman;serif" w:hAnsi="Times New Roman;serif"/>
                <w:b w:val="false"/>
                <w:sz w:val="20"/>
              </w:rPr>
              <w:t>Asian</w:t>
            </w:r>
          </w:p>
        </w:tc>
        <w:tc>
          <w:tcPr>
            <w:tcW w:w="901"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w:t>
            </w:r>
          </w:p>
        </w:tc>
        <w:tc>
          <w:tcPr>
            <w:tcW w:w="70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276" w:type="dxa"/>
            <w:tcBorders>
              <w:bottom w:val="single" w:sz="6"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97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firstLine="78"/>
              <w:jc w:val="center"/>
              <w:rPr/>
            </w:pPr>
            <w:r>
              <w:rPr/>
              <w:t>–</w:t>
            </w:r>
          </w:p>
        </w:tc>
      </w:tr>
      <w:tr>
        <w:trPr/>
        <w:tc>
          <w:tcPr>
            <w:tcW w:w="3751" w:type="dxa"/>
            <w:tcBorders>
              <w:left w:val="single" w:sz="6" w:space="0" w:color="000000"/>
              <w:right w:val="single" w:sz="6" w:space="0" w:color="000000"/>
            </w:tcBorders>
            <w:shd w:fill="auto" w:val="clear"/>
            <w:tcMar>
              <w:top w:w="0" w:type="dxa"/>
              <w:left w:w="160" w:type="dxa"/>
              <w:bottom w:w="0" w:type="dxa"/>
            </w:tcMar>
            <w:vAlign w:val="center"/>
          </w:tcPr>
          <w:p>
            <w:pPr>
              <w:pStyle w:val="TableContents"/>
              <w:spacing w:before="0" w:after="0"/>
              <w:ind w:left="78" w:right="0" w:hanging="0"/>
              <w:jc w:val="left"/>
              <w:rPr/>
            </w:pPr>
            <w:r>
              <w:rPr/>
              <w:t> </w:t>
            </w:r>
            <w:r>
              <w:rPr>
                <w:rFonts w:ascii="Times New Roman;serif" w:hAnsi="Times New Roman;serif"/>
                <w:b w:val="false"/>
                <w:sz w:val="20"/>
              </w:rPr>
              <w:t>Hispanic or Latinx</w:t>
            </w:r>
          </w:p>
        </w:tc>
        <w:tc>
          <w:tcPr>
            <w:tcW w:w="901" w:type="dxa"/>
            <w:tcBorders>
              <w:right w:val="single" w:sz="8"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w:t>
            </w:r>
          </w:p>
        </w:tc>
        <w:tc>
          <w:tcPr>
            <w:tcW w:w="70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1276" w:type="dxa"/>
            <w:tcBorders>
              <w:bottom w:val="single" w:sz="6"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97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firstLine="78"/>
              <w:jc w:val="center"/>
              <w:rPr/>
            </w:pPr>
            <w:r>
              <w:rPr/>
              <w:t>–</w:t>
            </w:r>
          </w:p>
        </w:tc>
      </w:tr>
      <w:tr>
        <w:trPr/>
        <w:tc>
          <w:tcPr>
            <w:tcW w:w="3751" w:type="dxa"/>
            <w:tcBorders>
              <w:top w:val="single" w:sz="6" w:space="0" w:color="000000"/>
              <w:left w:val="single" w:sz="6" w:space="0" w:color="000000"/>
              <w:bottom w:val="single" w:sz="6" w:space="0" w:color="000000"/>
              <w:right w:val="single" w:sz="6" w:space="0" w:color="000000"/>
            </w:tcBorders>
            <w:shd w:fill="auto" w:val="clear"/>
            <w:tcMar>
              <w:left w:w="160" w:type="dxa"/>
            </w:tcMar>
            <w:vAlign w:val="center"/>
          </w:tcPr>
          <w:p>
            <w:pPr>
              <w:pStyle w:val="TableContents"/>
              <w:spacing w:before="0" w:after="0"/>
              <w:ind w:left="78" w:right="0" w:hanging="0"/>
              <w:jc w:val="left"/>
              <w:rPr/>
            </w:pPr>
            <w:r>
              <w:rPr/>
              <w:t> </w:t>
            </w:r>
            <w:r>
              <w:rPr>
                <w:rFonts w:ascii="Times New Roman;serif" w:hAnsi="Times New Roman;serif"/>
                <w:b w:val="false"/>
                <w:sz w:val="20"/>
              </w:rPr>
              <w:t>Native Hawaiian or Pacific Islander</w:t>
            </w:r>
          </w:p>
        </w:tc>
        <w:tc>
          <w:tcPr>
            <w:tcW w:w="901"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w:t>
            </w:r>
          </w:p>
        </w:tc>
        <w:tc>
          <w:tcPr>
            <w:tcW w:w="70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1276" w:type="dxa"/>
            <w:tcBorders>
              <w:bottom w:val="single" w:sz="6"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97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firstLine="78"/>
              <w:jc w:val="center"/>
              <w:rPr/>
            </w:pPr>
            <w:r>
              <w:rPr/>
              <w:t>–</w:t>
            </w:r>
          </w:p>
        </w:tc>
      </w:tr>
      <w:tr>
        <w:trPr/>
        <w:tc>
          <w:tcPr>
            <w:tcW w:w="3751" w:type="dxa"/>
            <w:tcBorders>
              <w:left w:val="single" w:sz="6" w:space="0" w:color="000000"/>
              <w:right w:val="single" w:sz="6" w:space="0" w:color="000000"/>
            </w:tcBorders>
            <w:shd w:fill="auto" w:val="clear"/>
            <w:tcMar>
              <w:top w:w="0" w:type="dxa"/>
              <w:left w:w="160" w:type="dxa"/>
              <w:bottom w:w="0" w:type="dxa"/>
            </w:tcMar>
            <w:vAlign w:val="center"/>
          </w:tcPr>
          <w:p>
            <w:pPr>
              <w:pStyle w:val="TableContents"/>
              <w:spacing w:before="0" w:after="0"/>
              <w:ind w:left="78" w:right="0" w:hanging="0"/>
              <w:jc w:val="left"/>
              <w:rPr/>
            </w:pPr>
            <w:r>
              <w:rPr/>
              <w:t> </w:t>
            </w:r>
            <w:r>
              <w:rPr>
                <w:rFonts w:ascii="Times New Roman;serif" w:hAnsi="Times New Roman;serif"/>
                <w:b w:val="false"/>
                <w:sz w:val="20"/>
              </w:rPr>
              <w:t>White</w:t>
            </w:r>
          </w:p>
        </w:tc>
        <w:tc>
          <w:tcPr>
            <w:tcW w:w="901" w:type="dxa"/>
            <w:tcBorders>
              <w:right w:val="single" w:sz="8" w:space="0" w:color="000000"/>
            </w:tcBorders>
            <w:shd w:fill="auto" w:val="clear"/>
            <w:tcMar>
              <w:top w:w="0" w:type="dxa"/>
              <w:left w:w="0" w:type="dxa"/>
              <w:bottom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70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276" w:type="dxa"/>
            <w:tcBorders>
              <w:bottom w:val="single" w:sz="6"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97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firstLine="78"/>
              <w:jc w:val="center"/>
              <w:rPr/>
            </w:pPr>
            <w:r>
              <w:rPr/>
              <w:t>–</w:t>
            </w:r>
          </w:p>
        </w:tc>
      </w:tr>
      <w:tr>
        <w:trPr/>
        <w:tc>
          <w:tcPr>
            <w:tcW w:w="3751" w:type="dxa"/>
            <w:tcBorders>
              <w:top w:val="single" w:sz="6" w:space="0" w:color="000000"/>
              <w:left w:val="single" w:sz="6" w:space="0" w:color="000000"/>
              <w:bottom w:val="single" w:sz="6" w:space="0" w:color="000000"/>
              <w:right w:val="single" w:sz="6" w:space="0" w:color="000000"/>
            </w:tcBorders>
            <w:shd w:fill="auto" w:val="clear"/>
            <w:tcMar>
              <w:left w:w="160" w:type="dxa"/>
            </w:tcMar>
            <w:vAlign w:val="center"/>
          </w:tcPr>
          <w:p>
            <w:pPr>
              <w:pStyle w:val="TableContents"/>
              <w:spacing w:before="0" w:after="0"/>
              <w:ind w:left="78" w:right="0" w:hanging="0"/>
              <w:jc w:val="left"/>
              <w:rPr/>
            </w:pPr>
            <w:r>
              <w:rPr/>
              <w:t> </w:t>
            </w:r>
            <w:r>
              <w:rPr>
                <w:rFonts w:ascii="Times New Roman;serif" w:hAnsi="Times New Roman;serif"/>
                <w:b w:val="false"/>
                <w:sz w:val="20"/>
              </w:rPr>
              <w:t>Two or More Races or Ethnicities</w:t>
            </w:r>
          </w:p>
        </w:tc>
        <w:tc>
          <w:tcPr>
            <w:tcW w:w="901" w:type="dxa"/>
            <w:tcBorders>
              <w:top w:val="single" w:sz="6" w:space="0" w:color="000000"/>
              <w:bottom w:val="single" w:sz="6" w:space="0" w:color="000000"/>
              <w:right w:val="single" w:sz="8" w:space="0" w:color="000000"/>
            </w:tcBorders>
            <w:shd w:fill="auto" w:val="clear"/>
            <w:tcMar>
              <w:left w:w="0" w:type="dxa"/>
            </w:tcMar>
            <w:vAlign w:val="center"/>
          </w:tcPr>
          <w:p>
            <w:pPr>
              <w:pStyle w:val="TableContents"/>
              <w:spacing w:before="0" w:after="0"/>
              <w:ind w:left="0" w:right="0" w:hanging="0"/>
              <w:jc w:val="center"/>
              <w:rPr/>
            </w:pPr>
            <w:r>
              <w:rPr/>
              <w:t>–</w:t>
            </w:r>
          </w:p>
        </w:tc>
        <w:tc>
          <w:tcPr>
            <w:tcW w:w="70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1276" w:type="dxa"/>
            <w:tcBorders>
              <w:bottom w:val="single" w:sz="6"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976" w:type="dxa"/>
            <w:tcBorders>
              <w:bottom w:val="single" w:sz="6" w:space="0" w:color="000000"/>
              <w:right w:val="single" w:sz="6" w:space="0" w:color="000000"/>
            </w:tcBorders>
            <w:shd w:fill="auto" w:val="clear"/>
            <w:tcMar>
              <w:top w:w="0" w:type="dxa"/>
              <w:left w:w="0" w:type="dxa"/>
            </w:tcMar>
            <w:vAlign w:val="center"/>
          </w:tcPr>
          <w:p>
            <w:pPr>
              <w:pStyle w:val="TableContents"/>
              <w:spacing w:before="0" w:after="0"/>
              <w:ind w:left="0" w:right="0" w:firstLine="78"/>
              <w:jc w:val="center"/>
              <w:rPr/>
            </w:pPr>
            <w:r>
              <w:rPr/>
              <w:t>–</w:t>
            </w:r>
          </w:p>
        </w:tc>
      </w:tr>
      <w:tr>
        <w:trPr/>
        <w:tc>
          <w:tcPr>
            <w:tcW w:w="3751" w:type="dxa"/>
            <w:tcBorders>
              <w:left w:val="single" w:sz="6" w:space="0" w:color="000000"/>
              <w:right w:val="single" w:sz="6" w:space="0" w:color="000000"/>
            </w:tcBorders>
            <w:shd w:fill="auto" w:val="clear"/>
            <w:tcMar>
              <w:top w:w="0" w:type="dxa"/>
              <w:left w:w="160" w:type="dxa"/>
              <w:bottom w:w="0" w:type="dxa"/>
            </w:tcMar>
            <w:vAlign w:val="center"/>
          </w:tcPr>
          <w:p>
            <w:pPr>
              <w:pStyle w:val="TableContents"/>
              <w:spacing w:before="0" w:after="0"/>
              <w:ind w:left="78" w:right="0" w:hanging="0"/>
              <w:jc w:val="left"/>
              <w:rPr/>
            </w:pPr>
            <w:r>
              <w:rPr/>
              <w:t> </w:t>
            </w:r>
            <w:r>
              <w:rPr>
                <w:rFonts w:ascii="Times New Roman;serif" w:hAnsi="Times New Roman;serif"/>
                <w:b w:val="false"/>
                <w:sz w:val="20"/>
              </w:rPr>
              <w:t>LGBTQ+</w:t>
            </w:r>
          </w:p>
        </w:tc>
        <w:tc>
          <w:tcPr>
            <w:tcW w:w="3859" w:type="dxa"/>
            <w:gridSpan w:val="4"/>
            <w:tcBorders>
              <w:right w:val="single" w:sz="6" w:space="0" w:color="000000"/>
            </w:tcBorders>
            <w:shd w:fill="auto" w:val="clear"/>
            <w:tcMar>
              <w:top w:w="0" w:type="dxa"/>
              <w:left w:w="0" w:type="dxa"/>
              <w:bottom w:w="0" w:type="dxa"/>
            </w:tcMar>
            <w:vAlign w:val="center"/>
          </w:tcPr>
          <w:p>
            <w:pPr>
              <w:pStyle w:val="TableContents"/>
              <w:spacing w:before="0" w:after="0"/>
              <w:ind w:left="0" w:right="0" w:firstLine="78"/>
              <w:jc w:val="center"/>
              <w:rPr>
                <w:rFonts w:ascii="Times New Roman;serif" w:hAnsi="Times New Roman;serif"/>
                <w:b w:val="false"/>
                <w:sz w:val="20"/>
              </w:rPr>
            </w:pPr>
            <w:r>
              <w:rPr>
                <w:rFonts w:ascii="Times New Roman;serif" w:hAnsi="Times New Roman;serif"/>
                <w:b w:val="false"/>
                <w:sz w:val="20"/>
              </w:rPr>
              <w:t>1</w:t>
            </w:r>
          </w:p>
        </w:tc>
      </w:tr>
      <w:tr>
        <w:trPr/>
        <w:tc>
          <w:tcPr>
            <w:tcW w:w="3751" w:type="dxa"/>
            <w:tcBorders>
              <w:top w:val="single" w:sz="6" w:space="0" w:color="000000"/>
              <w:left w:val="single" w:sz="6" w:space="0" w:color="000000"/>
              <w:bottom w:val="single" w:sz="6" w:space="0" w:color="000000"/>
              <w:right w:val="single" w:sz="6" w:space="0" w:color="000000"/>
            </w:tcBorders>
            <w:shd w:fill="auto" w:val="clear"/>
            <w:tcMar>
              <w:left w:w="160" w:type="dxa"/>
            </w:tcMar>
            <w:vAlign w:val="center"/>
          </w:tcPr>
          <w:p>
            <w:pPr>
              <w:pStyle w:val="TableContents"/>
              <w:spacing w:before="0" w:after="0"/>
              <w:ind w:left="78" w:right="0" w:hanging="0"/>
              <w:jc w:val="left"/>
              <w:rPr/>
            </w:pPr>
            <w:r>
              <w:rPr/>
              <w:t> </w:t>
            </w:r>
            <w:r>
              <w:rPr>
                <w:rFonts w:ascii="Times New Roman;serif" w:hAnsi="Times New Roman;serif"/>
                <w:b w:val="false"/>
                <w:sz w:val="20"/>
              </w:rPr>
              <w:t>Did Not Disclose Demographic Background</w:t>
            </w:r>
          </w:p>
        </w:tc>
        <w:tc>
          <w:tcPr>
            <w:tcW w:w="3859" w:type="dxa"/>
            <w:gridSpan w:val="4"/>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before="0" w:after="0"/>
              <w:ind w:left="0" w:right="0" w:hanging="0"/>
              <w:jc w:val="center"/>
              <w:rPr/>
            </w:pPr>
            <w:r>
              <w:rPr/>
              <w:t>–</w:t>
            </w:r>
          </w:p>
        </w:tc>
      </w:tr>
    </w:tbl>
    <w:p>
      <w:pPr>
        <w:pStyle w:val="TextBody"/>
        <w:spacing w:before="240" w:after="0"/>
        <w:jc w:val="left"/>
        <w:rPr>
          <w:rFonts w:ascii="Times New Roman" w:hAnsi="Times New Roman"/>
          <w:sz w:val="20"/>
        </w:rPr>
      </w:pPr>
      <w:bookmarkStart w:id="9" w:name="how_our_directors_are_compensated"/>
      <w:bookmarkEnd w:id="9"/>
      <w:r>
        <w:rPr>
          <w:rFonts w:ascii="Times New Roman;serif" w:hAnsi="Times New Roman;serif"/>
          <w:b/>
          <w:sz w:val="20"/>
        </w:rPr>
        <w:t>HOW OUR DIRECTORS ARE COMPENSATED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director compensation program is intended to provide a total compensation package that will attract and retain qualified and experienced individuals to serve as directors and to align our directors’ interests with those of our stockholders.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Under our director compensation program, we pay our non-employee directors a cash retainer for service on the board of directors and for service on each committee on which the director is a member. The chair of each committee and the chair of the board of directors receive higher retainers for such service. These fees are payable in arrears in four equal quarterly installments on the last day of each quarter, provided that the amount of such payment is prorated for any portion of such quarter that the director is not serving on our board of directors, on such committee or in such position. The fees paid to non-employee directors in 2022 for their service on the board of directors and for their service on each committee of the board of directors were as follows:</w:t>
      </w:r>
    </w:p>
    <w:p>
      <w:pPr>
        <w:pStyle w:val="TextBody"/>
        <w:spacing w:before="0" w:after="0"/>
        <w:jc w:val="left"/>
        <w:rPr/>
      </w:pPr>
      <w:r>
        <w:rPr/>
        <w:t> </w:t>
      </w:r>
    </w:p>
    <w:tbl>
      <w:tblPr>
        <w:tblW w:w="7380" w:type="dxa"/>
        <w:jc w:val="left"/>
        <w:tblInd w:w="0" w:type="dxa"/>
        <w:tblCellMar>
          <w:top w:w="28" w:type="dxa"/>
          <w:left w:w="28" w:type="dxa"/>
          <w:bottom w:w="28" w:type="dxa"/>
          <w:right w:w="28" w:type="dxa"/>
        </w:tblCellMar>
      </w:tblPr>
      <w:tblGrid>
        <w:gridCol w:w="4261"/>
        <w:gridCol w:w="146"/>
        <w:gridCol w:w="221"/>
        <w:gridCol w:w="1024"/>
        <w:gridCol w:w="146"/>
        <w:gridCol w:w="146"/>
        <w:gridCol w:w="221"/>
        <w:gridCol w:w="1024"/>
        <w:gridCol w:w="1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Member</w:t>
              <w:br/>
              <w:t xml:space="preserve">      Annual Fee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Chair</w:t>
              <w:br/>
              <w:t>Additional</w:t>
              <w:br/>
              <w:t xml:space="preserve">      Annual Fee </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Board of Directors</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33,750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Committee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Committee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Nominating and Corporate Governance Committee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December 2022, after an evaluation of the director compensation program by the compensation committee and Pay Governance, our independent compensation consultant, the board of directors increased the cash retainer for service on the board of directors and each committee on which the director is a member effective January 1, 2023. In March 2023 the board of directors, after an evaluation by the nominating &amp; corporate governance committee, approved a cash retainer for service on the compliance committee. The fees to be paid to non-employee directors in 2023 and beyond for their service on the board of directors and for their service on each committee of the board of directors are as follows: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tbl>
      <w:tblPr>
        <w:tblW w:w="7380" w:type="dxa"/>
        <w:jc w:val="left"/>
        <w:tblInd w:w="0" w:type="dxa"/>
        <w:tblCellMar>
          <w:top w:w="28" w:type="dxa"/>
          <w:left w:w="28" w:type="dxa"/>
          <w:bottom w:w="28" w:type="dxa"/>
          <w:right w:w="28" w:type="dxa"/>
        </w:tblCellMar>
      </w:tblPr>
      <w:tblGrid>
        <w:gridCol w:w="4261"/>
        <w:gridCol w:w="146"/>
        <w:gridCol w:w="221"/>
        <w:gridCol w:w="1024"/>
        <w:gridCol w:w="146"/>
        <w:gridCol w:w="146"/>
        <w:gridCol w:w="221"/>
        <w:gridCol w:w="1024"/>
        <w:gridCol w:w="1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Member</w:t>
              <w:br/>
              <w:t xml:space="preserve">      Annual Fee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Chair</w:t>
              <w:br/>
              <w:t>Additional</w:t>
              <w:br/>
              <w:t xml:space="preserve">      Annual Fee </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Board of Directors</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33,750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Committee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Committee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Compliance Committee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Nominating and Corporate Governance Committee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also reimburse our non-employee directors for reasonable travel and out-of-pocket expenses incurred in connection with attending our board of director and committee meetings.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 addition, under our director compensation program, on January 1st of each year, each non-employee director that has served on our board of directors for at least six months receives an equity award. In January 2020 and January 2021, each non-employee director that had served on our board of directors for at least six months was granted an option to purchase 27,600 shares of common stock. These options had a term of 10 years, vested in four equal quarterly installments on April 1, July 1 and October 1 of the year in which the grant was made and on January 1 of the following year, subject to the non-employee director’s continued service as a director, were granted at an exercise price per share equal to the fair market value of our common stock on the date of grant, and provided that the options would vest in full upon a change in control of our company.</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December 2021, after an evaluation of the non-employee director compensation program by the compensation committee and Pay Governance, our independent compensation consultant, the board of directors determined that a value-based annual equity award for non-employee directors better reflected our compensation philosophy and determined that each non-employee director who has served on our board of directors for at least six months would receive, on January 1 of each year, the grant of (i) an option under the 2017 Plan to purchase a number of shares of our common stock that has a Black-Scholes valuation as of the date of the grant equal to $200,000, as calculated using the same methodology that we use to calculate the value of stock options for the purposes of our financial statements; and (ii) restricted stock units for a number of shares of common stock determined by dividing $200,000 by the closing price of our common stock on the date of grant. These options will have a term of seven years, vest in four equal quarterly installments on April 1, July 1 and October 1 of the year in which the grant was made and on January 1 of the following year, subject to the non-employee director’s continued service as a director and be granted at an exercise price per share equal to the fair market value of our common stock on the date of grant. These restricted stock units will vest on the first anniversary of the date or grant, subject to the non-employee director’s continued services as a director, although directors may choose to defer vesting of the restricted stock units until after the termination of their service. These awards become vested in full upon a change in control of our company. In December 2021, the board of directors also amended the terms of the 2020 and 2021 annual option grants from ten to seven years and provided that future annual grants of options to non-employee directors would have a term of seven years.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Pursuant to the terms of the non-employee director compensation program, in January 2022, each non-employee director received an option to purchase 8,554 shares of common stock and 4,230 restricted stock units, and in January 2023, each non-employee director received an option to purchase 7,441 shares of common stock and 3,867 restricted stock units.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Each non-employee director that is newly elected to our board of directors also receives an option to purchase shares of our common stock upon his or her initial election to the board of directors.. In December 2019, the board of directors set the number of shares underlying each such initial grant at 37,500 shares. In December 2021 the board of directors determined that a value-based initial equity award for non-employee directors better reflected the Company’s compensation philosophy and determined that, upon his or her election to the board of directors, each non-employee director would receive (i) an option to purchase the number of shares of common stock that has a Black-Scholes valuation as of the date of the grant equal to $300,000, as calculated using the same methodology that we use to calculate the value of stock options for the purposes of our financial statements; and (ii) restricted stock units for a number of shares of common stock determined by dividing $300,000 by the closing price of common stock on the date of grant. Each such option will have a term of seven years, vest with respect to one-third of the option on each of the first, second and third anniversaries of the grant date, subject to the non-employee director’s continued service as a director, and be granted at an exercise price per share equal to the fair market value of our common stock on the date of grant. The restricted stock units will fully vest on the first anniversary of the grant date, although directors may choose to defer vesting of the restricted stock units until after the termination of their service. These awards become vested in full upon a change in control of our company.</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The following table sets forth information regarding the fees and equity awards earned by our non-employee directors during the fiscal year ended December 31, 2022.</w:t>
      </w:r>
      <w:r>
        <w:rPr>
          <w:rFonts w:ascii="Times New Roman" w:hAnsi="Times New Roman"/>
          <w:sz w:val="20"/>
        </w:rPr>
        <w:t xml:space="preserve"> </w:t>
      </w:r>
    </w:p>
    <w:p>
      <w:pPr>
        <w:pStyle w:val="TextBody"/>
        <w:spacing w:before="0" w:after="0"/>
        <w:jc w:val="left"/>
        <w:rPr/>
      </w:pPr>
      <w:r>
        <w:rPr/>
        <w:t> </w:t>
      </w:r>
    </w:p>
    <w:tbl>
      <w:tblPr>
        <w:tblW w:w="9488" w:type="dxa"/>
        <w:jc w:val="left"/>
        <w:tblInd w:w="0" w:type="dxa"/>
        <w:tblCellMar>
          <w:top w:w="28" w:type="dxa"/>
          <w:left w:w="28" w:type="dxa"/>
          <w:bottom w:w="28" w:type="dxa"/>
          <w:right w:w="28" w:type="dxa"/>
        </w:tblCellMar>
      </w:tblPr>
      <w:tblGrid>
        <w:gridCol w:w="2551"/>
        <w:gridCol w:w="146"/>
        <w:gridCol w:w="146"/>
        <w:gridCol w:w="676"/>
        <w:gridCol w:w="146"/>
        <w:gridCol w:w="146"/>
        <w:gridCol w:w="198"/>
        <w:gridCol w:w="1062"/>
        <w:gridCol w:w="146"/>
        <w:gridCol w:w="146"/>
        <w:gridCol w:w="427"/>
        <w:gridCol w:w="2288"/>
        <w:gridCol w:w="146"/>
        <w:gridCol w:w="146"/>
        <w:gridCol w:w="146"/>
        <w:gridCol w:w="781"/>
        <w:gridCol w:w="19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00"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Fees Earned or Paid</w:t>
            </w:r>
          </w:p>
        </w:tc>
        <w:tc>
          <w:tcPr>
            <w:tcW w:w="191" w:type="dxa"/>
            <w:tcBorders/>
            <w:shd w:fill="auto" w:val="cle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Cash</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Option Awards </w:t>
              <w:b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Restricted Stock Unit Awards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Gerald Chan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22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495,922</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Sinclair Dunlop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22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467,172</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Paul Fonteyne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22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469,672</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Alec Machiels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22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479,672</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Stephanie Monaghan O’Brien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22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472,172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amounts reported in the “Options Awards” column reflect the aggregate grant date fair value of options awarded during the year, computed in accordance with the provisions of Financial Accounting Standards Board, or FASB, Accounting Standards Codification, or ASC, Topic 718, using a Black-Scholes valuation model. For the assumptions made in determining these values, see Note 17 to the consolidated financial statements in our Annual Report on Form 10-K for the year ended December 31, 2022. For purposes of these calculations, we have disregarded the possibility of forfeitures related to service-based vesting conditions.</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amounts reported in the “Restricted Stock Unit Awards” column reflect the aggregate grant date fair value of restricted stock units awarded during the year, computed in accordance with the provisions of Financial Accounting Standards Board, or FASB, Accounting Standards Codification, or ASC, Topic 718, which is determined by multiplying the market price of shares as of the date of the grant by the number of restricted stock units granted.. For the assumptions made in determining these values, see Note 17 to the consolidated financial statements in our Annual Report on Form 10-K for the year ended December 31, 2022. For purposes of these calculations, we have disregarded the possibility of forfeitures related to service-based vesting conditions.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table sets forth the outstanding equity awards held by our non-employee directors as of December 31, 2022, which consisted entirely of stock options and restricted stock units:</w:t>
      </w:r>
    </w:p>
    <w:p>
      <w:pPr>
        <w:pStyle w:val="TextBody"/>
        <w:spacing w:before="0" w:after="0"/>
        <w:jc w:val="left"/>
        <w:rPr/>
      </w:pPr>
      <w:r>
        <w:rPr/>
        <w:t> </w:t>
      </w:r>
    </w:p>
    <w:tbl>
      <w:tblPr>
        <w:tblW w:w="6645" w:type="dxa"/>
        <w:jc w:val="left"/>
        <w:tblInd w:w="0" w:type="dxa"/>
        <w:tblCellMar>
          <w:top w:w="28" w:type="dxa"/>
          <w:left w:w="28" w:type="dxa"/>
          <w:bottom w:w="28" w:type="dxa"/>
          <w:right w:w="28" w:type="dxa"/>
        </w:tblCellMar>
      </w:tblPr>
      <w:tblGrid>
        <w:gridCol w:w="2551"/>
        <w:gridCol w:w="146"/>
        <w:gridCol w:w="191"/>
        <w:gridCol w:w="1024"/>
        <w:gridCol w:w="146"/>
        <w:gridCol w:w="146"/>
        <w:gridCol w:w="457"/>
        <w:gridCol w:w="1793"/>
        <w:gridCol w:w="19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Restricted Stock Unit Awards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Gerald Chan</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4,230</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Sinclair Dunlop</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4,230</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Paul Fonteyne</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4,230</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Alec Machiels</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316,757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4,230</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Stephanie Monaghan O’Brien</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Under our non-employee director compensation program, we do not pay any compensation to Cedric Francois, our President and Chief Executive Officer, in connection with his service on our board of directors. Dr. Francois’ compensation is set forth and discussed under “Executive Compensation—Summary Compensation Table” and “Executive Compensation—Compensation Discussion and Analysis.”</w:t>
      </w:r>
    </w:p>
    <w:p>
      <w:pPr>
        <w:pStyle w:val="TextBody"/>
        <w:spacing w:before="240" w:after="0"/>
        <w:jc w:val="left"/>
        <w:rPr>
          <w:rFonts w:ascii="Times New Roman" w:hAnsi="Times New Roman"/>
          <w:sz w:val="20"/>
        </w:rPr>
      </w:pPr>
      <w:r>
        <w:rPr>
          <w:rFonts w:ascii="Times New Roman;serif" w:hAnsi="Times New Roman;serif"/>
          <w:b/>
          <w:sz w:val="20"/>
        </w:rPr>
        <w:t>HOW TO CONTACT OUR BOARD OF DIRECTORS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Apellis Pharmaceuticals,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100 Fifth Avenue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Waltham, Massachusetts 02451</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Attention: Board of Directors</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You may submit your concern anonymously or confidentially by postal mail. You may also indicate whether you are a stockholder, customer, supplier, or other interested party.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0" w:name="our_auditors"/>
      <w:bookmarkEnd w:id="10"/>
      <w:r>
        <w:rPr>
          <w:rFonts w:ascii="Times New Roman;serif" w:hAnsi="Times New Roman;serif"/>
          <w:b/>
          <w:sz w:val="24"/>
        </w:rPr>
        <w:t>OUR AUDITORS</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incurred the following fees from Deloitte &amp; Touche LLP, or Deloitte, our independent registered public accounting firm for the audit of our consolidated financial statements and for other services provided during the years ended December 31, 2022 and 2021.</w:t>
      </w:r>
    </w:p>
    <w:p>
      <w:pPr>
        <w:pStyle w:val="TextBody"/>
        <w:spacing w:before="0" w:after="0"/>
        <w:jc w:val="left"/>
        <w:rPr/>
      </w:pPr>
      <w:r>
        <w:rPr/>
        <w:t> </w:t>
      </w:r>
    </w:p>
    <w:tbl>
      <w:tblPr>
        <w:tblW w:w="4744" w:type="dxa"/>
        <w:jc w:val="left"/>
        <w:tblInd w:w="0" w:type="dxa"/>
        <w:tblCellMar>
          <w:top w:w="28" w:type="dxa"/>
          <w:left w:w="28" w:type="dxa"/>
          <w:bottom w:w="28" w:type="dxa"/>
          <w:right w:w="28" w:type="dxa"/>
        </w:tblCellMar>
      </w:tblPr>
      <w:tblGrid>
        <w:gridCol w:w="1831"/>
        <w:gridCol w:w="146"/>
        <w:gridCol w:w="211"/>
        <w:gridCol w:w="931"/>
        <w:gridCol w:w="146"/>
        <w:gridCol w:w="146"/>
        <w:gridCol w:w="211"/>
        <w:gridCol w:w="931"/>
        <w:gridCol w:w="19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Fee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1,218,939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1,154,291</w:t>
            </w:r>
          </w:p>
        </w:tc>
        <w:tc>
          <w:tcPr>
            <w:tcW w:w="1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Audit-related fees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80,000</w:t>
            </w:r>
          </w:p>
        </w:tc>
        <w:tc>
          <w:tcPr>
            <w:tcW w:w="1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 (3)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991,615</w:t>
            </w:r>
          </w:p>
        </w:tc>
        <w:tc>
          <w:tcPr>
            <w:tcW w:w="1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fees (4)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324,154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1,440,640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2,550,060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pPr>
      <w:r>
        <w:rPr/>
        <w:t>“</w:t>
      </w:r>
      <w:r>
        <w:rPr>
          <w:rFonts w:ascii="Times New Roman;serif" w:hAnsi="Times New Roman;serif"/>
          <w:b w:val="false"/>
          <w:sz w:val="18"/>
        </w:rPr>
        <w:t>Audit fees” consisted of fees for the integrated audit of our consolidated financial statements and the effectiveness of our internal control over financial reporting and for the review of our unaudited interim financial statements included in our quarterly reports on Form 10-Q during the years ended December 31, 2022 and 2021.</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pPr>
      <w:r>
        <w:rPr/>
        <w:t>“</w:t>
      </w:r>
      <w:r>
        <w:rPr>
          <w:rFonts w:ascii="Times New Roman;serif" w:hAnsi="Times New Roman;serif"/>
          <w:b w:val="false"/>
          <w:sz w:val="18"/>
        </w:rPr>
        <w:t>Audit-related fees” consist of fees for assurance and related services that are reasonably related to the performance of the audit and review of our financial statements and which are not reported under “Audit fees.” Audit-related fees reported for the year ended December 31, 2022 and 2021 include fees related to our follow-on public offerings in March 2022 and November 2021 and other professional services provided in connection with regulatory filings or engagements.</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pPr>
      <w:r>
        <w:rPr/>
        <w:t>“</w:t>
      </w:r>
      <w:r>
        <w:rPr>
          <w:rFonts w:ascii="Times New Roman;serif" w:hAnsi="Times New Roman;serif"/>
          <w:b w:val="false"/>
          <w:sz w:val="18"/>
        </w:rPr>
        <w:t>Tax fees” consisted of fees paid to Deloitte Tax and Deloitte AG related to tax compliance, worldwide and domestic tax planning and tax advice.</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283"/>
        <w:jc w:val="left"/>
        <w:rPr/>
      </w:pPr>
      <w:r>
        <w:rPr/>
        <w:t>“</w:t>
      </w:r>
      <w:r>
        <w:rPr>
          <w:rFonts w:ascii="Times New Roman;serif" w:hAnsi="Times New Roman;serif"/>
          <w:b w:val="false"/>
          <w:sz w:val="18"/>
        </w:rPr>
        <w:t>All other fees” consisted of fees for our subscription to the Deloitte Accounting Research Tool. All other fees reported for the year ended December 31, 2021 also included fees paid to Monitor Deloitte SAS for consulting services relating to our product launch.</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spacing w:before="0" w:after="0"/>
        <w:jc w:val="both"/>
        <w:rPr>
          <w:rFonts w:ascii="Times New Roman;serif" w:hAnsi="Times New Roman;serif"/>
          <w:b w:val="false"/>
          <w:sz w:val="18"/>
        </w:rPr>
      </w:pPr>
      <w:r>
        <w:rPr>
          <w:rFonts w:ascii="Times New Roman;serif" w:hAnsi="Times New Roman;serif"/>
          <w:b w:val="false"/>
          <w:sz w:val="18"/>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pStyle w:val="TextBody"/>
        <w:spacing w:before="0" w:after="0"/>
        <w:jc w:val="both"/>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PROPOSAL NO. 2—RATIFICATION OF THE APPOINTMENT OF DELOITTE &amp; TOUCHE LLP AS OUR INDEPENDENT REGISTERED PUBLIC ACCOUNTING FIRM FOR THE FISCAL YEAR ENDING DECEMBER 31, 2023</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stockholders are being asked to ratify the appointment by the audit committee of our board of directors of Deloitte &amp; Touche LLP, or Deloitte, as our independent registered public accounting firm for the fiscal year ending December 31, 2023. The audit committee appointed Deloitte as our independent registered public accounting firm for the fiscal year ending December 31, 2023. A representative of Deloitte is expected to attend the Annual Meeting online and will have an opportunity to make a statement if he or she desires to do so and to respond to appropriate questions from our stockholders.</w:t>
      </w:r>
    </w:p>
    <w:p>
      <w:pPr>
        <w:pStyle w:val="TextBody"/>
        <w:spacing w:before="0" w:after="0"/>
        <w:jc w:val="left"/>
        <w:rPr>
          <w:rFonts w:ascii="Times New Roman" w:hAnsi="Times New Roman"/>
          <w:sz w:val="20"/>
        </w:rPr>
      </w:pPr>
      <w:r>
        <w:rPr>
          <w:rFonts w:ascii="Times New Roman;serif" w:hAnsi="Times New Roman;serif"/>
          <w:b w:val="false"/>
          <w:sz w:val="18"/>
        </w:rPr>
        <w:t>The audit committee is solely responsible for selecting our independent registered public accounting firm for the fiscal year ending December 31, 2023. Stockholder approval is not required to appoint Deloitte as our independent registered public accounting firm. However, our board of directors believes that submitting the appointment of Deloitte to the stockholders for ratification is good corporate governance. If the stockholders do not ratify this appointment, the audit committee will reconsider whether to retain Deloitte. If the selection of Deloitte is ratified, the audit committee, in its discretion, may still direct the appointment of a different</w:t>
      </w:r>
      <w:r>
        <w:rPr>
          <w:rFonts w:ascii="Times New Roman" w:hAnsi="Times New Roman"/>
          <w:sz w:val="20"/>
        </w:rPr>
        <w:t xml:space="preserve"> </w:t>
      </w:r>
      <w:r>
        <w:rPr>
          <w:rFonts w:ascii="Times New Roman;serif" w:hAnsi="Times New Roman;serif"/>
          <w:b w:val="false"/>
          <w:sz w:val="20"/>
        </w:rPr>
        <w:t>i</w:t>
      </w:r>
      <w:r>
        <w:rPr>
          <w:rFonts w:ascii="Times New Roman;serif" w:hAnsi="Times New Roman;serif"/>
          <w:b w:val="false"/>
          <w:sz w:val="18"/>
        </w:rPr>
        <w:t>ndependent registered public accounting firm at any time it decides that such a change would be in the best interest of our company and our stockholders.</w:t>
      </w:r>
    </w:p>
    <w:p>
      <w:pPr>
        <w:pStyle w:val="TextBody"/>
        <w:spacing w:before="0" w:after="0"/>
        <w:jc w:val="left"/>
        <w:rPr>
          <w:rFonts w:ascii="Times New Roman;serif" w:hAnsi="Times New Roman;serif"/>
          <w:b/>
          <w:sz w:val="18"/>
        </w:rPr>
      </w:pPr>
      <w:r>
        <w:rPr>
          <w:rFonts w:ascii="Times New Roman;serif" w:hAnsi="Times New Roman;serif"/>
          <w:b/>
          <w:sz w:val="18"/>
        </w:rPr>
        <w:t>The board of directors recommends voting “FOR” Proposal No. 2 to ratify the appointment of Deloitte &amp; Touche LLP as our independent registered public accounting firm for the fiscal year ending December 31, 2023.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1" w:name="our_executives"/>
      <w:bookmarkEnd w:id="11"/>
      <w:r>
        <w:rPr>
          <w:rFonts w:ascii="Times New Roman;serif" w:hAnsi="Times New Roman;serif"/>
          <w:b/>
          <w:sz w:val="24"/>
        </w:rPr>
        <w:t>OUR EXECUTIVES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Biographical information as of March 31, 2023 for our executive officers who are not directors is listed below.</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065"/>
        <w:gridCol w:w="7140"/>
      </w:tblGrid>
      <w:tr>
        <w:trPr/>
        <w:tc>
          <w:tcPr>
            <w:tcW w:w="3065" w:type="dxa"/>
            <w:tcBorders/>
            <w:shd w:fill="auto" w:val="clear"/>
            <w:vAlign w:val="center"/>
          </w:tcPr>
          <w:p>
            <w:pPr>
              <w:pStyle w:val="TableContents"/>
              <w:spacing w:before="0" w:after="283"/>
              <w:rPr>
                <w:sz w:val="4"/>
                <w:szCs w:val="4"/>
              </w:rPr>
            </w:pPr>
            <w:r>
              <w:rPr>
                <w:sz w:val="4"/>
                <w:szCs w:val="4"/>
              </w:rPr>
            </w:r>
          </w:p>
        </w:tc>
        <w:tc>
          <w:tcPr>
            <w:tcW w:w="7140" w:type="dxa"/>
            <w:tcBorders/>
            <w:shd w:fill="auto" w:val="clear"/>
            <w:vAlign w:val="center"/>
          </w:tcPr>
          <w:p>
            <w:pPr>
              <w:pStyle w:val="TableContents"/>
              <w:spacing w:before="0" w:after="283"/>
              <w:rPr>
                <w:sz w:val="4"/>
                <w:szCs w:val="4"/>
              </w:rPr>
            </w:pPr>
            <w:r>
              <w:rPr>
                <w:sz w:val="4"/>
                <w:szCs w:val="4"/>
              </w:rPr>
            </w:r>
          </w:p>
        </w:tc>
      </w:tr>
      <w:tr>
        <w:trPr/>
        <w:tc>
          <w:tcPr>
            <w:tcW w:w="3065"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140" w:type="dxa"/>
            <w:tcBorders>
              <w:top w:val="single" w:sz="8"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06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drawing>
                <wp:inline distT="0" distB="0" distL="0" distR="0">
                  <wp:extent cx="923925" cy="933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23925" cy="9334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Pascal Deschatelets, Ph.D.</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Co-Founder and Chief Scientific Officer</w:t>
            </w:r>
          </w:p>
          <w:p>
            <w:pPr>
              <w:pStyle w:val="TableContents"/>
              <w:spacing w:before="0" w:after="80"/>
              <w:ind w:left="0" w:right="0" w:firstLine="72"/>
              <w:jc w:val="left"/>
              <w:rPr>
                <w:rFonts w:ascii="Times New Roman;serif" w:hAnsi="Times New Roman;serif"/>
                <w:b/>
                <w:sz w:val="20"/>
              </w:rPr>
            </w:pPr>
            <w:r>
              <w:rPr>
                <w:rFonts w:ascii="Times New Roman;serif" w:hAnsi="Times New Roman;serif"/>
                <w:b/>
                <w:sz w:val="20"/>
              </w:rPr>
              <w:t>Age: 53</w:t>
            </w:r>
          </w:p>
        </w:tc>
        <w:tc>
          <w:tcPr>
            <w:tcW w:w="7140" w:type="dxa"/>
            <w:tcBorders>
              <w:bottom w:val="single" w:sz="4" w:space="0" w:color="000000"/>
            </w:tcBorders>
            <w:shd w:fill="auto" w:val="clear"/>
            <w:tcMar>
              <w:top w:w="0" w:type="dxa"/>
              <w:left w:w="0" w:type="dxa"/>
              <w:right w:w="0" w:type="dxa"/>
            </w:tcMar>
            <w:vAlign w:val="center"/>
          </w:tcPr>
          <w:p>
            <w:pPr>
              <w:pStyle w:val="TableContents"/>
              <w:spacing w:before="0" w:after="0"/>
              <w:ind w:left="72"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Co-Founder, Chief Operating Officer (2009 – July 2020) and Chief Scientific Officer (July 2020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Co-Founder and Chief Operating Officer, Potentia (2001 – September 2016)</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Co-Founder, Revon (2013 – 2019)</w:t>
            </w:r>
          </w:p>
          <w:p>
            <w:pPr>
              <w:pStyle w:val="TableContents"/>
              <w:spacing w:before="0" w:after="0"/>
              <w:ind w:left="0" w:right="0" w:hanging="0"/>
              <w:jc w:val="left"/>
              <w:rPr/>
            </w:pPr>
            <w:r>
              <w:rPr/>
              <w:t> </w:t>
            </w:r>
          </w:p>
          <w:p>
            <w:pPr>
              <w:pStyle w:val="TableContents"/>
              <w:spacing w:before="0" w:after="0"/>
              <w:ind w:left="72"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Ph.D., Organic Chemistry, University of Montreal</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Post-doctoral training in the laboratory of Dr. George Whitesides at Harvard University</w:t>
            </w:r>
          </w:p>
        </w:tc>
      </w:tr>
      <w:tr>
        <w:trPr/>
        <w:tc>
          <w:tcPr>
            <w:tcW w:w="306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drawing>
                <wp:inline distT="0" distB="0" distL="0" distR="0">
                  <wp:extent cx="923925" cy="933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23925" cy="9334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Timothy Sullivan</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Financial Officer and Treasurer</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52</w:t>
            </w:r>
          </w:p>
        </w:tc>
        <w:tc>
          <w:tcPr>
            <w:tcW w:w="714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Chief Financial Officer and Treasurer (October 2017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Partner, AJU IB Investment, now known as Solasta Ventures in the United States, a venture capital firm, at which he led the firm’s investments in life sciences companies (January 2014 - October 2017)</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Managing Director, Head of Life Sciences, RBS Citizens (December 2011 - January 2014)</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Board Service: Observer on Apellis board of directors (November 2014 - October 2017); previously served as a director of G1 Therapeutics, Inc. and Molecular Templates, Inc.</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A.B., Biology, Harvard University</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M.B.A., Columbia Business School</w:t>
            </w:r>
          </w:p>
        </w:tc>
      </w:tr>
      <w:tr>
        <w:trPr/>
        <w:tc>
          <w:tcPr>
            <w:tcW w:w="306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drawing>
                <wp:inline distT="0" distB="0" distL="0" distR="0">
                  <wp:extent cx="923925" cy="923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23925" cy="923925"/>
                          </a:xfrm>
                          <a:prstGeom prst="rect">
                            <a:avLst/>
                          </a:prstGeom>
                        </pic:spPr>
                      </pic:pic>
                    </a:graphicData>
                  </a:graphic>
                </wp:inline>
              </w:drawing>
            </w: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Caroline Baumal, M.D.</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Medical Officer</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56</w:t>
            </w:r>
          </w:p>
        </w:tc>
        <w:tc>
          <w:tcPr>
            <w:tcW w:w="714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Chief Medical Officer (January 2023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Professor of Ophthalmology, Vitreoretinal surgeon, New England Eye Center/Tufts Medicine (1998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Key opinion leader in ophthalmology, retinal imaging and therapeutics, ophthalmic devices and drug delivery</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Clinical research principal investigator and DSMC member for numerous clinical studies</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 xml:space="preserve">Wills Eye Hospital, Vitreoretinal Surgical Fellowship </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New England Eye Center, Tufts, Medical Retina &amp; Lasers Imaging Fellowship</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Ophthalmology Residency, University of Toronto Medical School</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M.D., University of Toronto Medical School</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B.Sc., Biochemistry, McGill University</w:t>
            </w:r>
          </w:p>
          <w:p>
            <w:pPr>
              <w:pStyle w:val="TableContents"/>
              <w:spacing w:before="0" w:after="0"/>
              <w:ind w:left="0" w:right="0" w:hanging="0"/>
              <w:jc w:val="left"/>
              <w:rPr/>
            </w:pPr>
            <w:r>
              <w:rPr/>
              <w:t> </w:t>
            </w:r>
          </w:p>
        </w:tc>
      </w:tr>
      <w:tr>
        <w:trPr/>
        <w:tc>
          <w:tcPr>
            <w:tcW w:w="306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drawing>
                <wp:inline distT="0" distB="0" distL="0" distR="0">
                  <wp:extent cx="933450" cy="933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33450" cy="9334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Jim Chopas</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Vice President, Corporate Controller and Chief Accounting Officer</w:t>
            </w:r>
          </w:p>
          <w:p>
            <w:pPr>
              <w:pStyle w:val="TableContents"/>
              <w:spacing w:before="0" w:after="20"/>
              <w:ind w:left="0" w:right="0" w:hanging="0"/>
              <w:jc w:val="left"/>
              <w:rPr>
                <w:rFonts w:ascii="Times New Roman;serif" w:hAnsi="Times New Roman;serif"/>
                <w:b/>
                <w:sz w:val="20"/>
              </w:rPr>
            </w:pPr>
            <w:r>
              <w:rPr>
                <w:rFonts w:ascii="Times New Roman;serif" w:hAnsi="Times New Roman;serif"/>
                <w:b/>
                <w:sz w:val="20"/>
              </w:rPr>
              <w:t>Age: 56</w:t>
            </w:r>
          </w:p>
        </w:tc>
        <w:tc>
          <w:tcPr>
            <w:tcW w:w="714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Vice President, Corporate Controller and Chief Accounting Officer (August 2021 – present); Treasurer (December 2021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Vice President, Principal Financial Officer, Principal Accounting Officer and Treasurer, Radius Health, Inc., a publicly traded commercial biopharmaceutical company (December 2020 - August 2021); corporate controller (October 2018 - December 2020)</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Consultant, Danforth Advisors, a strategic consulting firm for life science and healthcare technology companies (October 2016 - October 2018)</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Chief Financial Officer and Vice President of finance, KBI Biopharma, Inc., a biopharmaceutical contract services organization</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Held several senior management roles for certain ThermoFisher Scientific Inc. portfolio companies and Parexel International</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B.A., University of Massachusetts</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M.S., Bentley University</w:t>
            </w:r>
          </w:p>
          <w:p>
            <w:pPr>
              <w:pStyle w:val="TableContents"/>
              <w:spacing w:before="0" w:after="0"/>
              <w:ind w:left="0" w:right="0" w:hanging="0"/>
              <w:jc w:val="left"/>
              <w:rPr/>
            </w:pPr>
            <w:r>
              <w:rPr/>
              <w:t> </w:t>
            </w:r>
          </w:p>
        </w:tc>
      </w:tr>
    </w:tbl>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110"/>
        <w:gridCol w:w="8095"/>
      </w:tblGrid>
      <w:tr>
        <w:trPr/>
        <w:tc>
          <w:tcPr>
            <w:tcW w:w="2110" w:type="dxa"/>
            <w:tcBorders/>
            <w:shd w:fill="auto" w:val="clear"/>
            <w:vAlign w:val="center"/>
          </w:tcPr>
          <w:p>
            <w:pPr>
              <w:pStyle w:val="TableContents"/>
              <w:spacing w:before="0" w:after="283"/>
              <w:rPr>
                <w:sz w:val="4"/>
                <w:szCs w:val="4"/>
              </w:rPr>
            </w:pPr>
            <w:r>
              <w:rPr>
                <w:sz w:val="4"/>
                <w:szCs w:val="4"/>
              </w:rPr>
            </w:r>
          </w:p>
        </w:tc>
        <w:tc>
          <w:tcPr>
            <w:tcW w:w="8095" w:type="dxa"/>
            <w:tcBorders/>
            <w:shd w:fill="auto" w:val="clear"/>
            <w:vAlign w:val="center"/>
          </w:tcPr>
          <w:p>
            <w:pPr>
              <w:pStyle w:val="TableContents"/>
              <w:spacing w:before="0" w:after="283"/>
              <w:rPr>
                <w:sz w:val="4"/>
                <w:szCs w:val="4"/>
              </w:rPr>
            </w:pPr>
            <w:r>
              <w:rPr>
                <w:sz w:val="4"/>
                <w:szCs w:val="4"/>
              </w:rPr>
            </w:r>
          </w:p>
        </w:tc>
      </w:tr>
      <w:tr>
        <w:trPr/>
        <w:tc>
          <w:tcPr>
            <w:tcW w:w="211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9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1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drawing>
                <wp:inline distT="0" distB="0" distL="0" distR="0">
                  <wp:extent cx="923925" cy="9239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23925" cy="923925"/>
                          </a:xfrm>
                          <a:prstGeom prst="rect">
                            <a:avLst/>
                          </a:prstGeom>
                        </pic:spPr>
                      </pic:pic>
                    </a:graphicData>
                  </a:graphic>
                </wp:inline>
              </w:drawing>
            </w: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Mark DeLong</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Business &amp; Strategy Officer</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46</w:t>
            </w:r>
          </w:p>
        </w:tc>
        <w:tc>
          <w:tcPr>
            <w:tcW w:w="809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Chief Business &amp; Strategy Officer (January 2023 – present); Senior Vice President, Business Development &amp; Strategy (February 2020 – January 2023); Vice President, Business Development &amp; Strategy (November 2018 – February 2020); and Vice President, Strategy &amp; Operations (February 2018 – November 2018).</w:t>
            </w:r>
          </w:p>
          <w:p>
            <w:pPr>
              <w:pStyle w:val="TableContents"/>
              <w:spacing w:before="0" w:after="0"/>
              <w:ind w:left="489"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Various leadership roles at EMD Serono, including most recently Head of Global Portfolio Management, Neurology &amp; Immunology Franchise (September 2017 – January 2018) and Head of US Business Development (October 2012 – July 2016).</w:t>
            </w:r>
          </w:p>
          <w:p>
            <w:pPr>
              <w:pStyle w:val="TableContents"/>
              <w:spacing w:before="0" w:after="0"/>
              <w:ind w:left="489"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Managing Director, Bluepoint Healthcare Consulting, LLC (July 2016 – June 2017)</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B.S., Penn State University</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M.B.A, University of Michigan</w:t>
            </w:r>
          </w:p>
        </w:tc>
      </w:tr>
      <w:tr>
        <w:trPr/>
        <w:tc>
          <w:tcPr>
            <w:tcW w:w="211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drawing>
                <wp:inline distT="0" distB="0" distL="0" distR="0">
                  <wp:extent cx="923925" cy="933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23925" cy="9334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Jeff Eisele, Ph.D.</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Development Officer</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Age: 61</w:t>
            </w:r>
          </w:p>
        </w:tc>
        <w:tc>
          <w:tcPr>
            <w:tcW w:w="809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Chief Development Officer (January 2022 – present), Executive Vice President, Program Team Lead – Ophthalmology (September 2020 - December 2021)</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Head of Analytics – Ophthalmology and Neuroscience, Novartis Pharma AG (November 2015 - August 2020)</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Head of Biometrics and Clinical Operations, Alcon Laboratories, a subsidiary of Novartis AG focused on eye care products (January 2009 - October 2015)</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Held senior management positions at Novartis Pharma AG and Schering AG, a pharmaceutical company</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B.S., George Washington University</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M.S. and Ph.D., Statistics, University of Michigan</w:t>
            </w:r>
          </w:p>
        </w:tc>
      </w:tr>
      <w:tr>
        <w:trPr/>
        <w:tc>
          <w:tcPr>
            <w:tcW w:w="211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drawing>
                <wp:inline distT="0" distB="0" distL="0" distR="0">
                  <wp:extent cx="942975" cy="942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42975" cy="942975"/>
                          </a:xfrm>
                          <a:prstGeom prst="rect">
                            <a:avLst/>
                          </a:prstGeom>
                        </pic:spPr>
                      </pic:pic>
                    </a:graphicData>
                  </a:graphic>
                </wp:inline>
              </w:drawing>
            </w: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Karen Lewis</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People Officer</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51</w:t>
            </w:r>
          </w:p>
        </w:tc>
        <w:tc>
          <w:tcPr>
            <w:tcW w:w="809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Chief People Officer, (May 2020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SVP, Human Resources, Axcella Health Inc. (February 2019 – April 2020)</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VP, Global Talent Acquisition, Biogen, Inc. (October 2017 – February 2019)</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B.S., Rider University</w:t>
            </w:r>
          </w:p>
        </w:tc>
      </w:tr>
      <w:tr>
        <w:trPr/>
        <w:tc>
          <w:tcPr>
            <w:tcW w:w="211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drawing>
                <wp:inline distT="0" distB="0" distL="0" distR="0">
                  <wp:extent cx="923925" cy="933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23925" cy="9334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Nur Nicholson</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Technical Operations Officer</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54</w:t>
            </w:r>
          </w:p>
        </w:tc>
        <w:tc>
          <w:tcPr>
            <w:tcW w:w="80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Chief Technical Operations Officer (August 2020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Vice President, North American Business Operations and Intelligence and Head of Global Supply Chain, Galderma S.A., a private pharmaceutical company (2016 - August 2020)</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Head of Global Supply Chain for the Pharmaceutical Franchise, Alcon</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Held a number of roles in clinical and regulatory affairs operations, clinical infometrics, resource management and sales operations</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B.S., Chemistry, Middle East Technical University in Ankara, Turkey</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Executive M.B.A., M.J. Neely School of Business at Texas Christian University</w:t>
            </w:r>
          </w:p>
        </w:tc>
      </w:tr>
    </w:tbl>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866"/>
        <w:gridCol w:w="8339"/>
      </w:tblGrid>
      <w:tr>
        <w:trPr/>
        <w:tc>
          <w:tcPr>
            <w:tcW w:w="1866" w:type="dxa"/>
            <w:tcBorders/>
            <w:shd w:fill="auto" w:val="clear"/>
            <w:vAlign w:val="center"/>
          </w:tcPr>
          <w:p>
            <w:pPr>
              <w:pStyle w:val="TableContents"/>
              <w:spacing w:before="0" w:after="283"/>
              <w:rPr>
                <w:sz w:val="4"/>
                <w:szCs w:val="4"/>
              </w:rPr>
            </w:pPr>
            <w:r>
              <w:rPr>
                <w:sz w:val="4"/>
                <w:szCs w:val="4"/>
              </w:rPr>
            </w:r>
          </w:p>
        </w:tc>
        <w:tc>
          <w:tcPr>
            <w:tcW w:w="8339" w:type="dxa"/>
            <w:tcBorders/>
            <w:shd w:fill="auto" w:val="clear"/>
            <w:vAlign w:val="center"/>
          </w:tcPr>
          <w:p>
            <w:pPr>
              <w:pStyle w:val="TableContents"/>
              <w:spacing w:before="0" w:after="283"/>
              <w:rPr>
                <w:sz w:val="4"/>
                <w:szCs w:val="4"/>
              </w:rPr>
            </w:pPr>
            <w:r>
              <w:rPr>
                <w:sz w:val="4"/>
                <w:szCs w:val="4"/>
              </w:rPr>
            </w:r>
          </w:p>
        </w:tc>
      </w:tr>
      <w:tr>
        <w:trPr/>
        <w:tc>
          <w:tcPr>
            <w:tcW w:w="18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drawing>
                <wp:inline distT="0" distB="0" distL="0" distR="0">
                  <wp:extent cx="933450" cy="933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33450" cy="9334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Lukas Scheibler, Ph.D.</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Innovation Officer</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52</w:t>
            </w:r>
          </w:p>
        </w:tc>
        <w:tc>
          <w:tcPr>
            <w:tcW w:w="833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Chief Innovation Officer (April 2019 – present); Executive Vice President of Research and Translational Medicine (April 2018 - April 2019)</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Head of Research and Development and Executive Vice President, Acucela Inc., a biopharmaceutical company (August 2015 - December 2017)</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Served in leadership roles in research and development, Alcon, including as Vice President, Head of Ideation and Technology Evaluation Center (October 2013 - July 2015) and as Vice President, Global Head Clinical Trial Management (October 2011 - October 2013); joined 2008</w:t>
            </w:r>
          </w:p>
          <w:p>
            <w:pPr>
              <w:pStyle w:val="TableContents"/>
              <w:spacing w:before="12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M.Sc., Chemistry, University of Basel in Switzerland</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Ph.D., Chemistry, University of Lausanne in Switzerland</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Completed his post-doctoral training at Harvard Medical School</w:t>
            </w:r>
          </w:p>
          <w:p>
            <w:pPr>
              <w:pStyle w:val="TableContents"/>
              <w:spacing w:before="0" w:after="0"/>
              <w:ind w:left="0" w:right="0" w:hanging="0"/>
              <w:jc w:val="left"/>
              <w:rPr/>
            </w:pPr>
            <w:r>
              <w:rPr/>
              <w:t> </w:t>
            </w:r>
          </w:p>
        </w:tc>
      </w:tr>
      <w:tr>
        <w:trPr/>
        <w:tc>
          <w:tcPr>
            <w:tcW w:w="18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drawing>
                <wp:inline distT="0" distB="0" distL="0" distR="0">
                  <wp:extent cx="933450" cy="933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33450" cy="933450"/>
                          </a:xfrm>
                          <a:prstGeom prst="rect">
                            <a:avLst/>
                          </a:prstGeom>
                        </pic:spPr>
                      </pic:pic>
                    </a:graphicData>
                  </a:graphic>
                </wp:inline>
              </w:drawing>
            </w:r>
            <w:r>
              <w:rPr/>
              <w:t> </w:t>
            </w:r>
          </w:p>
          <w:p>
            <w:pPr>
              <w:pStyle w:val="TableContents"/>
              <w:spacing w:before="0" w:after="0"/>
              <w:ind w:left="0" w:right="0" w:hanging="0"/>
              <w:jc w:val="left"/>
              <w:rPr>
                <w:rFonts w:ascii="Times New Roman" w:hAnsi="Times New Roman"/>
                <w:sz w:val="28"/>
              </w:rPr>
            </w:pPr>
            <w:r>
              <w:rPr>
                <w:rFonts w:ascii="Times New Roman;serif" w:hAnsi="Times New Roman;serif"/>
                <w:b w:val="false"/>
                <w:sz w:val="28"/>
              </w:rPr>
              <w:t xml:space="preserve">Adam </w:t>
            </w:r>
            <w:r>
              <w:rPr>
                <w:rFonts w:ascii="Times New Roman;serif" w:hAnsi="Times New Roman;serif"/>
                <w:b w:val="false"/>
                <w:sz w:val="26"/>
              </w:rPr>
              <w:t>T</w:t>
            </w:r>
            <w:r>
              <w:rPr>
                <w:rFonts w:ascii="Times New Roman;serif" w:hAnsi="Times New Roman;serif"/>
                <w:b w:val="false"/>
                <w:sz w:val="28"/>
              </w:rPr>
              <w:t>ownsend</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Commercial Officer</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46</w:t>
            </w:r>
          </w:p>
        </w:tc>
        <w:tc>
          <w:tcPr>
            <w:tcW w:w="833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Chief Commercial Officer (November 2018 – present)</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Various leadership roles, Biogen Inc., a biotechnology company, including as Senior Vice President of Corporate Development (March 2018 - October 2018); Senior Vice President, Specialty Medicines and Rare Disease Group (April 2017 - March 2018); Vice President, Asset Executive for Spinraza (May 2016 - April 2017); Vice President – Account Executive for Hemophilia (November 2015 - May 2016); and Vice President Global Marketing – Head of Multiple Sclerosis (July 2013 - November 2015).</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283"/>
              <w:jc w:val="left"/>
              <w:rPr>
                <w:rFonts w:ascii="Times New Roman;serif" w:hAnsi="Times New Roman;serif"/>
                <w:b w:val="false"/>
                <w:sz w:val="16"/>
              </w:rPr>
            </w:pPr>
            <w:r>
              <w:rPr>
                <w:rFonts w:ascii="Times New Roman;serif" w:hAnsi="Times New Roman;serif"/>
                <w:b w:val="false"/>
                <w:sz w:val="16"/>
              </w:rPr>
              <w:t>B.Sc., Medical Biochemistry, Royal Holloway, University of London</w:t>
            </w:r>
          </w:p>
          <w:p>
            <w:pPr>
              <w:pStyle w:val="TableContents"/>
              <w:spacing w:before="0" w:after="0"/>
              <w:ind w:left="0" w:right="0" w:hanging="0"/>
              <w:jc w:val="left"/>
              <w:rPr/>
            </w:pPr>
            <w:r>
              <w:rPr/>
              <w:t> </w:t>
            </w:r>
          </w:p>
        </w:tc>
      </w:tr>
      <w:tr>
        <w:trPr/>
        <w:tc>
          <w:tcPr>
            <w:tcW w:w="18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drawing>
                <wp:inline distT="0" distB="0" distL="0" distR="0">
                  <wp:extent cx="923925" cy="933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23925" cy="933450"/>
                          </a:xfrm>
                          <a:prstGeom prst="rect">
                            <a:avLst/>
                          </a:prstGeom>
                        </pic:spPr>
                      </pic:pic>
                    </a:graphicData>
                  </a:graphic>
                </wp:inline>
              </w:drawing>
            </w:r>
            <w:r>
              <w:rPr/>
              <w:t> </w:t>
            </w:r>
          </w:p>
          <w:p>
            <w:pPr>
              <w:pStyle w:val="TableContents"/>
              <w:spacing w:before="0" w:after="0"/>
              <w:ind w:left="0" w:right="0" w:hanging="0"/>
              <w:jc w:val="left"/>
              <w:rPr>
                <w:rFonts w:ascii="Times New Roman;serif" w:hAnsi="Times New Roman;serif"/>
                <w:b w:val="false"/>
                <w:sz w:val="28"/>
              </w:rPr>
            </w:pPr>
            <w:r>
              <w:rPr>
                <w:rFonts w:ascii="Times New Roman;serif" w:hAnsi="Times New Roman;serif"/>
                <w:b w:val="false"/>
                <w:sz w:val="28"/>
              </w:rPr>
              <w:t>David Watson</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General Counsel</w:t>
            </w:r>
          </w:p>
          <w:p>
            <w:pPr>
              <w:pStyle w:val="TableContents"/>
              <w:spacing w:before="0" w:after="80"/>
              <w:ind w:left="0" w:right="0" w:hanging="0"/>
              <w:jc w:val="left"/>
              <w:rPr>
                <w:rFonts w:ascii="Times New Roman;serif" w:hAnsi="Times New Roman;serif"/>
                <w:b/>
                <w:sz w:val="20"/>
              </w:rPr>
            </w:pPr>
            <w:r>
              <w:rPr>
                <w:rFonts w:ascii="Times New Roman;serif" w:hAnsi="Times New Roman;serif"/>
                <w:b/>
                <w:sz w:val="20"/>
              </w:rPr>
              <w:t>Age: 50</w:t>
            </w:r>
          </w:p>
        </w:tc>
        <w:tc>
          <w:tcPr>
            <w:tcW w:w="833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Experience</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General Counsel (January 2014 – present)</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General Counsel and Executive Vice President, Revon (January 2014 - June 2015)</w:t>
            </w:r>
          </w:p>
          <w:p>
            <w:pPr>
              <w:pStyle w:val="TableContents"/>
              <w:spacing w:before="0" w:after="0"/>
              <w:ind w:left="144" w:right="0" w:hanging="0"/>
              <w:jc w:val="left"/>
              <w:rPr/>
            </w:pPr>
            <w:r>
              <w:rPr/>
              <w:t>•</w:t>
            </w:r>
          </w:p>
          <w:p>
            <w:pPr>
              <w:pStyle w:val="TableContents"/>
              <w:jc w:val="left"/>
              <w:rPr>
                <w:rFonts w:ascii="Times New Roman;serif" w:hAnsi="Times New Roman;serif"/>
                <w:b w:val="false"/>
                <w:sz w:val="16"/>
              </w:rPr>
            </w:pPr>
            <w:r>
              <w:rPr>
                <w:rFonts w:ascii="Times New Roman;serif" w:hAnsi="Times New Roman;serif"/>
                <w:b w:val="false"/>
                <w:sz w:val="16"/>
              </w:rPr>
              <w:t>Member, Frost Brown Todd LLC (September 2011- December 2013)</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p>
            <w:pPr>
              <w:pStyle w:val="TableContents"/>
              <w:spacing w:before="120" w:after="0"/>
              <w:ind w:left="144" w:right="0" w:hanging="0"/>
              <w:jc w:val="left"/>
              <w:rPr/>
            </w:pPr>
            <w:r>
              <w:rPr/>
              <w:t>•</w:t>
            </w:r>
          </w:p>
          <w:p>
            <w:pPr>
              <w:pStyle w:val="TableContents"/>
              <w:spacing w:before="120" w:after="0"/>
              <w:jc w:val="left"/>
              <w:rPr>
                <w:rFonts w:ascii="Times New Roman;serif" w:hAnsi="Times New Roman;serif"/>
                <w:b w:val="false"/>
                <w:sz w:val="16"/>
              </w:rPr>
            </w:pPr>
            <w:r>
              <w:rPr>
                <w:rFonts w:ascii="Times New Roman;serif" w:hAnsi="Times New Roman;serif"/>
                <w:b w:val="false"/>
                <w:sz w:val="16"/>
              </w:rPr>
              <w:t>A.B., Harvard College</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J.D., Vanderbilt Law School</w:t>
            </w:r>
          </w:p>
          <w:p>
            <w:pPr>
              <w:pStyle w:val="TableContents"/>
              <w:spacing w:before="0" w:after="0"/>
              <w:ind w:left="144" w:right="0" w:hanging="0"/>
              <w:jc w:val="left"/>
              <w:rPr/>
            </w:pPr>
            <w:r>
              <w:rPr/>
              <w:t>•</w:t>
            </w:r>
          </w:p>
          <w:p>
            <w:pPr>
              <w:pStyle w:val="TableContents"/>
              <w:spacing w:before="0" w:after="0"/>
              <w:jc w:val="left"/>
              <w:rPr>
                <w:rFonts w:ascii="Times New Roman;serif" w:hAnsi="Times New Roman;serif"/>
                <w:b w:val="false"/>
                <w:sz w:val="16"/>
              </w:rPr>
            </w:pPr>
            <w:r>
              <w:rPr>
                <w:rFonts w:ascii="Times New Roman;serif" w:hAnsi="Times New Roman;serif"/>
                <w:b w:val="false"/>
                <w:sz w:val="16"/>
              </w:rPr>
              <w:t>M.A., Mathematics, University of Kentucky</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principal occupation and employment during the past five years of each of our directors and executive officers was carried on, in each case, except as specifically identified above, with a corporation or organization that is not a parent, subsidiary or other affiliate of us. There is no arrangement or understanding between any of our directors or executive officers and any other person or persons pursuant to which he or she was or is to be selected as a director or executive officer.</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There are no material legal proceedings to which any of our directors or executive officers is a party adverse to us or any of our subsidiaries or in which any such person has a material interest adverse to us or any of our subsidiaries.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2"/>
        </w:rPr>
      </w:pPr>
      <w:bookmarkStart w:id="12" w:name="our_executive_compensation_programs"/>
      <w:bookmarkEnd w:id="12"/>
      <w:r>
        <w:rPr>
          <w:rFonts w:ascii="Times New Roman;serif" w:hAnsi="Times New Roman;serif"/>
          <w:b/>
          <w:sz w:val="22"/>
        </w:rPr>
        <w:t>OUR EXECUTIVE COMPENSATION PROGRAMS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executive compensation programs are designed to attract, motivate, and retain our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 officers with those of our stockholders.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“Compensation Discussion and Analysis” section of this proxy statement beginning on page 24 describes our executive compensation programs and the decisions made by the compensation committee with respect to the year ended December 31, 2022. The key elements of our executive compensation program include the following:</w:t>
      </w:r>
    </w:p>
    <w:p>
      <w:pPr>
        <w:pStyle w:val="TextBody"/>
        <w:spacing w:before="0" w:after="0"/>
        <w:jc w:val="left"/>
        <w:rPr>
          <w:rFonts w:ascii="Times New Roman;serif" w:hAnsi="Times New Roman;serif"/>
          <w:b/>
          <w:i/>
          <w:sz w:val="18"/>
        </w:rPr>
      </w:pPr>
      <w:r>
        <w:rPr>
          <w:rFonts w:ascii="Times New Roman;serif" w:hAnsi="Times New Roman;serif"/>
          <w:b/>
          <w:i/>
          <w:sz w:val="18"/>
        </w:rPr>
        <w:t>Base salary:</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Fixed component of pay to provide financial stability, based on responsibilities, experience, individual contributions and peer company data.</w:t>
      </w:r>
    </w:p>
    <w:p>
      <w:pPr>
        <w:pStyle w:val="TextBody"/>
        <w:spacing w:before="0" w:after="0"/>
        <w:jc w:val="left"/>
        <w:rPr>
          <w:rFonts w:ascii="Times New Roman;serif" w:hAnsi="Times New Roman;serif"/>
          <w:b/>
          <w:i/>
          <w:sz w:val="18"/>
        </w:rPr>
      </w:pPr>
      <w:r>
        <w:rPr>
          <w:rFonts w:ascii="Times New Roman;serif" w:hAnsi="Times New Roman;serif"/>
          <w:b/>
          <w:i/>
          <w:sz w:val="18"/>
        </w:rPr>
        <w:t>Annual cash incentive program:</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promote and reward the achievement of key short-term strategic and business goals of the Company as well as individual performance; to motivate and attract executives.</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Variable component of pay based on annual quantitative and qualitative company and individual goals.</w:t>
      </w:r>
    </w:p>
    <w:p>
      <w:pPr>
        <w:pStyle w:val="TextBody"/>
        <w:spacing w:before="0" w:after="0"/>
        <w:jc w:val="left"/>
        <w:rPr>
          <w:rFonts w:ascii="Times New Roman;serif" w:hAnsi="Times New Roman;serif"/>
          <w:b/>
          <w:i/>
          <w:sz w:val="18"/>
        </w:rPr>
      </w:pPr>
      <w:r>
        <w:rPr>
          <w:rFonts w:ascii="Times New Roman;serif" w:hAnsi="Times New Roman;serif"/>
          <w:b/>
          <w:i/>
          <w:sz w:val="18"/>
        </w:rPr>
        <w:t>Equity incentive compensation: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encourage executives and other employees to focus on long-term company performance; to promote retention; to reward outstanding company and individual performance.</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Typically subject to multi-year vesting based on continued service and primarily in the form of stock options and restricted stock units, the value of which depends on the performance of our common stock price, in order to align employee interests with those of our stockholders over the longer-term.</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As we describe in the Compensation Discussion and Analysis section, we have designed our executive compensation program to embody a pay-for-performance philosophy that supports our business strategy and aligns the interests of our executive officers with our stockholders. We believe this link between compensation and the achievement of our near- and long-term business goals has helped drive our performance over time. At the same time, we believe our program does not encourage excessive risk-taking by management.</w:t>
      </w:r>
    </w:p>
    <w:p>
      <w:pPr>
        <w:pStyle w:val="TextBody"/>
        <w:spacing w:before="0" w:after="0"/>
        <w:jc w:val="left"/>
        <w:rPr>
          <w:rFonts w:ascii="Times New Roman;serif" w:hAnsi="Times New Roman;serif"/>
          <w:b/>
          <w:sz w:val="18"/>
        </w:rPr>
      </w:pPr>
      <w:r>
        <w:rPr>
          <w:rFonts w:ascii="Times New Roman;serif" w:hAnsi="Times New Roman;serif"/>
          <w:b/>
          <w:sz w:val="18"/>
        </w:rPr>
        <w:t>PROPOSAL NO. 3—ADVISORY VOTE ON EXECUTIVE COMPENSATION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are providing our stockholders the annual opportunity to vote to approve, on an advisory, non-binding basis, the compensation of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board of directors is asking stockholders to approve a non-binding advisory vote on the following resolution: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As an advisory vote, this proposal is not binding. The outcome of this advisory vote will not overrule any decision by us or the board of directors (or any committee thereof), create or imply any change to the fiduciary duties of our company or the board of directors (or any committee thereof), or create or imply any additional fiduciary duties for our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w:t>
      </w:r>
    </w:p>
    <w:p>
      <w:pPr>
        <w:pStyle w:val="TextBody"/>
        <w:spacing w:before="0" w:after="0"/>
        <w:jc w:val="center"/>
        <w:rPr>
          <w:rFonts w:ascii="Times New Roman;serif" w:hAnsi="Times New Roman;serif"/>
          <w:b/>
          <w:sz w:val="18"/>
        </w:rPr>
      </w:pPr>
      <w:r>
        <w:rPr>
          <w:rFonts w:ascii="Times New Roman;serif" w:hAnsi="Times New Roman;serif"/>
          <w:b/>
          <w:sz w:val="18"/>
        </w:rPr>
        <w:t>The board of directors recommends that stockholders vote to approve the compensation of our</w:t>
      </w:r>
    </w:p>
    <w:p>
      <w:pPr>
        <w:pStyle w:val="TextBody"/>
        <w:spacing w:before="0" w:after="0"/>
        <w:jc w:val="center"/>
        <w:rPr>
          <w:rFonts w:ascii="Times New Roman;serif" w:hAnsi="Times New Roman;serif"/>
          <w:b/>
          <w:sz w:val="18"/>
        </w:rPr>
      </w:pPr>
      <w:r>
        <w:rPr>
          <w:rFonts w:ascii="Times New Roman;serif" w:hAnsi="Times New Roman;serif"/>
          <w:b/>
          <w:sz w:val="18"/>
        </w:rPr>
        <w:t>named executive officers by voting “FOR” Proposal No. 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3" w:name="compensation_discussion_and_analysis"/>
      <w:bookmarkEnd w:id="13"/>
      <w:r>
        <w:rPr>
          <w:rFonts w:ascii="Times New Roman;serif" w:hAnsi="Times New Roman;serif"/>
          <w:b/>
          <w:sz w:val="24"/>
        </w:rPr>
        <w:t>COMPENSATION DISCUSSION AND ANALYSIS</w:t>
      </w:r>
      <w:r>
        <w:rPr>
          <w:rFonts w:ascii="Times New Roman" w:hAnsi="Times New Roman"/>
          <w:sz w:val="20"/>
        </w:rPr>
        <w:t xml:space="preserve"> </w:t>
      </w:r>
    </w:p>
    <w:p>
      <w:pPr>
        <w:pStyle w:val="TextBody"/>
        <w:spacing w:before="0" w:after="0"/>
        <w:jc w:val="center"/>
        <w:rPr/>
      </w:pPr>
      <w:r>
        <w:rPr/>
        <w:t> </w:t>
      </w:r>
    </w:p>
    <w:p>
      <w:pPr>
        <w:pStyle w:val="TextBody"/>
        <w:spacing w:before="0" w:after="0"/>
        <w:jc w:val="both"/>
        <w:rPr>
          <w:rFonts w:ascii="Times New Roman;serif" w:hAnsi="Times New Roman;serif"/>
          <w:b w:val="false"/>
          <w:sz w:val="18"/>
        </w:rPr>
      </w:pPr>
      <w:r>
        <w:rPr>
          <w:rFonts w:ascii="Times New Roman;serif" w:hAnsi="Times New Roman;serif"/>
          <w:b w:val="false"/>
          <w:sz w:val="18"/>
        </w:rPr>
        <w:t>This section describes the material elements of compensation awarded to, earned by or paid to each of our named executive officers in 2022. This section also provides qualitative information regarding the manner and context in which compensation is awarded to and earned by our executive officers and is intended to place in perspective the data presented in the tables and narrative that follow.</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compensation committee is responsible for overseeing the total compensation of our senior management team, which is comprised of our executive officers and certain other officers. In this capacity, our compensation committee designs, implements, reviews and approves all compensation for our Chief Executive Officer and our senior officers. This section discusses the principles underlying our strategy, philosophy, policies and decisions with respect to the compensation of our named executive officers, and all material factors relevant to an analysis of these policies and decisions. Our named executive officers for the fiscal year ended on December 31, 2022 were: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Cedric Francois, our President, Chief Executive Officer and Principal Executive Officer;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Timothy Sullivan, our Chief Financial Officer and Principal Financial Officer;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David Watson, our General Counsel;</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Pascal Deschatelets, our Chief Scientific Officer;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Adam Townsend, our Chief Commercial Officer.</w:t>
      </w:r>
    </w:p>
    <w:p>
      <w:pPr>
        <w:pStyle w:val="TextBody"/>
        <w:spacing w:before="0" w:after="0"/>
        <w:jc w:val="left"/>
        <w:rPr>
          <w:rFonts w:ascii="Times New Roman;serif" w:hAnsi="Times New Roman;serif"/>
          <w:b/>
          <w:i/>
          <w:sz w:val="18"/>
        </w:rPr>
      </w:pPr>
      <w:r>
        <w:rPr>
          <w:rFonts w:ascii="Times New Roman;serif" w:hAnsi="Times New Roman;serif"/>
          <w:b/>
          <w:i/>
          <w:sz w:val="18"/>
        </w:rPr>
        <w:t>Executive Summary and Company Background</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are a commercial-stage biopharmaceutical company focused on the development and commercialization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have made significant progress in the development of our product candidates and the achievement of our business goals, including the following achievements in 2022 and early 2023:</w:t>
      </w:r>
    </w:p>
    <w:p>
      <w:pPr>
        <w:pStyle w:val="TextBody"/>
        <w:spacing w:before="0" w:after="0"/>
        <w:jc w:val="left"/>
        <w:rPr>
          <w:rFonts w:ascii="Times New Roman;serif" w:hAnsi="Times New Roman;serif"/>
          <w:b w:val="false"/>
          <w:i/>
          <w:sz w:val="18"/>
        </w:rPr>
      </w:pPr>
      <w:r>
        <w:rPr>
          <w:rFonts w:ascii="Times New Roman;serif" w:hAnsi="Times New Roman;serif"/>
          <w:b w:val="false"/>
          <w:i/>
          <w:sz w:val="18"/>
        </w:rPr>
        <w:t>Corporate and Financial Highlights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EMPAVELI, the first targeted C3 therapy approved by the FDA in May 2021, continued to elevate the standard of care for patients with PNH in its second year on the market.</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SYFOVRE was approved by the FDA in February 2023, and is the first and only treatment available for GA.</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We raised gross proceeds of $402.5 million in March 2022 and $402.5 million in February 2023 in two underwritten public offerings of our common stock.</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18"/>
        </w:rPr>
        <w:t>Rare Disease Highlights</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EMPAVELI for the treatment of PNH:</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recorded $65.1 million in net product revenue from sales of EMPAVELI for the full year ended December 31, 2022.</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In February 2023, the FDA approved the sNDA with the Phase 3 PRINCE results and the 48-week Phase 3 PEGASUS data.</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Systemic pegcetacoplan: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and Sobi have advanced multiple late-stage clinical trials of systemic pegcetacoplan in multiple indications.</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are enrolling patients in the Phase 3 VALIANT trial in immune complex membranoproliferative glomerulonephritis (IC-MPGN) and C3 glomerulopathy (C3G).</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expect to report top-line results from the ongoing Phase 2 MERIDIAN trial of systemic pegcetacoplan for ALS in mid-2023.</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0"/>
        <w:jc w:val="left"/>
        <w:rPr/>
      </w:pPr>
      <w:r>
        <w:rPr>
          <w:rFonts w:ascii="Times New Roman;serif" w:hAnsi="Times New Roman;serif"/>
          <w:b w:val="false"/>
          <w:sz w:val="18"/>
        </w:rPr>
        <w:t>Sobi is enrolling patients in the Phase 2 trial in hematopoietic stem cell transplantation-associated thrombotic microangiopathy (HSCT-TMA).</w:t>
      </w:r>
      <w:r>
        <w:rPr/>
        <w:t xml:space="preserve"> </w:t>
      </w:r>
      <w:r>
        <w:rPr>
          <w:rFonts w:ascii="Times New Roman;serif" w:hAnsi="Times New Roman;serif"/>
          <w:b w:val="false"/>
          <w:sz w:val="18"/>
        </w:rPr>
        <w:t>Sobi expects to report data from this study in the second half of 2023.</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Sobi is enrolling patients in a Phase 3 trial in cold agglutinin disease (CAD).</w:t>
      </w:r>
    </w:p>
    <w:p>
      <w:pPr>
        <w:pStyle w:val="TextBody"/>
        <w:spacing w:before="0" w:after="0"/>
        <w:jc w:val="left"/>
        <w:rPr>
          <w:rFonts w:ascii="Times New Roman;serif" w:hAnsi="Times New Roman;serif"/>
          <w:b w:val="false"/>
          <w:i/>
          <w:sz w:val="18"/>
        </w:rPr>
      </w:pPr>
      <w:r>
        <w:rPr>
          <w:rFonts w:ascii="Times New Roman;serif" w:hAnsi="Times New Roman;serif"/>
          <w:b w:val="false"/>
          <w:i/>
          <w:sz w:val="18"/>
        </w:rPr>
        <w:t>Ophthalmology Highlights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SYFOVRE for the treatment of GA:</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July 2022, the FDA accepted and granted Priority Review designation for the NDA for intravitreal pegcetacoplan in GA.</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August 2022, we reported top-line results from the 24-month Phase 3 DERBY and OAKS studies evaluating intravitreal pegcetacoplan, showing increased effects over time and a continued favorable safety profile.</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November 2022, we submitted the 24-month data as a Major Amendment to the NDA, extending the review period to February 2023.</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February 2023, the FDA approved intravitreal pegcetacoplan, with the brand name SYFOVRE, for the treatment of adult patients with GA.</w:t>
      </w:r>
    </w:p>
    <w:p>
      <w:pPr>
        <w:pStyle w:val="TextBody"/>
        <w:spacing w:before="120" w:after="0"/>
        <w:jc w:val="left"/>
        <w:rPr>
          <w:rFonts w:ascii="Times New Roman" w:hAnsi="Times New Roman"/>
          <w:b w:val="false"/>
          <w:sz w:val="18"/>
        </w:rPr>
      </w:pPr>
      <w:r>
        <w:rPr>
          <w:rFonts w:ascii="Times New Roman" w:hAnsi="Times New Roman"/>
          <w:b w:val="false"/>
          <w:sz w:val="18"/>
        </w:rPr>
        <w:t>o</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launched SYFOVRE in the United States in March 2023 and believe it has the potential to be a breakthrough for patients with GA, a disease that affects approximately one million people in the United States and five million people worldwide.</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In December 2022 we submitted a marketing authorization application, or MAA, to the EMA for intravitreal pegcetacoplan for the treatment of GA. The EMA subsequently provided MAA validation and the application is under review.</w:t>
      </w:r>
    </w:p>
    <w:p>
      <w:pPr>
        <w:pStyle w:val="TextBody"/>
        <w:spacing w:before="0" w:after="0"/>
        <w:jc w:val="left"/>
        <w:rPr>
          <w:rFonts w:ascii="Times New Roman" w:hAnsi="Times New Roman"/>
          <w:sz w:val="20"/>
        </w:rPr>
      </w:pPr>
      <w:r>
        <w:rPr>
          <w:rFonts w:ascii="Times New Roman;serif" w:hAnsi="Times New Roman;serif"/>
          <w:b w:val="false"/>
          <w:i/>
          <w:sz w:val="18"/>
        </w:rPr>
        <w:t>Neurology Highlights</w:t>
      </w:r>
      <w:r>
        <w:rPr>
          <w:rFonts w:ascii="Times New Roman" w:hAnsi="Times New Roman"/>
          <w:sz w:val="20"/>
        </w:rPr>
        <w:t xml:space="preserve"> </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We continue to advance pre-clinical studies or APL-1030, a first-in-class, brain-active C3 inhibitor for neurodegenerative diseases.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18"/>
        </w:rPr>
        <w:t>Executive Compensation Program Highlights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18"/>
        </w:rPr>
        <w:t xml:space="preserve">Executive compensation program is designed to attract, motivate, and retain executive officers, who are critical to our success. </w:t>
      </w:r>
      <w:r>
        <w:rPr>
          <w:rFonts w:ascii="Times New Roman;serif" w:hAnsi="Times New Roman;serif"/>
          <w:b w:val="false"/>
          <w:sz w:val="18"/>
        </w:rPr>
        <w:t>Due to the nature</w:t>
      </w:r>
      <w:r>
        <w:rPr>
          <w:rFonts w:ascii="Times New Roman" w:hAnsi="Times New Roman"/>
          <w:sz w:val="20"/>
        </w:rPr>
        <w:t xml:space="preserve"> </w:t>
      </w:r>
      <w:r>
        <w:rPr>
          <w:rFonts w:ascii="Times New Roman;serif" w:hAnsi="Times New Roman;serif"/>
          <w:b w:val="false"/>
          <w:sz w:val="18"/>
        </w:rPr>
        <w:t>of our business, we compete for executive talent with many public companies that are larger and more established than we are or that possess greater resources than we do, and with smaller private companies that may be able to offer greater equity compensation potential. Our compensation programs are structured to be competitive with the market and to reward our named executive officers for the achievement of near- and longer-term financial and strategic goals and for driving corporate financial performance and stability.</w:t>
      </w:r>
    </w:p>
    <w:p>
      <w:pPr>
        <w:pStyle w:val="TextBody"/>
        <w:spacing w:before="0" w:after="0"/>
        <w:jc w:val="both"/>
        <w:rPr>
          <w:rFonts w:ascii="Times New Roman" w:hAnsi="Times New Roman"/>
          <w:sz w:val="20"/>
        </w:rPr>
      </w:pPr>
      <w:r>
        <w:rPr>
          <w:rFonts w:ascii="Times New Roman;serif" w:hAnsi="Times New Roman;serif"/>
          <w:b/>
          <w:sz w:val="18"/>
        </w:rPr>
        <w:t>Our executive compensation is aligned with long-term shareholder value creation</w:t>
      </w:r>
      <w:r>
        <w:rPr>
          <w:rFonts w:ascii="Times New Roman;serif" w:hAnsi="Times New Roman;serif"/>
          <w:b w:val="false"/>
          <w:sz w:val="18"/>
        </w:rPr>
        <w:t>. A significant portion of our executive compensation is variable</w:t>
      </w:r>
      <w:r>
        <w:rPr>
          <w:rFonts w:ascii="Times New Roman" w:hAnsi="Times New Roman"/>
          <w:sz w:val="20"/>
        </w:rPr>
        <w:t xml:space="preserve"> </w:t>
      </w:r>
      <w:r>
        <w:rPr>
          <w:rFonts w:ascii="Times New Roman;serif" w:hAnsi="Times New Roman;serif"/>
          <w:b w:val="false"/>
          <w:sz w:val="18"/>
        </w:rPr>
        <w:t>and at risk, tied to our stock price performance or achievement of pre-set performance objectives. Consistent with the practice of clinical-stage biotech companies, we provide a significant portion of our long-term equity incentives in the form of service- and performance-based stock options that deliver value only if our stock price meaningfully appreciates.</w:t>
      </w:r>
    </w:p>
    <w:p>
      <w:pPr>
        <w:pStyle w:val="TextBody"/>
        <w:spacing w:before="0" w:after="0"/>
        <w:jc w:val="left"/>
        <w:rPr>
          <w:rFonts w:ascii="Times New Roman" w:hAnsi="Times New Roman"/>
          <w:sz w:val="20"/>
        </w:rPr>
      </w:pPr>
      <w:r>
        <w:rPr>
          <w:rFonts w:ascii="Times New Roman;serif" w:hAnsi="Times New Roman;serif"/>
          <w:b/>
          <w:sz w:val="18"/>
        </w:rPr>
        <w:t>Our 2022 short-term incentive program paid out above target</w:t>
      </w:r>
      <w:r>
        <w:rPr>
          <w:rFonts w:ascii="Times New Roman;serif" w:hAnsi="Times New Roman;serif"/>
          <w:b w:val="false"/>
          <w:sz w:val="18"/>
        </w:rPr>
        <w:t>. Our named executive officers earned 110% of their target</w:t>
      </w:r>
      <w:r>
        <w:rPr>
          <w:rFonts w:ascii="Times New Roman" w:hAnsi="Times New Roman"/>
          <w:sz w:val="20"/>
        </w:rPr>
        <w:t xml:space="preserve"> </w:t>
      </w:r>
      <w:r>
        <w:rPr>
          <w:rFonts w:ascii="Times New Roman;serif" w:hAnsi="Times New Roman;serif"/>
          <w:b w:val="false"/>
          <w:sz w:val="18"/>
        </w:rPr>
        <w:t>short-term incentive opportunities, consistent with performance results that included approval of pegcetacoplan for GA in the United States, submission of an MAA to the EMA for intravitreal pegcetacoplan for the treatment of GA, the attainment of targets for PNH global net product revenues, the submission of the sNDA with the Phase 3 PRINCE results and the 48-week Phase 3 PEGASUS data, and mixed performance in achieving our goals with regards to progressing our rare diseases indications into late-stage clinical trials.</w:t>
      </w:r>
    </w:p>
    <w:p>
      <w:pPr>
        <w:pStyle w:val="TextBody"/>
        <w:spacing w:before="0" w:after="0"/>
        <w:jc w:val="left"/>
        <w:rPr>
          <w:rFonts w:ascii="Times New Roman" w:hAnsi="Times New Roman"/>
          <w:sz w:val="20"/>
        </w:rPr>
      </w:pPr>
      <w:r>
        <w:rPr>
          <w:rFonts w:ascii="Times New Roman;serif" w:hAnsi="Times New Roman;serif"/>
          <w:b/>
          <w:sz w:val="18"/>
        </w:rPr>
        <w:t xml:space="preserve">Performance-based options and RSUs issued in 2022 were achieved in full. </w:t>
      </w:r>
      <w:r>
        <w:rPr>
          <w:rFonts w:ascii="Times New Roman;serif" w:hAnsi="Times New Roman;serif"/>
          <w:b w:val="false"/>
          <w:sz w:val="18"/>
        </w:rPr>
        <w:t>In 2022, we issued performance-based equity incentives to our named executive officers designed to encourage achievement of the following pre-set performance conditions: (i) the submission of an NDA for intravitreal pegcetacoplan with the FDA for the treatment of GA in the second quarter of 2022; (ii) the acceptance of such NDA with priority review by the FDA; and (iii) receipt of approval of the NDA by the FDA by March 15, 2023. Each of the performance conditions were achieved by February 2023. These performance-based equity incentives were issued with a grant date fair value of $0.9 million for our Chief Executive Officer and of between $0.7 million and $0.8 million for each of the other named executive officers.</w:t>
      </w:r>
    </w:p>
    <w:p>
      <w:pPr>
        <w:pStyle w:val="TextBody"/>
        <w:spacing w:before="0" w:after="0"/>
        <w:jc w:val="left"/>
        <w:rPr/>
      </w:pPr>
      <w:r>
        <w:rPr/>
        <w:t> </w:t>
      </w:r>
    </w:p>
    <w:p>
      <w:pPr>
        <w:pStyle w:val="TextBody"/>
        <w:spacing w:before="0" w:after="0"/>
        <w:jc w:val="left"/>
        <w:rPr>
          <w:rFonts w:ascii="Times New Roman;serif" w:hAnsi="Times New Roman;serif"/>
          <w:b/>
          <w:i/>
          <w:sz w:val="18"/>
        </w:rPr>
      </w:pPr>
      <w:r>
        <w:rPr>
          <w:rFonts w:ascii="Times New Roman;serif" w:hAnsi="Times New Roman;serif"/>
          <w:b/>
          <w:i/>
          <w:sz w:val="18"/>
        </w:rPr>
        <w:t>Say-on-Pay Vote Results</w:t>
      </w:r>
    </w:p>
    <w:p>
      <w:pPr>
        <w:pStyle w:val="TextBody"/>
        <w:spacing w:before="0" w:after="0"/>
        <w:jc w:val="left"/>
        <w:rPr>
          <w:rFonts w:ascii="Times New Roman" w:hAnsi="Times New Roman"/>
          <w:sz w:val="20"/>
        </w:rPr>
      </w:pPr>
      <w:r>
        <w:rPr>
          <w:rFonts w:ascii="Times New Roman;serif" w:hAnsi="Times New Roman;serif"/>
          <w:b w:val="false"/>
          <w:sz w:val="18"/>
        </w:rPr>
        <w:t>At our 2022 annual meeting of stockholders, we conducted a non-binding advisory vote on the compensation of our named executive officers, commonly referred to as a “say-on-pay” vote, in accordance with the Dodd-Frank Wall Street Reform and Consumer Protection Act of 2010. Over 98% of the votes cast by stockholders on this proposal, excluding broker non-votes and abstaining votes, were cast in support of the compensation paid to our named executive officers. While this vote is a non-binding advisory vote, our compensation committee and board of directors take the voting results into account in determining the compensation of our named executive officers. The compensation committee considers the stockholder vote as one factor in determining the appropriate level of compensation for the named executive officers. Given the strong level of support evidenced by last year’s say-on-pay vote, among other factors, our compensation committee decided to maintain our general approach to executive compensation and made no significant changes to our executive compensation program this year; including an emphasis on approaches to compensation to align the incentives of the executive officers with long-term value creation for stockholders.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Our compensation committee and board of directors will continue to consider stockholder input and monitor our executive compensation program to ensure it aligns the interests of our named executive officers with the interests of our stockholders and adequately addresses any stockholder concerns that may be expressed in future votes. Consistent with the recommendation of our board of directors and the preference of our stockholders as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reflected in the non-binding advisory vote on the frequency of future “say-on-pay” votes conducted at our 2020 annual meeting of stockholders, our stockholders will have an annual opportunity to cast an advisory vote in connection with compensation for our named executive officers.</w:t>
      </w:r>
    </w:p>
    <w:p>
      <w:pPr>
        <w:pStyle w:val="TextBody"/>
        <w:spacing w:before="0" w:after="0"/>
        <w:jc w:val="left"/>
        <w:rPr/>
      </w:pPr>
      <w:r>
        <w:rPr/>
        <w:t> </w:t>
      </w:r>
    </w:p>
    <w:p>
      <w:pPr>
        <w:pStyle w:val="TextBody"/>
        <w:spacing w:before="0" w:after="0"/>
        <w:jc w:val="left"/>
        <w:rPr>
          <w:rFonts w:ascii="Times New Roman;serif" w:hAnsi="Times New Roman;serif"/>
          <w:b/>
          <w:i/>
          <w:sz w:val="18"/>
        </w:rPr>
      </w:pPr>
      <w:r>
        <w:rPr>
          <w:rFonts w:ascii="Times New Roman;serif" w:hAnsi="Times New Roman;serif"/>
          <w:b/>
          <w:i/>
          <w:sz w:val="18"/>
        </w:rPr>
        <w:t>Compensation Objectives and Philosophy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compensation program is designed to attract, motivate and retain qualified and talented executives, motivating them to achieve our business goals and rewarding them for superior short- and long-term performance. In particular, our compensation program is intended to reward the achievement of specified pre-determined quantitative and qualitative individual and corporate performance goals and objectives and to align the interests of our executive officers with those of our stockholders in order to attain our ultimate objective of increasing stockholder value. The goal of our compensation committee is to ensure that our compensation program is aligned with the interests of our stockholders and our business goals and that the total compensation paid to each of our named executive officers is fair, reasonable and competitive.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Key elements of our compensation program include the following:</w:t>
      </w:r>
    </w:p>
    <w:p>
      <w:pPr>
        <w:pStyle w:val="TextBody"/>
        <w:spacing w:before="0" w:after="0"/>
        <w:jc w:val="left"/>
        <w:rPr>
          <w:rFonts w:ascii="Times New Roman;serif" w:hAnsi="Times New Roman;serif"/>
          <w:b/>
          <w:i/>
          <w:sz w:val="18"/>
        </w:rPr>
      </w:pPr>
      <w:r>
        <w:rPr>
          <w:rFonts w:ascii="Times New Roman;serif" w:hAnsi="Times New Roman;serif"/>
          <w:b/>
          <w:i/>
          <w:sz w:val="18"/>
        </w:rPr>
        <w:t>Base salary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base salary is a fixed component of pay to provide financial stability and is based on responsibilities, experience, individual contributions and peer company data. The purpose is to attract and retain highly skilled executives.</w:t>
      </w:r>
    </w:p>
    <w:p>
      <w:pPr>
        <w:pStyle w:val="TextBody"/>
        <w:spacing w:before="0" w:after="0"/>
        <w:jc w:val="left"/>
        <w:rPr>
          <w:rFonts w:ascii="Times New Roman;serif" w:hAnsi="Times New Roman;serif"/>
          <w:b/>
          <w:i/>
          <w:sz w:val="18"/>
        </w:rPr>
      </w:pPr>
      <w:r>
        <w:rPr>
          <w:rFonts w:ascii="Times New Roman;serif" w:hAnsi="Times New Roman;serif"/>
          <w:b/>
          <w:i/>
          <w:sz w:val="18"/>
        </w:rPr>
        <w:t>Annual cash incentive program</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annual cash incentive program is a variable component of pay based on annual quantitative and qualitative company and individual goals to align with our pay-for-performance philosophy. The purpose is to promote and reward the achievement of our key short-term strategic and business goals as well as individual performance and to motivate and attract executives.</w:t>
      </w:r>
    </w:p>
    <w:p>
      <w:pPr>
        <w:pStyle w:val="TextBody"/>
        <w:spacing w:before="0" w:after="0"/>
        <w:jc w:val="left"/>
        <w:rPr>
          <w:rFonts w:ascii="Times New Roman;serif" w:hAnsi="Times New Roman;serif"/>
          <w:b/>
          <w:i/>
          <w:sz w:val="18"/>
        </w:rPr>
      </w:pPr>
      <w:r>
        <w:rPr>
          <w:rFonts w:ascii="Times New Roman;serif" w:hAnsi="Times New Roman;serif"/>
          <w:b/>
          <w:i/>
          <w:sz w:val="18"/>
        </w:rPr>
        <w:t>Equity incentive compensation</w:t>
      </w:r>
    </w:p>
    <w:p>
      <w:pPr>
        <w:pStyle w:val="TextBody"/>
        <w:spacing w:before="0" w:after="0"/>
        <w:jc w:val="left"/>
        <w:rPr>
          <w:rFonts w:ascii="Times New Roman" w:hAnsi="Times New Roman"/>
          <w:sz w:val="20"/>
        </w:rPr>
      </w:pPr>
      <w:r>
        <w:rPr>
          <w:rFonts w:ascii="Times New Roman;serif" w:hAnsi="Times New Roman;serif"/>
          <w:b w:val="false"/>
          <w:sz w:val="18"/>
        </w:rPr>
        <w:t>Our equity incentive compensation is typically subject to multi-year vesting based on continued service and primarily in the form of stock options and restricted stock units, the value of which depends on the performance of our common stock price, in order to align employee interests with those of our stockholders over the longer-term. In some cases we have issued grants subject to performance conditions based upon the achievement of corporate goals. Effective in September 2022, the compensation committee implemented stock ownership guidelines that apply to our executive officers, including all named executive officers, which are described further on page 33 of the CD&amp;A. The purpose of these guidelines is to encourage executives and other employees to focus on long-term company performance, to promote retention and to reward outstanding company and individual performance.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18"/>
        </w:rPr>
        <w:t>In addition to our direct compensation elements, the following features of our compensation program are designed to align the compensation of our executive officers with stockholder interests and with market best practices: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59"/>
        <w:gridCol w:w="3146"/>
      </w:tblGrid>
      <w:tr>
        <w:trPr/>
        <w:tc>
          <w:tcPr>
            <w:tcW w:w="7059" w:type="dxa"/>
            <w:tcBorders/>
            <w:shd w:fill="FFFFFF" w:val="clear"/>
            <w:vAlign w:val="center"/>
          </w:tcPr>
          <w:p>
            <w:pPr>
              <w:pStyle w:val="TableContents"/>
              <w:spacing w:before="0" w:after="283"/>
              <w:rPr>
                <w:sz w:val="4"/>
                <w:szCs w:val="4"/>
              </w:rPr>
            </w:pPr>
            <w:r>
              <w:rPr>
                <w:sz w:val="4"/>
                <w:szCs w:val="4"/>
              </w:rPr>
            </w:r>
          </w:p>
        </w:tc>
        <w:tc>
          <w:tcPr>
            <w:tcW w:w="3146" w:type="dxa"/>
            <w:tcBorders/>
            <w:shd w:fill="FFFFFF" w:val="clear"/>
            <w:vAlign w:val="center"/>
          </w:tcPr>
          <w:p>
            <w:pPr>
              <w:pStyle w:val="TableContents"/>
              <w:spacing w:before="0" w:after="283"/>
              <w:rPr>
                <w:sz w:val="4"/>
                <w:szCs w:val="4"/>
              </w:rPr>
            </w:pPr>
            <w:r>
              <w:rPr>
                <w:sz w:val="4"/>
                <w:szCs w:val="4"/>
              </w:rPr>
            </w:r>
          </w:p>
        </w:tc>
      </w:tr>
      <w:tr>
        <w:trPr/>
        <w:tc>
          <w:tcPr>
            <w:tcW w:w="7059"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What We Do</w:t>
            </w:r>
          </w:p>
        </w:tc>
        <w:tc>
          <w:tcPr>
            <w:tcW w:w="3146" w:type="dxa"/>
            <w:tcBorders/>
            <w:shd w:fill="auto" w:val="clear"/>
            <w:tcMar>
              <w:top w:w="0" w:type="dxa"/>
              <w:left w:w="0" w:type="dxa"/>
              <w:bottom w:w="0" w:type="dxa"/>
              <w:right w:w="0" w:type="dxa"/>
            </w:tcMar>
            <w:vAlign w:val="center"/>
          </w:tcPr>
          <w:p>
            <w:pPr>
              <w:pStyle w:val="TableContents"/>
              <w:spacing w:before="0" w:after="0"/>
              <w:ind w:left="0" w:right="0" w:firstLine="348"/>
              <w:jc w:val="center"/>
              <w:rPr>
                <w:rFonts w:ascii="Times New Roman;serif" w:hAnsi="Times New Roman;serif"/>
                <w:b/>
                <w:sz w:val="18"/>
              </w:rPr>
            </w:pPr>
            <w:r>
              <w:rPr>
                <w:rFonts w:ascii="Times New Roman;serif" w:hAnsi="Times New Roman;serif"/>
                <w:b/>
                <w:sz w:val="18"/>
              </w:rPr>
              <w:t>What We Don’t Do</w:t>
            </w:r>
          </w:p>
        </w:tc>
      </w:tr>
      <w:tr>
        <w:trPr/>
        <w:tc>
          <w:tcPr>
            <w:tcW w:w="7059" w:type="dxa"/>
            <w:tcBorders/>
            <w:shd w:fill="auto" w:val="clear"/>
            <w:vAlign w:val="center"/>
          </w:tcPr>
          <w:p>
            <w:pPr>
              <w:pStyle w:val="TableContents"/>
              <w:spacing w:before="0" w:after="0"/>
              <w:ind w:left="0" w:right="0" w:firstLine="348"/>
              <w:jc w:val="left"/>
              <w:rPr/>
            </w:pPr>
            <w:r>
              <w:rPr/>
              <w:t xml:space="preserve">✓ </w:t>
            </w:r>
            <w:r>
              <w:rPr>
                <w:rFonts w:ascii="Times New Roman;serif" w:hAnsi="Times New Roman;serif"/>
                <w:b w:val="false"/>
                <w:sz w:val="18"/>
              </w:rPr>
              <w:t>Maintain an industry-specific peer group for benchmarking pay</w:t>
            </w:r>
          </w:p>
        </w:tc>
        <w:tc>
          <w:tcPr>
            <w:tcW w:w="3146" w:type="dxa"/>
            <w:vMerge w:val="restart"/>
            <w:tcBorders/>
            <w:shd w:fill="auto" w:val="clear"/>
            <w:vAlign w:val="center"/>
          </w:tcPr>
          <w:p>
            <w:pPr>
              <w:pStyle w:val="TableContents"/>
              <w:spacing w:before="0" w:after="0"/>
              <w:ind w:left="348" w:right="0" w:hanging="0"/>
              <w:jc w:val="left"/>
              <w:rPr>
                <w:rFonts w:ascii="Times New Roman" w:hAnsi="Times New Roman"/>
                <w:sz w:val="18"/>
              </w:rPr>
            </w:pPr>
            <w:r>
              <w:rPr>
                <w:rFonts w:ascii="Segoe UI Symbol;sans-serif" w:hAnsi="Segoe UI Symbol;sans-serif"/>
                <w:b w:val="false"/>
                <w:sz w:val="18"/>
              </w:rPr>
              <w:t>×</w:t>
            </w:r>
            <w:r>
              <w:rPr>
                <w:rFonts w:ascii="Times New Roman" w:hAnsi="Times New Roman"/>
                <w:sz w:val="18"/>
              </w:rPr>
              <w:t>      </w:t>
            </w:r>
            <w:r>
              <w:rPr>
                <w:rFonts w:ascii="Times New Roman;serif" w:hAnsi="Times New Roman;serif"/>
                <w:b w:val="false"/>
                <w:sz w:val="18"/>
              </w:rPr>
              <w:t>Allow hedging or pledging of equity</w:t>
            </w:r>
          </w:p>
          <w:p>
            <w:pPr>
              <w:pStyle w:val="TableContents"/>
              <w:pBdr/>
              <w:spacing w:before="120" w:after="0"/>
              <w:ind w:left="348" w:right="0" w:hanging="480"/>
              <w:jc w:val="left"/>
              <w:rPr>
                <w:rFonts w:ascii="Times New Roman" w:hAnsi="Times New Roman"/>
                <w:sz w:val="18"/>
              </w:rPr>
            </w:pPr>
            <w:r>
              <w:rPr>
                <w:rFonts w:ascii="Segoe UI Symbol;sans-serif" w:hAnsi="Segoe UI Symbol;sans-serif"/>
                <w:b w:val="false"/>
                <w:sz w:val="18"/>
              </w:rPr>
              <w:t>×</w:t>
            </w:r>
            <w:r>
              <w:rPr>
                <w:rFonts w:ascii="Times New Roman" w:hAnsi="Times New Roman"/>
                <w:sz w:val="18"/>
              </w:rPr>
              <w:t>      </w:t>
            </w:r>
            <w:r>
              <w:rPr>
                <w:rFonts w:ascii="Times New Roman;serif" w:hAnsi="Times New Roman;serif"/>
                <w:b w:val="false"/>
                <w:sz w:val="18"/>
              </w:rPr>
              <w:t>Re-price stock options</w:t>
            </w:r>
          </w:p>
          <w:p>
            <w:pPr>
              <w:pStyle w:val="TableContents"/>
              <w:pBdr/>
              <w:spacing w:before="120" w:after="0"/>
              <w:ind w:left="348" w:right="0" w:hanging="480"/>
              <w:jc w:val="left"/>
              <w:rPr>
                <w:rFonts w:ascii="Times New Roman" w:hAnsi="Times New Roman"/>
                <w:sz w:val="18"/>
              </w:rPr>
            </w:pPr>
            <w:r>
              <w:rPr>
                <w:rFonts w:ascii="Segoe UI Symbol;sans-serif" w:hAnsi="Segoe UI Symbol;sans-serif"/>
                <w:b w:val="false"/>
                <w:sz w:val="18"/>
              </w:rPr>
              <w:t>×</w:t>
            </w:r>
            <w:r>
              <w:rPr>
                <w:rFonts w:ascii="Times New Roman" w:hAnsi="Times New Roman"/>
                <w:sz w:val="18"/>
              </w:rPr>
              <w:t>      </w:t>
            </w:r>
            <w:r>
              <w:rPr>
                <w:rFonts w:ascii="Times New Roman;serif" w:hAnsi="Times New Roman;serif"/>
                <w:b w:val="false"/>
                <w:sz w:val="18"/>
              </w:rPr>
              <w:t>Provide excessive perquisites</w:t>
            </w:r>
          </w:p>
          <w:p>
            <w:pPr>
              <w:pStyle w:val="TableContents"/>
              <w:pBdr/>
              <w:spacing w:before="120" w:after="0"/>
              <w:ind w:left="348" w:right="0" w:hanging="480"/>
              <w:jc w:val="left"/>
              <w:rPr>
                <w:rFonts w:ascii="Times New Roman" w:hAnsi="Times New Roman"/>
                <w:sz w:val="18"/>
              </w:rPr>
            </w:pPr>
            <w:r>
              <w:rPr>
                <w:rFonts w:ascii="Segoe UI Symbol;sans-serif" w:hAnsi="Segoe UI Symbol;sans-serif"/>
                <w:b w:val="false"/>
                <w:sz w:val="18"/>
              </w:rPr>
              <w:t>×</w:t>
            </w:r>
            <w:r>
              <w:rPr>
                <w:rFonts w:ascii="Times New Roman" w:hAnsi="Times New Roman"/>
                <w:sz w:val="18"/>
              </w:rPr>
              <w:t>      </w:t>
            </w:r>
            <w:r>
              <w:rPr>
                <w:rFonts w:ascii="Times New Roman;serif" w:hAnsi="Times New Roman;serif"/>
                <w:b w:val="false"/>
                <w:sz w:val="18"/>
              </w:rPr>
              <w:t>Provide supplemental executive retirement plans</w:t>
            </w:r>
          </w:p>
          <w:p>
            <w:pPr>
              <w:pStyle w:val="TableContents"/>
              <w:pBdr/>
              <w:spacing w:before="120" w:after="0"/>
              <w:ind w:left="346" w:right="0" w:hanging="475"/>
              <w:jc w:val="left"/>
              <w:rPr>
                <w:rFonts w:ascii="Times New Roman" w:hAnsi="Times New Roman"/>
                <w:sz w:val="18"/>
              </w:rPr>
            </w:pPr>
            <w:r>
              <w:rPr>
                <w:rFonts w:ascii="Segoe UI Symbol;sans-serif" w:hAnsi="Segoe UI Symbol;sans-serif"/>
                <w:b w:val="false"/>
                <w:sz w:val="18"/>
              </w:rPr>
              <w:t>×</w:t>
            </w:r>
            <w:r>
              <w:rPr>
                <w:rFonts w:ascii="Times New Roman" w:hAnsi="Times New Roman"/>
                <w:sz w:val="18"/>
              </w:rPr>
              <w:t>      </w:t>
            </w:r>
            <w:r>
              <w:rPr>
                <w:rFonts w:ascii="Times New Roman;serif" w:hAnsi="Times New Roman;serif"/>
                <w:b w:val="false"/>
                <w:sz w:val="18"/>
              </w:rPr>
              <w:t>Provide tax gross-up payments for any change-of-control</w:t>
            </w:r>
          </w:p>
          <w:p>
            <w:pPr>
              <w:pStyle w:val="TableContents"/>
              <w:pBdr/>
              <w:spacing w:before="0" w:after="0"/>
              <w:ind w:left="346" w:right="0" w:hanging="475"/>
              <w:jc w:val="left"/>
              <w:rPr/>
            </w:pPr>
            <w:r>
              <w:rPr/>
              <w:t>         </w:t>
            </w:r>
            <w:r>
              <w:rPr>
                <w:rFonts w:ascii="Times New Roman;serif" w:hAnsi="Times New Roman;serif"/>
                <w:b w:val="false"/>
                <w:sz w:val="18"/>
              </w:rPr>
              <w:t>payments</w:t>
            </w:r>
          </w:p>
          <w:p>
            <w:pPr>
              <w:pStyle w:val="TableContents"/>
              <w:pBdr/>
              <w:spacing w:before="120" w:after="0"/>
              <w:ind w:left="346" w:right="0" w:hanging="475"/>
              <w:jc w:val="left"/>
              <w:rPr>
                <w:rFonts w:ascii="Times New Roman" w:hAnsi="Times New Roman"/>
                <w:sz w:val="18"/>
              </w:rPr>
            </w:pPr>
            <w:r>
              <w:rPr>
                <w:rFonts w:ascii="Segoe UI Symbol;sans-serif" w:hAnsi="Segoe UI Symbol;sans-serif"/>
                <w:b w:val="false"/>
                <w:sz w:val="18"/>
              </w:rPr>
              <w:t>×</w:t>
            </w:r>
            <w:r>
              <w:rPr>
                <w:rFonts w:ascii="Times New Roman" w:hAnsi="Times New Roman"/>
                <w:sz w:val="18"/>
              </w:rPr>
              <w:t xml:space="preserve"> </w:t>
            </w:r>
            <w:r>
              <w:rPr>
                <w:rFonts w:ascii="Times New Roman;serif" w:hAnsi="Times New Roman;serif"/>
                <w:b w:val="false"/>
                <w:sz w:val="18"/>
              </w:rPr>
              <w:t>Modify or waive performance conditions after grant of</w:t>
            </w:r>
            <w:r>
              <w:rPr>
                <w:rFonts w:ascii="Times New Roman" w:hAnsi="Times New Roman"/>
                <w:sz w:val="18"/>
              </w:rPr>
              <w:t xml:space="preserve"> </w:t>
            </w:r>
          </w:p>
          <w:p>
            <w:pPr>
              <w:pStyle w:val="TableContents"/>
              <w:pBdr/>
              <w:spacing w:before="0" w:after="0"/>
              <w:ind w:left="346" w:right="0" w:hanging="475"/>
              <w:jc w:val="left"/>
              <w:rPr/>
            </w:pPr>
            <w:r>
              <w:rPr/>
              <w:t>         </w:t>
            </w:r>
            <w:r>
              <w:rPr>
                <w:rFonts w:ascii="Times New Roman;serif" w:hAnsi="Times New Roman;serif"/>
                <w:b w:val="false"/>
                <w:sz w:val="18"/>
              </w:rPr>
              <w:t>performance-based awards</w:t>
            </w:r>
          </w:p>
          <w:p>
            <w:pPr>
              <w:pStyle w:val="TableContents"/>
              <w:pBdr/>
              <w:spacing w:before="120" w:after="0"/>
              <w:ind w:left="348" w:right="0" w:hanging="480"/>
              <w:jc w:val="left"/>
              <w:rPr/>
            </w:pPr>
            <w:r>
              <w:rPr/>
              <w:t> </w:t>
            </w:r>
          </w:p>
          <w:p>
            <w:pPr>
              <w:pStyle w:val="TableContents"/>
              <w:pBdr/>
              <w:spacing w:before="0" w:after="0"/>
              <w:ind w:left="348" w:right="0" w:hanging="480"/>
              <w:jc w:val="left"/>
              <w:rPr>
                <w:rFonts w:ascii="Times New Roman" w:hAnsi="Times New Roman"/>
                <w:sz w:val="18"/>
              </w:rPr>
            </w:pPr>
            <w:r>
              <w:rPr>
                <w:rFonts w:ascii="Times New Roman;serif" w:hAnsi="Times New Roman;serif"/>
                <w:b w:val="false"/>
                <w:sz w:val="18"/>
              </w:rPr>
              <w:br/>
            </w:r>
            <w:r>
              <w:rPr>
                <w:rFonts w:ascii="Times New Roman" w:hAnsi="Times New Roman"/>
                <w:sz w:val="18"/>
              </w:rPr>
              <w:t> </w:t>
            </w:r>
          </w:p>
          <w:p>
            <w:pPr>
              <w:pStyle w:val="TableContents"/>
              <w:pBdr/>
              <w:spacing w:before="0" w:after="0"/>
              <w:ind w:left="0" w:right="0" w:firstLine="348"/>
              <w:jc w:val="left"/>
              <w:rPr/>
            </w:pPr>
            <w:r>
              <w:rPr/>
              <w:t> </w:t>
            </w:r>
          </w:p>
        </w:tc>
      </w:tr>
      <w:tr>
        <w:trPr/>
        <w:tc>
          <w:tcPr>
            <w:tcW w:w="7059" w:type="dxa"/>
            <w:tcBorders/>
            <w:shd w:fill="auto" w:val="clear"/>
            <w:vAlign w:val="center"/>
          </w:tcPr>
          <w:p>
            <w:pPr>
              <w:pStyle w:val="TableContents"/>
              <w:spacing w:before="0" w:after="0"/>
              <w:ind w:left="0" w:right="0" w:firstLine="348"/>
              <w:jc w:val="left"/>
              <w:rPr/>
            </w:pPr>
            <w:r>
              <w:rPr/>
              <w:t xml:space="preserve">✓ </w:t>
            </w:r>
            <w:r>
              <w:rPr>
                <w:rFonts w:ascii="Times New Roman;serif" w:hAnsi="Times New Roman;serif"/>
                <w:b w:val="false"/>
                <w:sz w:val="18"/>
              </w:rPr>
              <w:t>Target pay based on market norms</w:t>
            </w:r>
          </w:p>
        </w:tc>
        <w:tc>
          <w:tcPr>
            <w:tcW w:w="3146" w:type="dxa"/>
            <w:vMerge w:val="continue"/>
            <w:tcBorders/>
            <w:shd w:fill="auto" w:val="clear"/>
            <w:vAlign w:val="center"/>
          </w:tcPr>
          <w:p>
            <w:pPr>
              <w:pStyle w:val="Normal"/>
              <w:rPr/>
            </w:pPr>
            <w:r>
              <w:rPr/>
            </w:r>
          </w:p>
        </w:tc>
      </w:tr>
      <w:tr>
        <w:trPr/>
        <w:tc>
          <w:tcPr>
            <w:tcW w:w="7059" w:type="dxa"/>
            <w:tcBorders/>
            <w:shd w:fill="auto" w:val="clear"/>
            <w:vAlign w:val="center"/>
          </w:tcPr>
          <w:p>
            <w:pPr>
              <w:pStyle w:val="TableContents"/>
              <w:spacing w:before="0" w:after="0"/>
              <w:ind w:left="0" w:right="0" w:firstLine="348"/>
              <w:jc w:val="left"/>
              <w:rPr/>
            </w:pPr>
            <w:r>
              <w:rPr/>
              <w:t xml:space="preserve">✓ </w:t>
            </w:r>
            <w:r>
              <w:rPr>
                <w:rFonts w:ascii="Times New Roman;serif" w:hAnsi="Times New Roman;serif"/>
                <w:b w:val="false"/>
                <w:sz w:val="18"/>
              </w:rPr>
              <w:t>Deliver majority of executive compensation through equity and performance-based pay</w:t>
            </w:r>
          </w:p>
        </w:tc>
        <w:tc>
          <w:tcPr>
            <w:tcW w:w="3146" w:type="dxa"/>
            <w:vMerge w:val="continue"/>
            <w:tcBorders/>
            <w:shd w:fill="auto" w:val="clear"/>
            <w:vAlign w:val="center"/>
          </w:tcPr>
          <w:p>
            <w:pPr>
              <w:pStyle w:val="Normal"/>
              <w:rPr/>
            </w:pPr>
            <w:r>
              <w:rPr/>
            </w:r>
          </w:p>
        </w:tc>
      </w:tr>
      <w:tr>
        <w:trPr/>
        <w:tc>
          <w:tcPr>
            <w:tcW w:w="7059" w:type="dxa"/>
            <w:tcBorders/>
            <w:shd w:fill="auto" w:val="clear"/>
            <w:vAlign w:val="center"/>
          </w:tcPr>
          <w:p>
            <w:pPr>
              <w:pStyle w:val="TableContents"/>
              <w:spacing w:before="0" w:after="0"/>
              <w:ind w:left="0" w:right="0" w:firstLine="348"/>
              <w:jc w:val="left"/>
              <w:rPr/>
            </w:pPr>
            <w:r>
              <w:rPr/>
              <w:t xml:space="preserve">✓ </w:t>
            </w:r>
            <w:r>
              <w:rPr>
                <w:rFonts w:ascii="Times New Roman;serif" w:hAnsi="Times New Roman;serif"/>
                <w:b w:val="false"/>
                <w:sz w:val="18"/>
              </w:rPr>
              <w:t>Set challenging incentive program goals</w:t>
            </w:r>
          </w:p>
        </w:tc>
        <w:tc>
          <w:tcPr>
            <w:tcW w:w="3146" w:type="dxa"/>
            <w:vMerge w:val="continue"/>
            <w:tcBorders/>
            <w:shd w:fill="auto" w:val="clear"/>
            <w:vAlign w:val="center"/>
          </w:tcPr>
          <w:p>
            <w:pPr>
              <w:pStyle w:val="Normal"/>
              <w:rPr/>
            </w:pPr>
            <w:r>
              <w:rPr/>
            </w:r>
          </w:p>
        </w:tc>
      </w:tr>
      <w:tr>
        <w:trPr/>
        <w:tc>
          <w:tcPr>
            <w:tcW w:w="7059" w:type="dxa"/>
            <w:tcBorders/>
            <w:shd w:fill="auto" w:val="clear"/>
            <w:vAlign w:val="center"/>
          </w:tcPr>
          <w:p>
            <w:pPr>
              <w:pStyle w:val="TableContents"/>
              <w:spacing w:before="0" w:after="0"/>
              <w:ind w:left="0" w:right="0" w:firstLine="348"/>
              <w:jc w:val="left"/>
              <w:rPr/>
            </w:pPr>
            <w:r>
              <w:rPr/>
              <w:t xml:space="preserve">✓ </w:t>
            </w:r>
            <w:r>
              <w:rPr>
                <w:rFonts w:ascii="Times New Roman;serif" w:hAnsi="Times New Roman;serif"/>
                <w:b w:val="false"/>
                <w:sz w:val="18"/>
              </w:rPr>
              <w:t>Offer market-competitive benefits for executives that are consistent with the rest of our employees</w:t>
            </w:r>
          </w:p>
        </w:tc>
        <w:tc>
          <w:tcPr>
            <w:tcW w:w="3146" w:type="dxa"/>
            <w:vMerge w:val="continue"/>
            <w:tcBorders/>
            <w:shd w:fill="auto" w:val="clear"/>
            <w:vAlign w:val="center"/>
          </w:tcPr>
          <w:p>
            <w:pPr>
              <w:pStyle w:val="Normal"/>
              <w:rPr/>
            </w:pPr>
            <w:r>
              <w:rPr/>
            </w:r>
          </w:p>
        </w:tc>
      </w:tr>
      <w:tr>
        <w:trPr/>
        <w:tc>
          <w:tcPr>
            <w:tcW w:w="7059" w:type="dxa"/>
            <w:tcBorders/>
            <w:shd w:fill="auto" w:val="clear"/>
            <w:vAlign w:val="center"/>
          </w:tcPr>
          <w:p>
            <w:pPr>
              <w:pStyle w:val="TableContents"/>
              <w:spacing w:before="0" w:after="0"/>
              <w:ind w:left="0" w:right="0" w:firstLine="348"/>
              <w:jc w:val="left"/>
              <w:rPr/>
            </w:pPr>
            <w:r>
              <w:rPr/>
              <w:t xml:space="preserve">✓ </w:t>
            </w:r>
            <w:r>
              <w:rPr>
                <w:rFonts w:ascii="Times New Roman;serif" w:hAnsi="Times New Roman;serif"/>
                <w:b w:val="false"/>
                <w:sz w:val="18"/>
              </w:rPr>
              <w:t>Consult with an independent compensation advisor on compensation levels and practices</w:t>
            </w:r>
          </w:p>
        </w:tc>
        <w:tc>
          <w:tcPr>
            <w:tcW w:w="3146" w:type="dxa"/>
            <w:vMerge w:val="continue"/>
            <w:tcBorders/>
            <w:shd w:fill="auto" w:val="clear"/>
            <w:vAlign w:val="center"/>
          </w:tcPr>
          <w:p>
            <w:pPr>
              <w:pStyle w:val="Normal"/>
              <w:rPr/>
            </w:pPr>
            <w:r>
              <w:rPr/>
            </w:r>
          </w:p>
        </w:tc>
      </w:tr>
      <w:tr>
        <w:trPr/>
        <w:tc>
          <w:tcPr>
            <w:tcW w:w="7059" w:type="dxa"/>
            <w:tcBorders/>
            <w:shd w:fill="auto" w:val="clear"/>
            <w:vAlign w:val="center"/>
          </w:tcPr>
          <w:p>
            <w:pPr>
              <w:pStyle w:val="TableContents"/>
              <w:spacing w:before="0" w:after="0"/>
              <w:ind w:left="0" w:right="0" w:firstLine="348"/>
              <w:jc w:val="left"/>
              <w:rPr/>
            </w:pPr>
            <w:r>
              <w:rPr/>
              <w:t xml:space="preserve">✓ </w:t>
            </w:r>
            <w:r>
              <w:rPr>
                <w:rFonts w:ascii="Times New Roman;serif" w:hAnsi="Times New Roman;serif"/>
                <w:b w:val="false"/>
                <w:sz w:val="18"/>
              </w:rPr>
              <w:t>Recover excess incentive-based compensation resulting from an accounting restatement or related to activity that causes serious financial or reputational damage</w:t>
            </w:r>
          </w:p>
        </w:tc>
        <w:tc>
          <w:tcPr>
            <w:tcW w:w="3146" w:type="dxa"/>
            <w:vMerge w:val="continue"/>
            <w:tcBorders/>
            <w:shd w:fill="auto" w:val="clear"/>
            <w:vAlign w:val="center"/>
          </w:tcPr>
          <w:p>
            <w:pPr>
              <w:pStyle w:val="Normal"/>
              <w:rPr/>
            </w:pPr>
            <w:r>
              <w:rPr/>
            </w:r>
          </w:p>
        </w:tc>
      </w:tr>
      <w:tr>
        <w:trPr/>
        <w:tc>
          <w:tcPr>
            <w:tcW w:w="7059" w:type="dxa"/>
            <w:tcBorders/>
            <w:shd w:fill="auto" w:val="clear"/>
            <w:vAlign w:val="center"/>
          </w:tcPr>
          <w:p>
            <w:pPr>
              <w:pStyle w:val="TableContents"/>
              <w:spacing w:before="0" w:after="0"/>
              <w:ind w:left="348" w:right="0" w:hanging="0"/>
              <w:jc w:val="left"/>
              <w:rPr/>
            </w:pPr>
            <w:r>
              <w:rPr/>
              <w:t xml:space="preserve">✓ </w:t>
            </w:r>
            <w:r>
              <w:rPr>
                <w:rFonts w:ascii="Times New Roman;serif" w:hAnsi="Times New Roman;serif"/>
                <w:b w:val="false"/>
                <w:sz w:val="18"/>
              </w:rPr>
              <w:t>Require executive officers to comply with robust stock ownership guidelines</w:t>
            </w:r>
          </w:p>
        </w:tc>
        <w:tc>
          <w:tcPr>
            <w:tcW w:w="3146" w:type="dxa"/>
            <w:vMerge w:val="continue"/>
            <w:tcBorders/>
            <w:shd w:fill="auto" w:val="clear"/>
            <w:vAlign w:val="center"/>
          </w:tcPr>
          <w:p>
            <w:pPr>
              <w:pStyle w:val="Normal"/>
              <w:rPr/>
            </w:pPr>
            <w:r>
              <w:rPr/>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compensation committee developed our compensation program and makes decisions regarding our compensation program with the assistance of a compensation consultant engaged by our compensation committee. The compensation committee engages an independent compensation consultant to advise on executive officer and director compensation matters including, overall compensation program design, peer group development and updates, and benchmarking of executive officer and director compensation programs. As part of its services, the independent compensation consultant provides the compensation committee with publicly available compensation data from a peer group of similarly situated publicly traded companies in the biopharmaceuticals and biotechnology industries and assistance reviewing subscription survey data and reported directly to our compensation committee. Prior to August 2021, Radford Consulting, or Radford, served as the independent compensation consultant to the compensation committee. In August 2021, our compensation committee engaged Pay Governance, replacing Radford, as its independent compensation consultant, and thereafter Pay Governance has served as the independent compensation consultant to our compensation committee.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addition to its services to the compensation committee described above, in 2022, Pay Governance provided compensation consulting services to our management with respect to the compensation of non-officer employees within and outside the United States. The decision to engage Pay Governance for advice and services not related to executive compensation was made by management but at the Compensation Committee’s direction. Our compensation committee has assessed the independence of Pay Governance consistent with Nasdaq listing standards and has concluded that the engagement of this compensation consultant did not, and does not, raise any conflict of interest.</w:t>
      </w:r>
    </w:p>
    <w:p>
      <w:pPr>
        <w:pStyle w:val="TextBody"/>
        <w:spacing w:before="0" w:after="0"/>
        <w:jc w:val="left"/>
        <w:rPr>
          <w:rFonts w:ascii="Times New Roman;serif" w:hAnsi="Times New Roman;serif"/>
          <w:b/>
          <w:i/>
          <w:sz w:val="18"/>
        </w:rPr>
      </w:pPr>
      <w:r>
        <w:rPr>
          <w:rFonts w:ascii="Times New Roman;serif" w:hAnsi="Times New Roman;serif"/>
          <w:b/>
          <w:i/>
          <w:sz w:val="18"/>
        </w:rPr>
        <w:t>Defining and Comparing Compensation to Market Benchmarks</w:t>
      </w:r>
    </w:p>
    <w:p>
      <w:pPr>
        <w:pStyle w:val="TextBody"/>
        <w:spacing w:before="0" w:after="0"/>
        <w:jc w:val="left"/>
        <w:rPr>
          <w:rFonts w:ascii="Times New Roman" w:hAnsi="Times New Roman"/>
          <w:sz w:val="20"/>
        </w:rPr>
      </w:pPr>
      <w:r>
        <w:rPr>
          <w:rFonts w:ascii="Times New Roman;serif" w:hAnsi="Times New Roman;serif"/>
          <w:b w:val="false"/>
          <w:sz w:val="18"/>
        </w:rPr>
        <w:t>In late 2021 and early 2022, our compensation committee evaluated information from publicly traded companies in the biopharmaceutical and biotechnology industries and peer group data analyzed by Pay Governance, to make decisions with respect to the compensation of our named executive officers with respect to the calendar year 2022. Due to the nature of our business, we compete for executive talent with many public companies that are larger and more established than we are or that possess greater resources than we do, and with smaller private companies that may be able to offer greater equity compensation potential. Accordingly, in 2022, our compensation committee generally targeted total compensation for our executive officers at the 50</w:t>
      </w:r>
      <w:r>
        <w:rPr>
          <w:rFonts w:ascii="Times New Roman;serif" w:hAnsi="Times New Roman;serif"/>
          <w:b w:val="false"/>
          <w:sz w:val="12"/>
        </w:rPr>
        <w:t>th</w:t>
      </w:r>
      <w:r>
        <w:rPr>
          <w:rFonts w:ascii="Times New Roman" w:hAnsi="Times New Roman"/>
          <w:sz w:val="20"/>
        </w:rPr>
        <w:t xml:space="preserve"> </w:t>
      </w:r>
      <w:r>
        <w:rPr>
          <w:rFonts w:ascii="Times New Roman;serif" w:hAnsi="Times New Roman;serif"/>
          <w:b w:val="false"/>
          <w:sz w:val="18"/>
        </w:rPr>
        <w:t>percentile of the peer group data.</w:t>
      </w:r>
    </w:p>
    <w:p>
      <w:pPr>
        <w:pStyle w:val="TextBody"/>
        <w:spacing w:before="0" w:after="0"/>
        <w:jc w:val="left"/>
        <w:rPr>
          <w:rFonts w:ascii="Times New Roman" w:hAnsi="Times New Roman"/>
          <w:sz w:val="20"/>
        </w:rPr>
      </w:pPr>
      <w:r>
        <w:rPr>
          <w:rFonts w:ascii="Times New Roman;serif" w:hAnsi="Times New Roman;serif"/>
          <w:b w:val="false"/>
          <w:sz w:val="18"/>
        </w:rPr>
        <w:t>However, in making compensation decisions, our compensation committee considered other criteria, including market factors, the experience level of the executive, corporate performance, the performance of the executive and other factors described below. Moreover, in 2022, the compensation committee approved performance-based equity awards that increased compensation opportunity for executive officers to approximately the 75</w:t>
      </w:r>
      <w:r>
        <w:rPr>
          <w:rFonts w:ascii="Times New Roman;serif" w:hAnsi="Times New Roman;serif"/>
          <w:b w:val="false"/>
          <w:sz w:val="15"/>
        </w:rPr>
        <w:t xml:space="preserve">th </w:t>
      </w:r>
      <w:r>
        <w:rPr>
          <w:rFonts w:ascii="Times New Roman;serif" w:hAnsi="Times New Roman;serif"/>
          <w:b w:val="false"/>
          <w:sz w:val="18"/>
        </w:rPr>
        <w:t>percentile, if the performance goals were met.</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compensation committee, with the advice of Pay Governance, selected a peer group of similarly situated companies and made compensation decisions based on publicly available compensation data from the peer group and subscription survey data analyzed by Pay Governance. Our compensation committee selected the peer companies based on a balance of the following criteria:</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companies whose number of employees, stage of development, commercial status, and market capitalization are similar, though not necessarily identical, to ours;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companies with similar executive positions to ours;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companies against which we believe we compete for executive talent;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public companies based in the United States whose compensation and financial data are available in proxy statements or through widely available compensation surveys.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Based on these criteria, our peer group for 2022, as approved by our compensation committee in December 2021, with the advice of Pay Governance, was comprised of the following 16 companies:</w:t>
      </w:r>
    </w:p>
    <w:tbl>
      <w:tblPr>
        <w:tblW w:w="6453" w:type="dxa"/>
        <w:jc w:val="left"/>
        <w:tblInd w:w="0" w:type="dxa"/>
        <w:tblCellMar>
          <w:top w:w="28" w:type="dxa"/>
          <w:left w:w="28" w:type="dxa"/>
          <w:bottom w:w="28" w:type="dxa"/>
          <w:right w:w="28" w:type="dxa"/>
        </w:tblCellMar>
      </w:tblPr>
      <w:tblGrid>
        <w:gridCol w:w="2311"/>
        <w:gridCol w:w="2011"/>
        <w:gridCol w:w="2131"/>
      </w:tblGrid>
      <w:tr>
        <w:trPr/>
        <w:tc>
          <w:tcPr>
            <w:tcW w:w="2311"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ACADIA Pharmaceuticals</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Deciphera Pharmaceuticals</w:t>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Revance Therapeutics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Acceleron Pharma</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Global Blood Therapeutics</w:t>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Sage Therapeutics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Agios Pharmaceuticals</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Insmed Incorporated</w:t>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Ultragenyx Pharmaceuticals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Amicus Therapeutics, Inc.</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Ionis Pharmaceuticals</w:t>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Zogenix</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Biohaven Pharma Holding Co.</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Ironwood Pharmaceuticals</w:t>
            </w:r>
          </w:p>
        </w:tc>
        <w:tc>
          <w:tcPr>
            <w:tcW w:w="213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Blueprint Medicines</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PTC Therapeutics</w:t>
            </w:r>
          </w:p>
        </w:tc>
        <w:tc>
          <w:tcPr>
            <w:tcW w:w="21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2022 peer group represented a group of biopharmaceutical companies more similar to us in key measures than the list we used in 2021, in light of our growth and the advancement of our development pipeline in 2021, focusing on companies that were similar to us in terms of market capitalization, business results and product development. Specifically, Akebia Therapeutics, Aimmune Therapeutics, Epizyme, Esperion Therapeutics, Iovance Biopharmaceutics, MyoKardia, Karyopharma Therapeutics, and Reata Pharmaceuticals were removed from the 2022 peer group, and Amicus Therapeutics, Biohaven Pharmaceutical Holding Co., Ionis Pharmaceuticals, Ironwood Pharmaceuticals and Insmed Incorporated were added to the 2022 peer group.</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For purposes of compensation for 2023, in September 2022, our compensation committee, with the advice of Pay Governance, selected a peer group based on the same criteria and made compensation decisions based on publicly available compensation data from the peer group and subscription survey data, which were analyzed by Pay Governance. Based on these criteria, our peer group for 2023, as approved by our compensation committee, is comprised of the following 14 companies:</w:t>
      </w:r>
    </w:p>
    <w:tbl>
      <w:tblPr>
        <w:tblW w:w="6753" w:type="dxa"/>
        <w:jc w:val="left"/>
        <w:tblInd w:w="0" w:type="dxa"/>
        <w:tblCellMar>
          <w:top w:w="28" w:type="dxa"/>
          <w:left w:w="28" w:type="dxa"/>
          <w:bottom w:w="28" w:type="dxa"/>
          <w:right w:w="28" w:type="dxa"/>
        </w:tblCellMar>
      </w:tblPr>
      <w:tblGrid>
        <w:gridCol w:w="2311"/>
        <w:gridCol w:w="2011"/>
        <w:gridCol w:w="2431"/>
      </w:tblGrid>
      <w:tr>
        <w:trPr/>
        <w:tc>
          <w:tcPr>
            <w:tcW w:w="2311"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ACADIA Pharmaceuticals</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Exelixis, Inc.</w:t>
            </w:r>
          </w:p>
        </w:tc>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PTC Therapeutics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Alkermes plc</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Global Blood Therapeutics</w:t>
            </w:r>
          </w:p>
        </w:tc>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Sarepta Therapeutics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Amicus Therapeutics, Inc.</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Insmed Incorporated</w:t>
            </w:r>
          </w:p>
        </w:tc>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Ultragenyx Pharmaceuticals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Biohaven Pharma Holding Co.</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Ionis Pharmaceuticals</w:t>
            </w:r>
          </w:p>
        </w:tc>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United Therapeutics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Blueprint Medicines</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Neurocrine Biosciences</w:t>
            </w:r>
          </w:p>
        </w:tc>
        <w:tc>
          <w:tcPr>
            <w:tcW w:w="24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2023 peer group represents a group of biopharmaceutical companies more similar to us in key measures than the list we used in 2022, in light of our substantial growth and the advancement of our development pipeline, focusing on companies that are similar to us in terms of market capitalization, business results and product development. Specifically, Acceleron Pharma, Agios Pharmaceuticals, Deciphera Pharmaceuticals, Ironwood Pharmaceuticals, Revance Therapeutics, Sage Therapeutics and Zogenix were removed from the 2023 peer group, and Alkermes, Exelixis, Neurocrine Biosciences, Sarepta Therapeutics and United Therapeutics were added to the 2023 peer group.</w:t>
      </w:r>
    </w:p>
    <w:p>
      <w:pPr>
        <w:pStyle w:val="TextBody"/>
        <w:spacing w:before="60" w:after="0"/>
        <w:jc w:val="left"/>
        <w:rPr/>
      </w:pPr>
      <w:r>
        <w:rPr/>
        <w:t> </w:t>
      </w:r>
    </w:p>
    <w:p>
      <w:pPr>
        <w:pStyle w:val="TextBody"/>
        <w:spacing w:before="0" w:after="0"/>
        <w:jc w:val="left"/>
        <w:rPr>
          <w:rFonts w:ascii="Times New Roman;serif" w:hAnsi="Times New Roman;serif"/>
          <w:b/>
          <w:i/>
          <w:sz w:val="18"/>
        </w:rPr>
      </w:pPr>
      <w:r>
        <w:rPr>
          <w:rFonts w:ascii="Times New Roman;serif" w:hAnsi="Times New Roman;serif"/>
          <w:b/>
          <w:i/>
          <w:sz w:val="18"/>
        </w:rPr>
        <w:t>Annual Compensation Review</w:t>
      </w:r>
    </w:p>
    <w:p>
      <w:pPr>
        <w:pStyle w:val="TextBody"/>
        <w:spacing w:before="0" w:after="0"/>
        <w:jc w:val="left"/>
        <w:rPr>
          <w:rFonts w:ascii="Times New Roman;serif" w:hAnsi="Times New Roman;serif"/>
          <w:b w:val="false"/>
          <w:sz w:val="18"/>
        </w:rPr>
      </w:pPr>
      <w:r>
        <w:rPr>
          <w:rFonts w:ascii="Times New Roman;serif" w:hAnsi="Times New Roman;serif"/>
          <w:b w:val="false"/>
          <w:sz w:val="18"/>
        </w:rPr>
        <w:t>Based on recommendations from management and the board of directors, and with the advice from the independent compensation consultant, the compensation committee reviews and, other than in the case of our Chief Executive Officer, approves the annual compensation of our executive officers, determines bonus and equity awards and establishes performance objectives at one or more meetings held during the first quarter of the year. However, the compensation committee may also consider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For executive officers other than the Chief Executive Officer, the Chief Executive Officer makes recommendations for the annual compensation of such executive officers based on market data and the performance of the individual, and the compensation committee reviews and approves the compensation of such executive officers. In the case of the Chief Executive Officer, the compensation committee evaluates his performance and makes a recommendation to the board of directors, which reviews and approves the compensation of the Chief Executive Officer. For all executive officers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 officers in various hypothetical scenarios, executive stock ownership information, company stock performance data, analyses of historical executive compensation levels and current Company- and industry-wide compensation levels and recommendations of the independent compensation consultant, including analyses of executive compensation paid at other companies identified by the independent compensation consultant.</w:t>
      </w:r>
    </w:p>
    <w:p>
      <w:pPr>
        <w:pStyle w:val="TextBody"/>
        <w:spacing w:before="0" w:after="0"/>
        <w:jc w:val="left"/>
        <w:rPr>
          <w:rFonts w:ascii="Times New Roman;serif" w:hAnsi="Times New Roman;serif"/>
          <w:b/>
          <w:i/>
          <w:sz w:val="18"/>
        </w:rPr>
      </w:pPr>
      <w:r>
        <w:rPr>
          <w:rFonts w:ascii="Times New Roman;serif" w:hAnsi="Times New Roman;serif"/>
          <w:b/>
          <w:i/>
          <w:sz w:val="18"/>
        </w:rPr>
        <w:t>Base Salary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Base salaries for our executive officers are intended to be competitive with those received by other individuals in similar positions at the companies with which we compete for talent. Base salaries are originally established at the time the executive is hired based on individual experience, skills and expected contributions, our understanding of what executives in similar positions at peer companies are paid, and negotiations during the hiring process. The base salaries of our executive officers are reviewed annually and may be adjusted to reflect market conditions, our executives’ performance during the prior year, our financial position and any changes in the scope of the officer’s responsibilities. None of our named executive officers is currently party to an employment agreement or other agreement or arrangement that provides for automatic or scheduled increases in base salary. Any changes in base salary made as part of the annual review are typically made effective in January or February of each year.</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January 2022, our compensation committee approved increases in base salary for each of our executive officers serving at that time, based upon our performance during calendar year 2021, the executive officer’s professional growth and achievement of individual objectives and the level of base salary paid by companies in our peer group or in survey data for similar positions. The table below sets forth the base salaries for each of our named executive officers in 2021 and 2022:</w:t>
      </w:r>
    </w:p>
    <w:p>
      <w:pPr>
        <w:pStyle w:val="TextBody"/>
        <w:spacing w:before="0" w:after="0"/>
        <w:jc w:val="left"/>
        <w:rPr/>
      </w:pPr>
      <w:r>
        <w:rPr/>
        <w:t> </w:t>
      </w:r>
    </w:p>
    <w:tbl>
      <w:tblPr>
        <w:tblW w:w="6027" w:type="dxa"/>
        <w:jc w:val="left"/>
        <w:tblInd w:w="0" w:type="dxa"/>
        <w:tblCellMar>
          <w:top w:w="28" w:type="dxa"/>
          <w:left w:w="28" w:type="dxa"/>
          <w:bottom w:w="28" w:type="dxa"/>
          <w:right w:w="28" w:type="dxa"/>
        </w:tblCellMar>
      </w:tblPr>
      <w:tblGrid>
        <w:gridCol w:w="1951"/>
        <w:gridCol w:w="146"/>
        <w:gridCol w:w="163"/>
        <w:gridCol w:w="872"/>
        <w:gridCol w:w="146"/>
        <w:gridCol w:w="146"/>
        <w:gridCol w:w="163"/>
        <w:gridCol w:w="872"/>
        <w:gridCol w:w="146"/>
        <w:gridCol w:w="146"/>
        <w:gridCol w:w="275"/>
        <w:gridCol w:w="685"/>
        <w:gridCol w:w="31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Named Executive Officer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2021 Salary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2022 Salary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Percentage </w:t>
              <w:br/>
              <w:t>Increase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 Sullivan</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January 2023, our compensation committee approved increases in base salary for each of our executive officers serving at that time, based upon our performance during calendar year 2022, the executive officer’s professional growth and achievement of individual objectives and the level of base salary paid by companies in our peer group or in survey data for similar positions. The table below sets forth the adjustments to base salary, in dollars and as a percentage, for each of our named executive officers:</w:t>
      </w:r>
    </w:p>
    <w:tbl>
      <w:tblPr>
        <w:tblW w:w="6027" w:type="dxa"/>
        <w:jc w:val="left"/>
        <w:tblInd w:w="0" w:type="dxa"/>
        <w:tblCellMar>
          <w:top w:w="28" w:type="dxa"/>
          <w:left w:w="28" w:type="dxa"/>
          <w:bottom w:w="28" w:type="dxa"/>
          <w:right w:w="28" w:type="dxa"/>
        </w:tblCellMar>
      </w:tblPr>
      <w:tblGrid>
        <w:gridCol w:w="1951"/>
        <w:gridCol w:w="146"/>
        <w:gridCol w:w="163"/>
        <w:gridCol w:w="872"/>
        <w:gridCol w:w="146"/>
        <w:gridCol w:w="146"/>
        <w:gridCol w:w="163"/>
        <w:gridCol w:w="872"/>
        <w:gridCol w:w="146"/>
        <w:gridCol w:w="146"/>
        <w:gridCol w:w="275"/>
        <w:gridCol w:w="685"/>
        <w:gridCol w:w="31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Named Executive Officer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2022 Salary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2023 Salary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Percentage </w:t>
              <w:br/>
              <w:t>Increase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 Sullivan</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Annual Cash Incentive Program</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cash incentive award under the 2022 annual cash incentive program as a percentage of the named executive officer’s annual base salary in 2022, the target cash incentive award opportunity in dollars for 2022 and the actual cash incentive award payments to our named executive officers for 2022 performance, which were paid in March 2023, as well as the actual 2022 cash incentive award payment as a percentage of each officer’s 2022 target cash incentive award opportunity are discussed below:</w:t>
      </w:r>
    </w:p>
    <w:tbl>
      <w:tblPr>
        <w:tblW w:w="7716" w:type="dxa"/>
        <w:jc w:val="left"/>
        <w:tblInd w:w="0" w:type="dxa"/>
        <w:tblCellMar>
          <w:top w:w="28" w:type="dxa"/>
          <w:left w:w="28" w:type="dxa"/>
          <w:bottom w:w="28" w:type="dxa"/>
          <w:right w:w="28" w:type="dxa"/>
        </w:tblCellMar>
      </w:tblPr>
      <w:tblGrid>
        <w:gridCol w:w="1951"/>
        <w:gridCol w:w="146"/>
        <w:gridCol w:w="330"/>
        <w:gridCol w:w="720"/>
        <w:gridCol w:w="271"/>
        <w:gridCol w:w="146"/>
        <w:gridCol w:w="165"/>
        <w:gridCol w:w="885"/>
        <w:gridCol w:w="146"/>
        <w:gridCol w:w="146"/>
        <w:gridCol w:w="217"/>
        <w:gridCol w:w="1163"/>
        <w:gridCol w:w="146"/>
        <w:gridCol w:w="146"/>
        <w:gridCol w:w="146"/>
        <w:gridCol w:w="676"/>
        <w:gridCol w:w="31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Named Executive Officer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2022 Target </w:t>
              <w:b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2022 Target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Actual Bonus for </w:t>
              <w:br/>
              <w:t>2022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Ratio </w:t>
              <w:b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512,380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211,950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Under our 2022 annual cash incentive program, cash incentive awards were determined by multiplying the target cash incentive award for each executive officer by a corporate performance factor established by our compensation committee based on our performance as measured against our corporate goals, which cover our clinical and pipeline development, our commercialization of our products and our operational effectiveness. Our compensation committee has the discretion to adjust the size of individual awards upward or downward based on individual performance but did not do so with respect to the 2022 cash incentive awards for any of the named executive officers. The compensation committee sets the target cash incentive award opportunity at the beginning of the year, based primarily on peer group data</w:t>
      </w:r>
      <w:r>
        <w:rPr>
          <w:rFonts w:ascii="Times New Roman" w:hAnsi="Times New Roman"/>
          <w:sz w:val="20"/>
        </w:rPr>
        <w:t xml:space="preserve"> </w:t>
      </w:r>
      <w:r>
        <w:rPr>
          <w:rFonts w:ascii="Times New Roman;serif" w:hAnsi="Times New Roman;serif"/>
          <w:b w:val="false"/>
          <w:sz w:val="18"/>
        </w:rPr>
        <w:t>analyzed by the independent compensation consultant.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March 2022 our compensation committee approved a set of corporate performance goals for 2022 after discussion and review with management. For calendar year 2022 our corporate performance goals included: (1) approval of pegcetacoplan for GA in the United States and submission of an MAA to EMA for pegcetacoplan in GA; (2) maximization of global PNH revenues including submission of an sNDA with data from our PRINCE and PEGASUS trials; (3) progression of our rare disease indications into late-stage clinical trials; (4) advancement of our development pipeline; and (5) investment in our infrastructure and governance to allow for efficiency, scalability and growth.</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During the last quarter of each year, our senior management team evaluates our company’s performance. Based on this evaluation, our Chief Executive Officer recommends to our compensation committee a corporate performance factor based on our achievement of the corporate performance goals for the year and any cash awards to our named executive officers under our annual cash incentive program. Our compensation committee then carefully reviews overall corporate performance and evaluates corporate achievements against the pre-set corporate performance goals in accordance with its pay-for-performance philosophy.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During the fourth quarter of 2022 and the first quarter of 2023, our compensation committee met with our Chief Executive Officer as part of its annual compensation review and discussed our corporate performance in 2022 and the Chief Executive Officer’s recommendations for a corporate performance factors and cash incentive awards for each of our executive officers other than the Chief Executive Officer. As part of its evaluation of our corporate performance against our corporate performance goals, the committee noted the approval of a broad label for pegcetacoplan for the treatment of GA in the United States, the submission of an MAA to the EMA for pegcetacoplan in GA, the attainment of target PNH global revenues, the submission of the sNDA with PRINCE and PEGASUS, and mixed results in progressing our rare disease indications into late-stage clinical trials.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accordance with the compensation philosophy of pay-for-performance and based upon our overall performance during 2022 as measured against our pre-set corporate goals for calendar year 2022, our compensation committee recommended, and our board approved, a corporate performance factor of 110% for the purposes of the annual cash bonus. On that basis, each of our named executive officers received cash incentive awards equal to 110% of their target cash incentive award for calendar year 2022 without individual adjustments.</w:t>
      </w:r>
    </w:p>
    <w:p>
      <w:pPr>
        <w:pStyle w:val="TextBody"/>
        <w:spacing w:before="0" w:after="0"/>
        <w:jc w:val="both"/>
        <w:rPr>
          <w:rFonts w:ascii="Times New Roman;serif" w:hAnsi="Times New Roman;serif"/>
          <w:b w:val="false"/>
          <w:sz w:val="18"/>
        </w:rPr>
      </w:pPr>
      <w:r>
        <w:rPr>
          <w:rFonts w:ascii="Times New Roman;serif" w:hAnsi="Times New Roman;serif"/>
          <w:b w:val="false"/>
          <w:sz w:val="18"/>
        </w:rPr>
        <w:t>In January 2023, our compensation committee reviewed the current target bonus percentage as a percentage of each executive officer’s 2023 base salary, based upon the target bonus percentages for similar positions within our peer group, and approved the following target bonus percentages for each of our named executive officers for 2023:</w:t>
      </w:r>
    </w:p>
    <w:tbl>
      <w:tblPr>
        <w:tblW w:w="4638" w:type="dxa"/>
        <w:jc w:val="left"/>
        <w:tblInd w:w="0" w:type="dxa"/>
        <w:tblCellMar>
          <w:top w:w="28" w:type="dxa"/>
          <w:left w:w="28" w:type="dxa"/>
          <w:bottom w:w="28" w:type="dxa"/>
          <w:right w:w="28" w:type="dxa"/>
        </w:tblCellMar>
      </w:tblPr>
      <w:tblGrid>
        <w:gridCol w:w="1951"/>
        <w:gridCol w:w="330"/>
        <w:gridCol w:w="720"/>
        <w:gridCol w:w="271"/>
        <w:gridCol w:w="330"/>
        <w:gridCol w:w="720"/>
        <w:gridCol w:w="316"/>
      </w:tblGrid>
      <w:tr>
        <w:trPr/>
        <w:tc>
          <w:tcPr>
            <w:tcW w:w="195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Named Executive Officer</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2022 Target </w:t>
              <w:b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2023 Target </w:t>
              <w:b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0"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Equity Awards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equity awards program is designed to:</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reward demonstrated leadership and performance;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align our executive officers’ interests with those of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retain our executive officers through the term of the awards;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maintain competitive levels of executive compensation;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motivate our executive officers for outstanding future performance.</w:t>
      </w:r>
    </w:p>
    <w:p>
      <w:pPr>
        <w:pStyle w:val="TextBody"/>
        <w:spacing w:before="0" w:after="0"/>
        <w:jc w:val="both"/>
        <w:rPr>
          <w:rFonts w:ascii="Times New Roman;serif" w:hAnsi="Times New Roman;serif"/>
          <w:b w:val="false"/>
          <w:sz w:val="18"/>
        </w:rPr>
      </w:pPr>
      <w:r>
        <w:rPr>
          <w:rFonts w:ascii="Times New Roman;serif" w:hAnsi="Times New Roman;serif"/>
          <w:b w:val="false"/>
          <w:sz w:val="18"/>
        </w:rPr>
        <w:t>The market for qualified and talented executives in the biopharmaceutical and biotechnology industries is highly competitive and we compete for talent with many companies that have greater resources than we do. Accordingly, we believe equity compensation is a crucial component of any competitive executive compensation package we offer.</w:t>
      </w:r>
    </w:p>
    <w:p>
      <w:pPr>
        <w:pStyle w:val="TextBody"/>
        <w:spacing w:before="0" w:after="0"/>
        <w:jc w:val="left"/>
        <w:rPr>
          <w:rFonts w:ascii="Times New Roman" w:hAnsi="Times New Roman"/>
          <w:sz w:val="20"/>
        </w:rPr>
      </w:pPr>
      <w:r>
        <w:rPr>
          <w:rFonts w:ascii="Times New Roman;serif" w:hAnsi="Times New Roman;serif"/>
          <w:b w:val="false"/>
          <w:sz w:val="18"/>
        </w:rPr>
        <w:t>Prior to 2020, our equity awards generally took the form of stock options. In 2020 we introduced restricted stock units as part of our equity award program, consistent with the competitive market for talent in our industry and reflective of the growth of our company. Each restricted stock unit represents the right to receive one share of common stock upon vesting.</w:t>
      </w:r>
      <w:r>
        <w:rPr>
          <w:rFonts w:ascii="Times New Roman" w:hAnsi="Times New Roman"/>
          <w:sz w:val="20"/>
        </w:rPr>
        <w:t xml:space="preserve"> </w:t>
      </w:r>
      <w:r>
        <w:rPr>
          <w:rFonts w:ascii="Times New Roman;serif" w:hAnsi="Times New Roman;serif"/>
          <w:b w:val="false"/>
          <w:sz w:val="18"/>
        </w:rPr>
        <w:t>In addition, in 2021 and 2022, we issued performance-based equity incentives</w:t>
      </w:r>
      <w:r>
        <w:rPr>
          <w:rFonts w:ascii="Times New Roman" w:hAnsi="Times New Roman"/>
          <w:sz w:val="20"/>
        </w:rPr>
        <w:t xml:space="preserve"> </w:t>
      </w:r>
      <w:r>
        <w:rPr>
          <w:rFonts w:ascii="Times New Roman;serif" w:hAnsi="Times New Roman;serif"/>
          <w:b w:val="false"/>
          <w:sz w:val="18"/>
        </w:rPr>
        <w:t>designed to encourage achievement of pre-established performance conditions. We typically make equity award grants to each of our executive officers upon commencement of employment, annually in conjunction with our review of executive compensation, or as a special incentive.</w:t>
      </w:r>
    </w:p>
    <w:p>
      <w:pPr>
        <w:pStyle w:val="TextBody"/>
        <w:spacing w:before="0" w:after="0"/>
        <w:jc w:val="left"/>
        <w:rPr>
          <w:rFonts w:ascii="Times New Roman" w:hAnsi="Times New Roman"/>
          <w:sz w:val="20"/>
        </w:rPr>
      </w:pPr>
      <w:r>
        <w:rPr>
          <w:rFonts w:ascii="Times New Roman;serif" w:hAnsi="Times New Roman;serif"/>
          <w:b w:val="false"/>
          <w:sz w:val="18"/>
        </w:rPr>
        <w:t>All equity awards to our executive officers are approved by our compensation committee</w:t>
      </w:r>
      <w:r>
        <w:rPr>
          <w:rFonts w:ascii="Times New Roman" w:hAnsi="Times New Roman"/>
          <w:sz w:val="20"/>
        </w:rPr>
        <w:t xml:space="preserve"> </w:t>
      </w:r>
      <w:r>
        <w:rPr>
          <w:rFonts w:ascii="Times New Roman;serif" w:hAnsi="Times New Roman;serif"/>
          <w:b w:val="false"/>
          <w:sz w:val="18"/>
        </w:rPr>
        <w:t>and by the full Board for awards to our CEO and, other than equity awards to new hires, are typically granted by our compensation committee in the first quarter of the year. The size of equity awards varies among our executive officers based on their positions and annual performance assessments. All stock options granted to our executive officers have exercise prices equal to the fair market value of our common stock on the date of grant, so that the recipient will not realize any value from his or her options unless our share price increases above the exercise price on the date of grant. Accordingly, this portion of our executive officers’ compensation is at risk and is directly aligned with stockholder value creation.</w:t>
      </w:r>
    </w:p>
    <w:p>
      <w:pPr>
        <w:pStyle w:val="TextBody"/>
        <w:spacing w:before="0" w:after="0"/>
        <w:jc w:val="left"/>
        <w:rPr>
          <w:rFonts w:ascii="Times New Roman" w:hAnsi="Times New Roman"/>
          <w:sz w:val="20"/>
        </w:rPr>
      </w:pPr>
      <w:r>
        <w:rPr>
          <w:rFonts w:ascii="Times New Roman;serif" w:hAnsi="Times New Roman;serif"/>
          <w:b w:val="false"/>
          <w:sz w:val="18"/>
        </w:rPr>
        <w:t>In addition, equity grants to our executive officers with time-based vesting typically vest over four years. We believe that time-based vesting provides an incentive to our executive officers to add value over the long-term and to remain with our company. Typically, options with time-based vesting have a ten-year term and vest as to 25% of the shares on the first anniversary of their grant date and then in equal monthly installments thereafter until the fourth anniversary of such date. Vesting of option grants to employees ceases upon termination of service, and, except in the case of death or disability, exercise rights typically cease three months following termination of service for grants made under our 2017 Plan and one year following termination of service for grants made under our 2010 equity incentive plan, or our 2010 Plan. Prior to the exercise of an option, the stock option holder does not have any rights as a stockholder with respect to the shares subject to such option, including voting rights or the right to receive dividends or dividend equivalents. We also grant restricted stock units with time-based vesting. Typically, our restricted stock units with time-based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vesting vest as to 25% of the shares on the first anniversary of the grant date and 25% on each anniversary of the grant date thereafter. Vesting of restricted stock units to employees ceases upon termination of service.</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January 2022, in addition to the grant of options and restricted stock units with time-based vesting, the compensation committee granted stock options and restricted stock units to the executive officers, including the named executive officers, the vesting of which was subject to the attainment of each of the following events: (i) the submission of an NDA for intravitreal pegcetacoplan with the FDA for the treatment of GA in the second quarter of 2022; (ii) the acceptance of such NDA with priority review by the FDA; and (iii) receipt of approval of the NDA by the FDA by March 15, 2023 (collectively, the “2022 Performance Condition”). The compensation committee determined that the 2022 Performance Condition aligned the incentives of the executive officers directly with the achievement of the key milestone relevant to measuring the success of our company during calendar year 2022. Upon achievement of the 2022 Performance Condition, the stock options and restricted stock units were triggered and these stock options and restricted stock units became subject to a vesting schedule comparable to the vesting schedules of our time-based options and restricted stock units. We believe that the achievement of the performance-based awards granted in 2022, which reflected a significant component of the equity compensation of executive officers for calendar year 2022, reflects our commitment to a pay-for-performance philosophy.</w:t>
      </w:r>
    </w:p>
    <w:tbl>
      <w:tblPr>
        <w:tblW w:w="9970" w:type="dxa"/>
        <w:jc w:val="left"/>
        <w:tblInd w:w="0" w:type="dxa"/>
        <w:tblCellMar>
          <w:top w:w="28" w:type="dxa"/>
          <w:left w:w="28" w:type="dxa"/>
          <w:bottom w:w="28" w:type="dxa"/>
          <w:right w:w="28" w:type="dxa"/>
        </w:tblCellMar>
      </w:tblPr>
      <w:tblGrid>
        <w:gridCol w:w="1951"/>
        <w:gridCol w:w="146"/>
        <w:gridCol w:w="217"/>
        <w:gridCol w:w="1163"/>
        <w:gridCol w:w="164"/>
        <w:gridCol w:w="164"/>
        <w:gridCol w:w="309"/>
        <w:gridCol w:w="1656"/>
        <w:gridCol w:w="146"/>
        <w:gridCol w:w="146"/>
        <w:gridCol w:w="244"/>
        <w:gridCol w:w="1136"/>
        <w:gridCol w:w="186"/>
        <w:gridCol w:w="186"/>
        <w:gridCol w:w="348"/>
        <w:gridCol w:w="1617"/>
        <w:gridCol w:w="19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7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Time-Based Equity Award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Performance-Based Award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Named Executive Officer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Options (1)</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Restricted Stock Units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Options (3)</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Restricted Stock Units (4)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150,672</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16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106,244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19,728</w:t>
            </w:r>
          </w:p>
        </w:tc>
        <w:tc>
          <w:tcPr>
            <w:tcW w:w="18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1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13,908</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43,670</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16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16,572</w:t>
            </w:r>
          </w:p>
        </w:tc>
        <w:tc>
          <w:tcPr>
            <w:tcW w:w="18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1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11,683</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36,951</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16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14,023</w:t>
            </w:r>
          </w:p>
        </w:tc>
        <w:tc>
          <w:tcPr>
            <w:tcW w:w="18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1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9,886</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36,951</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16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14,023</w:t>
            </w:r>
          </w:p>
        </w:tc>
        <w:tc>
          <w:tcPr>
            <w:tcW w:w="18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1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9,886</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36,951</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16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14,023</w:t>
            </w:r>
          </w:p>
        </w:tc>
        <w:tc>
          <w:tcPr>
            <w:tcW w:w="18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1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stock options vest as to 25% of the shares on the first anniversary of the grant date and then in equal monthly installments thereafter until the fourth anniversary of such date, subject to continued service.</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restricted stock units vest as to 25% of the shares on the first anniversary of the grant date and 25% on each anniversary of the grant date thereafter, subject to continued service.</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Upon achievement of the 2022 Performance Condition on February 21, 2023, the stock options commenced vesting as to 25% of the shares on the first anniversary of the grant date and then in equal monthly installments thereafter until the fourth anniversary of the grant date, subject to continued service. </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 xml:space="preserve">Upon achievement of the 2022 Performance Condition on February 21, 2023, the restricted stock units commenced vesting as to 25% of the shares on the first anniversary of the grant date and 25% on each anniversary of the grant date thereafter, subject to continued service. </w:t>
      </w:r>
    </w:p>
    <w:p>
      <w:pPr>
        <w:pStyle w:val="TextBody"/>
        <w:spacing w:before="0" w:after="0"/>
        <w:jc w:val="both"/>
        <w:rPr>
          <w:rFonts w:ascii="Times New Roman;serif" w:hAnsi="Times New Roman;serif"/>
          <w:b w:val="false"/>
          <w:sz w:val="18"/>
        </w:rPr>
      </w:pPr>
      <w:r>
        <w:rPr>
          <w:rFonts w:ascii="Times New Roman;serif" w:hAnsi="Times New Roman;serif"/>
          <w:b w:val="false"/>
          <w:sz w:val="18"/>
        </w:rPr>
        <w:t>The compensation committee may approve different award types in the future as part of the overall compensation strategy. Awards made in connection with a new, extended or expanded employment relationship may involve a different mix of equity awards, depending on the compensation committee’s assessment of the total compensation package being offered.</w:t>
      </w:r>
    </w:p>
    <w:p>
      <w:pPr>
        <w:pStyle w:val="TextBody"/>
        <w:spacing w:before="0" w:after="0"/>
        <w:jc w:val="both"/>
        <w:rPr/>
      </w:pPr>
      <w:r>
        <w:rPr/>
        <w:t> </w:t>
      </w:r>
    </w:p>
    <w:p>
      <w:pPr>
        <w:pStyle w:val="TextBody"/>
        <w:spacing w:before="0" w:after="0"/>
        <w:jc w:val="both"/>
        <w:rPr>
          <w:rFonts w:ascii="Times New Roman;serif" w:hAnsi="Times New Roman;serif"/>
          <w:b w:val="false"/>
          <w:sz w:val="18"/>
        </w:rPr>
      </w:pPr>
      <w:r>
        <w:rPr>
          <w:rFonts w:ascii="Times New Roman;serif" w:hAnsi="Times New Roman;serif"/>
          <w:b w:val="false"/>
          <w:sz w:val="18"/>
        </w:rPr>
        <w:t>The equity awards granted to our named executive officers during the fiscal year ended December 31, 2022, and the grant date fair value of those awards determined in accordance with FASB ASC Topic 718, are shown in the Summary Compensation Table and the 2022 Grants of Plan-Based Awards table below.</w:t>
      </w:r>
    </w:p>
    <w:p>
      <w:pPr>
        <w:pStyle w:val="TextBody"/>
        <w:spacing w:before="0" w:after="0"/>
        <w:jc w:val="both"/>
        <w:rPr>
          <w:rFonts w:ascii="Times New Roman;serif" w:hAnsi="Times New Roman;serif"/>
          <w:b w:val="false"/>
          <w:sz w:val="18"/>
        </w:rPr>
      </w:pPr>
      <w:r>
        <w:rPr>
          <w:rFonts w:ascii="Times New Roman;serif" w:hAnsi="Times New Roman;serif"/>
          <w:b w:val="false"/>
          <w:sz w:val="18"/>
        </w:rPr>
        <w:t>In January 2023, after a review of our executive compensation policies with Pay Governance, our compensation committee approved equity incentive awards for our named executive officers serving at that time as set forth in the table below. The executive officers received time-based equity awards. The compensation committee determined that the allocation of value of the time-based equity awards between stock options and restricted stock units should be 50% to stock options and 50% to restricted stock units, with the restricted stock units valued using the average of the closing price of the Company’s common stock on the previous 20 trading days through the date of grant and with the stock options valued by the Black-Scholes method for the same 20 trading day period. The compensation committee determined that there was no clear criterion upon which to grant performance-based equity awards in 2023.</w:t>
      </w:r>
    </w:p>
    <w:tbl>
      <w:tblPr>
        <w:tblW w:w="5977" w:type="dxa"/>
        <w:jc w:val="left"/>
        <w:tblInd w:w="0" w:type="dxa"/>
        <w:tblCellMar>
          <w:top w:w="28" w:type="dxa"/>
          <w:left w:w="28" w:type="dxa"/>
          <w:bottom w:w="28" w:type="dxa"/>
          <w:right w:w="28" w:type="dxa"/>
        </w:tblCellMar>
      </w:tblPr>
      <w:tblGrid>
        <w:gridCol w:w="1951"/>
        <w:gridCol w:w="146"/>
        <w:gridCol w:w="216"/>
        <w:gridCol w:w="1164"/>
        <w:gridCol w:w="172"/>
        <w:gridCol w:w="172"/>
        <w:gridCol w:w="347"/>
        <w:gridCol w:w="1618"/>
        <w:gridCol w:w="19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8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Time-Based Equity Award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Named Executive Officer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Options (1)</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Restricted Stock Units (2)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131,093</w:t>
            </w:r>
          </w:p>
        </w:tc>
        <w:tc>
          <w:tcPr>
            <w:tcW w:w="172"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83,447</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43,183</w:t>
            </w:r>
          </w:p>
        </w:tc>
        <w:tc>
          <w:tcPr>
            <w:tcW w:w="172"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27,488</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30,845</w:t>
            </w:r>
          </w:p>
        </w:tc>
        <w:tc>
          <w:tcPr>
            <w:tcW w:w="172"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19,634</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 (3)</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37,708</w:t>
            </w:r>
          </w:p>
        </w:tc>
        <w:tc>
          <w:tcPr>
            <w:tcW w:w="172"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53,455</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43,183</w:t>
            </w:r>
          </w:p>
        </w:tc>
        <w:tc>
          <w:tcPr>
            <w:tcW w:w="172"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27,488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stock options vest as to 25% of the shares on the first anniversary of the grant date and then in equal monthly installments thereafter until the fourth anniversary of such date, subject to continued service.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The restricted stock units vest 25% of the shares on the first anniversary of the grant date and 25% on each anniversary of the grant date thereafter, subject to continued service. </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In addition to the annual grant of restricted stock units representing the right to receive 24,003 shares, Mr. Watson also received a one-time grant of restricted stock units representing the right to receive 29,452 shares based on merit and peer group benchmarking.</w:t>
      </w:r>
    </w:p>
    <w:p>
      <w:pPr>
        <w:pStyle w:val="TextBody"/>
        <w:spacing w:before="0" w:after="0"/>
        <w:jc w:val="left"/>
        <w:rPr>
          <w:rFonts w:ascii="Times New Roman;serif" w:hAnsi="Times New Roman;serif"/>
          <w:b/>
          <w:i/>
          <w:sz w:val="18"/>
        </w:rPr>
      </w:pPr>
      <w:r>
        <w:rPr>
          <w:rFonts w:ascii="Times New Roman;serif" w:hAnsi="Times New Roman;serif"/>
          <w:b/>
          <w:i/>
          <w:sz w:val="18"/>
        </w:rPr>
        <w:t>Separation Benefits Plan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On October 1, 2019, our board of directors adopted an Executive Separation Benefits and Retention Plan, or the Separation Benefits Plan. The Separation Benefits Plan applies to the Company’s Chief Executive Officer, Chief Financial Officer, Chief Scientific Officer, Chief Commercial Officer, General Counsel and certain other executive officers designated as such by the board of directors, collectively referred to as “C-level officers,” as well as certain other employees of the Company who hold a title of vice-president or higher, who, together with the C-Level Officers, are referred to as “covered employees.” All of our named executive officers are covered by the Separation Benefits Plan.</w:t>
      </w:r>
    </w:p>
    <w:p>
      <w:pPr>
        <w:pStyle w:val="TextBody"/>
        <w:spacing w:before="0" w:after="0"/>
        <w:jc w:val="both"/>
        <w:rPr>
          <w:rFonts w:ascii="Times New Roman;serif" w:hAnsi="Times New Roman;serif"/>
          <w:b w:val="false"/>
          <w:sz w:val="18"/>
        </w:rPr>
      </w:pPr>
      <w:r>
        <w:rPr>
          <w:rFonts w:ascii="Times New Roman;serif" w:hAnsi="Times New Roman;serif"/>
          <w:b w:val="false"/>
          <w:sz w:val="18"/>
        </w:rPr>
        <w:t>The Separation Benefits Plan provides for separation benefits for covered employees in the event of (i) a termination of employment by us other than for cause or (ii) a resignation for good reason upon a change in control upon or within 12 months following a change in control. Prior to the adoption of the Separation Benefits Plan, most of our executive officers did not have a severance arrangement. The Separation Benefits Plan was adopted in consultation with Radford, which provided data on severance practices among our peer group at the time of adoption, to more closely align our executives’ total compensation packages with market standards.</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i/>
          <w:sz w:val="18"/>
        </w:rPr>
        <w:t>Not for Cause Termination Not Within Twelve Months of Change of Control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Under the terms of the Separation Benefits Plan, subject to the execution and effectiveness of a separation and release of claims agreement, if a covered employee’s employment is terminated by us other than for cause, which termination does not occur during the twelve-month period after a change of control, we will be obligated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continue to pay the covered employee’s base salary for a severance period of (i) 12 months, in the case of the Chief Executive Officer, (ii) nine months, in the case of the other C-level officers, or (iii) 26 weeks, in the case of other covered employees; and </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 xml:space="preserve">provided that the covered employee is eligible for and elects to continue receiving medical insurance pursuant to COBRA, pay on such person’s behalf the share of the monthly premiums for such coverage that it pays for active and similarly situated employees receiving the same type of coverage during the severance period; provided, however, that in the event the covered employee becomes eligible during the severance period for group health insurance coverage through another employer, our obligation to make monthly premium payments shall end when the new employment begins.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18"/>
        </w:rPr>
        <w:t>Not for Cause Termination or Good Reason Resignation Within Twelve Months of Change of Control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Under the terms of the Separation Benefits Plan, subject to the execution and effectiveness of a severance and release of claims agreement, if, during the twelve-month period after a change of control, a covered employee’s employment is terminated by us other than for cause, or the covered employee resigns for good reason, we will be obligated to:</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pay a lump sum equal to the covered employee’s base salary for a severance period of (i) 18 months, in the case of the Chief Executive Officer, (ii) 12 months, in the case of the other C-level officers, or (iii) 26 weeks, in the case of other covered employees;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pay to C-level officers a lump sum equal to 150%, in the case of the Chief Executive Officer, or (ii) 100%, in the case of other C-level officers, of such C-level officers’ target bonus award for the year in which the termination of employment occurs, without regard to whether the performance goals applicable to such target bonus had been established or satisfied at the date of termination;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provided that the covered employee is eligible for and elects to continue receiving medical insurance pursuant to COBRA, pay on such covered employee’s behalf the share of the monthly premiums for such coverage that it pays for active and similarly situated employees receiving the same type of coverage during the severance period; provided, however, that in the event the covered employee becomes eligible during the severance period for group health insurance coverage through another employer, our obligation to make monthly premium payments shall end when the new employment begins;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arrange and pay for reasonable outplacement services for the covered employee;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accelerate the vesting of all equity awards, other than terms more favorable to the covered employee, effective as of the date of termination, held by such covered employee at the date of termination (other than equity awards that vest on the basis of performance and do not provide solely for time-based vesting), such that such equity awards shall become 100% vested.</w:t>
      </w:r>
    </w:p>
    <w:p>
      <w:pPr>
        <w:pStyle w:val="TextBody"/>
        <w:spacing w:before="240" w:after="0"/>
        <w:jc w:val="left"/>
        <w:rPr>
          <w:rFonts w:ascii="Times New Roman" w:hAnsi="Times New Roman"/>
          <w:sz w:val="20"/>
        </w:rPr>
      </w:pPr>
      <w:r>
        <w:rPr>
          <w:rFonts w:ascii="Times New Roman;serif" w:hAnsi="Times New Roman;serif"/>
          <w:b/>
          <w:i/>
          <w:sz w:val="20"/>
        </w:rPr>
        <w:t>Benefits and Other Compensation</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18"/>
        </w:rPr>
        <w:t>Other compensation to our executive officers consists primarily of the broad-based benefits we provide to all full-time employees in the United States, including medical, dental and vision insurance, group life and disability insurance, an employee stock purchase plan and a 401(k) plan. Pursuant to our employee stock purchase plan, employees, including our named executive officers, have an opportunity to purchase our common stock at a discount on a tax-qualified basis through payroll deductions. The employee stock purchase plan is designed to qualify as an “employee stock purchase plan”</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18"/>
        </w:rPr>
      </w:pPr>
      <w:r>
        <w:rPr>
          <w:rFonts w:ascii="Times New Roman;serif" w:hAnsi="Times New Roman;serif"/>
          <w:b w:val="false"/>
          <w:sz w:val="18"/>
        </w:rPr>
        <w:t>under Section 423 of the Internal Revenue Code. The purpose of the employee stock purchase plan is to encourage our employees, including our named executive officers, to become our stockholders and better align their interests with those of our other stockholders. Pursuant to our 401(k) plan, employees, including our named executive officers, may elect to defer a portion of their current compensation up to the statutorily prescribed annual limit (which was $20,500 in 2022), with additional salary deferrals not to exceed $27,000 available to those employees 50 years of age or older, and to have the amount of this deferral contributed to our 401(k) plan. We make discretionary matching contributions and other employer contributions on behalf of eligible employees under our 401(k) plan. For the fiscal year ended December 31, 2022, we matched a portion of eligible employee contributions equal to 50% of the first 10% of eligible contributions pursuant to our 401(k) plan’s matching formula.</w:t>
      </w:r>
    </w:p>
    <w:p>
      <w:pPr>
        <w:pStyle w:val="TextBody"/>
        <w:spacing w:before="0" w:after="0"/>
        <w:jc w:val="left"/>
        <w:rPr>
          <w:rFonts w:ascii="Times New Roman;serif" w:hAnsi="Times New Roman;serif"/>
          <w:b w:val="false"/>
          <w:sz w:val="18"/>
        </w:rPr>
      </w:pPr>
      <w:r>
        <w:rPr>
          <w:rFonts w:ascii="Times New Roman;serif" w:hAnsi="Times New Roman;serif"/>
          <w:b w:val="false"/>
          <w:sz w:val="18"/>
        </w:rPr>
        <w:t>Currently, we do not view perquisites or other personal benefits as a significant component of our executive compensation program. Accordingly, we do not provide perquisites to our named executive officers, except in situations where we believe it is appropriate to assist an individual in the performance of his or her duties, to make him or her more efficient and effective, and for recruitment and retention purposes. None of our named executive officers received perquisites or other personal benefits with an aggregate value of $10,000 or more in 2022. All future practices with respect to perquisites or other personal benefits will be approved and subject to periodic review by our compensation committee.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Certain executive officers, other than the named executive officers, may be entitled to certain severance and/or change in control protections pursuant to their employment agreements.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do not offer any defined benefit pension plans or nonqualified deferred compensation arrangements for our employees.</w:t>
      </w:r>
    </w:p>
    <w:p>
      <w:pPr>
        <w:pStyle w:val="TextBody"/>
        <w:spacing w:before="0" w:after="0"/>
        <w:jc w:val="left"/>
        <w:rPr>
          <w:rFonts w:ascii="Times New Roman;serif" w:hAnsi="Times New Roman;serif"/>
          <w:b/>
          <w:i/>
          <w:sz w:val="18"/>
        </w:rPr>
      </w:pPr>
      <w:r>
        <w:rPr>
          <w:rFonts w:ascii="Times New Roman;serif" w:hAnsi="Times New Roman;serif"/>
          <w:b/>
          <w:i/>
          <w:sz w:val="18"/>
        </w:rPr>
        <w:t>Stock Ownership Policy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September 2022, our board of directors established equity ownership guidelines for our directors and executive officers to further align the interests of our board of directors and executive officers with those of our stockholders. The equity ownership guidelines are as follows: our chief executive officer must own shares worth at least six times his or her base salary; our other executive officers must own shares worth at least three to one times his or her base salary depending on their title; and our non-employee directors must own shares worth at least three times the annual cash retainer. Our chief executive officer, other executive officers and non-employee directors have five years from first being subject to these guidelines to satisfy the applicable ownership threshold. We assess stock ownership levels under the policy on an annual basis. At the time of implementation of our stock ownership policy, all of our directors and executive officers met the criteria set forth in the guidelines.</w:t>
      </w:r>
    </w:p>
    <w:p>
      <w:pPr>
        <w:pStyle w:val="TextBody"/>
        <w:spacing w:before="0" w:after="0"/>
        <w:jc w:val="left"/>
        <w:rPr>
          <w:rFonts w:ascii="Times New Roman;serif" w:hAnsi="Times New Roman;serif"/>
          <w:b/>
          <w:i/>
          <w:sz w:val="18"/>
        </w:rPr>
      </w:pPr>
      <w:r>
        <w:rPr>
          <w:rFonts w:ascii="Times New Roman;serif" w:hAnsi="Times New Roman;serif"/>
          <w:b/>
          <w:i/>
          <w:sz w:val="18"/>
        </w:rPr>
        <w:t>Recoupment Policy</w:t>
      </w:r>
    </w:p>
    <w:p>
      <w:pPr>
        <w:pStyle w:val="TextBody"/>
        <w:spacing w:before="0" w:after="0"/>
        <w:jc w:val="left"/>
        <w:rPr>
          <w:rFonts w:ascii="Times New Roman" w:hAnsi="Times New Roman"/>
          <w:sz w:val="20"/>
        </w:rPr>
      </w:pPr>
      <w:r>
        <w:rPr>
          <w:rFonts w:ascii="Times New Roman;serif" w:hAnsi="Times New Roman;serif"/>
          <w:b w:val="false"/>
          <w:sz w:val="18"/>
        </w:rPr>
        <w:t>In September 2022, we adopted a recoupment policy which provides that, in the event that we are required to prepare an accounting restatement due to material non-compliance with financial reporting requirements, we will make a reasonable attempt to recover from our current or former executive officers an amount of incentive-based compensation, as determined by our board of directors in its sole discretion, paid to the executive officer during the three-year period preceding the date on which we are required to prepare an accounting restatement. Any such amount will not be greater than the excess of what would have been paid to the covered person based on the restated data. In addition, if our board of directors, in its sole discretion, determined that a covered person’s acts or omissions that contributed to the circumstances requiring an accounting restatement involved either (i)</w:t>
      </w:r>
      <w:r>
        <w:rPr>
          <w:rFonts w:ascii="Times New Roman" w:hAnsi="Times New Roman"/>
          <w:sz w:val="20"/>
        </w:rPr>
        <w:t xml:space="preserve"> </w:t>
      </w:r>
      <w:r>
        <w:rPr>
          <w:rFonts w:ascii="Times New Roman;serif" w:hAnsi="Times New Roman;serif"/>
          <w:b w:val="false"/>
          <w:sz w:val="18"/>
        </w:rPr>
        <w:t>intentional misconduct or an intentional violation of any applicable rules or laws or (ii) fraud, then in each such case, we will use reasonable efforts to recover from such covered person up to 100% (as determined by our board of directors in its sole discretion) of the incentive-based compensation, and not just the excess of what would have been paid to the covered person. Further, if such conduct described in the prior sentence results in serious financial or reputation damage to the company and regardless of whether we were required to prepare an accounting restatement on account of such activity, then we will use reasonable efforts to recover from such covered person up to 100% (as determined by our board of directors in its sole discretion) of the incentive-based compensation from the company during the three-year period preceding the relevant activity.</w:t>
      </w:r>
    </w:p>
    <w:p>
      <w:pPr>
        <w:pStyle w:val="TextBody"/>
        <w:spacing w:before="0" w:after="0"/>
        <w:jc w:val="left"/>
        <w:rPr>
          <w:rFonts w:ascii="Times New Roman" w:hAnsi="Times New Roman"/>
          <w:sz w:val="20"/>
        </w:rPr>
      </w:pPr>
      <w:r>
        <w:rPr>
          <w:rFonts w:ascii="Times New Roman;serif" w:hAnsi="Times New Roman;serif"/>
          <w:b w:val="false"/>
          <w:sz w:val="18"/>
        </w:rPr>
        <w:t>For purposes of the policy, incentive-based compensation includes cash bonuses, stock options and other awards under our long-term incentive plans awarded to a covered person as compensation. To the extent the applicable law or rules require recovery of incentive-based compensation in additional circumstances besides those specified in the policy, the policy does not limit or restrict our right or obligation to recover incentive-based compensation as may be required.</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are reviewing the final review rule adopted by the SEC that implements the applicable provisions of the Dodd-Frank Wall Street Reform and Consumer Protection Act relating to recoupment of incentive-based compensation and we will amend our clawback policy when Nasdaq adopts final listing standards in accordance with the final rule.</w:t>
      </w:r>
    </w:p>
    <w:p>
      <w:pPr>
        <w:pStyle w:val="TextBody"/>
        <w:spacing w:before="0" w:after="0"/>
        <w:jc w:val="left"/>
        <w:rPr>
          <w:rFonts w:ascii="Times New Roman;serif" w:hAnsi="Times New Roman;serif"/>
          <w:b/>
          <w:i/>
          <w:sz w:val="18"/>
        </w:rPr>
      </w:pPr>
      <w:r>
        <w:rPr>
          <w:rFonts w:ascii="Times New Roman;serif" w:hAnsi="Times New Roman;serif"/>
          <w:b/>
          <w:i/>
          <w:sz w:val="18"/>
        </w:rPr>
        <w:t>Insider Trading Policy</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insider trading policy expressly prohibits short sales and derivative transactions of our stock by our named executive officers, directors and specified other employees, including short sales “against the box”; purchases or sales of puts, calls or other derivative securities based on the Company’s securities; and purchases of financial instruments that are designed to hedge or offset any decrease in the market value of Company securities. In addition, our insider trading policy prohibits our named executive officers, directors and specified other employees from purchasing our securities on margin, borrowing against company securities held in a margin account, or pledging our securities as collateral for a loan.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Tax and Accounting Considerations</w:t>
      </w:r>
    </w:p>
    <w:p>
      <w:pPr>
        <w:pStyle w:val="TextBody"/>
        <w:spacing w:before="0" w:after="0"/>
        <w:jc w:val="left"/>
        <w:rPr>
          <w:rFonts w:ascii="Times New Roman;serif" w:hAnsi="Times New Roman;serif"/>
          <w:b/>
          <w:i/>
          <w:sz w:val="18"/>
        </w:rPr>
      </w:pPr>
      <w:r>
        <w:rPr>
          <w:rFonts w:ascii="Times New Roman;serif" w:hAnsi="Times New Roman;serif"/>
          <w:b/>
          <w:i/>
          <w:sz w:val="18"/>
        </w:rPr>
        <w:t>Deductibility of Executive Compensation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are generally entitled to a U.S. federal income tax deduction with respect to compensation income paid to our service providers, subject to a limitation under Section 162(m) of the Internal Revenue Code of 1986, as amended, with respect to compensation in excess of $1 million paid in any one year to each of certain of the company’s current and former executive officers. While the board and compensation committee generally consider the tax implications to its executive officers of its executive compensation decisions, such implications did not have a material consideration in the compensation awarded to our named executive officers in 2022.</w:t>
      </w:r>
    </w:p>
    <w:p>
      <w:pPr>
        <w:pStyle w:val="TextBody"/>
        <w:spacing w:before="120" w:after="0"/>
        <w:jc w:val="left"/>
        <w:rPr>
          <w:rFonts w:ascii="Times New Roman" w:hAnsi="Times New Roman"/>
          <w:sz w:val="20"/>
        </w:rPr>
      </w:pPr>
      <w:r>
        <w:rPr>
          <w:rFonts w:ascii="Times New Roman;serif" w:hAnsi="Times New Roman;serif"/>
          <w:b/>
          <w:i/>
          <w:sz w:val="20"/>
        </w:rPr>
        <w:t>Taxation of “Parachute” Payments</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Sections 280G and 4999 of the Internal Revenue Code provide that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named executive officers, with a “gross-up” or other reimbursement payment for any tax liability that the executive officer might owe as a result of the application of Sections 280G or 4999 of the Internal Revenue Code.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follow FASB ASC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pStyle w:val="TextBody"/>
        <w:spacing w:before="0" w:after="0"/>
        <w:jc w:val="left"/>
        <w:rPr>
          <w:rFonts w:ascii="Times New Roman;serif" w:hAnsi="Times New Roman;serif"/>
          <w:b/>
          <w:sz w:val="18"/>
        </w:rPr>
      </w:pPr>
      <w:r>
        <w:rPr>
          <w:rFonts w:ascii="Times New Roman;serif" w:hAnsi="Times New Roman;serif"/>
          <w:b/>
          <w:sz w:val="18"/>
        </w:rPr>
        <w:t>Compensation Risk Assessment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believe that our executive compensation program does not encourage excessive or unnecessary risk taking. As described more fully above, we structure our pay to consist of both fixed and variable compensation, particularly in connection with our pay-for-performance compensation philosophy. We believe this structure motivates our executive officers to produce superior short- and long-term results that are in the best interests of our company and stockholders in order to attain our ultimate objective of increasing stockholder value. We have established, and our compensation committee endorses, these structures in order to address and mitigate compensation related risk. As a result, we do not believe that our compensation programs are reasonably likely to have a material adverse effect on us.</w:t>
      </w:r>
    </w:p>
    <w:p>
      <w:pPr>
        <w:pStyle w:val="TextBody"/>
        <w:spacing w:before="0" w:after="0"/>
        <w:jc w:val="left"/>
        <w:rPr>
          <w:rFonts w:ascii="Times New Roman;serif" w:hAnsi="Times New Roman;serif"/>
          <w:b/>
          <w:sz w:val="18"/>
        </w:rPr>
      </w:pPr>
      <w:r>
        <w:rPr>
          <w:rFonts w:ascii="Times New Roman;serif" w:hAnsi="Times New Roman;serif"/>
          <w:b/>
          <w:sz w:val="18"/>
        </w:rPr>
        <w:t>Compensation Committee Report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compensation committee has reviewed and discussed the Compensation Discussion and Analysis required by Item 402(b) of Regulation S-K with management. Based on this review and discussion, the compensation committee recommended to the Company’s board of directors that the Compensation Discussion and Analysis be included in this proxy statement.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This report of the compensation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foregoing report has been furnished by the compensation committee.</w:t>
      </w:r>
    </w:p>
    <w:p>
      <w:pPr>
        <w:pStyle w:val="TextBody"/>
        <w:spacing w:before="120" w:after="0"/>
        <w:jc w:val="left"/>
        <w:rPr>
          <w:rFonts w:ascii="Times New Roman" w:hAnsi="Times New Roman"/>
          <w:sz w:val="20"/>
        </w:rPr>
      </w:pPr>
      <w:r>
        <w:rPr>
          <w:rFonts w:ascii="Times New Roman;serif" w:hAnsi="Times New Roman;serif"/>
          <w:b w:val="false"/>
          <w:sz w:val="18"/>
        </w:rPr>
        <w:t>THE COMPENSATION COMMITTEE OF THE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8"/>
        </w:rPr>
        <w:t>BOARD OF DIRECTO</w:t>
      </w:r>
      <w:r>
        <w:rPr>
          <w:rFonts w:ascii="Times New Roman;serif" w:hAnsi="Times New Roman;serif"/>
          <w:b w:val="false"/>
          <w:caps/>
          <w:sz w:val="18"/>
        </w:rPr>
        <w:t>RS OF Apellis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caps/>
          <w:sz w:val="18"/>
        </w:rPr>
        <w:t>Pharmaceuticals,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18"/>
        </w:rPr>
        <w:t>Stephanie Monaghan O’Brien, Chair</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8"/>
        </w:rPr>
        <w:t>Alec Machiels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8"/>
        </w:rPr>
        <w:t>Paul Fonteyne</w:t>
      </w:r>
      <w:r>
        <w:rPr>
          <w:rFonts w:ascii="Times New Roman" w:hAnsi="Times New Roman"/>
          <w:sz w:val="20"/>
        </w:rPr>
        <w:t xml:space="preserve"> </w:t>
      </w:r>
    </w:p>
    <w:p>
      <w:pPr>
        <w:pStyle w:val="TextBody"/>
        <w:spacing w:before="240" w:after="0"/>
        <w:jc w:val="left"/>
        <w:rPr>
          <w:rFonts w:ascii="Times New Roman;serif" w:hAnsi="Times New Roman;serif"/>
          <w:b w:val="false"/>
          <w:sz w:val="18"/>
        </w:rPr>
      </w:pPr>
      <w:r>
        <w:rPr>
          <w:rFonts w:ascii="Times New Roman;serif" w:hAnsi="Times New Roman;serif"/>
          <w:b w:val="false"/>
          <w:sz w:val="18"/>
        </w:rPr>
        <w:t>April 21, 2023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4"/>
        </w:rPr>
      </w:pPr>
      <w:bookmarkStart w:id="14" w:name="further_information_regarding_executive"/>
      <w:bookmarkEnd w:id="14"/>
      <w:r>
        <w:rPr>
          <w:rFonts w:ascii="Times New Roman;serif" w:hAnsi="Times New Roman;serif"/>
          <w:b/>
          <w:sz w:val="24"/>
        </w:rPr>
        <w:t>FURTHER INFORMATION REGARDING EXECUTIVE COMPENSATION</w:t>
      </w:r>
    </w:p>
    <w:p>
      <w:pPr>
        <w:pStyle w:val="TextBody"/>
        <w:spacing w:before="240" w:after="0"/>
        <w:jc w:val="left"/>
        <w:rPr>
          <w:rFonts w:ascii="Times New Roman;serif" w:hAnsi="Times New Roman;serif"/>
          <w:b/>
          <w:i/>
          <w:sz w:val="20"/>
        </w:rPr>
      </w:pPr>
      <w:r>
        <w:rPr>
          <w:rFonts w:ascii="Times New Roman;serif" w:hAnsi="Times New Roman;serif"/>
          <w:b/>
          <w:i/>
          <w:sz w:val="20"/>
        </w:rPr>
        <w:t>Summary Compensation Table</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table sets forth information regarding compensation earned by our named executive officers for the fiscal years ended December 31, 2022, 2021 and 2020.</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10"/>
        <w:gridCol w:w="146"/>
        <w:gridCol w:w="526"/>
        <w:gridCol w:w="146"/>
        <w:gridCol w:w="146"/>
        <w:gridCol w:w="781"/>
        <w:gridCol w:w="146"/>
        <w:gridCol w:w="146"/>
        <w:gridCol w:w="146"/>
        <w:gridCol w:w="781"/>
        <w:gridCol w:w="146"/>
        <w:gridCol w:w="146"/>
        <w:gridCol w:w="146"/>
        <w:gridCol w:w="931"/>
        <w:gridCol w:w="146"/>
        <w:gridCol w:w="146"/>
        <w:gridCol w:w="146"/>
        <w:gridCol w:w="931"/>
        <w:gridCol w:w="146"/>
        <w:gridCol w:w="146"/>
        <w:gridCol w:w="202"/>
        <w:gridCol w:w="939"/>
        <w:gridCol w:w="146"/>
        <w:gridCol w:w="146"/>
        <w:gridCol w:w="146"/>
        <w:gridCol w:w="931"/>
        <w:gridCol w:w="191"/>
      </w:tblGrid>
      <w:tr>
        <w:trPr/>
        <w:tc>
          <w:tcPr>
            <w:tcW w:w="15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Salary</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Bonus</w:t>
              <w:br/>
              <w:t>($)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w:t>
              <w:br/>
              <w:t>Awards</w:t>
              <w:br/>
              <w:t>($)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w:t>
              <w:br/>
              <w:t>Awards</w:t>
              <w:br/>
              <w:t>($)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 Other</w:t>
              <w:br/>
              <w:t>Compensation</w:t>
              <w:br/>
              <w:t>($) (4)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Cedric Francois, M.D., Ph.D.(5)</w:t>
              <w:br/>
            </w:r>
            <w:r>
              <w:rPr>
                <w:rFonts w:ascii="Times New Roman;serif" w:hAnsi="Times New Roman;serif"/>
                <w:b w:val="false"/>
                <w:i/>
                <w:sz w:val="20"/>
              </w:rPr>
              <w:t>President &amp; 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512,380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4,260,590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3,744,353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9,203,556</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1,683,750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6,468,750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9,122,039</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618,769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6,703,125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9,275,425</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Timothy Sullivan </w:t>
              <w:br/>
            </w:r>
            <w:r>
              <w:rPr>
                <w:rFonts w:ascii="Times New Roman;serif" w:hAnsi="Times New Roman;serif"/>
                <w:b w:val="false"/>
                <w:i/>
                <w:sz w:val="20"/>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1,505,986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1,323,752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3,546,148</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452,692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1,940,625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3,075,916</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518,129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2,279,063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3,485,149</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Pascal Deschatelets, Ph.D. </w:t>
              <w:br/>
            </w:r>
            <w:r>
              <w:rPr>
                <w:rFonts w:ascii="Times New Roman;serif" w:hAnsi="Times New Roman;serif"/>
                <w:b w:val="false"/>
                <w:i/>
                <w:sz w:val="20"/>
              </w:rPr>
              <w:t>Chief Scientific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453,212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1,120,098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3,082,479</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2,647,975</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2,918,082</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David Watson (6)</w:t>
              <w:br/>
              <w:t>General Counsel</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1,120,098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3,069,773</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Adam Townsend</w:t>
            </w:r>
            <w:r>
              <w:rPr>
                <w:rFonts w:ascii="Times New Roman;serif" w:hAnsi="Times New Roman;serif"/>
                <w:b w:val="false"/>
                <w:i/>
                <w:sz w:val="20"/>
              </w:rPr>
              <w:br/>
              <w:t>Chief Commercial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460,013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1,120,098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3,096,029</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2,640,819</w:t>
            </w:r>
          </w:p>
        </w:tc>
        <w:tc>
          <w:tcPr>
            <w:tcW w:w="191" w:type="dxa"/>
            <w:tcBorders/>
            <w:shd w:fill="auto" w:val="clear"/>
            <w:vAlign w:val="center"/>
          </w:tcPr>
          <w:p>
            <w:pPr>
              <w:pStyle w:val="TableContents"/>
              <w:spacing w:before="0" w:after="0"/>
              <w:ind w:left="0" w:right="0" w:hanging="0"/>
              <w:jc w:val="left"/>
              <w:rPr/>
            </w:pPr>
            <w:r>
              <w:rPr/>
              <w:t> </w:t>
            </w:r>
          </w:p>
        </w:tc>
      </w:tr>
      <w:tr>
        <w:trPr/>
        <w:tc>
          <w:tcPr>
            <w:tcW w:w="15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430,038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2,901,007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amounts reported in the “Bonus” column represent annual cash bonuses awarded to our named executive officers.</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dollar amounts in this column represent the grant date market value of the restricted stock units awarded during the year computed in accordance with FASB ASC Topic 718, which is determined by multiplying the market price of shares as of the date of the grant by the number of restricted stock units granted. The value of restricted stock units subject to both the 2021 Performance Condition, which was a condition related to the Phase 3 clinical trials in GA, and 2022 Performance Condition are included at the highest level of performance, as the achievement of both the 2021 Performance Condition and 2022 Performance Condition were regarded as probable at the grant date. Note that the 2021 Performance Condition was not achieved, and the 2022 Performance Condition was achieved.</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amounts reported in the “Options Awards” column reflect the aggregate grant date fair value of options awarded during the year, computed in accordance with the provisions of FASB ASC Topic 718, using a Black-Scholes valuation model. For the assumptions made in determining these values, see Note 17 to the consolidated financial statements in our Annual Report on Form 10-K for the year ended December 31, 2022. For purposes of these calculations, we have disregarded the possibility of forfeitures related to service-based vesting conditions. The value of stock options subject to both the 2021 Performance Condition and 2022 Performance Condition are included at the highest level of performance, as the achievement of both the 2021 Performance Condition and 2022 Performance Condition were regarded as probable at the grant date. Note that the 2021 Performance Condition was not achieved, and the 2022 Performance Condition was achieved.</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amounts reported in the “All Other Compensation” column consist of the value of Company paid life insurance premiums and the amounts we contributed to our 401(k) plan in respect of our named executive officers. In 2022, we paid life insurance premiums of $672 for each named executive officer, and we made 401(k) plan contributions of $4,734 for Dr. Francois, $13,500 for Mr. Sullivan, $8,945 for Dr. Deschatelets, $6,100 for Mr. Watson, and $10,250 for Mr. Townsend.</w:t>
      </w:r>
    </w:p>
    <w:p>
      <w:pPr>
        <w:pStyle w:val="TextBody"/>
        <w:spacing w:before="120" w:after="0"/>
        <w:jc w:val="left"/>
        <w:rPr>
          <w:rFonts w:ascii="Times New Roman" w:hAnsi="Times New Roman"/>
          <w:b w:val="false"/>
          <w:sz w:val="18"/>
        </w:rPr>
      </w:pPr>
      <w:r>
        <w:rPr>
          <w:rFonts w:ascii="Times New Roman" w:hAnsi="Times New Roman"/>
          <w:b w:val="false"/>
          <w:sz w:val="18"/>
        </w:rPr>
        <w:t>(5)</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Dr. Francois also serves as a member of our board of directors but does not receive any additional compensation for his service as a director.</w:t>
      </w:r>
    </w:p>
    <w:p>
      <w:pPr>
        <w:pStyle w:val="TextBody"/>
        <w:spacing w:before="120" w:after="0"/>
        <w:jc w:val="left"/>
        <w:rPr>
          <w:rFonts w:ascii="Times New Roman" w:hAnsi="Times New Roman"/>
          <w:b w:val="false"/>
          <w:sz w:val="18"/>
        </w:rPr>
      </w:pPr>
      <w:r>
        <w:rPr>
          <w:rFonts w:ascii="Times New Roman" w:hAnsi="Times New Roman"/>
          <w:b w:val="false"/>
          <w:sz w:val="18"/>
        </w:rPr>
        <w:t>(6)</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Mr. Watson was not a named executive officer during 2021 or 2020.</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Grants of Plan Based Awards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certain information regarding grants of plan-based awards made to our named executive officers during the year ended December 31, 2022.</w:t>
      </w:r>
    </w:p>
    <w:p>
      <w:pPr>
        <w:pStyle w:val="TextBody"/>
        <w:spacing w:before="240" w:after="0"/>
        <w:jc w:val="center"/>
        <w:rPr>
          <w:rFonts w:ascii="Times New Roman;serif" w:hAnsi="Times New Roman;serif"/>
          <w:b/>
          <w:sz w:val="20"/>
        </w:rPr>
      </w:pPr>
      <w:r>
        <w:rPr>
          <w:rFonts w:ascii="Times New Roman;serif" w:hAnsi="Times New Roman;serif"/>
          <w:b/>
          <w:sz w:val="20"/>
        </w:rPr>
        <w:t>Grants of Plan-Based Awards for Fiscal Year Ended December 31, 2022</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886"/>
        <w:gridCol w:w="146"/>
        <w:gridCol w:w="604"/>
        <w:gridCol w:w="146"/>
        <w:gridCol w:w="147"/>
        <w:gridCol w:w="259"/>
        <w:gridCol w:w="166"/>
        <w:gridCol w:w="146"/>
        <w:gridCol w:w="182"/>
        <w:gridCol w:w="434"/>
        <w:gridCol w:w="146"/>
        <w:gridCol w:w="146"/>
        <w:gridCol w:w="146"/>
        <w:gridCol w:w="601"/>
        <w:gridCol w:w="146"/>
        <w:gridCol w:w="146"/>
        <w:gridCol w:w="156"/>
        <w:gridCol w:w="744"/>
        <w:gridCol w:w="146"/>
        <w:gridCol w:w="146"/>
        <w:gridCol w:w="172"/>
        <w:gridCol w:w="814"/>
        <w:gridCol w:w="146"/>
        <w:gridCol w:w="146"/>
        <w:gridCol w:w="184"/>
        <w:gridCol w:w="646"/>
        <w:gridCol w:w="146"/>
        <w:gridCol w:w="146"/>
        <w:gridCol w:w="146"/>
        <w:gridCol w:w="826"/>
        <w:gridCol w:w="194"/>
      </w:tblGrid>
      <w:tr>
        <w:trPr/>
        <w:tc>
          <w:tcPr>
            <w:tcW w:w="1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47"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Estimated Future Payouts</w:t>
              <w:br/>
              <w:t>Under Equity Incentive Plan</w:t>
              <w:br/>
              <w:t>Awards</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pPr>
            <w:r>
              <w:rPr/>
              <w:t> </w:t>
            </w:r>
          </w:p>
        </w:tc>
        <w:tc>
          <w:tcPr>
            <w:tcW w:w="194" w:type="dxa"/>
            <w:tcBorders/>
            <w:shd w:fill="auto" w:val="clear"/>
            <w:vAlign w:val="center"/>
          </w:tcPr>
          <w:p>
            <w:pPr>
              <w:pStyle w:val="TableContents"/>
              <w:spacing w:before="0" w:after="0"/>
              <w:ind w:left="0" w:right="0" w:hanging="0"/>
              <w:jc w:val="center"/>
              <w:rPr/>
            </w:pPr>
            <w:r>
              <w:rPr/>
              <w:t> </w:t>
            </w:r>
          </w:p>
        </w:tc>
      </w:tr>
      <w:tr>
        <w:trPr/>
        <w:tc>
          <w:tcPr>
            <w:tcW w:w="1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Grant</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Notes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Threshold</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Target</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All Other Stock</w:t>
              <w:br/>
              <w:t>Awards</w:t>
              <w:br/>
              <w:t>Number of</w:t>
              <w:br/>
              <w:t>Shares of Stock</w:t>
              <w:br/>
              <w:t>or Units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All Other Option</w:t>
              <w:br/>
              <w:t>Awards: Number</w:t>
              <w:br/>
              <w:t>of Securities</w:t>
              <w:br/>
              <w:t>Underlying</w:t>
              <w:br/>
              <w:t>Options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Exercise Price</w:t>
              <w:br/>
              <w:t>of Option</w:t>
              <w:br/>
              <w:t>Awards ($/</w:t>
              <w:br/>
              <w:t>share)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Grant Date Fair</w:t>
              <w:br/>
              <w:t>Value of Stock</w:t>
              <w:br/>
              <w:t>and Option</w:t>
              <w:br/>
              <w:t>Awards ($) (2)</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Cedric Francois, M.D., Ph.D</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493,178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433,501</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106,244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3,767,412</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3,310,851</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414,279</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364,151</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1,091,707</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959,600</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Pascal Deschatelets, Ph.D.</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350,558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308,140</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923,768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811,958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David Watson</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350,558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308,140</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923,768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811,958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Adam Townsend</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350,558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308,140</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923,768</w:t>
            </w:r>
          </w:p>
        </w:tc>
        <w:tc>
          <w:tcPr>
            <w:tcW w:w="194" w:type="dxa"/>
            <w:tcBorders/>
            <w:shd w:fill="auto" w:val="clear"/>
            <w:vAlign w:val="center"/>
          </w:tcPr>
          <w:p>
            <w:pPr>
              <w:pStyle w:val="TableContents"/>
              <w:spacing w:before="0" w:after="0"/>
              <w:ind w:left="0" w:right="0" w:hanging="0"/>
              <w:jc w:val="left"/>
              <w:rPr/>
            </w:pPr>
            <w:r>
              <w:rPr/>
              <w:t> </w:t>
            </w:r>
          </w:p>
        </w:tc>
      </w:tr>
      <w:tr>
        <w:trPr/>
        <w:tc>
          <w:tcPr>
            <w:tcW w:w="18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811,958</w:t>
            </w:r>
          </w:p>
        </w:tc>
        <w:tc>
          <w:tcPr>
            <w:tcW w:w="194"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The exercise price of these stock options is equal to the closing price of our common stock on the Nasdaq Global Select Market on the grant date. </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Amounts represent the grant date market value of the restricted stock units and grant date fair value of stock options awarded to the named executive officers, calculated in accordance with FASB ASC Topic 718, which is determined by multiplying the market price of shares as of the date of the grant by the number of restricted stock units granted. For the assumptions made in determining these values, see Note 17 to the consolidated financial statements in our Annual Report on Form 10-K for the year ended December 31, 2022. For purposes of these calculations, we have disregarded the possibility of forfeitures related to service-based vesting conditions.</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amounts shown reflect performance-based restricted stock units granted pursuant to our 2017 Plan. The vesting of these restricted stock units vest was subject to the achievement of the 2022 Performance Condition. Upon achievement of the 2022 Performance Condition on February 21, 2023 the restricted stock units commenced vesting as to 25% of the shares on the first anniversary of the grant date and 25% on each anniversary of the grant date thereafter, subject to continued service. The value of restricted stock units subject to the 2022 Performance Condition is included at the highest level of performance, as the achievement of the 2022 Performance Condition was regarded as probable at the grant date.</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amounts shown reflect performance-based stock options granted pursuant to our 2017 Plan. These options have a ten-year term and their vesting was subject to the achievement of the 2022 Performance Condition. Upon achievement of the 2022 Performance Condition on February 21, 2023 the stock options commenced vesting as to 25% of the shares on the first anniversary of the grant date and then in equal monthly installments thereafter until the fourth anniversary of such date, subject to continued service. The value of stock options subject to the 2022 Performance Condition is included at the highest level of performance, as the achievement of the 2022 Performance Condition was regarded as probable at the grant date.</w:t>
      </w:r>
    </w:p>
    <w:p>
      <w:pPr>
        <w:pStyle w:val="TextBody"/>
        <w:spacing w:before="120" w:after="0"/>
        <w:jc w:val="left"/>
        <w:rPr>
          <w:rFonts w:ascii="Times New Roman" w:hAnsi="Times New Roman"/>
          <w:b w:val="false"/>
          <w:sz w:val="18"/>
        </w:rPr>
      </w:pPr>
      <w:r>
        <w:rPr>
          <w:rFonts w:ascii="Times New Roman" w:hAnsi="Times New Roman"/>
          <w:b w:val="false"/>
          <w:sz w:val="18"/>
        </w:rPr>
        <w:t>(5)</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amounts shown reflect time-based restricted stock units granted pursuant to our 2017 Plan. These restricted stock units vest as to 25% of the shares on the first anniversary of the grant date and 25% on each anniversary of the grant date thereafter.</w:t>
      </w:r>
    </w:p>
    <w:p>
      <w:pPr>
        <w:pStyle w:val="TextBody"/>
        <w:spacing w:before="120" w:after="0"/>
        <w:jc w:val="left"/>
        <w:rPr>
          <w:rFonts w:ascii="Times New Roman" w:hAnsi="Times New Roman"/>
          <w:b w:val="false"/>
          <w:sz w:val="18"/>
        </w:rPr>
      </w:pPr>
      <w:r>
        <w:rPr>
          <w:rFonts w:ascii="Times New Roman" w:hAnsi="Times New Roman"/>
          <w:b w:val="false"/>
          <w:sz w:val="18"/>
        </w:rPr>
        <w:t>(6)</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amounts shown reflect time-based stock options granted pursuant to our 2017 Plan. These options have a ten-year term and vest over four years with 25% vesting on the first anniversary of the grant date and the balance vesting thereafter in 36 equal monthly installments with the first such installment vesting on the date one month after the first anniversary of the grant date.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Outstanding Equity Awards at 2022 Fiscal Year End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information regarding outstanding equity awards held by our named executive officers as of December 31, 2022.</w:t>
      </w:r>
    </w:p>
    <w:p>
      <w:pPr>
        <w:pStyle w:val="TextBody"/>
        <w:spacing w:before="0" w:after="0"/>
        <w:jc w:val="left"/>
        <w:rPr/>
      </w:pPr>
      <w:r>
        <w:rPr/>
        <w:t> </w:t>
      </w:r>
    </w:p>
    <w:tbl>
      <w:tblPr>
        <w:tblW w:w="10438" w:type="dxa"/>
        <w:jc w:val="left"/>
        <w:tblInd w:w="0" w:type="dxa"/>
        <w:tblCellMar>
          <w:top w:w="28" w:type="dxa"/>
          <w:left w:w="28" w:type="dxa"/>
          <w:bottom w:w="28" w:type="dxa"/>
          <w:right w:w="28" w:type="dxa"/>
        </w:tblCellMar>
      </w:tblPr>
      <w:tblGrid>
        <w:gridCol w:w="1006"/>
        <w:gridCol w:w="146"/>
        <w:gridCol w:w="421"/>
        <w:gridCol w:w="256"/>
        <w:gridCol w:w="146"/>
        <w:gridCol w:w="691"/>
        <w:gridCol w:w="146"/>
        <w:gridCol w:w="146"/>
        <w:gridCol w:w="146"/>
        <w:gridCol w:w="695"/>
        <w:gridCol w:w="146"/>
        <w:gridCol w:w="146"/>
        <w:gridCol w:w="146"/>
        <w:gridCol w:w="511"/>
        <w:gridCol w:w="146"/>
        <w:gridCol w:w="146"/>
        <w:gridCol w:w="191"/>
        <w:gridCol w:w="455"/>
        <w:gridCol w:w="146"/>
        <w:gridCol w:w="146"/>
        <w:gridCol w:w="146"/>
        <w:gridCol w:w="691"/>
        <w:gridCol w:w="146"/>
        <w:gridCol w:w="146"/>
        <w:gridCol w:w="146"/>
        <w:gridCol w:w="826"/>
        <w:gridCol w:w="146"/>
        <w:gridCol w:w="146"/>
        <w:gridCol w:w="146"/>
        <w:gridCol w:w="601"/>
        <w:gridCol w:w="146"/>
        <w:gridCol w:w="146"/>
        <w:gridCol w:w="146"/>
        <w:gridCol w:w="691"/>
        <w:gridCol w:w="191"/>
      </w:tblGrid>
      <w:tr>
        <w:trPr/>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385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Option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Stock Awards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Grant</w:t>
              <w:br/>
              <w:t>Date</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Number of</w:t>
              <w:br/>
              <w:t>Securities</w:t>
              <w:br/>
              <w:t>Underlying</w:t>
              <w:br/>
              <w:t>Unexercised</w:t>
              <w:br/>
              <w:t>Options</w:t>
              <w:br/>
              <w:t>Exercisable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Number of</w:t>
              <w:br/>
              <w:t>Securities</w:t>
              <w:br/>
              <w:t>Underlying</w:t>
              <w:br/>
              <w:t>Unexercised</w:t>
              <w:br/>
              <w:t>Options</w:t>
              <w:br/>
              <w:t>Unexercisable</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Option</w:t>
              <w:br/>
              <w:t>Exercise</w:t>
              <w:br/>
              <w:t>Price</w:t>
              <w:b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Option</w:t>
              <w:br/>
              <w:t>Expiration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Number of</w:t>
              <w:br/>
              <w:t>Shares or Units</w:t>
              <w:br/>
              <w:t>of Stock That</w:t>
              <w:br/>
              <w:t>Have Not</w:t>
              <w:br/>
              <w:t>Vested</w:t>
              <w:b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Market Value</w:t>
              <w:br/>
              <w:t>of Shares or</w:t>
              <w:br/>
              <w:t>Units of Stock</w:t>
              <w:br/>
              <w:t>That Have Not</w:t>
              <w:br/>
              <w:t>Vested</w:t>
              <w:b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Equity incentive</w:t>
              <w:br/>
              <w:t>plan awards:</w:t>
              <w:br/>
              <w:t>number of unearned</w:t>
              <w:br/>
              <w:t>shares, units or</w:t>
              <w:br/>
              <w:t>other rights that</w:t>
              <w:br/>
              <w:t>have not vested</w:t>
              <w:b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Equity incentive</w:t>
              <w:br/>
              <w:t>plan awards:</w:t>
              <w:br/>
              <w:t>market or payout</w:t>
              <w:br/>
              <w:t>value of unearned</w:t>
              <w:br/>
              <w:t>shares, units or other</w:t>
              <w:br/>
              <w:t>rights that have not</w:t>
              <w:br/>
              <w:t>vested ($)(2)(3)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Cedric Francois,</w:t>
              <w:br/>
              <w:t>   M.D., Ph.D.</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106,244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5,493,877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719,183</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969,563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888,791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60,157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2/8/19</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269,291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2/16/18</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273,312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8/21/17</w:t>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375,538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8/20/27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2/8/16</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258,840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12/5/13</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1,591,996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604,128</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290,869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302,193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49,671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2/8/19</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91,041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2/16/18</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10/18/17</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358,619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10/17/27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Pascal Deschatelets,</w:t>
              <w:br/>
              <w:t>   Ph.D.</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1,347,097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511,205</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290,869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242,416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2/8/19</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91,041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2/16/18</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8/21/17</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187,529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8/20/27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2/8/16</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220,494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12/5/13</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David Watson</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1,347,097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511,205</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290,869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2/8/19</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2/16/18</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Adam Townsend</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1,347,097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511,205</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1/21/22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290,869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1/28/21</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242,416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2/8/19</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11/16/18</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11/15/28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These time-based restricted stock units vest over four years with 25% of each restricted stock unit vesting on the first anniversary of the grant date and 25% on each anniversary of the grant date thereafter.</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Amounts shown are based on a price of $51.71 per share, which was the closing price of our common stock as reported on the Nasdaq Global Select Market on December 30, 2022, the last trading day of the year.</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The restricted stock units subject to the achievement of the 2022 Performance Condition, which was met on February 21, 2023. </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These time-based stock options have a ten-year term and vest over four years with 25% vesting on the first anniversary of the grant date and the balance vesting thereafter in 36 equal monthly installments with the first such installment vesting on the date one month after the first anniversary of the grant date.</w:t>
      </w:r>
    </w:p>
    <w:p>
      <w:pPr>
        <w:pStyle w:val="TextBody"/>
        <w:spacing w:before="120" w:after="0"/>
        <w:jc w:val="left"/>
        <w:rPr>
          <w:rFonts w:ascii="Times New Roman" w:hAnsi="Times New Roman"/>
          <w:b w:val="false"/>
          <w:sz w:val="18"/>
        </w:rPr>
      </w:pPr>
      <w:r>
        <w:rPr>
          <w:rFonts w:ascii="Times New Roman" w:hAnsi="Times New Roman"/>
          <w:b w:val="false"/>
          <w:sz w:val="18"/>
        </w:rPr>
        <w:t>(5)</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 xml:space="preserve">The stock options subject to the achievement of the 2022 Performance Condition were not earned until February 21, 2023 and therefore were outstanding at fiscal year-end for 2022. </w:t>
      </w:r>
    </w:p>
    <w:p>
      <w:pPr>
        <w:pStyle w:val="TextBody"/>
        <w:spacing w:before="240" w:after="0"/>
        <w:jc w:val="left"/>
        <w:rPr>
          <w:rFonts w:ascii="Times New Roman;serif" w:hAnsi="Times New Roman;serif"/>
          <w:b/>
          <w:sz w:val="20"/>
        </w:rPr>
      </w:pPr>
      <w:r>
        <w:rPr>
          <w:rFonts w:ascii="Times New Roman;serif" w:hAnsi="Times New Roman;serif"/>
          <w:b/>
          <w:sz w:val="20"/>
        </w:rPr>
        <w:t>Option Exercises and Stock Vested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sets forth information concerning option exercises for each of our named executive officers during the fiscal year ended December 31, 2022:</w:t>
      </w:r>
    </w:p>
    <w:p>
      <w:pPr>
        <w:pStyle w:val="TextBody"/>
        <w:spacing w:before="0" w:after="0"/>
        <w:jc w:val="left"/>
        <w:rPr/>
      </w:pPr>
      <w:r>
        <w:rPr/>
        <w:t> </w:t>
      </w:r>
    </w:p>
    <w:tbl>
      <w:tblPr>
        <w:tblW w:w="8819" w:type="dxa"/>
        <w:jc w:val="left"/>
        <w:tblInd w:w="0" w:type="dxa"/>
        <w:tblCellMar>
          <w:top w:w="28" w:type="dxa"/>
          <w:left w:w="28" w:type="dxa"/>
          <w:bottom w:w="28" w:type="dxa"/>
          <w:right w:w="28" w:type="dxa"/>
        </w:tblCellMar>
      </w:tblPr>
      <w:tblGrid>
        <w:gridCol w:w="2416"/>
        <w:gridCol w:w="146"/>
        <w:gridCol w:w="222"/>
        <w:gridCol w:w="1188"/>
        <w:gridCol w:w="146"/>
        <w:gridCol w:w="146"/>
        <w:gridCol w:w="160"/>
        <w:gridCol w:w="1025"/>
        <w:gridCol w:w="146"/>
        <w:gridCol w:w="146"/>
        <w:gridCol w:w="250"/>
        <w:gridCol w:w="1160"/>
        <w:gridCol w:w="146"/>
        <w:gridCol w:w="146"/>
        <w:gridCol w:w="186"/>
        <w:gridCol w:w="999"/>
        <w:gridCol w:w="19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8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Awards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w:t>
              <w:br/>
              <w:t>Acquired on</w:t>
              <w:br/>
              <w:t>Exercise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Realized</w:t>
              <w:br/>
              <w:t>on Exercise</w:t>
              <w:br/>
              <w:t>($)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w:t>
              <w:br/>
              <w:t>Acquired on</w:t>
              <w:br/>
              <w:t>Vesting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Realized</w:t>
              <w:br/>
              <w:t>on Vesting</w:t>
              <w:br/>
              <w:t>($) (2)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 M.D., Ph.D.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2,361,171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646,137</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210,041</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 Ph.D.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173,505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8,370,147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182,806</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147,466</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182,806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value realized when the stock options were exercised represents the excess of the fair market value of the shares at the time of exercise over the exercise price of the stock options.</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value realized when the stock awards vested represents the fair market value of the shares at the time of vesting of the stock awards.</w:t>
      </w:r>
    </w:p>
    <w:p>
      <w:pPr>
        <w:pStyle w:val="TextBody"/>
        <w:spacing w:before="240" w:after="0"/>
        <w:jc w:val="left"/>
        <w:rPr>
          <w:rFonts w:ascii="Times New Roman;serif" w:hAnsi="Times New Roman;serif"/>
          <w:b/>
          <w:sz w:val="20"/>
        </w:rPr>
      </w:pPr>
      <w:r>
        <w:rPr>
          <w:rFonts w:ascii="Times New Roman;serif" w:hAnsi="Times New Roman;serif"/>
          <w:b/>
          <w:sz w:val="20"/>
        </w:rPr>
        <w:t>Employment Agreements and Change in Control and Severance Arrangements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entered into an offer letter with Mr. Sullivan, our Chief Financial Officer, on October 9, 2017 and an employment agreement with Mr. Townsend, our Chief Commercial Officer, on November 16, 2018. These offer letters and employment agreements established their terms of employment with us, including their respective title, salary, bonus and eligibility for benefits. Otherwise, we are not party to offer letters or employment agreements with our other three named executive officers.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Separation Benefits Plan provides for separation benefits for C-level officers, including our named executive officers, and other covered employees in the event of (i) a termination of employment by us other than for cause or (ii) a resignation for good reason upon a change in control upon or within 12 months following a change in control. These provisions are summarized above. See “—Compensation Discussion and Analysis.”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Cash Severance upon Termination without Cause, Not Upon Change of Control</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sets forth information regarding the value of the benefits that our named executive officers would have received under the Separation Benefits Plan if they were terminated by us other than for cause on December 31, 2022.</w:t>
      </w:r>
    </w:p>
    <w:p>
      <w:pPr>
        <w:pStyle w:val="TextBody"/>
        <w:spacing w:before="0" w:after="0"/>
        <w:jc w:val="left"/>
        <w:rPr/>
      </w:pPr>
      <w:r>
        <w:rPr/>
        <w:t> </w:t>
      </w:r>
    </w:p>
    <w:tbl>
      <w:tblPr>
        <w:tblW w:w="4240" w:type="dxa"/>
        <w:jc w:val="left"/>
        <w:tblInd w:w="0" w:type="dxa"/>
        <w:tblCellMar>
          <w:top w:w="28" w:type="dxa"/>
          <w:left w:w="28" w:type="dxa"/>
          <w:bottom w:w="28" w:type="dxa"/>
          <w:right w:w="28" w:type="dxa"/>
        </w:tblCellMar>
      </w:tblPr>
      <w:tblGrid>
        <w:gridCol w:w="2416"/>
        <w:gridCol w:w="146"/>
        <w:gridCol w:w="182"/>
        <w:gridCol w:w="974"/>
        <w:gridCol w:w="146"/>
        <w:gridCol w:w="376"/>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Not-for-Cause</w:t>
              <w:br/>
              <w:t>Separation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 M.D., Ph.D.</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714,130</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375,097</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 Ph.D.</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363,097</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359,347</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372,339</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bl>
    <w:p>
      <w:pPr>
        <w:pStyle w:val="TextBody"/>
        <w:pBdr>
          <w:bottom w:val="single" w:sz="6" w:space="1" w:color="000000"/>
        </w:pBdr>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Twelve (12) months of monthly Base Salary and COBRA coverage for twelve (12) months.</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Nine (9) months of monthly Base Salary and COBRA coverage for nine (9) months.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Cash Severance Upon a Change of Control</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table sets forth information regarding the value of the benefits that our named executive officers would have received under the Separation Benefits Plan if, on December 31, 2022, they were terminated by us other than for cause or resigned with good reason, and such separation occurred within 12 months following a change of control.</w:t>
      </w:r>
    </w:p>
    <w:p>
      <w:pPr>
        <w:pStyle w:val="TextBody"/>
        <w:spacing w:before="0" w:after="0"/>
        <w:jc w:val="left"/>
        <w:rPr/>
      </w:pPr>
      <w:r>
        <w:rPr/>
        <w:t> </w:t>
      </w:r>
    </w:p>
    <w:tbl>
      <w:tblPr>
        <w:tblW w:w="6136" w:type="dxa"/>
        <w:jc w:val="left"/>
        <w:tblInd w:w="0" w:type="dxa"/>
        <w:tblCellMar>
          <w:top w:w="28" w:type="dxa"/>
          <w:left w:w="28" w:type="dxa"/>
          <w:bottom w:w="28" w:type="dxa"/>
          <w:right w:w="28" w:type="dxa"/>
        </w:tblCellMar>
      </w:tblPr>
      <w:tblGrid>
        <w:gridCol w:w="2416"/>
        <w:gridCol w:w="146"/>
        <w:gridCol w:w="275"/>
        <w:gridCol w:w="655"/>
        <w:gridCol w:w="146"/>
        <w:gridCol w:w="146"/>
        <w:gridCol w:w="248"/>
        <w:gridCol w:w="1582"/>
        <w:gridCol w:w="146"/>
        <w:gridCol w:w="376"/>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 of</w:t>
              <w:br/>
              <w:t>Control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Qualifying Termination</w:t>
              <w:br/>
              <w:t>within 12 Months</w:t>
              <w:br/>
              <w:t>Following Change of</w:t>
              <w:br/>
              <w:t>Control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 M.D., Ph.D.</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1,782,894</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725,080</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 Ph.D.</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701,880</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694,630</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719,152</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bl>
    <w:p>
      <w:pPr>
        <w:pStyle w:val="TextBody"/>
        <w:pBdr>
          <w:bottom w:val="single" w:sz="6" w:space="1" w:color="000000"/>
        </w:pBdr>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Eighteen (18) months of monthly Base Salary, 150% of the target bonus award for the year in which the termination occurs, COBRA coverage for eighteen (18) months and outplacement services for six (6) months.</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Twelve (12) months of monthly Base Salary, 100% of the target bonus award for the year in which the termination occurs, COBRA coverage for twelve (12) months and outplacement services for six (6) months.</w:t>
      </w:r>
    </w:p>
    <w:p>
      <w:pPr>
        <w:pStyle w:val="TextBody"/>
        <w:spacing w:before="240" w:after="0"/>
        <w:jc w:val="left"/>
        <w:rPr>
          <w:rFonts w:ascii="Times New Roman;serif" w:hAnsi="Times New Roman;serif"/>
          <w:b/>
          <w:i/>
          <w:sz w:val="20"/>
        </w:rPr>
      </w:pPr>
      <w:r>
        <w:rPr>
          <w:rFonts w:ascii="Times New Roman;serif" w:hAnsi="Times New Roman;serif"/>
          <w:b/>
          <w:i/>
          <w:sz w:val="20"/>
        </w:rPr>
        <w:t>Acceleration of Vesting Upon a Change of Control</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options held by Dr. Francois, Mr. Sullivan and Dr. Deschatelets that were granted prior to January 1, 2020 fully vest upon a change of control. Under the Separation Benefits Plan, the options and restricted stock units held by the named executive officers vest with respect to all of the then unvested shares upon the occurrence of a termination of employment without cause or a resignation for good reason within twelve months following a change of control.</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table sets forth information regarding the value that would have been received by each of our named executive officers from an acceleration of vesting in connection with a change of control or, as applicable, a qualifying termination of employment following a change of control, assuming the acceleration event had occurred on December 31, 2022.</w:t>
      </w:r>
    </w:p>
    <w:p>
      <w:pPr>
        <w:pStyle w:val="TextBody"/>
        <w:spacing w:before="0" w:after="0"/>
        <w:jc w:val="left"/>
        <w:rPr/>
      </w:pPr>
      <w:r>
        <w:rPr/>
        <w:t> </w:t>
      </w:r>
    </w:p>
    <w:tbl>
      <w:tblPr>
        <w:tblW w:w="6060" w:type="dxa"/>
        <w:jc w:val="left"/>
        <w:tblInd w:w="0" w:type="dxa"/>
        <w:tblCellMar>
          <w:top w:w="28" w:type="dxa"/>
          <w:left w:w="28" w:type="dxa"/>
          <w:bottom w:w="28" w:type="dxa"/>
          <w:right w:w="28" w:type="dxa"/>
        </w:tblCellMar>
      </w:tblPr>
      <w:tblGrid>
        <w:gridCol w:w="2416"/>
        <w:gridCol w:w="146"/>
        <w:gridCol w:w="186"/>
        <w:gridCol w:w="999"/>
        <w:gridCol w:w="146"/>
        <w:gridCol w:w="146"/>
        <w:gridCol w:w="226"/>
        <w:gridCol w:w="1604"/>
        <w:gridCol w:w="19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 of</w:t>
              <w:br/>
              <w:t>Control ($)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Qualifying Termination</w:t>
              <w:br/>
              <w:t>within 12 Months</w:t>
              <w:br/>
              <w:t>Following Change of</w:t>
              <w:br/>
              <w:t>Control ($) (1)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Cedric Francois, M.D., Ph.D.</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443,303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11,816,404</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4,078,681</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Pascal Deschatelets, Ph.D.</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3,500,611</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Watson</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3,447,414</w:t>
            </w:r>
          </w:p>
        </w:tc>
        <w:tc>
          <w:tcPr>
            <w:tcW w:w="19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Adam Townsend</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3,508,524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60" w:after="0"/>
        <w:jc w:val="left"/>
        <w:rPr>
          <w:rFonts w:ascii="Times New Roman" w:hAnsi="Times New Roman"/>
          <w:b w:val="false"/>
          <w:sz w:val="18"/>
        </w:rPr>
      </w:pPr>
      <w:r>
        <w:rPr>
          <w:rFonts w:ascii="Times New Roman" w:hAnsi="Times New Roman"/>
          <w:b w:val="false"/>
          <w:sz w:val="18"/>
        </w:rPr>
        <w:t>(1)</w:t>
      </w:r>
    </w:p>
    <w:p>
      <w:pPr>
        <w:pStyle w:val="TextBody"/>
        <w:spacing w:before="60" w:after="283"/>
        <w:jc w:val="left"/>
        <w:rPr>
          <w:rFonts w:ascii="Times New Roman;serif" w:hAnsi="Times New Roman;serif"/>
          <w:b w:val="false"/>
          <w:sz w:val="18"/>
        </w:rPr>
      </w:pPr>
      <w:r>
        <w:rPr>
          <w:rFonts w:ascii="Times New Roman;serif" w:hAnsi="Times New Roman;serif"/>
          <w:b w:val="false"/>
          <w:sz w:val="18"/>
        </w:rPr>
        <w:t>Values calculated based on a per-share price of $51.71, the closing price of our common stock on December 31, 2022 on the Nasdaq Global Select Market.</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Other Agreements</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have also entered into employee confidentiality, inventions, non-solicitation, and non-competition agreements with each of our named executive officers. Under the employee confidentiality, inventions, non-solicitation, and non-competition agreements, each named executive officer has agreed (1) not to compete with us during his or her employment and for a period of one year after the termination of his or her employment, (2) not to solicit our employees during his or her employment and for a period of one year after the termination of his or her employment, (3) to protect our confidential and proprietary information and (4) to assign to us related intellectual property developed during the course of his or her employment.</w:t>
      </w:r>
    </w:p>
    <w:p>
      <w:pPr>
        <w:pStyle w:val="TextBody"/>
        <w:spacing w:before="0" w:after="0"/>
        <w:jc w:val="left"/>
        <w:rPr>
          <w:rFonts w:ascii="Times New Roman;serif" w:hAnsi="Times New Roman;serif"/>
          <w:b/>
          <w:sz w:val="18"/>
        </w:rPr>
      </w:pPr>
      <w:r>
        <w:rPr>
          <w:rFonts w:ascii="Times New Roman;serif" w:hAnsi="Times New Roman;serif"/>
          <w:b/>
          <w:sz w:val="18"/>
        </w:rPr>
        <w:t>Rule 10b5-1 Plans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Certain of our executive officers have adopted, and directors and other executive officers may in the future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Pay Ratio Disclosure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As required by Section 953(b) of the Dodd-Frank Wall Street Reform and Consumer Protection Act and Item 402(u) of Regulation S-K, we are required to disclose the ratio of our median employee’s annual total compensation to the annual total compensation of our principal executive officer.</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identified our median employee based on our global workforce as of December 31, 2022. We determined the median employee from the global workforce of 766 persons (excluding our chief executive officer) based on the aggregate of base salary (plus overtime, as applicable and annualized in the case of full- and part-time employees who joined the Company during 2022), cash bonus, and the grant date fair value of long-term incentive compensation awards. The annual total compensation of our median employee (other than the chief executive officer) for 2022 was $387,207. As disclosed in the Summary Compensation Table above, our chief executive officer’s annual total compensation for 2022 was $9,203,556. Based on the foregoing, our estimate of the ratio of the annual total compensation of our chief executive officer to the median of the annual total compensation of all other employees was 23.8 to 1.</w:t>
      </w:r>
    </w:p>
    <w:p>
      <w:pPr>
        <w:pStyle w:val="TextBody"/>
        <w:spacing w:before="0" w:after="0"/>
        <w:jc w:val="left"/>
        <w:rPr/>
      </w:pPr>
      <w:r>
        <w:rPr/>
        <w:t> </w:t>
      </w:r>
    </w:p>
    <w:tbl>
      <w:tblPr>
        <w:tblW w:w="3965" w:type="dxa"/>
        <w:jc w:val="left"/>
        <w:tblInd w:w="0" w:type="dxa"/>
        <w:tblCellMar>
          <w:top w:w="28" w:type="dxa"/>
          <w:left w:w="28" w:type="dxa"/>
          <w:bottom w:w="28" w:type="dxa"/>
          <w:right w:w="28" w:type="dxa"/>
        </w:tblCellMar>
      </w:tblPr>
      <w:tblGrid>
        <w:gridCol w:w="2701"/>
        <w:gridCol w:w="146"/>
        <w:gridCol w:w="146"/>
        <w:gridCol w:w="781"/>
        <w:gridCol w:w="1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Median</w:t>
              <w:br/>
              <w:t>Employee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Base Salary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187,266</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Bonus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67,833</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Incentive Awards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123,649</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Compensation ($)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8,459</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387,207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60" w:after="0"/>
        <w:jc w:val="left"/>
        <w:rPr>
          <w:rFonts w:ascii="Times New Roman" w:hAnsi="Times New Roman"/>
          <w:b w:val="false"/>
          <w:sz w:val="18"/>
        </w:rPr>
      </w:pPr>
      <w:r>
        <w:rPr>
          <w:rFonts w:ascii="Times New Roman" w:hAnsi="Times New Roman"/>
          <w:b w:val="false"/>
          <w:sz w:val="18"/>
        </w:rPr>
        <w:t>(1)</w:t>
      </w:r>
    </w:p>
    <w:p>
      <w:pPr>
        <w:pStyle w:val="TextBody"/>
        <w:spacing w:before="60" w:after="283"/>
        <w:jc w:val="left"/>
        <w:rPr/>
      </w:pPr>
      <w:r>
        <w:rPr>
          <w:rFonts w:ascii="Times New Roman;serif" w:hAnsi="Times New Roman;serif"/>
          <w:b w:val="false"/>
          <w:sz w:val="18"/>
        </w:rPr>
        <w:t>Amount represents the value of Company paid life insurance and discretionary matching employer contribution under our 401(k) plan in respect of the median employee</w:t>
      </w:r>
      <w:r>
        <w:rPr>
          <w:rFonts w:ascii="Times New Roman;serif" w:hAnsi="Times New Roman;serif"/>
          <w:b w:val="false"/>
          <w:sz w:val="20"/>
        </w:rPr>
        <w:t>.</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spacing w:before="0" w:after="0"/>
        <w:jc w:val="left"/>
        <w:rPr>
          <w:rFonts w:ascii="Times New Roman" w:hAnsi="Times New Roman"/>
          <w:sz w:val="20"/>
        </w:rPr>
      </w:pPr>
      <w:r>
        <w:rPr>
          <w:rFonts w:ascii="Times New Roman;serif" w:hAnsi="Times New Roman;serif"/>
          <w:b/>
          <w:sz w:val="18"/>
        </w:rPr>
        <w:t>Pay Versus Performance</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table reports (i) the “total compensation” of our chief executive officer, or our Principal Executive Officer, or PEO, and our other named executive officers, or Other NEOs, as set forth above under “Executive Compensation—Summary Compensation Table” or the SCT Amounts, (ii) the “compensation actually paid”, or CAP Amounts, to our PEO and Other NEOs as calculated pursuant to the SEC’s pay-versus performance rules, (iii) certain financial and other performance measures and (iv) the relationship of the CAP Amounts to those financial performance measurers.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The CAP Amounts included in the table below reflect a new measure of compensation which is a combined realizable and realized pay measure predicated on fair value. The grant date fair values included in the SCT Amounts have been replaced with fair values reflecting the change in value of equity awards during the fiscal year. The calculations do not reflect the actual sale of stock underlying equity awards or the exercise of stock options by the applicable executive. For discussion of how our compensation committee seeks to align pay with performance when making compensation decisions, please see the “Compensation Discussion and Analysis” section of this proxy statement beginning on page 24.</w:t>
      </w:r>
    </w:p>
    <w:p>
      <w:pPr>
        <w:pStyle w:val="TextBody"/>
        <w:spacing w:before="0" w:after="0"/>
        <w:jc w:val="left"/>
        <w:rPr/>
      </w:pPr>
      <w:r>
        <w:rPr/>
        <w:t> </w:t>
      </w:r>
    </w:p>
    <w:tbl>
      <w:tblPr>
        <w:tblW w:w="10744" w:type="dxa"/>
        <w:jc w:val="left"/>
        <w:tblInd w:w="0" w:type="dxa"/>
        <w:tblCellMar>
          <w:top w:w="28" w:type="dxa"/>
          <w:left w:w="28" w:type="dxa"/>
          <w:bottom w:w="28" w:type="dxa"/>
          <w:right w:w="28" w:type="dxa"/>
        </w:tblCellMar>
      </w:tblPr>
      <w:tblGrid>
        <w:gridCol w:w="541"/>
        <w:gridCol w:w="160"/>
        <w:gridCol w:w="1026"/>
        <w:gridCol w:w="146"/>
        <w:gridCol w:w="146"/>
        <w:gridCol w:w="1036"/>
        <w:gridCol w:w="146"/>
        <w:gridCol w:w="154"/>
        <w:gridCol w:w="987"/>
        <w:gridCol w:w="146"/>
        <w:gridCol w:w="154"/>
        <w:gridCol w:w="987"/>
        <w:gridCol w:w="146"/>
        <w:gridCol w:w="176"/>
        <w:gridCol w:w="815"/>
        <w:gridCol w:w="146"/>
        <w:gridCol w:w="176"/>
        <w:gridCol w:w="815"/>
        <w:gridCol w:w="146"/>
        <w:gridCol w:w="146"/>
        <w:gridCol w:w="841"/>
        <w:gridCol w:w="166"/>
        <w:gridCol w:w="239"/>
        <w:gridCol w:w="1112"/>
        <w:gridCol w:w="191"/>
      </w:tblGrid>
      <w:tr>
        <w:trPr/>
        <w:tc>
          <w:tcPr>
            <w:tcW w:w="5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41" w:type="dxa"/>
            <w:tcBorders/>
            <w:shd w:fill="auto" w:val="clear"/>
            <w:vAlign w:val="center"/>
          </w:tcPr>
          <w:p>
            <w:pPr>
              <w:pStyle w:val="TableContents"/>
              <w:spacing w:before="0" w:after="283"/>
              <w:ind w:left="0" w:right="0" w:hanging="0"/>
              <w:rPr>
                <w:sz w:val="4"/>
                <w:szCs w:val="4"/>
              </w:rPr>
            </w:pPr>
            <w:r>
              <w:rPr>
                <w:sz w:val="4"/>
                <w:szCs w:val="4"/>
              </w:rPr>
            </w:r>
          </w:p>
        </w:tc>
        <w:tc>
          <w:tcPr>
            <w:tcW w:w="2514" w:type="dxa"/>
            <w:gridSpan w:val="5"/>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8"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of Initial Fixed $100</w:t>
              <w:br/>
              <w:t> Based 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351"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Fiscal</w:t>
              <w:br/>
              <w:t> Year</w:t>
              <w:br/>
              <w:t> (a)</w:t>
            </w:r>
          </w:p>
        </w:tc>
        <w:tc>
          <w:tcPr>
            <w:tcW w:w="11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Summary</w:t>
              <w:br/>
              <w:t xml:space="preserve"> Compensation </w:t>
              <w:br/>
              <w:t>Table Total for</w:t>
              <w:br/>
              <w:t> PEO (1)</w:t>
              <w:b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Compensation </w:t>
              <w:br/>
              <w:t>Actually Paid</w:t>
              <w:br/>
              <w:t> to PEO (2)</w:t>
              <w:br/>
              <w:t>(c)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Summary Compensation Table Total for Other NEOs (1)</w:t>
              <w:br/>
              <w:t>(d)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Compensation Actually Paid to Other NEOs (2)</w:t>
              <w:br/>
              <w: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Shareholder Return</w:t>
              <w:br/>
              <w:t>(f)</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Peer Group </w:t>
              <w:br/>
              <w:t>Total Shareholder Return (3)</w:t>
              <w:br/>
              <w:t>(g)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Loss</w:t>
              <w:br/>
              <w:t>(000's)</w:t>
              <w:br/>
              <w:t>(h)</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16"/>
              </w:rPr>
              <w:t>Company Selected</w:t>
            </w:r>
            <w:r>
              <w:rPr>
                <w:rFonts w:ascii="Times New Roman" w:hAnsi="Times New Roman"/>
                <w:sz w:val="20"/>
              </w:rPr>
              <w:t> </w:t>
            </w:r>
            <w:r>
              <w:rPr>
                <w:rFonts w:ascii="Times New Roman;serif" w:hAnsi="Times New Roman;serif"/>
                <w:b/>
                <w:sz w:val="16"/>
              </w:rPr>
              <w:t>Measure Product Revenue, Net</w:t>
              <w:br/>
              <w:t>(000's)</w:t>
              <w:br/>
              <w:t>(i)</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160" w:type="dxa"/>
            <w:tcBorders/>
            <w:shd w:fill="auto" w:val="clear"/>
            <w:vAlign w:val="center"/>
          </w:tcPr>
          <w:p>
            <w:pPr>
              <w:pStyle w:val="TableContents"/>
              <w:spacing w:before="0" w:after="0"/>
              <w:ind w:left="0" w:right="0" w:hanging="0"/>
              <w:jc w:val="lef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9,203,556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20,442,702</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2,832,119</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6,487,858</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168.88</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(652,172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9" w:type="dxa"/>
            <w:tcBorders/>
            <w:shd w:fill="auto" w:val="clear"/>
            <w:vAlign w:val="center"/>
          </w:tcPr>
          <w:p>
            <w:pPr>
              <w:pStyle w:val="TableContents"/>
              <w:spacing w:before="0" w:after="0"/>
              <w:ind w:left="0" w:right="0" w:hanging="0"/>
              <w:jc w:val="left"/>
              <w:rPr/>
            </w:pPr>
            <w:r>
              <w:rPr/>
              <w:t> </w:t>
            </w:r>
          </w:p>
        </w:tc>
        <w:tc>
          <w:tcPr>
            <w:tcW w:w="11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65,092</w:t>
            </w:r>
          </w:p>
        </w:tc>
        <w:tc>
          <w:tcPr>
            <w:tcW w:w="191" w:type="dxa"/>
            <w:tcBorders/>
            <w:shd w:fill="auto" w:val="clear"/>
            <w:vAlign w:val="center"/>
          </w:tcPr>
          <w:p>
            <w:pPr>
              <w:pStyle w:val="TableContents"/>
              <w:spacing w:before="0" w:after="0"/>
              <w:ind w:left="0" w:right="0" w:hanging="0"/>
              <w:jc w:val="left"/>
              <w:rPr/>
            </w:pPr>
            <w:r>
              <w:rPr/>
              <w:t> </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2021</w:t>
            </w:r>
          </w:p>
        </w:tc>
        <w:tc>
          <w:tcPr>
            <w:tcW w:w="160" w:type="dxa"/>
            <w:tcBorders/>
            <w:shd w:fill="auto" w:val="clear"/>
            <w:vAlign w:val="center"/>
          </w:tcPr>
          <w:p>
            <w:pPr>
              <w:pStyle w:val="TableContents"/>
              <w:spacing w:before="0" w:after="0"/>
              <w:ind w:left="0" w:right="0" w:hanging="0"/>
              <w:jc w:val="lef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9,122,039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2,560,598</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2,745,212</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629,714</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154.41</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(746,354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9" w:type="dxa"/>
            <w:tcBorders/>
            <w:shd w:fill="auto" w:val="clear"/>
            <w:vAlign w:val="center"/>
          </w:tcPr>
          <w:p>
            <w:pPr>
              <w:pStyle w:val="TableContents"/>
              <w:spacing w:before="0" w:after="0"/>
              <w:ind w:left="0" w:right="0" w:hanging="0"/>
              <w:jc w:val="left"/>
              <w:rPr/>
            </w:pPr>
            <w:r>
              <w:rPr/>
              <w:t> </w:t>
            </w:r>
          </w:p>
        </w:tc>
        <w:tc>
          <w:tcPr>
            <w:tcW w:w="11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15,147</w:t>
            </w:r>
          </w:p>
        </w:tc>
        <w:tc>
          <w:tcPr>
            <w:tcW w:w="191" w:type="dxa"/>
            <w:tcBorders/>
            <w:shd w:fill="auto" w:val="clear"/>
            <w:vAlign w:val="center"/>
          </w:tcPr>
          <w:p>
            <w:pPr>
              <w:pStyle w:val="TableContents"/>
              <w:spacing w:before="0" w:after="0"/>
              <w:ind w:left="0" w:right="0" w:hanging="0"/>
              <w:jc w:val="left"/>
              <w:rPr/>
            </w:pPr>
            <w:r>
              <w:rPr/>
              <w:t> </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2020</w:t>
            </w:r>
          </w:p>
        </w:tc>
        <w:tc>
          <w:tcPr>
            <w:tcW w:w="160" w:type="dxa"/>
            <w:tcBorders/>
            <w:shd w:fill="auto" w:val="clear"/>
            <w:vAlign w:val="center"/>
          </w:tcPr>
          <w:p>
            <w:pPr>
              <w:pStyle w:val="TableContents"/>
              <w:spacing w:before="0" w:after="0"/>
              <w:ind w:left="0" w:right="0" w:hanging="0"/>
              <w:jc w:val="lef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9,275,425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17,100,276</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3,081,598</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6,179,355</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186.81</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(344,874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9" w:type="dxa"/>
            <w:tcBorders/>
            <w:shd w:fill="auto" w:val="clear"/>
            <w:vAlign w:val="center"/>
          </w:tcPr>
          <w:p>
            <w:pPr>
              <w:pStyle w:val="TableContents"/>
              <w:spacing w:before="0" w:after="0"/>
              <w:ind w:left="0" w:right="0" w:hanging="0"/>
              <w:jc w:val="left"/>
              <w:rPr/>
            </w:pPr>
            <w:r>
              <w:rPr/>
              <w:t> </w:t>
            </w:r>
          </w:p>
        </w:tc>
        <w:tc>
          <w:tcPr>
            <w:tcW w:w="111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Our PEO and Other NEOs for each of these fiscal years are shown below.</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41"/>
        <w:gridCol w:w="2333"/>
        <w:gridCol w:w="7331"/>
      </w:tblGrid>
      <w:tr>
        <w:trPr/>
        <w:tc>
          <w:tcPr>
            <w:tcW w:w="541" w:type="dxa"/>
            <w:tcBorders/>
            <w:shd w:fill="auto" w:val="clear"/>
            <w:vAlign w:val="center"/>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c>
          <w:tcPr>
            <w:tcW w:w="7331" w:type="dxa"/>
            <w:tcBorders/>
            <w:shd w:fill="auto" w:val="clear"/>
            <w:vAlign w:val="center"/>
          </w:tcPr>
          <w:p>
            <w:pPr>
              <w:pStyle w:val="TableContents"/>
              <w:spacing w:before="0" w:after="283"/>
              <w:rPr>
                <w:sz w:val="4"/>
                <w:szCs w:val="4"/>
              </w:rPr>
            </w:pPr>
            <w:r>
              <w:rPr>
                <w:sz w:val="4"/>
                <w:szCs w:val="4"/>
              </w:rPr>
            </w:r>
          </w:p>
        </w:tc>
      </w:tr>
      <w:tr>
        <w:trPr/>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Fiscal</w:t>
              <w:br/>
              <w:t> Year</w:t>
            </w:r>
          </w:p>
        </w:tc>
        <w:tc>
          <w:tcPr>
            <w:tcW w:w="2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PEO</w:t>
            </w:r>
          </w:p>
        </w:tc>
        <w:tc>
          <w:tcPr>
            <w:tcW w:w="7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 NEOs</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23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Cedric Francois, M.D., Ph.D.</w:t>
            </w:r>
          </w:p>
        </w:tc>
        <w:tc>
          <w:tcPr>
            <w:tcW w:w="7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 Pascal Deschatelets, Ph.D., David Watson, Adam Townsend</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2021</w:t>
            </w:r>
          </w:p>
        </w:tc>
        <w:tc>
          <w:tcPr>
            <w:tcW w:w="23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Cedric Francois, M.D., Ph.D.</w:t>
            </w:r>
          </w:p>
        </w:tc>
        <w:tc>
          <w:tcPr>
            <w:tcW w:w="7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 Pascal Deschatelets, Ph.D., Federico Grossi, M.D., Ph.D., Adam Townsend</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2020</w:t>
            </w:r>
          </w:p>
        </w:tc>
        <w:tc>
          <w:tcPr>
            <w:tcW w:w="23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Cedric Francois, M.D., Ph.D.</w:t>
            </w:r>
          </w:p>
        </w:tc>
        <w:tc>
          <w:tcPr>
            <w:tcW w:w="7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Sullivan, Pascal Deschatelets, Ph.D., Nur Nicholson, Adam Townsend</w:t>
            </w:r>
          </w:p>
        </w:tc>
      </w:tr>
    </w:tbl>
    <w:p>
      <w:pPr>
        <w:pStyle w:val="TextBody"/>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following table summarizes the adjustments made in accordance with Item 402(v) of Regulation S-K in order to calculate the CAP Amounts from the SCT Amounts. The SCT Amounts and the CAP Amounts do not reflect the actual amount of compensation earned by or paid to our executives during the applicable years, but rather are amounts determined in accordance with Item 402 of Regulation S-K under the Exchange Act. No awards vested in the year that they were granted.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862"/>
        <w:gridCol w:w="211"/>
        <w:gridCol w:w="1036"/>
        <w:gridCol w:w="166"/>
        <w:gridCol w:w="211"/>
        <w:gridCol w:w="991"/>
        <w:gridCol w:w="166"/>
        <w:gridCol w:w="211"/>
        <w:gridCol w:w="991"/>
        <w:gridCol w:w="166"/>
        <w:gridCol w:w="211"/>
        <w:gridCol w:w="991"/>
        <w:gridCol w:w="166"/>
        <w:gridCol w:w="211"/>
        <w:gridCol w:w="1036"/>
        <w:gridCol w:w="166"/>
        <w:gridCol w:w="211"/>
        <w:gridCol w:w="991"/>
        <w:gridCol w:w="211"/>
      </w:tblGrid>
      <w:tr>
        <w:trPr/>
        <w:tc>
          <w:tcPr>
            <w:tcW w:w="18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862" w:type="dxa"/>
            <w:tcBorders/>
            <w:shd w:fill="auto" w:val="clear"/>
            <w:vAlign w:val="center"/>
          </w:tcPr>
          <w:p>
            <w:pPr>
              <w:pStyle w:val="TableContents"/>
              <w:spacing w:before="0" w:after="283"/>
              <w:ind w:left="0" w:right="0" w:hanging="0"/>
              <w:rPr>
                <w:sz w:val="4"/>
                <w:szCs w:val="4"/>
              </w:rPr>
            </w:pPr>
            <w:r>
              <w:rPr>
                <w:sz w:val="4"/>
                <w:szCs w:val="4"/>
              </w:rPr>
            </w:r>
          </w:p>
        </w:tc>
        <w:tc>
          <w:tcPr>
            <w:tcW w:w="261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7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1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PEO</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Other</w:t>
              <w:br/>
              <w:t> NEOs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PEO</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Other</w:t>
              <w:br/>
              <w:t> NEOs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PEO</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Other</w:t>
              <w:br/>
              <w:t> NEOs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Compensation from Summary Compensation Table</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9,203,556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2,832,119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9,122,039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2,745,212</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9,275,425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3,081,598</w:t>
            </w:r>
          </w:p>
        </w:tc>
        <w:tc>
          <w:tcPr>
            <w:tcW w:w="211" w:type="dxa"/>
            <w:tcBorders/>
            <w:shd w:fill="auto" w:val="clear"/>
            <w:vAlign w:val="center"/>
          </w:tcPr>
          <w:p>
            <w:pPr>
              <w:pStyle w:val="TableContents"/>
              <w:spacing w:before="0" w:after="0"/>
              <w:ind w:left="0" w:right="0" w:hanging="0"/>
              <w:jc w:val="left"/>
              <w:rPr/>
            </w:pPr>
            <w:r>
              <w:rPr/>
              <w:t> </w:t>
            </w:r>
          </w:p>
        </w:tc>
      </w:tr>
      <w:tr>
        <w:trPr/>
        <w:tc>
          <w:tcPr>
            <w:tcW w:w="1862" w:type="dxa"/>
            <w:tcBorders/>
            <w:shd w:fill="auto" w:val="cle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Adjustments for Equity Awards</w:t>
            </w:r>
          </w:p>
        </w:tc>
        <w:tc>
          <w:tcPr>
            <w:tcW w:w="1247" w:type="dxa"/>
            <w:gridSpan w:val="2"/>
            <w:tcBorders/>
            <w:shd w:fill="auto" w:val="clear"/>
            <w:vAlign w:val="center"/>
          </w:tcPr>
          <w:p>
            <w:pPr>
              <w:pStyle w:val="TableContents"/>
              <w:spacing w:before="0" w:after="0"/>
              <w:ind w:left="0" w:right="0" w:hanging="0"/>
              <w:jc w:val="both"/>
              <w:rPr/>
            </w:pPr>
            <w:r>
              <w:rPr/>
              <w:t> </w:t>
            </w:r>
          </w:p>
        </w:tc>
        <w:tc>
          <w:tcPr>
            <w:tcW w:w="166" w:type="dxa"/>
            <w:tcBorders/>
            <w:shd w:fill="auto" w:val="clear"/>
            <w:vAlign w:val="center"/>
          </w:tcPr>
          <w:p>
            <w:pPr>
              <w:pStyle w:val="TableContents"/>
              <w:spacing w:before="0" w:after="0"/>
              <w:ind w:left="0" w:right="0" w:hanging="0"/>
              <w:jc w:val="both"/>
              <w:rPr/>
            </w:pPr>
            <w:r>
              <w:rPr/>
              <w:t> </w:t>
            </w:r>
          </w:p>
        </w:tc>
        <w:tc>
          <w:tcPr>
            <w:tcW w:w="1202" w:type="dxa"/>
            <w:gridSpan w:val="2"/>
            <w:tcBorders/>
            <w:shd w:fill="auto" w:val="clear"/>
            <w:vAlign w:val="center"/>
          </w:tcPr>
          <w:p>
            <w:pPr>
              <w:pStyle w:val="TableContents"/>
              <w:spacing w:before="0" w:after="0"/>
              <w:ind w:left="0" w:right="0" w:hanging="0"/>
              <w:jc w:val="both"/>
              <w:rPr/>
            </w:pPr>
            <w:r>
              <w:rPr/>
              <w:t> </w:t>
            </w:r>
          </w:p>
        </w:tc>
        <w:tc>
          <w:tcPr>
            <w:tcW w:w="166" w:type="dxa"/>
            <w:tcBorders/>
            <w:shd w:fill="auto" w:val="clear"/>
            <w:vAlign w:val="center"/>
          </w:tcPr>
          <w:p>
            <w:pPr>
              <w:pStyle w:val="TableContents"/>
              <w:spacing w:before="0" w:after="0"/>
              <w:ind w:left="0" w:right="0" w:hanging="0"/>
              <w:jc w:val="both"/>
              <w:rPr/>
            </w:pPr>
            <w:r>
              <w:rPr/>
              <w:t> </w:t>
            </w:r>
          </w:p>
        </w:tc>
        <w:tc>
          <w:tcPr>
            <w:tcW w:w="1202" w:type="dxa"/>
            <w:gridSpan w:val="2"/>
            <w:tcBorders/>
            <w:shd w:fill="auto" w:val="clear"/>
            <w:vAlign w:val="center"/>
          </w:tcPr>
          <w:p>
            <w:pPr>
              <w:pStyle w:val="TableContents"/>
              <w:spacing w:before="0" w:after="0"/>
              <w:ind w:left="0" w:right="0" w:hanging="0"/>
              <w:jc w:val="both"/>
              <w:rPr/>
            </w:pPr>
            <w:r>
              <w:rPr/>
              <w:t> </w:t>
            </w:r>
          </w:p>
        </w:tc>
        <w:tc>
          <w:tcPr>
            <w:tcW w:w="166" w:type="dxa"/>
            <w:tcBorders/>
            <w:shd w:fill="auto" w:val="clear"/>
            <w:vAlign w:val="center"/>
          </w:tcPr>
          <w:p>
            <w:pPr>
              <w:pStyle w:val="TableContents"/>
              <w:spacing w:before="0" w:after="0"/>
              <w:ind w:left="0" w:right="0" w:hanging="0"/>
              <w:jc w:val="both"/>
              <w:rPr/>
            </w:pPr>
            <w:r>
              <w:rPr/>
              <w:t> </w:t>
            </w:r>
          </w:p>
        </w:tc>
        <w:tc>
          <w:tcPr>
            <w:tcW w:w="1202" w:type="dxa"/>
            <w:gridSpan w:val="2"/>
            <w:tcBorders/>
            <w:shd w:fill="auto" w:val="clear"/>
            <w:vAlign w:val="center"/>
          </w:tcPr>
          <w:p>
            <w:pPr>
              <w:pStyle w:val="TableContents"/>
              <w:spacing w:before="0" w:after="0"/>
              <w:ind w:left="0" w:right="0" w:hanging="0"/>
              <w:jc w:val="both"/>
              <w:rPr/>
            </w:pPr>
            <w:r>
              <w:rPr/>
              <w:t> </w:t>
            </w:r>
          </w:p>
        </w:tc>
        <w:tc>
          <w:tcPr>
            <w:tcW w:w="166" w:type="dxa"/>
            <w:tcBorders/>
            <w:shd w:fill="auto" w:val="clear"/>
            <w:vAlign w:val="center"/>
          </w:tcPr>
          <w:p>
            <w:pPr>
              <w:pStyle w:val="TableContents"/>
              <w:spacing w:before="0" w:after="0"/>
              <w:ind w:left="0" w:right="0" w:hanging="0"/>
              <w:jc w:val="both"/>
              <w:rPr/>
            </w:pPr>
            <w:r>
              <w:rPr/>
              <w:t> </w:t>
            </w:r>
          </w:p>
        </w:tc>
        <w:tc>
          <w:tcPr>
            <w:tcW w:w="1247" w:type="dxa"/>
            <w:gridSpan w:val="2"/>
            <w:tcBorders/>
            <w:shd w:fill="auto" w:val="clear"/>
            <w:vAlign w:val="center"/>
          </w:tcPr>
          <w:p>
            <w:pPr>
              <w:pStyle w:val="TableContents"/>
              <w:spacing w:before="0" w:after="0"/>
              <w:ind w:left="0" w:right="0" w:hanging="0"/>
              <w:jc w:val="both"/>
              <w:rPr/>
            </w:pPr>
            <w:r>
              <w:rPr/>
              <w:t> </w:t>
            </w:r>
          </w:p>
        </w:tc>
        <w:tc>
          <w:tcPr>
            <w:tcW w:w="166" w:type="dxa"/>
            <w:tcBorders/>
            <w:shd w:fill="auto" w:val="clear"/>
            <w:vAlign w:val="center"/>
          </w:tcPr>
          <w:p>
            <w:pPr>
              <w:pStyle w:val="TableContents"/>
              <w:spacing w:before="0" w:after="0"/>
              <w:ind w:left="0" w:right="0" w:hanging="0"/>
              <w:jc w:val="both"/>
              <w:rPr/>
            </w:pPr>
            <w:r>
              <w:rPr/>
              <w:t> </w:t>
            </w:r>
          </w:p>
        </w:tc>
        <w:tc>
          <w:tcPr>
            <w:tcW w:w="1202" w:type="dxa"/>
            <w:gridSpan w:val="2"/>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 for grant date values in the Summary Compensation Table</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(8,004,942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(2,136,764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(8,152,500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(2,140,032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(8,226,969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(2,483,345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Year-end fair value of unvested awards granted in the current year</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11,854,186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3,706,967</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5,711,805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1,713,542</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9,544,944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3,352,512</w:t>
            </w:r>
          </w:p>
        </w:tc>
        <w:tc>
          <w:tcPr>
            <w:tcW w:w="211" w:type="dxa"/>
            <w:tcBorders/>
            <w:shd w:fill="auto" w:val="clear"/>
            <w:vAlign w:val="center"/>
          </w:tcPr>
          <w:p>
            <w:pPr>
              <w:pStyle w:val="TableContents"/>
              <w:spacing w:before="0" w:after="0"/>
              <w:ind w:left="0" w:right="0" w:hanging="0"/>
              <w:jc w:val="left"/>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Year-over-year difference of year-end fair values for unvested awards granted in prior years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7,373,459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2,059,670</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(1,748,069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(679,261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5,283,111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1,905,999</w:t>
            </w:r>
          </w:p>
        </w:tc>
        <w:tc>
          <w:tcPr>
            <w:tcW w:w="211" w:type="dxa"/>
            <w:tcBorders/>
            <w:shd w:fill="auto" w:val="clear"/>
            <w:vAlign w:val="center"/>
          </w:tcPr>
          <w:p>
            <w:pPr>
              <w:pStyle w:val="TableContents"/>
              <w:spacing w:before="0" w:after="0"/>
              <w:ind w:left="0" w:right="0" w:hanging="0"/>
              <w:jc w:val="left"/>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values at vest date for awards granted and vested in current year</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Difference in fair values between prior year-end fair values and vest date fair values for awards granted in prior years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25,866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(2,372,677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(1,009,747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1,223,765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322,591</w:t>
            </w:r>
          </w:p>
        </w:tc>
        <w:tc>
          <w:tcPr>
            <w:tcW w:w="211" w:type="dxa"/>
            <w:tcBorders/>
            <w:shd w:fill="auto" w:val="clear"/>
            <w:vAlign w:val="center"/>
          </w:tcPr>
          <w:p>
            <w:pPr>
              <w:pStyle w:val="TableContents"/>
              <w:spacing w:before="0" w:after="0"/>
              <w:ind w:left="0" w:right="0" w:hanging="0"/>
              <w:jc w:val="left"/>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Forfeitures during current year equal to prior year-end fair value</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Adjustments for Equity Awards</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11,239,146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3,655,739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(6,561,441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(2,115,498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7,824,851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3,097,757</w:t>
            </w:r>
          </w:p>
        </w:tc>
        <w:tc>
          <w:tcPr>
            <w:tcW w:w="211" w:type="dxa"/>
            <w:tcBorders/>
            <w:shd w:fill="auto" w:val="clear"/>
            <w:vAlign w:val="center"/>
          </w:tcPr>
          <w:p>
            <w:pPr>
              <w:pStyle w:val="TableContents"/>
              <w:spacing w:before="0" w:after="0"/>
              <w:ind w:left="0" w:right="0" w:hanging="0"/>
              <w:jc w:val="left"/>
              <w:rPr/>
            </w:pPr>
            <w:r>
              <w:rPr/>
              <w:t> </w:t>
            </w:r>
          </w:p>
        </w:tc>
      </w:tr>
      <w:tr>
        <w:trPr/>
        <w:tc>
          <w:tcPr>
            <w:tcW w:w="186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Compensation Actually Paid (as calculated)</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20,442,702</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6,487,858</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2,560,598</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629,714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17,100,276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6,179,355</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Reflects cumulative TSR of the NASDAQ Biotechnology Index.</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NASDAQ Biotechnology Index is the peer group used by us for purposes of Item 201(e) of Regulation S-K under the Exchange Act in our Annual Report on Form 10-K for the year ended December 31, 2022.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graph below illustrates the relationship between the CAP Amounts for our PEO and Other NEOs as compared to the TSR of our common stock for the indicated fiscal years.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581525" cy="27813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581525" cy="2781300"/>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18"/>
        </w:rPr>
        <w:t>The graph below presents the relationship between the CAP Amounts for our PEO and Other NEOs and our net loss</w:t>
      </w:r>
      <w:r>
        <w:rPr>
          <w:rFonts w:ascii="Times New Roman" w:hAnsi="Times New Roman"/>
          <w:sz w:val="20"/>
        </w:rPr>
        <w:t xml:space="preserve"> </w:t>
      </w:r>
      <w:r>
        <w:rPr>
          <w:rFonts w:ascii="Times New Roman;serif" w:hAnsi="Times New Roman;serif"/>
          <w:b w:val="false"/>
          <w:sz w:val="18"/>
        </w:rPr>
        <w:t>for the indicated fiscal years.</w:t>
      </w:r>
    </w:p>
    <w:p>
      <w:pPr>
        <w:pStyle w:val="TextBody"/>
        <w:spacing w:before="0" w:after="0"/>
        <w:jc w:val="left"/>
        <w:rPr/>
      </w:pPr>
      <w:r>
        <w:rPr/>
        <w:t> </w:t>
      </w:r>
    </w:p>
    <w:p>
      <w:pPr>
        <w:pStyle w:val="TextBody"/>
        <w:spacing w:before="0" w:after="0"/>
        <w:jc w:val="center"/>
        <w:rPr/>
      </w:pPr>
      <w:r>
        <w:rPr/>
        <w:drawing>
          <wp:inline distT="0" distB="0" distL="0" distR="0">
            <wp:extent cx="4581525" cy="27813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581525" cy="2781300"/>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graph below presents the relationship between the CAP Amounts for our PEO and Other NEOs and our Product Revenue for the indicated fiscal years: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4581525" cy="29813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581525" cy="298132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graph below presents the relationship between our cumulative TSR and that of our peer group (NASDAQ Biotechnology Index) for the indicated fiscal years:</w:t>
      </w:r>
    </w:p>
    <w:p>
      <w:pPr>
        <w:pStyle w:val="TextBody"/>
        <w:spacing w:before="0" w:after="0"/>
        <w:jc w:val="left"/>
        <w:rPr/>
      </w:pPr>
      <w:r>
        <w:rPr/>
        <w:t> </w:t>
      </w:r>
    </w:p>
    <w:p>
      <w:pPr>
        <w:pStyle w:val="TextBody"/>
        <w:spacing w:before="0" w:after="0"/>
        <w:jc w:val="center"/>
        <w:rPr/>
      </w:pPr>
      <w:r>
        <w:rPr/>
        <w:drawing>
          <wp:inline distT="0" distB="0" distL="0" distR="0">
            <wp:extent cx="4581525" cy="2752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581525" cy="275272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table identifies four financial and non-financial performance measures that, in our assessment, represent the most important performance measures we used to link the CAP Amounts for our NEOs for 2022 (our most recently completed fiscal year), to company performance. Of these measures, we have identified Product Revenue, Net as the most important of our financial performance measures used to link CAP Amounts for our executives for 2022 to Company performance.</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Product Revenue, Net</w:t>
      </w:r>
    </w:p>
    <w:p>
      <w:pPr>
        <w:pStyle w:val="TextBody"/>
        <w:spacing w:before="0" w:after="0"/>
        <w:jc w:val="left"/>
        <w:rPr/>
      </w:pPr>
      <w:r>
        <w:rPr/>
        <w: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Advancement of Pipeline Candidates</w:t>
      </w:r>
    </w:p>
    <w:p>
      <w:pPr>
        <w:pStyle w:val="TextBody"/>
        <w:spacing w:before="0" w:after="0"/>
        <w:jc w:val="left"/>
        <w:rPr/>
      </w:pPr>
      <w:r>
        <w:rPr/>
        <w: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Regulatory Approvals</w:t>
      </w:r>
    </w:p>
    <w:p>
      <w:pPr>
        <w:pStyle w:val="TextBody"/>
        <w:spacing w:before="0" w:after="0"/>
        <w:jc w:val="left"/>
        <w:rPr/>
      </w:pPr>
      <w:r>
        <w:rPr/>
        <w:t>•</w:t>
      </w:r>
    </w:p>
    <w:p>
      <w:pPr>
        <w:pStyle w:val="TextBody"/>
        <w:jc w:val="left"/>
        <w:rPr>
          <w:rFonts w:ascii="Times New Roman;serif" w:hAnsi="Times New Roman;serif"/>
          <w:b w:val="false"/>
          <w:sz w:val="18"/>
        </w:rPr>
      </w:pPr>
      <w:r>
        <w:rPr>
          <w:rFonts w:ascii="Times New Roman;serif" w:hAnsi="Times New Roman;serif"/>
          <w:b w:val="false"/>
          <w:sz w:val="18"/>
        </w:rPr>
        <w:t>Operational Effectiveness Objectives</w:t>
      </w:r>
    </w:p>
    <w:p>
      <w:pPr>
        <w:pStyle w:val="TextBody"/>
        <w:spacing w:before="0" w:after="0"/>
        <w:jc w:val="left"/>
        <w:rPr>
          <w:rFonts w:ascii="Times New Roman;serif" w:hAnsi="Times New Roman;serif"/>
          <w:b/>
          <w:sz w:val="18"/>
        </w:rPr>
      </w:pPr>
      <w:r>
        <w:rPr>
          <w:rFonts w:ascii="Times New Roman;serif" w:hAnsi="Times New Roman;serif"/>
          <w:b/>
          <w:sz w:val="18"/>
        </w:rPr>
        <w:t>Securities Authorized for Issuance Under Equity Compensation Plans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table contains information about our equity compensation plans as of December 31, 2022. As of December 31, 2022, we had three equity compensation plans which were approved by our stockholders: our 2010 Plan, our 2017 Plan, and our 2017 Employee Stock Purchase Plan, or the 2017 ESPP. In addition, we have our 2020 Plan pursuant to which we make grants inducement material to employees entering into employment with us in accordance with Nasdaq Listing Rule 5635(c)(4), which was not approved by our stockholders.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9967" w:type="dxa"/>
        <w:jc w:val="left"/>
        <w:tblInd w:w="0" w:type="dxa"/>
        <w:tblCellMar>
          <w:top w:w="28" w:type="dxa"/>
          <w:left w:w="28" w:type="dxa"/>
          <w:bottom w:w="28" w:type="dxa"/>
          <w:right w:w="28" w:type="dxa"/>
        </w:tblCellMar>
      </w:tblPr>
      <w:tblGrid>
        <w:gridCol w:w="4756"/>
        <w:gridCol w:w="146"/>
        <w:gridCol w:w="224"/>
        <w:gridCol w:w="1411"/>
        <w:gridCol w:w="146"/>
        <w:gridCol w:w="146"/>
        <w:gridCol w:w="368"/>
        <w:gridCol w:w="967"/>
        <w:gridCol w:w="146"/>
        <w:gridCol w:w="146"/>
        <w:gridCol w:w="198"/>
        <w:gridCol w:w="1122"/>
        <w:gridCol w:w="191"/>
      </w:tblGrid>
      <w:tr>
        <w:trPr/>
        <w:tc>
          <w:tcPr>
            <w:tcW w:w="4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87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As of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 securities to be</w:t>
              <w:br/>
              <w:t>issued upon exercise of</w:t>
              <w:br/>
              <w:t>outstanding options,</w:t>
              <w:br/>
              <w:t>warrants and rights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Weighted average</w:t>
              <w:br/>
              <w:t>exercise price of</w:t>
              <w:br/>
              <w:t>outstanding options,</w:t>
              <w:br/>
              <w:t>warrants and rights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 securities</w:t>
              <w:br/>
              <w:t>remaining available</w:t>
              <w:br/>
              <w:t>for future issuance</w:t>
              <w:br/>
              <w:t>under equity</w:t>
              <w:br/>
              <w:t>compensation</w:t>
              <w:br/>
              <w:t>plans (excluding</w:t>
              <w:br/>
              <w:t>securities reflected</w:t>
              <w:br/>
              <w:t>in column (a))</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635"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35"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(b)</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w:t>
            </w:r>
          </w:p>
        </w:tc>
        <w:tc>
          <w:tcPr>
            <w:tcW w:w="191" w:type="dxa"/>
            <w:tcBorders/>
            <w:shd w:fill="auto" w:val="cle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 compensation plans approved by security holders(1)(2)(3)</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14,147,559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3,306,682</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 compensation plans not approved by security holders(4)</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1,719,931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137,124</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15,867,490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3,443,806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our 2010 Plan, our 2017 Plan and our 2017 ESPP.</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As of December 31, 2022, 2,641,737 shares were available for issuance under our 2017 Plan, which became effective on November 8, 2017. The number of shares of our common stock reserved for issuance under the 2017 Plan increases (i) from time to time by the number of shares of our common stock subject to outstanding awards under our 2010 Plan that expire, terminate or are otherwise surrendered, cancelled, forfeited or repurchased by us at their original issuance price pursuant to a contractual repurchase right, and (ii) annually on the first day of each fiscal year by an amount equal to the lowest of (a) 4,219,409 shares of our common stock, (b) 4.0% of the number of shares of our common stock outstanding on the first day of the fiscal year and (c) an amount determined by our board of directors. On January 1, 2023, an additional 4,219,409 shares of our common stock were reserved for issuance under the 2017 Plan, which shares are not reflected in the number of shares available for issuance under the 2017 Plan in the table above.</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As of December 31, 2022, 664,945 shares were reserved for issuance under our 2017 ESPP, which became effective on November 8, 2017. The number of shares of our common stock reserved for issuance under the 2017 ESPP increases on the first day of each fiscal year by an amount equal to the lowest of (i) 937,646 shares of our common stock, (ii) 1.0% of the number of shares of our common stock outstanding on the first day of the fiscal year and (iii) an amount determined by our board of directors. 307,219 shares have been issued under the 2017 ESPP. Our compensation committee decided not to allocate additional shares to the 2017 ESPP for calendar year 2023.</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Consists of shares of common stock issuable upon exercise of outstanding stock options granted pursuant to the Nasdaq inducement grant exception as a component of employment compensation for employees, including under our 2020 Plan, which became effective on February 25, 2020. The inducement grants were made as an inducement material to employees entering into employment with us in accordance with Nasdaq Listing Rule 5635(c)(4). As of December 31, 2022, 137,124 shares were reserved for issuance under the 2020 Plan. In January 2023, an additional 400,000 shares of our common stock were reserved for issuance under the 2020 Plan. See Note 17 to the consolidated financial statements in our Annual Report on Form 10-K for the year ended December 31, 2022 for additional information on the 2020 Plan.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4"/>
        </w:rPr>
      </w:pPr>
      <w:bookmarkStart w:id="15" w:name="transactions_with_related_persons"/>
      <w:bookmarkEnd w:id="15"/>
      <w:r>
        <w:rPr>
          <w:rFonts w:ascii="Times New Roman;serif" w:hAnsi="Times New Roman;serif"/>
          <w:b/>
          <w:sz w:val="24"/>
        </w:rPr>
        <w:t>TRANSACTIONS WITH RELATED PERSONS</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following is a description of transactions since January 1, 2022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Investors’ Rights Agreement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We are a party to an investors’ rights agreement, dated as of August 7, 2017, with certain stockholders, who purchased our preferred stock prior to our initial public offering, including some of our directors and 5% stockholders and their affiliates and entities affiliated with our officers and directors. The investors’ rights agreement provides these holders the right to demand that we file a registration statement or request that their shares be covered by a registration statement that we are otherwise filing.</w:t>
      </w:r>
    </w:p>
    <w:p>
      <w:pPr>
        <w:pStyle w:val="TextBody"/>
        <w:spacing w:before="0" w:after="0"/>
        <w:jc w:val="left"/>
        <w:rPr>
          <w:rFonts w:ascii="Times New Roman;serif" w:hAnsi="Times New Roman;serif"/>
          <w:b/>
          <w:sz w:val="18"/>
        </w:rPr>
      </w:pPr>
      <w:r>
        <w:rPr>
          <w:rFonts w:ascii="Times New Roman;serif" w:hAnsi="Times New Roman;serif"/>
          <w:b/>
          <w:sz w:val="18"/>
        </w:rPr>
        <w:t>Indemnification of Officers and Directors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restated certificate of incorporation provides that we will indemnify our directors and officers to the fullest extent permitted by Delaware law. In addition, we have entered into indemnification agreements with our current and former directors that may be broader in scope than the specific indemnification provisions contained in the General Corporation Law of the State of Delaware. In the case of those of our directors who are affiliated with certain of our 5% stockholders or their affiliates, the indemnification agreements also provide for indemnification of the applicable 5% stockholder or affiliate.</w:t>
      </w:r>
    </w:p>
    <w:p>
      <w:pPr>
        <w:pStyle w:val="TextBody"/>
        <w:spacing w:before="0" w:after="0"/>
        <w:jc w:val="left"/>
        <w:rPr>
          <w:rFonts w:ascii="Times New Roman;serif" w:hAnsi="Times New Roman;serif"/>
          <w:b/>
          <w:sz w:val="18"/>
        </w:rPr>
      </w:pPr>
      <w:r>
        <w:rPr>
          <w:rFonts w:ascii="Times New Roman;serif" w:hAnsi="Times New Roman;serif"/>
          <w:b/>
          <w:sz w:val="18"/>
        </w:rPr>
        <w:t>Policies and Procedures for Related Person Transactions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Our board of directors has adopted written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 related person proposes to enter into such a transaction, arrangement or relationship, which we refer to as a “related person transaction,” the related person must report the proposed related person transaction to our principal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related person’s interest in the related person transaction;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approximate dollar value of the amount involved in the related person transaction;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approximate dollar value of the amount of the related person’s interest in the transaction without regard to the amount of any profit or loss;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whether the transaction was undertaken in the ordinary course of our business;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whether the terms of the transaction are no less favorable to us than the terms that could have been reached with an unrelated third party;</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purpose of, and the potential benefits to us of, the transaction;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any other information regarding the related person transaction or the related person in the context of the proposed transaction that would be material to investors in light of the circumstances of the particular transaction.</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audit committee may approve or ratify the transaction only if the audit committee determines that, under all of the circumstances, the transaction is in our best interests. The audit committee may impose any conditions on the related person transaction that it deems appropriate.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policy provides that transactions involving compensation of executive officers shall be reviewed and approved by the compensation committee in the manner specified in its charter.</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6" w:name="principal_stockholders"/>
      <w:bookmarkEnd w:id="16"/>
      <w:r>
        <w:rPr>
          <w:rFonts w:ascii="Times New Roman;serif" w:hAnsi="Times New Roman;serif"/>
          <w:b/>
          <w:sz w:val="24"/>
        </w:rPr>
        <w:t>PRINCIPAL STOCKHOLDERS</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Unless otherwise provided below, the following table sets forth information with respect to the beneficial ownership of our common stock as of March 31, 2023 by:</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each person, or group of affiliated persons, who is known to us to be the beneficial owner of 5% or more of the outstanding shares of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each of our directors;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each of our named executive officers;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all of our directors and executive officers as a group.</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column entitled “Percentage Beneficially Owned” is based on a total of 116,147,299 shares of our common stock outstanding as of March 31, 2023.</w:t>
      </w:r>
    </w:p>
    <w:p>
      <w:pPr>
        <w:pStyle w:val="TextBody"/>
        <w:spacing w:before="0" w:after="0"/>
        <w:jc w:val="left"/>
        <w:rPr>
          <w:rFonts w:ascii="Times New Roman" w:hAnsi="Times New Roman"/>
          <w:sz w:val="20"/>
        </w:rPr>
      </w:pPr>
      <w:r>
        <w:rPr>
          <w:rFonts w:ascii="Times New Roman;serif" w:hAnsi="Times New Roman;serif"/>
          <w:b w:val="false"/>
          <w:sz w:val="18"/>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after March 31, 2023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Apellis Pharmaceuticals, Inc., 100 Fifth Avenue, Waltham, Massachusetts 02451.</w:t>
      </w:r>
      <w:r>
        <w:rPr>
          <w:rFonts w:ascii="Times New Roman" w:hAnsi="Times New Roman"/>
          <w:sz w:val="20"/>
        </w:rPr>
        <w:t xml:space="preserve"> </w:t>
      </w:r>
    </w:p>
    <w:p>
      <w:pPr>
        <w:pStyle w:val="TextBody"/>
        <w:spacing w:before="0" w:after="0"/>
        <w:jc w:val="left"/>
        <w:rPr/>
      </w:pPr>
      <w:r>
        <w:rPr/>
        <w:t> </w:t>
      </w:r>
    </w:p>
    <w:tbl>
      <w:tblPr>
        <w:tblW w:w="8680" w:type="dxa"/>
        <w:jc w:val="left"/>
        <w:tblInd w:w="0" w:type="dxa"/>
        <w:tblCellMar>
          <w:top w:w="28" w:type="dxa"/>
          <w:left w:w="28" w:type="dxa"/>
          <w:bottom w:w="28" w:type="dxa"/>
          <w:right w:w="28" w:type="dxa"/>
        </w:tblCellMar>
      </w:tblPr>
      <w:tblGrid>
        <w:gridCol w:w="5311"/>
        <w:gridCol w:w="146"/>
        <w:gridCol w:w="179"/>
        <w:gridCol w:w="1276"/>
        <w:gridCol w:w="146"/>
        <w:gridCol w:w="146"/>
        <w:gridCol w:w="228"/>
        <w:gridCol w:w="732"/>
        <w:gridCol w:w="516"/>
      </w:tblGrid>
      <w:tr>
        <w:trPr/>
        <w:tc>
          <w:tcPr>
            <w:tcW w:w="5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5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 of Beneficial Owner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Number of Shares </w:t>
              <w:br/>
              <w:t>Beneficially</w:t>
              <w:br/>
              <w:t>Owned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Percentage </w:t>
              <w:br/>
              <w:t>Beneficially</w:t>
              <w:br/>
              <w:t>Owned</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Stockholders:</w:t>
            </w:r>
          </w:p>
        </w:tc>
        <w:tc>
          <w:tcPr>
            <w:tcW w:w="146" w:type="dxa"/>
            <w:tcBorders/>
            <w:shd w:fill="auto" w:val="clear"/>
            <w:vAlign w:val="center"/>
          </w:tcPr>
          <w:p>
            <w:pPr>
              <w:pStyle w:val="TableContents"/>
              <w:spacing w:before="0" w:after="0"/>
              <w:ind w:left="0" w:right="0" w:hanging="0"/>
              <w:jc w:val="left"/>
              <w:rPr/>
            </w:pPr>
            <w:r>
              <w:rPr/>
              <w:t> </w:t>
            </w:r>
          </w:p>
        </w:tc>
        <w:tc>
          <w:tcPr>
            <w:tcW w:w="14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Morningside Venture Investments, Ltd.(1)</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12,806,342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Avoro Capital Advisors LLC(2)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11,603,115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Wellington Management Company(3)</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9,940,398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The Vanguard Group(4)</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9,302,491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BlackRock, Inc.(5)</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7,704,194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 Rowe Price (6)</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5,842,660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Directors and Named Executive Officers:</w:t>
            </w:r>
          </w:p>
        </w:tc>
        <w:tc>
          <w:tcPr>
            <w:tcW w:w="146" w:type="dxa"/>
            <w:tcBorders/>
            <w:shd w:fill="auto" w:val="clear"/>
            <w:vAlign w:val="center"/>
          </w:tcPr>
          <w:p>
            <w:pPr>
              <w:pStyle w:val="TableContents"/>
              <w:spacing w:before="0" w:after="0"/>
              <w:ind w:left="0" w:right="0" w:hanging="0"/>
              <w:jc w:val="left"/>
              <w:rPr/>
            </w:pPr>
            <w:r>
              <w:rPr/>
              <w:t> </w:t>
            </w:r>
          </w:p>
        </w:tc>
        <w:tc>
          <w:tcPr>
            <w:tcW w:w="14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Cedric Francois(7)</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3,304,914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Gerald Chan(8)</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 Sinclair Dunlop(9)</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Paul Fonteyne(10)</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80,867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Alec Machiels(11)</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1,225,002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Stephanie Monaghan O’Brien(12)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Pascal Deschatelets(13)</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1,817,089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Timothy Sullivan(14)</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649,856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David Watson (15)</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Adam Townsend(16)</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All Executive Officers and Directors as a Group (17 persons)(17)</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9,091,852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*Represents beneficial ownership of less than 1% of our outstanding stock.</w:t>
      </w:r>
      <w:r>
        <w:rPr>
          <w:rFonts w:ascii="Times New Roman" w:hAnsi="Times New Roman"/>
          <w:sz w:val="20"/>
        </w:rPr>
        <w:t xml:space="preserve"> </w:t>
      </w:r>
    </w:p>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Frances Richard, Jill Marie Franklin, Peter Stuart Allenby Edwards and Cheung Ka Ho, the directors of Morningside Venture Investments, Ltd. (“MVIL”), share voting and dispositive control over the shares held by MVIL. The address for MVIL is 2nd Floor, Le Prince de Galles, 3-5 Avenue des Citronniers, MC 98000, Monaco.</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283"/>
        <w:jc w:val="left"/>
        <w:rPr/>
      </w:pPr>
      <w:r>
        <w:rPr>
          <w:rFonts w:ascii="Times New Roman;serif" w:hAnsi="Times New Roman;serif"/>
          <w:b w:val="false"/>
          <w:sz w:val="18"/>
        </w:rPr>
        <w:t>Avoro Capital Advisors LLC and Behzad Aghazadeh, who serves as the portfolio manager and controlling person of Avoro Capital Advisors LLC (together, “Avoro”) hold sole dispositive power and sole voting power over 10,625,000 shares of common stock, in addition to pre-funded warrants to purchase 2,300,000 shares of common stock purchased by Avoro in an underwritten public offering on February 27, 2023.</w:t>
      </w:r>
      <w:r>
        <w:rPr/>
        <w:t xml:space="preserve"> </w:t>
      </w:r>
      <w:r>
        <w:rPr>
          <w:rFonts w:ascii="Times New Roman;serif" w:hAnsi="Times New Roman;serif"/>
          <w:b w:val="false"/>
          <w:sz w:val="18"/>
        </w:rPr>
        <w:t>As a result of the application of a beneficial ownership cap in the warrants, the table above does not include 1,321,885 of the shares of common stock issuable upon exercise of the pre-funded warrants held by Avoro. Under the terms of the warrants issued to Avoro, Avoro is not permitted to exercise such warrants to purchase common stock to the extent that such exercise would result in Avoro and its affiliates beneficially owning more than 9.99% of the number of shares of our common stock outstanding immediately after giving effect to the issuance of shares of common stock issuable upon exercise of such warrants to purchase common stock. The information reported is based on a Schedule 13G filed on February 14, 2023, as well as information otherwise known to the Company. Avoro’s principal business office is 110 Greene Street, Suite 800, New York, NY 10012.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Wellington Management Group LLP and certain of its subsidiaries (“Wellington”) hold shared voting power over 8,168,613 shares of common stock and shared dispositive power over 8,820,398 shares of common stock, in addition to 1,120,000 shares of common stock purchased by Wellington in an underwritten public offering on February 27, 2023. The information reported is based on a Schedule 13G filed on February 6, 2023, as well as information otherwise known to the Company. The address of Wellington is c/o Wellington Management Company LLP, 280 Congress Street, Boston, MA 02210.</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Vanguard Group (“Vanguard”) holds shared voting power over 158,387 shares of common stock, sole dispositive power over 8,963,562 shares of common stock and shared dispositive power over 248,929 shares of common stock, in addition to 90,000 shares of common stock purchased by Vanguard in an underwritten public offering on February 27, 2023. The information reported is based on a Schedule 13G filed on February 9, 2023, as well as information otherwise known to the Company. Vanguard’s principal business address is 100 Vanguard Blvd, Malvern, PA 19355.</w:t>
      </w:r>
    </w:p>
    <w:p>
      <w:pPr>
        <w:pStyle w:val="TextBody"/>
        <w:spacing w:before="120" w:after="0"/>
        <w:jc w:val="both"/>
        <w:rPr>
          <w:rFonts w:ascii="Times New Roman" w:hAnsi="Times New Roman"/>
          <w:b w:val="false"/>
          <w:sz w:val="18"/>
        </w:rPr>
      </w:pPr>
      <w:r>
        <w:rPr>
          <w:rFonts w:ascii="Times New Roman" w:hAnsi="Times New Roman"/>
          <w:b w:val="false"/>
          <w:sz w:val="18"/>
        </w:rPr>
        <w:t>(4)</w:t>
      </w:r>
    </w:p>
    <w:p>
      <w:pPr>
        <w:pStyle w:val="TextBody"/>
        <w:spacing w:before="120" w:after="0"/>
        <w:jc w:val="both"/>
        <w:rPr>
          <w:rFonts w:ascii="Times New Roman;serif" w:hAnsi="Times New Roman;serif"/>
          <w:b w:val="false"/>
          <w:sz w:val="18"/>
        </w:rPr>
      </w:pPr>
      <w:r>
        <w:rPr>
          <w:rFonts w:ascii="Times New Roman;serif" w:hAnsi="Times New Roman;serif"/>
          <w:b w:val="false"/>
          <w:sz w:val="18"/>
        </w:rPr>
        <w:t>BlackRock Inc. holds sole dispositive power over 7,704,194 shares of common stock and holds sole voting power over 7,519,684 shares of common stock. The information reported is based solely on a Schedule 13G filed on February 1, 2023. BlackRock Inc.’s principal business address is 55 East 52nd Street, New York, NY 10055.</w:t>
      </w:r>
    </w:p>
    <w:p>
      <w:pPr>
        <w:pStyle w:val="TextBody"/>
        <w:spacing w:before="120" w:after="0"/>
        <w:jc w:val="left"/>
        <w:rPr>
          <w:rFonts w:ascii="Times New Roman" w:hAnsi="Times New Roman"/>
          <w:b w:val="false"/>
          <w:sz w:val="18"/>
        </w:rPr>
      </w:pPr>
      <w:r>
        <w:rPr>
          <w:rFonts w:ascii="Times New Roman" w:hAnsi="Times New Roman"/>
          <w:b w:val="false"/>
          <w:sz w:val="18"/>
        </w:rPr>
        <w:t>(5)</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 Rowe Price Investment Management, Inc. (“T. Rowe Price”) holds sole dispositive power over 5,842,660 shares of common stock and holds sole voting power over 2,005,434 shares of common stock. The information reported is based solely on a Schedule 13G filed on February 14, 2023. T. Rowe Price’s principal address is 101 E. Pratt Street, Baltimore, MD 21202.</w:t>
      </w:r>
    </w:p>
    <w:p>
      <w:pPr>
        <w:pStyle w:val="TextBody"/>
        <w:spacing w:before="120" w:after="0"/>
        <w:jc w:val="left"/>
        <w:rPr>
          <w:rFonts w:ascii="Times New Roman" w:hAnsi="Times New Roman"/>
          <w:b w:val="false"/>
          <w:sz w:val="18"/>
        </w:rPr>
      </w:pPr>
      <w:r>
        <w:rPr>
          <w:rFonts w:ascii="Times New Roman" w:hAnsi="Times New Roman"/>
          <w:b w:val="false"/>
          <w:sz w:val="18"/>
        </w:rPr>
        <w:t>(6)</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Consists of (i) 1,077,157 shares of common stock held by Dr. Francois; (ii) 234,411 shares of common stock held by The Francois-DuBois Educational Trust, as to which Mr. Machiels holds a voting proxy and for which Fiduciary Trust Company of New England serves as trustee; (iii) 300,000 shares of common stock held by the Francois Grossi Trust; and (iv) 1,693,346 shares of common stock issuable upon the exercise of options exercisable within 60 days after March 31, 2023. </w:t>
      </w:r>
    </w:p>
    <w:p>
      <w:pPr>
        <w:pStyle w:val="TextBody"/>
        <w:spacing w:before="120" w:after="0"/>
        <w:jc w:val="left"/>
        <w:rPr>
          <w:rFonts w:ascii="Times New Roman" w:hAnsi="Times New Roman"/>
          <w:b w:val="false"/>
          <w:sz w:val="18"/>
        </w:rPr>
      </w:pPr>
      <w:r>
        <w:rPr>
          <w:rFonts w:ascii="Times New Roman" w:hAnsi="Times New Roman"/>
          <w:b w:val="false"/>
          <w:sz w:val="18"/>
        </w:rPr>
        <w:t>(7)</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(i) 353 shares of common stock; and (ii) 205,088 shares of common stock issuable upon the exercise of options exercisable within 60 days after March 31, 2023.</w:t>
      </w:r>
    </w:p>
    <w:p>
      <w:pPr>
        <w:pStyle w:val="TextBody"/>
        <w:spacing w:before="120" w:after="0"/>
        <w:jc w:val="left"/>
        <w:rPr>
          <w:rFonts w:ascii="Times New Roman" w:hAnsi="Times New Roman"/>
          <w:b w:val="false"/>
          <w:sz w:val="18"/>
        </w:rPr>
      </w:pPr>
      <w:r>
        <w:rPr>
          <w:rFonts w:ascii="Times New Roman" w:hAnsi="Times New Roman"/>
          <w:b w:val="false"/>
          <w:sz w:val="18"/>
        </w:rPr>
        <w:t>(8)</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(i) 272,534 shares of common stock held by affiliated entities; (ii) 127,930 shares of common stock held by Mr. Dunlop; and (iii) 78,888 shares of common stock issuable upon the exercise of options exercisable within 60 days after March 31, 2023.</w:t>
      </w:r>
    </w:p>
    <w:p>
      <w:pPr>
        <w:pStyle w:val="TextBody"/>
        <w:spacing w:before="120" w:after="0"/>
        <w:jc w:val="left"/>
        <w:rPr>
          <w:rFonts w:ascii="Times New Roman" w:hAnsi="Times New Roman"/>
          <w:b w:val="false"/>
          <w:sz w:val="18"/>
        </w:rPr>
      </w:pPr>
      <w:r>
        <w:rPr>
          <w:rFonts w:ascii="Times New Roman" w:hAnsi="Times New Roman"/>
          <w:b w:val="false"/>
          <w:sz w:val="18"/>
        </w:rPr>
        <w:t>(9)</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(i) 5,353 shares of common stock and (ii) 75,514 shares of common stock issuable upon the exercise of options exercisable within 60 days after March 31, 2023.</w:t>
      </w:r>
    </w:p>
    <w:p>
      <w:pPr>
        <w:pStyle w:val="TextBody"/>
        <w:spacing w:before="120" w:after="0"/>
        <w:jc w:val="left"/>
        <w:rPr>
          <w:rFonts w:ascii="Times New Roman" w:hAnsi="Times New Roman"/>
          <w:b w:val="false"/>
          <w:sz w:val="18"/>
        </w:rPr>
      </w:pPr>
      <w:r>
        <w:rPr>
          <w:rFonts w:ascii="Times New Roman" w:hAnsi="Times New Roman"/>
          <w:b w:val="false"/>
          <w:sz w:val="18"/>
        </w:rPr>
        <w:t>(10)</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Consists of (i) 498,185 shares of common stock; (ii) 250,000 shares of common stock owned by Bauhaus 1, LLC, which is wholly owned by a trust of which Mr. Machiels serves as investment trustee; (iii) 161,950 shares of common stock held by affiliates; (iv) 234,411 shares of common stock held by The Francois-DuBois Educational Trust, as to which Mr. Machiels holds a voting proxy; and (v) 314,867 shares of common stock issuable upon the exercise of options exercisable within 60 days after March 31, 2023. </w:t>
      </w:r>
    </w:p>
    <w:p>
      <w:pPr>
        <w:pStyle w:val="TextBody"/>
        <w:spacing w:before="120" w:after="0"/>
        <w:jc w:val="left"/>
        <w:rPr>
          <w:rFonts w:ascii="Times New Roman" w:hAnsi="Times New Roman"/>
          <w:b w:val="false"/>
          <w:sz w:val="18"/>
        </w:rPr>
      </w:pPr>
      <w:r>
        <w:rPr>
          <w:rFonts w:ascii="Times New Roman" w:hAnsi="Times New Roman"/>
          <w:b w:val="false"/>
          <w:sz w:val="18"/>
        </w:rPr>
        <w:t>(11)</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(i) 353 shares of common stock; and (ii) 205,088 shares of common stock issuable upon the exercise of options exercisable within 60 days after March 31, 2023.</w:t>
      </w:r>
    </w:p>
    <w:p>
      <w:pPr>
        <w:pStyle w:val="TextBody"/>
        <w:spacing w:before="120" w:after="0"/>
        <w:jc w:val="left"/>
        <w:rPr>
          <w:rFonts w:ascii="Times New Roman" w:hAnsi="Times New Roman"/>
          <w:b w:val="false"/>
          <w:sz w:val="18"/>
        </w:rPr>
      </w:pPr>
      <w:r>
        <w:rPr>
          <w:rFonts w:ascii="Times New Roman" w:hAnsi="Times New Roman"/>
          <w:b w:val="false"/>
          <w:sz w:val="18"/>
        </w:rPr>
        <w:t>(12)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(i) 968,131 shares of common stock; and (ii) 848,958 shares of common stock issuable upon the exercise of options exercisable within 60 days after March 31, 2023.</w:t>
      </w:r>
    </w:p>
    <w:p>
      <w:pPr>
        <w:pStyle w:val="TextBody"/>
        <w:spacing w:before="120" w:after="0"/>
        <w:jc w:val="left"/>
        <w:rPr>
          <w:rFonts w:ascii="Times New Roman" w:hAnsi="Times New Roman"/>
          <w:b w:val="false"/>
          <w:sz w:val="18"/>
        </w:rPr>
      </w:pPr>
      <w:r>
        <w:rPr>
          <w:rFonts w:ascii="Times New Roman" w:hAnsi="Times New Roman"/>
          <w:b w:val="false"/>
          <w:sz w:val="18"/>
        </w:rPr>
        <w:t>(13)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(i) 67,931 shares of common stock; and (ii) 581,925 shares of common stock issuable upon the exercise of options exercisable within 60 days after March 31, 2023.</w:t>
      </w:r>
    </w:p>
    <w:p>
      <w:pPr>
        <w:pStyle w:val="TextBody"/>
        <w:spacing w:before="120" w:after="0"/>
        <w:jc w:val="left"/>
        <w:rPr>
          <w:rFonts w:ascii="Times New Roman" w:hAnsi="Times New Roman"/>
          <w:b w:val="false"/>
          <w:sz w:val="18"/>
        </w:rPr>
      </w:pPr>
      <w:r>
        <w:rPr>
          <w:rFonts w:ascii="Times New Roman" w:hAnsi="Times New Roman"/>
          <w:b w:val="false"/>
          <w:sz w:val="18"/>
        </w:rPr>
        <w:t>(14)</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Consists of (i) 89,215 shares of common stock held directly by Mr. Watson; (ii); 6,667 shares of common stock held by The Watson Education Trust, as to which Mr. Watson serves as trustee; (iii) 3,333 shares of common stock in a custodial account held by Mr. Watson for the sole benefit of his minor son; and (iv) 100,871 shares of common stock issuable upon the exercise of options exercisable within 60 days after March 31, 2023.</w:t>
      </w:r>
    </w:p>
    <w:p>
      <w:pPr>
        <w:pStyle w:val="TextBody"/>
        <w:spacing w:before="120" w:after="0"/>
        <w:jc w:val="left"/>
        <w:rPr>
          <w:rFonts w:ascii="Times New Roman" w:hAnsi="Times New Roman"/>
          <w:b w:val="false"/>
          <w:sz w:val="18"/>
        </w:rPr>
      </w:pPr>
      <w:r>
        <w:rPr>
          <w:rFonts w:ascii="Times New Roman" w:hAnsi="Times New Roman"/>
          <w:b w:val="false"/>
          <w:sz w:val="18"/>
        </w:rPr>
        <w:t>(15)</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Consists of (i) 15,459 shares of common stock; and (ii) 386,441 shares of common stock issuable upon the exercise of options exercisable within 60 days after March 31, 2023.</w:t>
      </w:r>
    </w:p>
    <w:p>
      <w:pPr>
        <w:pStyle w:val="TextBody"/>
        <w:spacing w:before="120" w:after="0"/>
        <w:jc w:val="left"/>
        <w:rPr>
          <w:rFonts w:ascii="Times New Roman" w:hAnsi="Times New Roman"/>
          <w:sz w:val="20"/>
        </w:rPr>
      </w:pPr>
      <w:r>
        <w:rPr>
          <w:rFonts w:ascii="Times New Roman;serif" w:hAnsi="Times New Roman;serif"/>
          <w:b w:val="false"/>
          <w:sz w:val="18"/>
        </w:rPr>
        <w:t>(1</w:t>
      </w:r>
      <w:r>
        <w:rPr>
          <w:rFonts w:ascii="Times New Roman;serif" w:hAnsi="Times New Roman;serif"/>
          <w:b w:val="false"/>
          <w:i/>
          <w:sz w:val="18"/>
        </w:rPr>
        <w:t>7</w:t>
      </w:r>
      <w:r>
        <w:rPr>
          <w:rFonts w:ascii="Times New Roman;serif" w:hAnsi="Times New Roman;serif"/>
          <w:b w:val="false"/>
          <w:sz w:val="18"/>
        </w:rPr>
        <w:t>) Consists of (i) 3,885,374 shares of common stock; and (ii) 5,206,478 shares of common stock issuable upon the exercise of options exercisable within 60 days after March 31, 2023.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7" w:name="report_of_the_audit_committee_of_the"/>
      <w:bookmarkEnd w:id="17"/>
      <w:r>
        <w:rPr>
          <w:rFonts w:ascii="Times New Roman;serif" w:hAnsi="Times New Roman;serif"/>
          <w:b/>
          <w:sz w:val="24"/>
        </w:rPr>
        <w:t>REPORT OF THE AUDIT COMMITTEE OF THE BOARD OF DIRECTORS</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audit committee has reviewed our audited consolidated financial statements for the fiscal year ended December 31, 2022 and discussed them with the Company’s management and Deloitte &amp; Touche LLP, the Company’s independent registered public accounting firm for the year ended December 31, 2022.</w:t>
      </w:r>
    </w:p>
    <w:p>
      <w:pPr>
        <w:pStyle w:val="TextBody"/>
        <w:spacing w:before="0" w:after="0"/>
        <w:jc w:val="left"/>
        <w:rPr>
          <w:rFonts w:ascii="Times New Roman" w:hAnsi="Times New Roman"/>
          <w:sz w:val="20"/>
        </w:rPr>
      </w:pPr>
      <w:r>
        <w:rPr>
          <w:rFonts w:ascii="Times New Roman;serif" w:hAnsi="Times New Roman;serif"/>
          <w:b w:val="false"/>
          <w:sz w:val="18"/>
        </w:rPr>
        <w:t xml:space="preserve">The audit committee has also received from, and discussed with, Deloitte &amp; Touche LLP various communications that Deloitte &amp; Touche LLP is required to provide to the audit committee, including the matters required to be discussed by generally accepted auditing standards (including Public Company Accounting Oversight Board Auditing Standard No. 1301, </w:t>
      </w:r>
      <w:r>
        <w:rPr>
          <w:rFonts w:ascii="Times New Roman;serif" w:hAnsi="Times New Roman;serif"/>
          <w:b w:val="false"/>
          <w:i/>
          <w:sz w:val="18"/>
        </w:rPr>
        <w:t>Communications with Audit Committees</w:t>
      </w:r>
      <w:r>
        <w:rPr>
          <w:rFonts w:ascii="Times New Roman;serif" w:hAnsi="Times New Roman;serif"/>
          <w:b w:val="false"/>
          <w:sz w:val="18"/>
        </w:rPr>
        <w: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 addition, Deloitte &amp; Touche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the audit committee has discussed with the Company’s independent registered public accounting firm their independence.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Based on the review and discussions referred to above, the audit committee recommended to the board of directors that the audited consolidated financial statements be included in the Company’s Annual Report on Form 10-K for the year ended December 31, 2022.</w:t>
      </w:r>
    </w:p>
    <w:p>
      <w:pPr>
        <w:pStyle w:val="TextBody"/>
        <w:spacing w:before="0" w:after="0"/>
        <w:jc w:val="left"/>
        <w:rPr>
          <w:rFonts w:ascii="Times New Roman;serif" w:hAnsi="Times New Roman;serif"/>
          <w:b w:val="false"/>
          <w:sz w:val="18"/>
        </w:rPr>
      </w:pPr>
      <w:r>
        <w:rPr>
          <w:rFonts w:ascii="Times New Roman;serif" w:hAnsi="Times New Roman;serif"/>
          <w:b w:val="false"/>
          <w:sz w:val="18"/>
        </w:rPr>
        <w:t>By the audit committee of the board of directors of Apellis Pharmaceuticals, Inc.</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Alec Machiels, Chair</w:t>
      </w:r>
    </w:p>
    <w:p>
      <w:pPr>
        <w:pStyle w:val="TextBody"/>
        <w:spacing w:before="0" w:after="0"/>
        <w:jc w:val="left"/>
        <w:rPr>
          <w:rFonts w:ascii="Times New Roman" w:hAnsi="Times New Roman"/>
          <w:sz w:val="20"/>
        </w:rPr>
      </w:pPr>
      <w:r>
        <w:rPr>
          <w:rFonts w:ascii="Times New Roman;serif" w:hAnsi="Times New Roman;serif"/>
          <w:b w:val="false"/>
          <w:sz w:val="18"/>
        </w:rPr>
        <w:t>A. Sinclair Dunlop</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Paul Fonteyne</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April 21, 2023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8" w:name="householding"/>
      <w:bookmarkEnd w:id="18"/>
      <w:r>
        <w:rPr>
          <w:rFonts w:ascii="Times New Roman;serif" w:hAnsi="Times New Roman;serif"/>
          <w:b/>
          <w:sz w:val="24"/>
        </w:rPr>
        <w:t>HOUSEHOLDING</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2022 Annual Report and proxy statement, may have been sent to multiple stockholders in your household. We will promptly deliver a separate copy of any of the above documents to you if you write or call us at Apellis Pharmaceuticals, Inc., 100 Fifth Avenue, Waltham, Massachusetts 02451, Attention: General Counsel, telephone: (617) 977-5700.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480" w:after="0"/>
        <w:jc w:val="center"/>
        <w:rPr>
          <w:rFonts w:ascii="Times New Roman" w:hAnsi="Times New Roman"/>
          <w:sz w:val="20"/>
        </w:rPr>
      </w:pPr>
      <w:bookmarkStart w:id="19" w:name="stockholder_proposals_for"/>
      <w:bookmarkEnd w:id="19"/>
      <w:r>
        <w:rPr>
          <w:rFonts w:ascii="Times New Roman;serif" w:hAnsi="Times New Roman;serif"/>
          <w:b/>
          <w:sz w:val="24"/>
        </w:rPr>
        <w:t>STOCKHOLDER PROPOSALS FOR OUR 2024 ANNUAL MEETING</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 stockholder who would like to have a proposal considered for inclusion in our 2024 proxy statement must submit the proposal in accordance with the procedures outlined in Rule 14a-8 of the Exchange Act so that it is received by us no later than December 22, 2023. However, if the date of the 2024 annual meeting of stockholders is changed by more than 30 days from the date of the previous year’s meeting, then the deadline is a reasonable time before we begin to print and send our proxy statement for the 2024 annual meeting of stockholders. SEC rules set standards for eligibility and specify the types of stockholder proposals that may be excluded from a proxy statement. Stockholder proposals should be addressed to Apellis Pharmaceuticals, Inc., 100 Fifth Avenue, Waltham, Massachusetts 02451, Attention: General Counsel.</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our corporate secretary at our principal executive offices no earlier than February 2, 2024 and no later than March 3, 2024.</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0" w:name="other_matters"/>
      <w:bookmarkEnd w:id="20"/>
      <w:r>
        <w:rPr>
          <w:rFonts w:ascii="Times New Roman;serif" w:hAnsi="Times New Roman;serif"/>
          <w:b/>
          <w:sz w:val="24"/>
        </w:rPr>
        <w:t>OTHER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r>
        <w:rPr>
          <w:rFonts w:ascii="Times New Roman" w:hAnsi="Times New Roman"/>
          <w:sz w:val="20"/>
        </w:rPr>
        <w:t xml:space="preserve"> </w:t>
      </w:r>
    </w:p>
    <w:tbl>
      <w:tblPr>
        <w:tblW w:w="2821" w:type="dxa"/>
        <w:jc w:val="left"/>
        <w:tblInd w:w="0" w:type="dxa"/>
        <w:tblCellMar>
          <w:top w:w="28" w:type="dxa"/>
          <w:left w:w="28" w:type="dxa"/>
          <w:bottom w:w="28" w:type="dxa"/>
          <w:right w:w="28" w:type="dxa"/>
        </w:tblCellMar>
      </w:tblPr>
      <w:tblGrid>
        <w:gridCol w:w="2821"/>
      </w:tblGrid>
      <w:tr>
        <w:trPr/>
        <w:tc>
          <w:tcPr>
            <w:tcW w:w="2821" w:type="dxa"/>
            <w:tcBorders/>
            <w:shd w:fill="auto" w:val="clear"/>
            <w:vAlign w:val="cente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By Order of the Board of Directors</w:t>
            </w:r>
          </w:p>
        </w:tc>
      </w:tr>
      <w:tr>
        <w:trPr/>
        <w:tc>
          <w:tcPr>
            <w:tcW w:w="2821" w:type="dxa"/>
            <w:tcBorders/>
            <w:shd w:fill="auto" w:val="clear"/>
            <w:vAlign w:val="center"/>
          </w:tcPr>
          <w:p>
            <w:pPr>
              <w:pStyle w:val="TableContents"/>
              <w:spacing w:before="0" w:after="283"/>
              <w:ind w:left="0" w:right="0" w:hanging="0"/>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 Cedric Francois</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Cedric Francois</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President and Chief Executive Officer</w:t>
            </w:r>
          </w:p>
        </w:tc>
      </w:tr>
    </w:tbl>
    <w:p>
      <w:pPr>
        <w:pStyle w:val="TextBody"/>
        <w:spacing w:before="0" w:after="0"/>
        <w:jc w:val="center"/>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0" w:after="0"/>
        <w:jc w:val="left"/>
        <w:rPr/>
      </w:pPr>
      <w:r>
        <w:rPr/>
        <w:drawing>
          <wp:inline distT="0" distB="0" distL="0" distR="0">
            <wp:extent cx="6686550" cy="86391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686550" cy="863917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Times New Roman;serif" w:hAnsi="Times New Roman;serif"/>
          <w:b w:val="false"/>
          <w:sz w:val="2"/>
        </w:rPr>
        <w:t>YOUR VOTE IS IMPORTANT! PLEASE VOTE BY: Apellis Pharmaceuticals, Inc. Annual Meeting of Stockholders For Stockholders of record as of April 03, 2023 TIME: Thursday, June 1, 2023 10:00 AM, Eastern Time PLACE: Annual Meeting to be held live via the internet - Please visit www.proxydocs.com/APLS for more details. This proxy is being solicited on behalf of the Board of Directors The undersigned hereby appoints Cedric Francois, Timothy Sullivan and David Watson, and each of them, as the true and lawful attorneys of the undersigned, with full power of substitution and revocation, and authorizes them, and each of them, to vote all the shares of capital stock of Apellis Pharmaceuticals,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P.O. BOX 8016, CARY, NC 27512-9903 INTERNET Go To: www.proxypush.com/APLS  Cast your vote online  Have your Proxy Card ready  Follow the simple instructions to record your vote PHONE Call 1-866-362-4346  Use any touch-tone telephone  Have your Proxy Card ready  Follow the simple recorded instructions MAIL  Mark, sign and date your Proxy Card  Fold and return your Proxy Card in the postage-paid envelope provided You must register to attend the meeting online and/or participate at www.proxydocs.com/APLS</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drawing>
          <wp:inline distT="0" distB="0" distL="0" distR="0">
            <wp:extent cx="6686550" cy="86391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686550" cy="863917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Times New Roman;serif" w:hAnsi="Times New Roman;serif"/>
          <w:b w:val="false"/>
          <w:sz w:val="2"/>
        </w:rPr>
        <w:t>Apellis Pharmaceuticals, Inc. Annual Meeting of Stockholders Please make your marks like this: X THE BOARD OF DIRECTORS RECOMMENDS A VOTE FOR EACH OF THE NOMINEES IN PROPOSAL 1 AND FOR PROPOSALS 2 AND 3 PROPOSAL YOUR VOTE BOARD OF DIRECTORS RECOMMENDS 1. To elect two Class III directors to hold office until the 2026 annual meeting of stockholders. FOR WITHHOLD 1.01 Gerald Chan #P2# #P2# FOR 1.02 Cedric Francois #P3# #P3# FOR FOR AGAINST ABSTAIN 2. To ratify the appointment of Deloitte &amp; Touche LLP as the Company's independent registered public accounting firm for the fiscal year ending December 31, 2023. #P4# #P4# #P4# FOR 3. To approve an advisory vote on executive compensation. FOR You must register to attend the meeting online and/or participate at www.proxydocs.com/APLS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Proposal_Page - VIFL Date Signature (if held jointly) Date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
        </w:rPr>
        <w:t>Apellis Pharmaceuticals, Inc. Annual Meeting of Stockholders Please make your marks like this: X THE BOARD OF DIRECTORS RECOMMENDS A VOTE: FOR ON PROPOSALS 1, 2 AND 3 PROPOSAL YOUR VOTE BOARD OF DIRECTORS RECOMMENDS 1. To elect two Class II directors to hold office until the 2025 annual meeting of stockholders. FOR WITHHOLD 1.01 A. Sinclair Dunlop FOR 1.02 Alec Machiels FOR 2. To ratify the appointment of Deloitte &amp; Touche LLP as the Company’s independent registered public accounting firm for the fiscal year ending December 31, 2022. 3. To approve an advisory vote on executive compensation. You must register to attend the meeting online and/or participate at www.proxydocs.com /APLS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Segoe UI Symbo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32808</Words>
  <CharactersWithSpaces>213367</CharactersWithSpaces>
  <Paragraphs>6199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