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APELLIS PHARMACEUTICALS INC</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03753U106</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30, 2024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Investment Management,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85-4328500</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2,975,331</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2,985,272</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2,985,272</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2.5%</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APELLIS PHARMACEUTICALS INC</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FIFTH AVENUE, WALTHAM, MASSACHUSETTS 02451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 T. Rowe Price Investment Management, Inc. (Price Investment Management)</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101 E. Pratt Street, Baltimore, MD 21201</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03753U106</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right="3079" w:hanging="852"/>
        <w:spacing w:after="0" w:line="306"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59" w:lineRule="exact"/>
        <w:rPr>
          <w:rFonts w:ascii="Courier New" w:cs="Courier New" w:eastAsia="Courier New" w:hAnsi="Courier New"/>
          <w:sz w:val="16"/>
          <w:szCs w:val="16"/>
          <w:color w:val="auto"/>
        </w:rPr>
      </w:pPr>
    </w:p>
    <w:p>
      <w:pPr>
        <w:ind w:left="860" w:right="233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Price Investment Management serves as investment adviser.</w:t>
      </w:r>
    </w:p>
    <w:p>
      <w:pPr>
        <w:ind w:left="860" w:right="265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Any and all discretionary authority which has been delegated to Price Investment Management may be revoked</w:t>
      </w: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6"/>
          <w:szCs w:val="16"/>
          <w:color w:val="auto"/>
        </w:rPr>
      </w:pPr>
    </w:p>
    <w:p>
      <w:pPr>
        <w:ind w:left="860" w:right="2119"/>
        <w:spacing w:after="0" w:line="25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right="381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Price Investment Management which it also serves as investment adviser ("T. Rowe Price Funds"), not more</w:t>
      </w:r>
    </w:p>
    <w:p>
      <w:pPr>
        <w:ind w:left="860" w:right="2339"/>
        <w:spacing w:after="0" w:line="37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than 5% of the class of such securities is owned by any one client subject to the investment advice of Price Investment Management.</w:t>
      </w:r>
    </w:p>
    <w:p>
      <w:pPr>
        <w:spacing w:after="0" w:line="209"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 w:lineRule="exact"/>
        <w:rPr>
          <w:sz w:val="20"/>
          <w:szCs w:val="20"/>
          <w:color w:val="auto"/>
        </w:rPr>
      </w:pPr>
    </w:p>
    <w:p>
      <w:pPr>
        <w:ind w:left="960" w:right="1819"/>
        <w:spacing w:after="0" w:line="256" w:lineRule="auto"/>
        <w:rPr>
          <w:sz w:val="20"/>
          <w:szCs w:val="20"/>
          <w:color w:val="auto"/>
        </w:rPr>
      </w:pPr>
      <w:r>
        <w:rPr>
          <w:rFonts w:ascii="Courier New" w:cs="Courier New" w:eastAsia="Courier New" w:hAnsi="Courier New"/>
          <w:sz w:val="18"/>
          <w:szCs w:val="18"/>
          <w:color w:val="auto"/>
        </w:rPr>
        <w:t>T. Rowe Price Investment Management, Inc. hereby declares and affirms that the filing of Schedule 13G shall not be construed as an admission that Price Investment Management is the beneficial owner of the securities referred to, which beneficial ownership is expressly denied.</w:t>
      </w:r>
    </w:p>
    <w:p>
      <w:pPr>
        <w:spacing w:after="0" w:line="9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Investment Management,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November 14, 2024</w:t>
      </w:r>
    </w:p>
    <w:p>
      <w:pPr>
        <w:spacing w:after="0" w:line="238" w:lineRule="auto"/>
        <w:rPr>
          <w:sz w:val="20"/>
          <w:szCs w:val="20"/>
          <w:color w:val="auto"/>
        </w:rPr>
      </w:pPr>
      <w:r>
        <w:rPr>
          <w:rFonts w:ascii="Courier New" w:cs="Courier New" w:eastAsia="Courier New" w:hAnsi="Courier New"/>
          <w:sz w:val="18"/>
          <w:szCs w:val="18"/>
          <w:color w:val="auto"/>
        </w:rPr>
        <w:t>Signature: /s/ Ellen York</w:t>
      </w:r>
    </w:p>
    <w:p>
      <w:pPr>
        <w:spacing w:after="0"/>
        <w:rPr>
          <w:sz w:val="20"/>
          <w:szCs w:val="20"/>
          <w:color w:val="auto"/>
        </w:rPr>
      </w:pPr>
      <w:r>
        <w:rPr>
          <w:rFonts w:ascii="Courier New" w:cs="Courier New" w:eastAsia="Courier New" w:hAnsi="Courier New"/>
          <w:sz w:val="18"/>
          <w:szCs w:val="18"/>
          <w:color w:val="auto"/>
        </w:rPr>
        <w:t>Name &amp; Title: Ellen York,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09/30/2024</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2024-11-14T12:38:31Z</dcterms:created>
  <dcterms:modified xsi:type="dcterms:W3CDTF">2024-11-14T12:38:31Z</dcterms:modified>
</cp:coreProperties>
</file>