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85723d8k.htm"/>
      <w:bookmarkStart w:id="1" w:name="ksd85723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June 3, 2025</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Apellis Pharmaceuticals,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001-38276</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27-1537290</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3" w:type="dxa"/>
        <w:jc w:val="left"/>
        <w:tblInd w:w="0" w:type="dxa"/>
        <w:tblLayout w:type="fixed"/>
        <w:tblCellMar>
          <w:top w:w="0" w:type="dxa"/>
          <w:left w:w="0" w:type="dxa"/>
          <w:bottom w:w="0" w:type="dxa"/>
          <w:right w:w="0" w:type="dxa"/>
        </w:tblCellMar>
      </w:tblPr>
      <w:tblGrid>
        <w:gridCol w:w="1837"/>
        <w:gridCol w:w="1110"/>
        <w:gridCol w:w="1121"/>
        <w:gridCol w:w="60"/>
        <w:gridCol w:w="1145"/>
      </w:tblGrid>
      <w:tr>
        <w:trPr/>
        <w:tc>
          <w:tcPr>
            <w:tcW w:w="1837"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68" w:type="dxa"/>
            <w:gridSpan w:val="3"/>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100 Fifth Avenue</w:t>
            </w:r>
          </w:p>
          <w:p>
            <w:pPr>
              <w:pStyle w:val="TableContents"/>
              <w:bidi w:val="0"/>
              <w:spacing w:before="0" w:after="20"/>
              <w:jc w:val="center"/>
              <w:rPr>
                <w:rFonts w:ascii="Times New Roman" w:hAnsi="Times New Roman"/>
                <w:b/>
                <w:sz w:val="20"/>
              </w:rPr>
            </w:pPr>
            <w:r>
              <w:rPr>
                <w:rFonts w:ascii="Times New Roman" w:hAnsi="Times New Roman"/>
                <w:b/>
                <w:sz w:val="20"/>
              </w:rPr>
              <w:t>Waltham, MA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02451</w:t>
            </w:r>
          </w:p>
        </w:tc>
      </w:tr>
      <w:tr>
        <w:trPr/>
        <w:tc>
          <w:tcPr>
            <w:tcW w:w="4068" w:type="dxa"/>
            <w:gridSpan w:val="3"/>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(617) 977-5700</w:t>
      </w:r>
    </w:p>
    <w:p>
      <w:pPr>
        <w:pStyle w:val="TextBody"/>
        <w:bidi w:val="0"/>
        <w:spacing w:before="20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w:t>
      </w:r>
      <w:r>
        <w:rPr>
          <w:rFonts w:ascii="Times New Roman" w:hAnsi="Times New Roman"/>
          <w:i/>
          <w:sz w:val="20"/>
        </w:rPr>
        <w:t>see</w:t>
      </w:r>
      <w:r>
        <w:rPr>
          <w:rFonts w:ascii="Times New Roman" w:hAnsi="Times New Roman"/>
          <w:sz w:val="20"/>
        </w:rPr>
        <w:t>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950" w:type="dxa"/>
        <w:jc w:val="left"/>
        <w:tblInd w:w="0" w:type="dxa"/>
        <w:tblLayout w:type="fixed"/>
        <w:tblCellMar>
          <w:top w:w="0" w:type="dxa"/>
          <w:left w:w="0" w:type="dxa"/>
          <w:bottom w:w="0" w:type="dxa"/>
          <w:right w:w="0" w:type="dxa"/>
        </w:tblCellMar>
      </w:tblPr>
      <w:tblGrid>
        <w:gridCol w:w="4265"/>
        <w:gridCol w:w="60"/>
        <w:gridCol w:w="740"/>
        <w:gridCol w:w="60"/>
        <w:gridCol w:w="2825"/>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82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65" w:type="dxa"/>
            <w:tcBorders/>
            <w:vAlign w:val="center"/>
          </w:tcPr>
          <w:p>
            <w:pPr>
              <w:pStyle w:val="TableContents"/>
              <w:bidi w:val="0"/>
              <w:spacing w:before="0" w:after="283"/>
              <w:jc w:val="center"/>
              <w:rPr/>
            </w:pPr>
            <w:r>
              <w:rPr/>
              <w:t>Common Stock, $0.0001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APLS</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center"/>
              <w:rPr/>
            </w:pPr>
            <w:r>
              <w:rPr/>
              <w:t>Nasdaq Global Select Market</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righ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5500" w:type="dxa"/>
        <w:jc w:val="left"/>
        <w:tblInd w:w="0" w:type="dxa"/>
        <w:tblLayout w:type="fixed"/>
        <w:tblCellMar>
          <w:top w:w="0" w:type="dxa"/>
          <w:left w:w="0" w:type="dxa"/>
          <w:bottom w:w="0" w:type="dxa"/>
          <w:right w:w="0" w:type="dxa"/>
        </w:tblCellMar>
      </w:tblPr>
      <w:tblGrid>
        <w:gridCol w:w="1025"/>
        <w:gridCol w:w="4475"/>
      </w:tblGrid>
      <w:tr>
        <w:trPr/>
        <w:tc>
          <w:tcPr>
            <w:tcW w:w="1025" w:type="dxa"/>
            <w:tcBorders/>
            <w:vAlign w:val="center"/>
          </w:tcPr>
          <w:p>
            <w:pPr>
              <w:pStyle w:val="TableContents"/>
              <w:bidi w:val="0"/>
              <w:spacing w:before="0" w:after="283"/>
              <w:jc w:val="left"/>
              <w:rPr>
                <w:b/>
              </w:rPr>
            </w:pPr>
            <w:r>
              <w:rPr>
                <w:b/>
              </w:rPr>
              <w:t>Item 5.07.</w:t>
            </w:r>
          </w:p>
        </w:tc>
        <w:tc>
          <w:tcPr>
            <w:tcW w:w="44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Submission of Matters to a Vote of Security Holders.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Apellis Pharmaceuticals, Inc. (the “Company”) held its Annual Meeting of Stockholders on June 3, 2025. The following is a summary of the matters voted on at that meeting.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(a)</w:t>
            </w:r>
          </w:p>
        </w:tc>
        <w:tc>
          <w:tcPr>
            <w:tcW w:w="990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stockholders of the Company elected A. Sinclair Dunlop, Alec Machiels and Keli Walbert as class II directors, each for a three-year term ending at the annual meeting of stockholders to be held in 2028. The results of the stockholders’ vote with respect to the election of the class II directors were as follows: </w:t>
            </w:r>
          </w:p>
        </w:tc>
      </w:tr>
    </w:tbl>
    <w:p>
      <w:pPr>
        <w:pStyle w:val="TextBody"/>
        <w:bidi w:val="0"/>
        <w:spacing w:before="0" w:after="0"/>
        <w:jc w:val="left"/>
        <w:rPr/>
      </w:pPr>
      <w:r>
        <w:rPr/>
        <w:t> </w:t>
      </w:r>
    </w:p>
    <w:tbl>
      <w:tblPr>
        <w:tblW w:w="6320" w:type="dxa"/>
        <w:jc w:val="left"/>
        <w:tblInd w:w="0" w:type="dxa"/>
        <w:tblLayout w:type="fixed"/>
        <w:tblCellMar>
          <w:top w:w="0" w:type="dxa"/>
          <w:left w:w="0" w:type="dxa"/>
          <w:bottom w:w="0" w:type="dxa"/>
          <w:right w:w="0" w:type="dxa"/>
        </w:tblCellMar>
      </w:tblPr>
      <w:tblGrid>
        <w:gridCol w:w="1550"/>
        <w:gridCol w:w="120"/>
        <w:gridCol w:w="60"/>
        <w:gridCol w:w="1100"/>
        <w:gridCol w:w="60"/>
        <w:gridCol w:w="120"/>
        <w:gridCol w:w="60"/>
        <w:gridCol w:w="1100"/>
        <w:gridCol w:w="60"/>
        <w:gridCol w:w="120"/>
        <w:gridCol w:w="98"/>
        <w:gridCol w:w="1797"/>
        <w:gridCol w:w="75"/>
      </w:tblGrid>
      <w:tr>
        <w:trPr/>
        <w:tc>
          <w:tcPr>
            <w:tcW w:w="15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Withheld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Broker Non-Votes</w:t>
            </w:r>
          </w:p>
        </w:tc>
        <w:tc>
          <w:tcPr>
            <w:tcW w:w="75" w:type="dxa"/>
            <w:tcBorders/>
            <w:vAlign w:val="center"/>
          </w:tcPr>
          <w:p>
            <w:pPr>
              <w:pStyle w:val="TableContents"/>
              <w:bidi w:val="0"/>
              <w:spacing w:before="0" w:after="283"/>
              <w:jc w:val="left"/>
              <w:rPr/>
            </w:pPr>
            <w:r>
              <w:rPr/>
              <w:t> </w:t>
            </w:r>
          </w:p>
        </w:tc>
      </w:tr>
      <w:tr>
        <w:trPr/>
        <w:tc>
          <w:tcPr>
            <w:tcW w:w="15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 Sinclair Dunlop</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54,091,088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26,037,795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797" w:type="dxa"/>
            <w:tcBorders/>
            <w:shd w:fill="CCEEFF" w:val="clear"/>
            <w:vAlign w:val="center"/>
          </w:tcPr>
          <w:p>
            <w:pPr>
              <w:pStyle w:val="TableContents"/>
              <w:bidi w:val="0"/>
              <w:spacing w:before="0" w:after="283"/>
              <w:jc w:val="right"/>
              <w:rPr/>
            </w:pPr>
            <w:r>
              <w:rPr/>
              <w:t>23,918,223</w:t>
            </w:r>
          </w:p>
        </w:tc>
        <w:tc>
          <w:tcPr>
            <w:tcW w:w="75" w:type="dxa"/>
            <w:tcBorders/>
            <w:shd w:fill="CCEEFF" w:val="clear"/>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Alec Machiels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62,314,110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17,814,774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797" w:type="dxa"/>
            <w:tcBorders/>
            <w:vAlign w:val="center"/>
          </w:tcPr>
          <w:p>
            <w:pPr>
              <w:pStyle w:val="TableContents"/>
              <w:bidi w:val="0"/>
              <w:spacing w:before="0" w:after="283"/>
              <w:jc w:val="right"/>
              <w:rPr/>
            </w:pPr>
            <w:r>
              <w:rPr/>
              <w:t>23,918,223</w:t>
            </w:r>
          </w:p>
        </w:tc>
        <w:tc>
          <w:tcPr>
            <w:tcW w:w="75" w:type="dxa"/>
            <w:tcBorders/>
            <w:vAlign w:val="center"/>
          </w:tcPr>
          <w:p>
            <w:pPr>
              <w:pStyle w:val="TableContents"/>
              <w:bidi w:val="0"/>
              <w:spacing w:before="0" w:after="283"/>
              <w:jc w:val="left"/>
              <w:rPr/>
            </w:pPr>
            <w:r>
              <w:rPr/>
              <w:t> </w:t>
            </w:r>
          </w:p>
        </w:tc>
      </w:tr>
      <w:tr>
        <w:trPr/>
        <w:tc>
          <w:tcPr>
            <w:tcW w:w="15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Keli Walbert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76,951,740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3,177,144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797" w:type="dxa"/>
            <w:tcBorders/>
            <w:shd w:fill="CCEEFF" w:val="clear"/>
            <w:vAlign w:val="center"/>
          </w:tcPr>
          <w:p>
            <w:pPr>
              <w:pStyle w:val="TableContents"/>
              <w:bidi w:val="0"/>
              <w:spacing w:before="0" w:after="283"/>
              <w:jc w:val="right"/>
              <w:rPr/>
            </w:pPr>
            <w:r>
              <w:rPr/>
              <w:t>23,918,223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(b)</w:t>
            </w:r>
          </w:p>
        </w:tc>
        <w:tc>
          <w:tcPr>
            <w:tcW w:w="988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stockholders of the Company ratified the appointment of Deloitte &amp; Touche LLP as the Company’s independent registered public accounting firm for the fiscal year ending December 31, 2025. The results of the stockholders’ vote with respect to such ratification were as follows: </w:t>
            </w:r>
          </w:p>
        </w:tc>
      </w:tr>
    </w:tbl>
    <w:p>
      <w:pPr>
        <w:pStyle w:val="TextBody"/>
        <w:bidi w:val="0"/>
        <w:spacing w:before="0" w:after="0"/>
        <w:jc w:val="left"/>
        <w:rPr/>
      </w:pPr>
      <w:r>
        <w:rPr/>
        <w:t> </w:t>
      </w:r>
    </w:p>
    <w:tbl>
      <w:tblPr>
        <w:tblW w:w="3695" w:type="dxa"/>
        <w:jc w:val="left"/>
        <w:tblInd w:w="0" w:type="dxa"/>
        <w:tblLayout w:type="fixed"/>
        <w:tblCellMar>
          <w:top w:w="0" w:type="dxa"/>
          <w:left w:w="0" w:type="dxa"/>
          <w:bottom w:w="0" w:type="dxa"/>
          <w:right w:w="0" w:type="dxa"/>
        </w:tblCellMar>
      </w:tblPr>
      <w:tblGrid>
        <w:gridCol w:w="1235"/>
        <w:gridCol w:w="60"/>
        <w:gridCol w:w="680"/>
        <w:gridCol w:w="60"/>
        <w:gridCol w:w="800"/>
        <w:gridCol w:w="60"/>
        <w:gridCol w:w="800"/>
      </w:tblGrid>
      <w:tr>
        <w:trPr/>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r>
      <w:tr>
        <w:trPr/>
        <w:tc>
          <w:tcPr>
            <w:tcW w:w="123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For</w:t>
            </w:r>
          </w:p>
        </w:tc>
        <w:tc>
          <w:tcPr>
            <w:tcW w:w="60" w:type="dxa"/>
            <w:tcBorders/>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Against</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Abstain</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w:t>
              <w:br/>
              <w:t>Non-Votes</w:t>
            </w:r>
          </w:p>
        </w:tc>
      </w:tr>
      <w:tr>
        <w:trPr/>
        <w:tc>
          <w:tcPr>
            <w:tcW w:w="1235" w:type="dxa"/>
            <w:tcBorders/>
            <w:shd w:fill="CCEEFF" w:val="clear"/>
            <w:vAlign w:val="center"/>
          </w:tcPr>
          <w:p>
            <w:pPr>
              <w:pStyle w:val="TableContents"/>
              <w:bidi w:val="0"/>
              <w:spacing w:before="0" w:after="283"/>
              <w:jc w:val="center"/>
              <w:rPr/>
            </w:pPr>
            <w:r>
              <w:rPr/>
              <w:t>103,876,326</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center"/>
              <w:rPr/>
            </w:pPr>
            <w:r>
              <w:rPr/>
              <w:t>54,603</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center"/>
              <w:rPr/>
            </w:pPr>
            <w:r>
              <w:rPr/>
              <w:t>116,178</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center"/>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(c)</w:t>
            </w:r>
          </w:p>
        </w:tc>
        <w:tc>
          <w:tcPr>
            <w:tcW w:w="990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stockholders of the Company approved the advisory vote on the compensation of the Company’s named executive officers. The results of the stockholders’ non-binding advisory vote with respect to the compensation paid to the Company’s named executive officers were as follows: </w:t>
            </w:r>
          </w:p>
        </w:tc>
      </w:tr>
    </w:tbl>
    <w:p>
      <w:pPr>
        <w:pStyle w:val="TextBody"/>
        <w:bidi w:val="0"/>
        <w:spacing w:before="0" w:after="0"/>
        <w:jc w:val="left"/>
        <w:rPr/>
      </w:pPr>
      <w:r>
        <w:rPr/>
        <w:t> </w:t>
      </w:r>
    </w:p>
    <w:tbl>
      <w:tblPr>
        <w:tblW w:w="4070" w:type="dxa"/>
        <w:jc w:val="left"/>
        <w:tblInd w:w="0" w:type="dxa"/>
        <w:tblLayout w:type="fixed"/>
        <w:tblCellMar>
          <w:top w:w="0" w:type="dxa"/>
          <w:left w:w="0" w:type="dxa"/>
          <w:bottom w:w="0" w:type="dxa"/>
          <w:right w:w="0" w:type="dxa"/>
        </w:tblCellMar>
      </w:tblPr>
      <w:tblGrid>
        <w:gridCol w:w="1115"/>
        <w:gridCol w:w="60"/>
        <w:gridCol w:w="980"/>
        <w:gridCol w:w="60"/>
        <w:gridCol w:w="680"/>
        <w:gridCol w:w="60"/>
        <w:gridCol w:w="1115"/>
      </w:tblGrid>
      <w:tr>
        <w:trPr/>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For</w:t>
            </w:r>
          </w:p>
        </w:tc>
        <w:tc>
          <w:tcPr>
            <w:tcW w:w="60" w:type="dxa"/>
            <w:tcBorders/>
            <w:vAlign w:val="center"/>
          </w:tcPr>
          <w:p>
            <w:pPr>
              <w:pStyle w:val="TableContents"/>
              <w:bidi w:val="0"/>
              <w:spacing w:before="0" w:after="283"/>
              <w:jc w:val="left"/>
              <w:rPr/>
            </w:pPr>
            <w:r>
              <w:rPr/>
              <w:t> </w:t>
            </w:r>
          </w:p>
        </w:tc>
        <w:tc>
          <w:tcPr>
            <w:tcW w:w="9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Against</w:t>
            </w:r>
          </w:p>
        </w:tc>
        <w:tc>
          <w:tcPr>
            <w:tcW w:w="60" w:type="dxa"/>
            <w:tcBorders/>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Abstain</w:t>
            </w:r>
          </w:p>
        </w:tc>
        <w:tc>
          <w:tcPr>
            <w:tcW w:w="60" w:type="dxa"/>
            <w:tcBorders/>
            <w:vAlign w:val="center"/>
          </w:tcPr>
          <w:p>
            <w:pPr>
              <w:pStyle w:val="TableContents"/>
              <w:bidi w:val="0"/>
              <w:spacing w:before="0" w:after="283"/>
              <w:jc w:val="left"/>
              <w:rPr/>
            </w:pPr>
            <w:r>
              <w:rPr/>
              <w:t> </w:t>
            </w:r>
          </w:p>
        </w:tc>
        <w:tc>
          <w:tcPr>
            <w:tcW w:w="11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w:t>
              <w:br/>
              <w:t>Non-Votes</w:t>
            </w:r>
          </w:p>
        </w:tc>
      </w:tr>
      <w:tr>
        <w:trPr/>
        <w:tc>
          <w:tcPr>
            <w:tcW w:w="1115" w:type="dxa"/>
            <w:tcBorders/>
            <w:shd w:fill="CCEEFF" w:val="clear"/>
            <w:vAlign w:val="center"/>
          </w:tcPr>
          <w:p>
            <w:pPr>
              <w:pStyle w:val="TableContents"/>
              <w:bidi w:val="0"/>
              <w:spacing w:before="0" w:after="283"/>
              <w:jc w:val="center"/>
              <w:rPr/>
            </w:pPr>
            <w:r>
              <w:rPr/>
              <w:t>75,901,920</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center"/>
              <w:rPr/>
            </w:pPr>
            <w:r>
              <w:rPr/>
              <w:t>4,167,103</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center"/>
              <w:rPr/>
            </w:pPr>
            <w:r>
              <w:rPr/>
              <w:t>59,860</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center"/>
              <w:rPr/>
            </w:pPr>
            <w:r>
              <w:rPr/>
              <w:t>23,918,223</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9"/>
        <w:gridCol w:w="9891"/>
      </w:tblGrid>
      <w:tr>
        <w:trPr/>
        <w:tc>
          <w:tcPr>
            <w:tcW w:w="75"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(d)</w:t>
            </w:r>
          </w:p>
        </w:tc>
        <w:tc>
          <w:tcPr>
            <w:tcW w:w="989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stockholders of the Company recommended, on a non-binding advisory basis, that future advisory votes on the compensation of the Company’s named executive officers be held every year. The results of the stockholders’ non-binding advisory vote with respect to the frequency of future executive compensation advisory votes were as follows: </w:t>
            </w:r>
          </w:p>
        </w:tc>
      </w:tr>
    </w:tbl>
    <w:p>
      <w:pPr>
        <w:pStyle w:val="TextBody"/>
        <w:bidi w:val="0"/>
        <w:spacing w:before="0" w:after="0"/>
        <w:jc w:val="left"/>
        <w:rPr/>
      </w:pPr>
      <w:r>
        <w:rPr/>
        <w:t> </w:t>
      </w:r>
    </w:p>
    <w:tbl>
      <w:tblPr>
        <w:tblW w:w="4870" w:type="dxa"/>
        <w:jc w:val="left"/>
        <w:tblInd w:w="0" w:type="dxa"/>
        <w:tblLayout w:type="fixed"/>
        <w:tblCellMar>
          <w:top w:w="0" w:type="dxa"/>
          <w:left w:w="0" w:type="dxa"/>
          <w:bottom w:w="0" w:type="dxa"/>
          <w:right w:w="0" w:type="dxa"/>
        </w:tblCellMar>
      </w:tblPr>
      <w:tblGrid>
        <w:gridCol w:w="1115"/>
        <w:gridCol w:w="60"/>
        <w:gridCol w:w="800"/>
        <w:gridCol w:w="60"/>
        <w:gridCol w:w="920"/>
        <w:gridCol w:w="60"/>
        <w:gridCol w:w="680"/>
        <w:gridCol w:w="60"/>
        <w:gridCol w:w="1115"/>
      </w:tblGrid>
      <w:tr>
        <w:trPr/>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Every</w:t>
            </w:r>
          </w:p>
          <w:p>
            <w:pPr>
              <w:pStyle w:val="TableContents"/>
              <w:bidi w:val="0"/>
              <w:spacing w:before="0" w:after="20"/>
              <w:jc w:val="center"/>
              <w:rPr>
                <w:rFonts w:ascii="Times New Roman" w:hAnsi="Times New Roman"/>
                <w:b/>
                <w:sz w:val="16"/>
              </w:rPr>
            </w:pPr>
            <w:r>
              <w:rPr>
                <w:rFonts w:ascii="Times New Roman" w:hAnsi="Times New Roman"/>
                <w:b/>
                <w:sz w:val="16"/>
              </w:rPr>
              <w:t>One Year</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Every</w:t>
            </w:r>
          </w:p>
          <w:p>
            <w:pPr>
              <w:pStyle w:val="TableContents"/>
              <w:bidi w:val="0"/>
              <w:spacing w:before="0" w:after="20"/>
              <w:jc w:val="center"/>
              <w:rPr>
                <w:rFonts w:ascii="Times New Roman" w:hAnsi="Times New Roman"/>
                <w:b/>
                <w:sz w:val="16"/>
              </w:rPr>
            </w:pPr>
            <w:r>
              <w:rPr>
                <w:rFonts w:ascii="Times New Roman" w:hAnsi="Times New Roman"/>
                <w:b/>
                <w:sz w:val="16"/>
              </w:rPr>
              <w:t>Two Years</w:t>
            </w:r>
          </w:p>
        </w:tc>
        <w:tc>
          <w:tcPr>
            <w:tcW w:w="60" w:type="dxa"/>
            <w:tcBorders/>
            <w:vAlign w:val="center"/>
          </w:tcPr>
          <w:p>
            <w:pPr>
              <w:pStyle w:val="TableContents"/>
              <w:bidi w:val="0"/>
              <w:spacing w:before="0" w:after="283"/>
              <w:jc w:val="left"/>
              <w:rPr/>
            </w:pPr>
            <w:r>
              <w:rPr/>
              <w:t> </w:t>
            </w:r>
          </w:p>
        </w:tc>
        <w:tc>
          <w:tcPr>
            <w:tcW w:w="92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Every Three</w:t>
            </w:r>
          </w:p>
          <w:p>
            <w:pPr>
              <w:pStyle w:val="TableContents"/>
              <w:bidi w:val="0"/>
              <w:spacing w:before="0" w:after="20"/>
              <w:jc w:val="center"/>
              <w:rPr>
                <w:rFonts w:ascii="Times New Roman" w:hAnsi="Times New Roman"/>
                <w:b/>
                <w:sz w:val="16"/>
              </w:rPr>
            </w:pPr>
            <w:r>
              <w:rPr>
                <w:rFonts w:ascii="Times New Roman" w:hAnsi="Times New Roman"/>
                <w:b/>
                <w:sz w:val="16"/>
              </w:rPr>
              <w:t>Years</w:t>
            </w:r>
          </w:p>
        </w:tc>
        <w:tc>
          <w:tcPr>
            <w:tcW w:w="60" w:type="dxa"/>
            <w:tcBorders/>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Abstain</w:t>
            </w:r>
          </w:p>
        </w:tc>
        <w:tc>
          <w:tcPr>
            <w:tcW w:w="60" w:type="dxa"/>
            <w:tcBorders/>
            <w:vAlign w:val="center"/>
          </w:tcPr>
          <w:p>
            <w:pPr>
              <w:pStyle w:val="TableContents"/>
              <w:bidi w:val="0"/>
              <w:spacing w:before="0" w:after="283"/>
              <w:jc w:val="left"/>
              <w:rPr/>
            </w:pPr>
            <w:r>
              <w:rPr/>
              <w:t> </w:t>
            </w:r>
          </w:p>
        </w:tc>
        <w:tc>
          <w:tcPr>
            <w:tcW w:w="11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w:t>
              <w:br/>
              <w:t>Non-Votes</w:t>
            </w:r>
          </w:p>
        </w:tc>
      </w:tr>
      <w:tr>
        <w:trPr/>
        <w:tc>
          <w:tcPr>
            <w:tcW w:w="1115" w:type="dxa"/>
            <w:tcBorders/>
            <w:shd w:fill="CCEEFF" w:val="clear"/>
            <w:vAlign w:val="center"/>
          </w:tcPr>
          <w:p>
            <w:pPr>
              <w:pStyle w:val="TableContents"/>
              <w:bidi w:val="0"/>
              <w:spacing w:before="0" w:after="283"/>
              <w:jc w:val="center"/>
              <w:rPr/>
            </w:pPr>
            <w:r>
              <w:rPr/>
              <w:t>79,858,618</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center"/>
              <w:rPr/>
            </w:pPr>
            <w:r>
              <w:rPr/>
              <w:t>32,418</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center"/>
              <w:rPr/>
            </w:pPr>
            <w:r>
              <w:rPr/>
              <w:t>206,221</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center"/>
              <w:rPr/>
            </w:pPr>
            <w:r>
              <w:rPr/>
              <w:t>31,626</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center"/>
              <w:rPr/>
            </w:pPr>
            <w:r>
              <w:rPr/>
              <w:t>23,918,223</w:t>
            </w:r>
          </w:p>
        </w:tc>
      </w:tr>
    </w:tbl>
    <w:p>
      <w:pPr>
        <w:pStyle w:val="TextBody"/>
        <w:bidi w:val="0"/>
        <w:spacing w:before="240" w:after="0"/>
        <w:jc w:val="left"/>
        <w:rPr>
          <w:rFonts w:ascii="Times New Roman" w:hAnsi="Times New Roman"/>
          <w:sz w:val="20"/>
        </w:rPr>
      </w:pPr>
      <w:r>
        <w:rPr>
          <w:rFonts w:ascii="Times New Roman" w:hAnsi="Times New Roman"/>
          <w:sz w:val="20"/>
        </w:rPr>
        <w:t xml:space="preserve">After taking into consideration the foregoing voting results, the Company intends to hold future advisory votes on the compensation of the Company’s named executive officers every year.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4936" w:type="dxa"/>
        <w:jc w:val="left"/>
        <w:tblInd w:w="0" w:type="dxa"/>
        <w:tblLayout w:type="fixed"/>
        <w:tblCellMar>
          <w:top w:w="0" w:type="dxa"/>
          <w:left w:w="0" w:type="dxa"/>
          <w:bottom w:w="0" w:type="dxa"/>
          <w:right w:w="0" w:type="dxa"/>
        </w:tblCellMar>
      </w:tblPr>
      <w:tblGrid>
        <w:gridCol w:w="1820"/>
        <w:gridCol w:w="60"/>
        <w:gridCol w:w="23"/>
        <w:gridCol w:w="60"/>
        <w:gridCol w:w="409"/>
        <w:gridCol w:w="67"/>
        <w:gridCol w:w="2497"/>
      </w:tblGrid>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2497" w:type="dxa"/>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73" w:type="dxa"/>
            <w:gridSpan w:val="3"/>
            <w:tcBorders/>
            <w:vAlign w:val="center"/>
          </w:tcPr>
          <w:p>
            <w:pPr>
              <w:pStyle w:val="TableContents"/>
              <w:bidi w:val="0"/>
              <w:spacing w:before="0" w:after="283"/>
              <w:jc w:val="left"/>
              <w:rPr>
                <w:b/>
              </w:rPr>
            </w:pPr>
            <w:r>
              <w:rPr>
                <w:b/>
              </w:rPr>
              <w:t>Apellis Pharmaceuticals, Inc.</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69" w:type="dxa"/>
            <w:gridSpan w:val="2"/>
            <w:tcBorders/>
            <w:vAlign w:val="center"/>
          </w:tcPr>
          <w:p>
            <w:pPr>
              <w:pStyle w:val="TableContents"/>
              <w:bidi w:val="0"/>
              <w:spacing w:before="0" w:after="283"/>
              <w:jc w:val="left"/>
              <w:rPr>
                <w:sz w:val="4"/>
                <w:szCs w:val="4"/>
              </w:rPr>
            </w:pPr>
            <w:r>
              <w:rPr>
                <w:sz w:val="4"/>
                <w:szCs w:val="4"/>
              </w:rPr>
            </w:r>
          </w:p>
        </w:tc>
        <w:tc>
          <w:tcPr>
            <w:tcW w:w="2564" w:type="dxa"/>
            <w:gridSpan w:val="2"/>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pPr>
            <w:r>
              <w:rPr/>
              <w:t>Date: June 4, 2025</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9" w:type="dxa"/>
            <w:tcBorders/>
            <w:vAlign w:val="center"/>
          </w:tcPr>
          <w:p>
            <w:pPr>
              <w:pStyle w:val="TableContents"/>
              <w:bidi w:val="0"/>
              <w:spacing w:before="0" w:after="283"/>
              <w:jc w:val="left"/>
              <w:rPr/>
            </w:pPr>
            <w:r>
              <w:rPr/>
              <w:t>By:</w:t>
            </w:r>
          </w:p>
        </w:tc>
        <w:tc>
          <w:tcPr>
            <w:tcW w:w="67" w:type="dxa"/>
            <w:tcBorders/>
            <w:vAlign w:val="center"/>
          </w:tcPr>
          <w:p>
            <w:pPr>
              <w:pStyle w:val="TableContents"/>
              <w:bidi w:val="0"/>
              <w:spacing w:before="0" w:after="283"/>
              <w:jc w:val="left"/>
              <w:rPr/>
            </w:pPr>
            <w:r>
              <w:rPr/>
              <w:t> </w:t>
            </w:r>
          </w:p>
        </w:tc>
        <w:tc>
          <w:tcPr>
            <w:tcW w:w="2497"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Timothy Sullivan</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9"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pPr>
            <w:r>
              <w:rPr/>
              <w:t> </w:t>
            </w:r>
          </w:p>
        </w:tc>
        <w:tc>
          <w:tcPr>
            <w:tcW w:w="2497" w:type="dxa"/>
            <w:tcBorders/>
            <w:vAlign w:val="center"/>
          </w:tcPr>
          <w:p>
            <w:pPr>
              <w:pStyle w:val="TableContents"/>
              <w:bidi w:val="0"/>
              <w:spacing w:before="0" w:after="283"/>
              <w:jc w:val="left"/>
              <w:rPr/>
            </w:pPr>
            <w:r>
              <w:rPr/>
              <w:t>Timothy Sullivan</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9"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pPr>
            <w:r>
              <w:rPr/>
              <w:t> </w:t>
            </w:r>
          </w:p>
        </w:tc>
        <w:tc>
          <w:tcPr>
            <w:tcW w:w="2497" w:type="dxa"/>
            <w:tcBorders/>
            <w:vAlign w:val="center"/>
          </w:tcPr>
          <w:p>
            <w:pPr>
              <w:pStyle w:val="TableContents"/>
              <w:bidi w:val="0"/>
              <w:spacing w:before="0" w:after="283"/>
              <w:jc w:val="left"/>
              <w:rPr/>
            </w:pPr>
            <w:r>
              <w:rPr/>
              <w:t>Chief Financial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666</Words>
  <Characters>3745</Characters>
  <CharactersWithSpaces>4430</CharactersWithSpaces>
  <Paragraphs>222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