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370840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58" w:lineRule="exact"/>
        <w:rPr>
          <w:rFonts w:ascii="MS PGothic" w:cs="MS PGothic" w:eastAsia="MS PGothic" w:hAnsi="MS PGothic"/>
          <w:sz w:val="20"/>
          <w:szCs w:val="20"/>
          <w:color w:val="auto"/>
        </w:rPr>
      </w:pPr>
    </w:p>
    <w:p>
      <w:pPr>
        <w:ind w:left="378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2"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-5080</wp:posOffset>
            </wp:positionV>
            <wp:extent cx="571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100 Fifth Avenue,</w:t>
            </w:r>
          </w:p>
        </w:tc>
        <w:tc>
          <w:tcPr>
            <w:tcW w:w="3060" w:type="dxa"/>
            <w:vAlign w:val="bottom"/>
          </w:tcPr>
          <w:p>
            <w:pPr>
              <w:spacing w:after="0"/>
              <w:rPr>
                <w:sz w:val="24"/>
                <w:szCs w:val="24"/>
                <w:color w:val="auto"/>
              </w:rPr>
            </w:pPr>
          </w:p>
        </w:tc>
      </w:t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Waltham, MA</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87"/>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49"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1" w:name="page2"/>
    <w:bookmarkEnd w:id="1"/>
    <w:p>
      <w:pPr>
        <w:ind w:right="79" w:firstLine="509"/>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2025, the registrant had 125,682,260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PART I.</w:t>
            </w:r>
          </w:p>
        </w:tc>
        <w:tc>
          <w:tcPr>
            <w:tcW w:w="340" w:type="dxa"/>
            <w:vAlign w:val="bottom"/>
            <w:gridSpan w:val="2"/>
            <w:vMerge w:val="restart"/>
          </w:tcPr>
          <w:p>
            <w:pPr>
              <w:spacing w:after="0"/>
              <w:rPr>
                <w:sz w:val="13"/>
                <w:szCs w:val="13"/>
                <w:color w:val="auto"/>
              </w:rPr>
            </w:pPr>
          </w:p>
        </w:tc>
        <w:tc>
          <w:tcPr>
            <w:tcW w:w="24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7200" w:type="dxa"/>
            <w:vAlign w:val="bottom"/>
            <w:gridSpan w:val="9"/>
            <w:vMerge w:val="restart"/>
          </w:tcPr>
          <w:p>
            <w:pPr>
              <w:spacing w:after="0"/>
              <w:rPr>
                <w:sz w:val="13"/>
                <w:szCs w:val="13"/>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660" w:type="dxa"/>
            <w:vAlign w:val="bottom"/>
            <w:tcBorders>
              <w:bottom w:val="single" w:sz="8" w:color="auto"/>
            </w:tcBorders>
            <w:gridSpan w:val="3"/>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2420" w:type="dxa"/>
            <w:vAlign w:val="bottom"/>
            <w:tcBorders>
              <w:bottom w:val="single" w:sz="8" w:color="0000FF"/>
            </w:tcBorders>
            <w:gridSpan w:val="6"/>
            <w:vMerge w:val="continue"/>
          </w:tcPr>
          <w:p>
            <w:pPr>
              <w:spacing w:after="0"/>
              <w:rPr>
                <w:sz w:val="16"/>
                <w:szCs w:val="16"/>
                <w:color w:val="auto"/>
              </w:rPr>
            </w:pPr>
          </w:p>
        </w:tc>
        <w:tc>
          <w:tcPr>
            <w:tcW w:w="7200" w:type="dxa"/>
            <w:vAlign w:val="bottom"/>
            <w:gridSpan w:val="9"/>
            <w:vMerge w:val="continue"/>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1.</w:t>
            </w:r>
          </w:p>
        </w:tc>
        <w:tc>
          <w:tcPr>
            <w:tcW w:w="480" w:type="dxa"/>
            <w:vAlign w:val="bottom"/>
            <w:gridSpan w:val="4"/>
          </w:tcPr>
          <w:p>
            <w:pPr>
              <w:spacing w:after="0"/>
              <w:rPr>
                <w:sz w:val="17"/>
                <w:szCs w:val="17"/>
                <w:color w:val="auto"/>
              </w:rPr>
            </w:pPr>
          </w:p>
        </w:tc>
        <w:tc>
          <w:tcPr>
            <w:tcW w:w="9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2025 and 2024</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2025 and 2024</w:t>
            </w:r>
          </w:p>
        </w:tc>
        <w:tc>
          <w:tcPr>
            <w:tcW w:w="2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w:t>
            </w:r>
          </w:p>
        </w:tc>
        <w:tc>
          <w:tcPr>
            <w:tcW w:w="1520" w:type="dxa"/>
            <w:vAlign w:val="bottom"/>
            <w:tcBorders>
              <w:top w:val="single" w:sz="8" w:color="0000FF"/>
            </w:tcBorders>
          </w:tcPr>
          <w:p>
            <w:pPr>
              <w:spacing w:after="0"/>
              <w:rPr>
                <w:sz w:val="17"/>
                <w:szCs w:val="17"/>
                <w:color w:val="auto"/>
              </w:rPr>
            </w:pPr>
          </w:p>
        </w:tc>
        <w:tc>
          <w:tcPr>
            <w:tcW w:w="50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7"/>
                <w:szCs w:val="17"/>
                <w:color w:val="auto"/>
              </w:rPr>
            </w:pPr>
          </w:p>
        </w:tc>
        <w:tc>
          <w:tcPr>
            <w:tcW w:w="480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Item 2.</w:t>
            </w:r>
          </w:p>
        </w:tc>
        <w:tc>
          <w:tcPr>
            <w:tcW w:w="480" w:type="dxa"/>
            <w:vAlign w:val="bottom"/>
            <w:gridSpan w:val="4"/>
          </w:tcPr>
          <w:p>
            <w:pPr>
              <w:spacing w:after="0"/>
              <w:rPr>
                <w:sz w:val="17"/>
                <w:szCs w:val="17"/>
                <w:color w:val="auto"/>
              </w:rPr>
            </w:pPr>
          </w:p>
        </w:tc>
        <w:tc>
          <w:tcPr>
            <w:tcW w:w="64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4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3.</w:t>
            </w:r>
          </w:p>
        </w:tc>
        <w:tc>
          <w:tcPr>
            <w:tcW w:w="480" w:type="dxa"/>
            <w:vAlign w:val="bottom"/>
            <w:gridSpan w:val="4"/>
          </w:tcPr>
          <w:p>
            <w:pPr>
              <w:spacing w:after="0"/>
              <w:rPr>
                <w:sz w:val="17"/>
                <w:szCs w:val="17"/>
                <w:color w:val="auto"/>
              </w:rPr>
            </w:pPr>
          </w:p>
        </w:tc>
        <w:tc>
          <w:tcPr>
            <w:tcW w:w="9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5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Item 4.</w:t>
            </w:r>
          </w:p>
        </w:tc>
        <w:tc>
          <w:tcPr>
            <w:tcW w:w="480" w:type="dxa"/>
            <w:vAlign w:val="bottom"/>
            <w:gridSpan w:val="4"/>
          </w:tcPr>
          <w:p>
            <w:pPr>
              <w:spacing w:after="0"/>
              <w:rPr>
                <w:sz w:val="17"/>
                <w:szCs w:val="17"/>
                <w:color w:val="auto"/>
              </w:rPr>
            </w:pPr>
          </w:p>
        </w:tc>
        <w:tc>
          <w:tcPr>
            <w:tcW w:w="17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3"/>
          </w:tcPr>
          <w:p>
            <w:pPr>
              <w:spacing w:after="0"/>
              <w:rPr>
                <w:sz w:val="17"/>
                <w:szCs w:val="17"/>
                <w:color w:val="auto"/>
              </w:rPr>
            </w:pPr>
          </w:p>
        </w:tc>
        <w:tc>
          <w:tcPr>
            <w:tcW w:w="526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780" w:type="dxa"/>
            <w:vAlign w:val="bottom"/>
            <w:tcBorders>
              <w:top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220" w:type="dxa"/>
            <w:vAlign w:val="bottom"/>
          </w:tcPr>
          <w:p>
            <w:pPr>
              <w:spacing w:after="0"/>
              <w:rPr>
                <w:sz w:val="17"/>
                <w:szCs w:val="17"/>
                <w:color w:val="auto"/>
              </w:rPr>
            </w:pPr>
          </w:p>
        </w:tc>
        <w:tc>
          <w:tcPr>
            <w:tcW w:w="204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58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30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5.</w:t>
            </w:r>
          </w:p>
        </w:tc>
        <w:tc>
          <w:tcPr>
            <w:tcW w:w="120" w:type="dxa"/>
            <w:vAlign w:val="bottom"/>
          </w:tcPr>
          <w:p>
            <w:pPr>
              <w:spacing w:after="0"/>
              <w:rPr>
                <w:sz w:val="17"/>
                <w:szCs w:val="17"/>
                <w:color w:val="auto"/>
              </w:rPr>
            </w:pPr>
          </w:p>
        </w:tc>
        <w:tc>
          <w:tcPr>
            <w:tcW w:w="360" w:type="dxa"/>
            <w:vAlign w:val="bottom"/>
            <w:gridSpan w:val="3"/>
          </w:tcPr>
          <w:p>
            <w:pPr>
              <w:spacing w:after="0"/>
              <w:rPr>
                <w:sz w:val="17"/>
                <w:szCs w:val="17"/>
                <w:color w:val="auto"/>
              </w:rPr>
            </w:pPr>
          </w:p>
        </w:tc>
        <w:tc>
          <w:tcPr>
            <w:tcW w:w="96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5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Item 6.</w:t>
            </w:r>
          </w:p>
        </w:tc>
        <w:tc>
          <w:tcPr>
            <w:tcW w:w="480" w:type="dxa"/>
            <w:vAlign w:val="bottom"/>
            <w:gridSpan w:val="4"/>
          </w:tcPr>
          <w:p>
            <w:pPr>
              <w:spacing w:after="0"/>
              <w:rPr>
                <w:sz w:val="17"/>
                <w:szCs w:val="17"/>
                <w:color w:val="auto"/>
              </w:rPr>
            </w:pPr>
          </w:p>
        </w:tc>
        <w:tc>
          <w:tcPr>
            <w:tcW w:w="132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300" w:type="dxa"/>
            <w:vAlign w:val="bottom"/>
            <w:gridSpan w:val="1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4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9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commercialization of EMPAVELI and SYFOVRE;</w:t>
      </w:r>
    </w:p>
    <w:p>
      <w:pPr>
        <w:spacing w:after="0" w:line="11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whether conducted by us or Swedish Orphan Biovitrum AB (Publ), or Sobi, or by any future collaborators, including the timing of initiation, dosing of patients, enrollment and completion of these trials and expectations regarding the anticipated results from these trials;</w:t>
      </w:r>
    </w:p>
    <w:p>
      <w:pPr>
        <w:spacing w:after="0" w:line="67"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EMPAVELI, SYFOVRE and any future products for which we receive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EMPAVELI, SYFOVRE and any future products for which we receive marketing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current and future products or product candidates with significant clinical benefits and commercial potential;</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for current and future treatment indications in the U.S. and other jurisdictions;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 including our collaborations with Sobi and Beam Therapeutics, Inc.;</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and our expected revenues from sales of EMPAVELI and SYFOVRE to fund our projected operating expenses and capital expenditures to profitability;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government laws and regulations (including tax).</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Annual Report on Form 10-K for the fiscal year ended December 31, 2024,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or incorporated by reference as exhibits to this Quarterly Report on Form 10-Q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All of the market data used in this Quarterly Report on Form 10-Q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in our Annual Report on Form 10-K for the year ended December 31, 2024. These and other factors could cause results to differ materially from those expressed in the estimates made by the independent parties and by us. The Apellis, EMPAVELI, SYFOVRE and Apellis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Assist names and logos are our trademarks, trade names and service marks. The other trademarks, trade names and service marks appearing in this Quarterly Report on Form 10-Q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certain references in this Quarterly Report on Form 10-Q</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“Apellis,” “Apellis Pharmaceuticals, Inc.,” “we,” “us,” “our,” “our company,” “the Company” and similar references refer to Apellis Pharmaceuticals, Inc. and its wholly owned subsidiaries.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Quarterly Report on Form 10-Q to “EMPAVELI (pegcetacoplan)” and “EMPAVELI” refer to systemic pegcetacoplan in the context of the commercially available product in the United States for the treatment of adults with paroxysmal nocturnal hemoglobinuria, or PNH, and references to Aspaveli refer to pegcetacoplan in the context of the commercially available product in the European Union for the treatment of adults with PNH who are anemic after treatment with a C5 inhibitor for at least three months, in each case, as more fully described herein. Unless otherwise stated or the context indicates otherwise, all references in this Quarterly Report on Form 10-Q to “SYFOVRE (pegcetacoplan injection)” and “SYFOVRE” refer to intravitreal pegcetacoplan in the context of the commercially available product for which we received approval from the United States Food and Drug Administration in February 2023 for the treatment of geographic atrophy secondary to age-related macular degeneration. Unless otherwise stated or the context indicates otherwise, all references herein to “pegcetacoplan” refer to pegcetacoplan in the context of the product candidate for which we are exploring further applications and indications, as more fully described herein. The other trademarks, trade names and service marks appearing in this Quarterly Report on Form 10-Q are the property of their respective owners.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358,393</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235,246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assets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inventory</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807,285</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credit facility</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93,421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643,069</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2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 no</w:t>
            </w: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March 31, 2025 and December 31, 2024</w:t>
            </w:r>
          </w:p>
        </w:tc>
        <w:tc>
          <w:tcPr>
            <w:tcW w:w="1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9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 shares authorized</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 March 31, 2025 and December 31, 2024; 125,661 shares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outstanding at March 31, 2025, and 124,495 shares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outstanding at December 31, 2024</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3,294,849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3,267,201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(3,054)</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(3,127,591)</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(3,035,366)</w:t>
            </w:r>
          </w:p>
        </w:tc>
        <w:tc>
          <w:tcPr>
            <w:tcW w:w="0" w:type="dxa"/>
            <w:vAlign w:val="bottom"/>
          </w:tcPr>
          <w:p>
            <w:pPr>
              <w:spacing w:after="0"/>
              <w:rPr>
                <w:sz w:val="1"/>
                <w:szCs w:val="1"/>
                <w:color w:val="auto"/>
              </w:rPr>
            </w:pPr>
          </w:p>
        </w:tc>
      </w:tr>
      <w:tr>
        <w:trPr>
          <w:trHeight w:val="209"/>
        </w:trPr>
        <w:tc>
          <w:tcPr>
            <w:tcW w:w="692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164,216</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228,539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807,285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-4482465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-4482465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-3651250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-2811145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-1979295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-316230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46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revenue, net</w:t>
            </w:r>
          </w:p>
        </w:tc>
        <w:tc>
          <w:tcPr>
            <w:tcW w:w="27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149,900</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18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86,420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250,125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(62,090)</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(6,967)</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8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(66,253)</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8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7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(92,225)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(66,423)</w:t>
            </w: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8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8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7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(91,971)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(66,406)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760" w:type="dxa"/>
            <w:vAlign w:val="bottom"/>
            <w:gridSpan w:val="2"/>
            <w:shd w:val="clear" w:color="auto" w:fill="CFF0FC"/>
          </w:tcPr>
          <w:p>
            <w:pPr>
              <w:jc w:val="right"/>
              <w:ind w:right="7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46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178"/>
        </w:trPr>
        <w:tc>
          <w:tcPr>
            <w:tcW w:w="594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184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125,453</w:t>
            </w: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122,957</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9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loss per common share, basic and diluted</w:t>
            </w:r>
          </w:p>
        </w:tc>
        <w:tc>
          <w:tcPr>
            <w:tcW w:w="18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-2862580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-2022475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-1464945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-1182370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-607695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-299720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-281940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60"/>
        </w:trPr>
        <w:tc>
          <w:tcPr>
            <w:tcW w:w="4160" w:type="dxa"/>
            <w:vAlign w:val="bottom"/>
          </w:tcPr>
          <w:p>
            <w:pPr>
              <w:spacing w:after="0"/>
              <w:rPr>
                <w:sz w:val="13"/>
                <w:szCs w:val="13"/>
                <w:color w:val="auto"/>
              </w:rPr>
            </w:pPr>
          </w:p>
        </w:tc>
        <w:tc>
          <w:tcPr>
            <w:tcW w:w="172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1"/>
                <w:szCs w:val="11"/>
                <w:color w:val="auto"/>
              </w:rPr>
            </w:pPr>
          </w:p>
        </w:tc>
        <w:tc>
          <w:tcPr>
            <w:tcW w:w="12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9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124,495</w:t>
            </w:r>
          </w:p>
        </w:tc>
        <w:tc>
          <w:tcPr>
            <w:tcW w:w="800" w:type="dxa"/>
            <w:vAlign w:val="bottom"/>
            <w:gridSpan w:val="3"/>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3,267,201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(3,035,366)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(92,225)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(92,225)</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125,661</w:t>
            </w:r>
          </w:p>
        </w:tc>
        <w:tc>
          <w:tcPr>
            <w:tcW w:w="240" w:type="dxa"/>
            <w:vAlign w:val="bottom"/>
            <w:gridSpan w:val="2"/>
            <w:shd w:val="clear" w:color="auto" w:fill="CFF0FC"/>
          </w:tcPr>
          <w:p>
            <w:pPr>
              <w:spacing w:after="0"/>
              <w:rPr>
                <w:sz w:val="19"/>
                <w:szCs w:val="19"/>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3,294,849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(3,127,591)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-25400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60"/>
        </w:trPr>
        <w:tc>
          <w:tcPr>
            <w:tcW w:w="4160" w:type="dxa"/>
            <w:vAlign w:val="bottom"/>
          </w:tcPr>
          <w:p>
            <w:pPr>
              <w:spacing w:after="0"/>
              <w:rPr>
                <w:sz w:val="13"/>
                <w:szCs w:val="13"/>
                <w:color w:val="auto"/>
              </w:rPr>
            </w:pPr>
          </w:p>
        </w:tc>
        <w:tc>
          <w:tcPr>
            <w:tcW w:w="172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1"/>
                <w:szCs w:val="11"/>
                <w:color w:val="auto"/>
              </w:rPr>
            </w:pPr>
          </w:p>
        </w:tc>
        <w:tc>
          <w:tcPr>
            <w:tcW w:w="12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9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119,556</w:t>
            </w:r>
          </w:p>
        </w:tc>
        <w:tc>
          <w:tcPr>
            <w:tcW w:w="80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(2,837,488)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(66,423)</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121,267</w:t>
            </w:r>
          </w:p>
        </w:tc>
        <w:tc>
          <w:tcPr>
            <w:tcW w:w="80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3,174,100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(2,903,911)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-170815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-170815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3760" w:type="dxa"/>
            <w:vAlign w:val="bottom"/>
            <w:gridSpan w:val="7"/>
          </w:tcPr>
          <w:p>
            <w:pPr>
              <w:jc w:val="right"/>
              <w:ind w:right="700"/>
              <w:spacing w:after="0" w:line="157" w:lineRule="exact"/>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74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(92,225)</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(66,423)</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discounts for credit facility</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discounts for convertible notes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Accretion of discount to development liability</w:t>
            </w:r>
          </w:p>
        </w:tc>
        <w:tc>
          <w:tcPr>
            <w:tcW w:w="10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(61,415)</w:t>
            </w: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(14,921)</w:t>
            </w: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assets</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(4,338)</w:t>
            </w: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(10,730)</w:t>
            </w: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(30,156)</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(26,330)</w:t>
            </w: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18"/>
                <w:szCs w:val="18"/>
                <w:color w:val="auto"/>
              </w:rPr>
            </w:pPr>
          </w:p>
        </w:tc>
      </w:tr>
      <w:tr>
        <w:trPr>
          <w:trHeight w:val="209"/>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(53,410)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(132,983)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10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employee tax withholding related to equity-based compensation</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(52,785)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(25,273)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352,299</w:t>
            </w:r>
          </w:p>
        </w:tc>
        <w:tc>
          <w:tcPr>
            <w:tcW w:w="100" w:type="dxa"/>
            <w:vAlign w:val="bottom"/>
          </w:tcPr>
          <w:p>
            <w:pPr>
              <w:spacing w:after="0"/>
              <w:rPr>
                <w:sz w:val="18"/>
                <w:szCs w:val="18"/>
                <w:color w:val="auto"/>
              </w:rPr>
            </w:pPr>
          </w:p>
        </w:tc>
      </w:tr>
      <w:tr>
        <w:trPr>
          <w:trHeight w:val="25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359,827</w:t>
            </w:r>
          </w:p>
        </w:tc>
        <w:tc>
          <w:tcPr>
            <w:tcW w:w="1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327,026</w:t>
            </w:r>
          </w:p>
        </w:tc>
        <w:tc>
          <w:tcPr>
            <w:tcW w:w="100" w:type="dxa"/>
            <w:vAlign w:val="bottom"/>
            <w:shd w:val="clear" w:color="auto" w:fill="CFF0FC"/>
          </w:tcPr>
          <w:p>
            <w:pPr>
              <w:spacing w:after="0"/>
              <w:rPr>
                <w:sz w:val="21"/>
                <w:szCs w:val="21"/>
                <w:color w:val="auto"/>
              </w:rPr>
            </w:pPr>
          </w:p>
        </w:tc>
      </w:tr>
      <w:tr>
        <w:trPr>
          <w:trHeight w:val="174"/>
        </w:trPr>
        <w:tc>
          <w:tcPr>
            <w:tcW w:w="748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8"/>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358,393</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325,923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8"/>
                <w:szCs w:val="18"/>
                <w:color w:val="auto"/>
              </w:rPr>
            </w:pPr>
          </w:p>
        </w:tc>
      </w:tr>
      <w:tr>
        <w:trPr>
          <w:trHeight w:val="210"/>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359,827</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327,026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income tax refunds net of income taxes paid</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-2673985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-1833880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-1268095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-1250950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operations since inception have included organizing and staffing the Company, acquiring rights to product candidates, business planning, raising capital, developing its product candidates, commercializing EMPAVELI (pegcetacoplan) for the treatment of paroxysmal nocturnal hemoglobinuria (“PNH”) and commercializing SYFOVRE (pegcetacoplan injection) for the treatment of geographic atrophy secondary to age-related macular degeneration (“GA”).</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basis of the realization of assets and the satisfaction of liabilities and commitments in the normal course of business. From inception to March 31, 2025, the Company has incurred cash outflows from operations, losses from operations and had an accumulated deficit of $3.1 billion, primarily as a result of expenses incurred through a combination of research and development activities related to the Company’s various product candidates and expenses supporting those activities and expenses incurred in connection with product launches and commercialization costs.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May 7, 2025, the date of issuance of these unaudited condensed consolidated financial statements, the Company believes that its cash and cash equivalents of $358.4 million as of March 31, 2025 combined with cash anticipated to be generated from sales of EMPAVELI and from SYFOVRE will be sufficient to fund its operations and capital expenditure requirements for at least twelve months from the date of issuance of these condensed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All intercompany balances and transactions have been eliminated in consolidation. The accompanying unaudited condensed consolidated financial statements have been prepared in accordance with U.S. generally accepted accounting principles (“U.S. GAAP”) and following the requirements of the Securities and Exchange Commission (the “SEC”), for interim reporting. As permitted under those rules, certain footnotes or other financial information that are normally required by U.S. GAAP have been condensed or omitted and, accordingly, the condensed consolidated balance sheet as of December 31, 2024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months ended March 31, 2025 are not necessarily indicative of the results to be expected for the year ending December 31, 2025 or for any other interim period or for any other future year.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financial information should be read in conjunction with the audited consolidated financial statements and the related notes thereto for the year ended December 31, 2024 included in the Company’s Annual Report on Form 10-K filed with the SEC on February 28, 2025 (the “2024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accrued research and development expenses, reserves for variable consideration, share-based compensation expense and reserves for excess or obsolete inventories.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Reference is made to Note 2 Summary of Significant Accounting Policies in our 2024 Form 10-K for a detailed description of significant accounting policies. There have been no significant changes to our accounting policies as disclosed in our 2024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issued not yet adopted</w:t>
      </w:r>
    </w:p>
    <w:p>
      <w:pPr>
        <w:spacing w:after="0" w:line="12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Income Statement - Reporting Comprehensive Income - Expense Disaggregation Disclosures (Subtopic 220-40): Disaggregation of Income Statement Expenses, and subsequent amendments with ASU 2025-01, which requires additional disclosure of the nature of expenses included in the income statement. The standard requires disclosures about specific types of expenses included in the expense captions presented in the income. This ASU is effective for fiscal years beginning after December 15, 2026, and interim periods beginning after December 15, 2027, with early adoption permitted. The requirements should be applied on a prospective basis while retrospective application </w:t>
      </w:r>
      <w:r>
        <w:rPr>
          <w:rFonts w:ascii="Times New Roman" w:cs="Times New Roman" w:eastAsia="Times New Roman" w:hAnsi="Times New Roman"/>
          <w:sz w:val="17"/>
          <w:szCs w:val="17"/>
          <w:color w:val="auto"/>
        </w:rPr>
        <w:t>is permitted. We are currently evaluating the impact that the adoption of this guidance will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on our disclosures.</w:t>
      </w:r>
    </w:p>
    <w:p>
      <w:pPr>
        <w:spacing w:after="0" w:line="15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This standard is an amendment to the accounting guidance on income taxes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guidance is effective for annual periods beginning after December 15, 2024. We are currently evaluating the impact that the adoption of this guidance will have on our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Revenues, Accounts Receivable, and Reserves for Product Sales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product revenues recorded in the United States, net of sales discounts, allowances and reserves, for the three months ended March 31, 2025 and 2024 were $149.9 million and $163.1 million, respectively. The Company’s product revenues consist of sales of EMPAVELI and SYFOVRE to specialty pharmacies and specialty distributors.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reflects product revenue by major source for the following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141605</wp:posOffset>
            </wp:positionV>
            <wp:extent cx="93980" cy="136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300" w:type="dxa"/>
            <w:vAlign w:val="bottom"/>
            <w:tcBorders>
              <w:top w:val="single" w:sz="8" w:color="auto"/>
              <w:bottom w:val="single" w:sz="8" w:color="auto"/>
            </w:tcBorders>
          </w:tcPr>
          <w:p>
            <w:pPr>
              <w:spacing w:after="0"/>
              <w:rPr>
                <w:sz w:val="14"/>
                <w:szCs w:val="14"/>
                <w:color w:val="auto"/>
              </w:rPr>
            </w:pPr>
          </w:p>
        </w:tc>
        <w:tc>
          <w:tcPr>
            <w:tcW w:w="2160" w:type="dxa"/>
            <w:vAlign w:val="bottom"/>
            <w:tcBorders>
              <w:top w:val="single" w:sz="8" w:color="auto"/>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6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63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3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EMPAVELI</w:t>
            </w:r>
          </w:p>
        </w:tc>
        <w:tc>
          <w:tcPr>
            <w:tcW w:w="1300" w:type="dxa"/>
            <w:vAlign w:val="bottom"/>
          </w:tcPr>
          <w:p>
            <w:pPr>
              <w:jc w:val="right"/>
              <w:ind w:right="1179"/>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100" w:type="dxa"/>
            <w:vAlign w:val="bottom"/>
          </w:tcPr>
          <w:p>
            <w:pPr>
              <w:spacing w:after="0"/>
              <w:rPr>
                <w:sz w:val="18"/>
                <w:szCs w:val="18"/>
                <w:color w:val="auto"/>
              </w:rPr>
            </w:pPr>
          </w:p>
        </w:tc>
      </w:tr>
      <w:tr>
        <w:trPr>
          <w:trHeight w:val="216"/>
        </w:trPr>
        <w:tc>
          <w:tcPr>
            <w:tcW w:w="6340" w:type="dxa"/>
            <w:vAlign w:val="bottom"/>
            <w:tcBorders>
              <w:bottom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SYFOVRE</w:t>
            </w:r>
          </w:p>
        </w:tc>
        <w:tc>
          <w:tcPr>
            <w:tcW w:w="1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300" w:type="dxa"/>
            <w:vAlign w:val="bottom"/>
          </w:tcPr>
          <w:p>
            <w:pPr>
              <w:jc w:val="right"/>
              <w:ind w:right="1179"/>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149,900</w:t>
            </w:r>
          </w:p>
        </w:tc>
        <w:tc>
          <w:tcPr>
            <w:tcW w:w="1240" w:type="dxa"/>
            <w:vAlign w:val="bottom"/>
            <w:gridSpan w:val="3"/>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163,075</w:t>
            </w:r>
          </w:p>
        </w:tc>
        <w:tc>
          <w:tcPr>
            <w:tcW w:w="100" w:type="dxa"/>
            <w:vAlign w:val="bottom"/>
          </w:tcPr>
          <w:p>
            <w:pPr>
              <w:spacing w:after="0"/>
              <w:rPr>
                <w:sz w:val="18"/>
                <w:szCs w:val="18"/>
                <w:color w:val="auto"/>
              </w:rPr>
            </w:pPr>
          </w:p>
        </w:tc>
      </w:tr>
      <w:tr>
        <w:trPr>
          <w:trHeight w:val="41"/>
        </w:trPr>
        <w:tc>
          <w:tcPr>
            <w:tcW w:w="6340" w:type="dxa"/>
            <w:vAlign w:val="bottom"/>
            <w:tcBorders>
              <w:right w:val="single" w:sz="8" w:color="auto"/>
            </w:tcBorders>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balance of $235.2 million as of March 31, 2025 and $264.9 million as of December 31, 2024, consisted of EMPAVELI and SYFOVRE product sales receivable and licensing and other revenue receivables from our collaboration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with Sobi. The Company does not have a reserve related to expected credit losses against its accounts receivable balance and expects to collect its accounts receivable in the ordinary course of business.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product sales reserves totaled $38.9 million and $45.1 million as of March 31, 2025 and December 31, 2024, respectively. These amounts are included in accrued expenses on the Company’s unaudited condensed consolidated balance sheets.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three months ended March 31, 2025 and 2024 (in thousands):</w:t>
      </w:r>
    </w:p>
    <w:p>
      <w:pPr>
        <w:sectPr>
          <w:pgSz w:w="11900" w:h="16838" w:orient="portrait"/>
          <w:cols w:equalWidth="0" w:num="1">
            <w:col w:w="11240"/>
          </w:cols>
          <w:pgMar w:left="320" w:top="766"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Ending 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28371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37180" cy="18859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Provision related to sales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83718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37180" cy="13716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71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37180" cy="188595"/>
                    </a:xfrm>
                    <a:prstGeom prst="rect">
                      <a:avLst/>
                    </a:prstGeom>
                    <a:noFill/>
                  </pic:spPr>
                </pic:pic>
              </a:graphicData>
            </a:graphic>
          </wp:anchor>
        </w:drawing>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Ending balance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28371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37180" cy="1885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Ending balance at December 31, 2023</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Provision related to sales in the current year</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71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37180" cy="188595"/>
                    </a:xfrm>
                    <a:prstGeom prst="rect">
                      <a:avLst/>
                    </a:prstGeom>
                    <a:noFill/>
                  </pic:spPr>
                </pic:pic>
              </a:graphicData>
            </a:graphic>
          </wp:anchor>
        </w:drawing>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Ending balance at March 31, 2024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7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Fees and patient</w:t>
            </w: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10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(28,467)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(41,677)</w:t>
            </w:r>
          </w:p>
        </w:tc>
        <w:tc>
          <w:tcPr>
            <w:tcW w:w="0" w:type="dxa"/>
            <w:vAlign w:val="bottom"/>
          </w:tcPr>
          <w:p>
            <w:pPr>
              <w:spacing w:after="0"/>
              <w:rPr>
                <w:sz w:val="1"/>
                <w:szCs w:val="1"/>
                <w:color w:val="auto"/>
              </w:rPr>
            </w:pPr>
          </w:p>
        </w:tc>
      </w:tr>
      <w:tr>
        <w:trPr>
          <w:trHeight w:val="290"/>
        </w:trPr>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60" w:type="dxa"/>
            <w:vAlign w:val="bottom"/>
          </w:tcPr>
          <w:p>
            <w:pPr>
              <w:spacing w:after="0"/>
              <w:rPr>
                <w:sz w:val="24"/>
                <w:szCs w:val="24"/>
                <w:color w:val="auto"/>
              </w:rPr>
            </w:pPr>
          </w:p>
        </w:tc>
        <w:tc>
          <w:tcPr>
            <w:tcW w:w="17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Fees and patient</w:t>
            </w: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(21,489)</w:t>
            </w:r>
          </w:p>
        </w:tc>
        <w:tc>
          <w:tcPr>
            <w:tcW w:w="0" w:type="dxa"/>
            <w:vAlign w:val="bottom"/>
          </w:tcPr>
          <w:p>
            <w:pPr>
              <w:spacing w:after="0"/>
              <w:rPr>
                <w:sz w:val="1"/>
                <w:szCs w:val="1"/>
                <w:color w:val="auto"/>
              </w:rPr>
            </w:pPr>
          </w:p>
        </w:tc>
      </w:tr>
      <w:tr>
        <w:trPr>
          <w:trHeight w:val="290"/>
        </w:trPr>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-1156335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-1139190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-1156335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-1139190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-1156335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-1139190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-1156335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-1139190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-471170</wp:posOffset>
            </wp:positionV>
            <wp:extent cx="612076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20765" cy="137160"/>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991870</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760" w:space="720"/>
            <w:col w:w="6760"/>
          </w:cols>
          <w:pgMar w:left="320" w:top="766" w:right="339" w:bottom="1440" w:gutter="0" w:footer="0" w:header="0"/>
          <w:type w:val="continuous"/>
        </w:sect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Significant customers - Gross product revenues and product sales receivable from the Company's customers who individually accounted for 10% of more of total gross product revenues and/or 10% or more of total product sales receivable consisted of the following:</w:t>
      </w:r>
    </w:p>
    <w:p>
      <w:pPr>
        <w:spacing w:after="0" w:line="155" w:lineRule="exact"/>
        <w:rPr>
          <w:sz w:val="20"/>
          <w:szCs w:val="20"/>
          <w:color w:val="auto"/>
        </w:rPr>
      </w:pPr>
    </w:p>
    <w:p>
      <w:pPr>
        <w:jc w:val="center"/>
        <w:ind w:left="3120"/>
        <w:spacing w:after="0"/>
        <w:rPr>
          <w:sz w:val="20"/>
          <w:szCs w:val="20"/>
          <w:color w:val="auto"/>
        </w:rPr>
      </w:pPr>
      <w:r>
        <w:rPr>
          <w:rFonts w:ascii="Times New Roman" w:cs="Times New Roman" w:eastAsia="Times New Roman" w:hAnsi="Times New Roman"/>
          <w:sz w:val="14"/>
          <w:szCs w:val="14"/>
          <w:b w:val="1"/>
          <w:bCs w:val="1"/>
          <w:color w:val="auto"/>
        </w:rPr>
        <w:t>Percent of Total Gross Product</w:t>
      </w:r>
    </w:p>
    <w:p>
      <w:pPr>
        <w:jc w:val="center"/>
        <w:ind w:left="3140"/>
        <w:spacing w:after="0"/>
        <w:rPr>
          <w:sz w:val="20"/>
          <w:szCs w:val="20"/>
          <w:color w:val="auto"/>
        </w:rPr>
      </w:pPr>
      <w:r>
        <w:rPr>
          <w:rFonts w:ascii="Times New Roman" w:cs="Times New Roman" w:eastAsia="Times New Roman" w:hAnsi="Times New Roman"/>
          <w:sz w:val="14"/>
          <w:szCs w:val="14"/>
          <w:b w:val="1"/>
          <w:bCs w:val="1"/>
          <w:color w:val="auto"/>
        </w:rPr>
        <w:t>Revenues</w:t>
      </w:r>
    </w:p>
    <w:tbl>
      <w:tblPr>
        <w:tblLayout w:type="fixed"/>
        <w:tblInd w:w="2820" w:type="dxa"/>
        <w:tblCellMar>
          <w:top w:w="0" w:type="dxa"/>
          <w:left w:w="0" w:type="dxa"/>
          <w:bottom w:w="0" w:type="dxa"/>
          <w:right w:w="0" w:type="dxa"/>
        </w:tblCellMar>
      </w:tblPr>
      <w:tr>
        <w:trPr>
          <w:trHeight w:val="142"/>
        </w:trPr>
        <w:tc>
          <w:tcPr>
            <w:tcW w:w="3160" w:type="dxa"/>
            <w:vAlign w:val="bottom"/>
          </w:tcPr>
          <w:p>
            <w:pPr>
              <w:spacing w:after="0"/>
              <w:rPr>
                <w:sz w:val="12"/>
                <w:szCs w:val="12"/>
                <w:color w:val="auto"/>
              </w:rPr>
            </w:pPr>
          </w:p>
        </w:tc>
        <w:tc>
          <w:tcPr>
            <w:tcW w:w="246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3160" w:type="dxa"/>
            <w:vAlign w:val="bottom"/>
          </w:tcPr>
          <w:p>
            <w:pPr>
              <w:spacing w:after="0"/>
              <w:rPr>
                <w:sz w:val="12"/>
                <w:szCs w:val="12"/>
                <w:color w:val="auto"/>
              </w:rPr>
            </w:pPr>
          </w:p>
        </w:tc>
        <w:tc>
          <w:tcPr>
            <w:tcW w:w="720" w:type="dxa"/>
            <w:vAlign w:val="bottom"/>
            <w:tcBorders>
              <w:bottom w:val="single" w:sz="8" w:color="auto"/>
            </w:tcBorders>
          </w:tcPr>
          <w:p>
            <w:pPr>
              <w:jc w:val="center"/>
              <w:ind w:left="36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A</w:t>
            </w:r>
          </w:p>
        </w:tc>
        <w:tc>
          <w:tcPr>
            <w:tcW w:w="720" w:type="dxa"/>
            <w:vAlign w:val="bottom"/>
            <w:shd w:val="clear" w:color="auto" w:fill="CFF0FC"/>
          </w:tcPr>
          <w:p>
            <w:pPr>
              <w:jc w:val="center"/>
              <w:ind w:left="343"/>
              <w:spacing w:after="0"/>
              <w:rPr>
                <w:sz w:val="20"/>
                <w:szCs w:val="20"/>
                <w:color w:val="auto"/>
              </w:rPr>
            </w:pPr>
            <w:r>
              <w:rPr>
                <w:rFonts w:ascii="Times New Roman" w:cs="Times New Roman" w:eastAsia="Times New Roman" w:hAnsi="Times New Roman"/>
                <w:sz w:val="16"/>
                <w:szCs w:val="16"/>
                <w:color w:val="auto"/>
              </w:rPr>
              <w:t>11%</w:t>
            </w:r>
          </w:p>
        </w:tc>
        <w:tc>
          <w:tcPr>
            <w:tcW w:w="1740" w:type="dxa"/>
            <w:vAlign w:val="bottom"/>
            <w:gridSpan w:val="3"/>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w:t>
            </w:r>
          </w:p>
        </w:tc>
        <w:tc>
          <w:tcPr>
            <w:tcW w:w="720" w:type="dxa"/>
            <w:vAlign w:val="bottom"/>
          </w:tcPr>
          <w:p>
            <w:pPr>
              <w:jc w:val="center"/>
              <w:ind w:left="343"/>
              <w:spacing w:after="0"/>
              <w:rPr>
                <w:sz w:val="20"/>
                <w:szCs w:val="20"/>
                <w:color w:val="auto"/>
              </w:rPr>
            </w:pPr>
            <w:r>
              <w:rPr>
                <w:rFonts w:ascii="Times New Roman" w:cs="Times New Roman" w:eastAsia="Times New Roman" w:hAnsi="Times New Roman"/>
                <w:sz w:val="16"/>
                <w:szCs w:val="16"/>
                <w:color w:val="auto"/>
              </w:rPr>
              <w:t>18%</w:t>
            </w:r>
          </w:p>
        </w:tc>
        <w:tc>
          <w:tcPr>
            <w:tcW w:w="1740" w:type="dxa"/>
            <w:vAlign w:val="bottom"/>
            <w:gridSpan w:val="3"/>
          </w:tcPr>
          <w:p>
            <w:pPr>
              <w:jc w:val="center"/>
              <w:ind w:left="480"/>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D</w:t>
            </w:r>
          </w:p>
        </w:tc>
        <w:tc>
          <w:tcPr>
            <w:tcW w:w="720" w:type="dxa"/>
            <w:vAlign w:val="bottom"/>
            <w:shd w:val="clear" w:color="auto" w:fill="CFF0FC"/>
          </w:tcPr>
          <w:p>
            <w:pPr>
              <w:jc w:val="center"/>
              <w:ind w:left="343"/>
              <w:spacing w:after="0"/>
              <w:rPr>
                <w:sz w:val="20"/>
                <w:szCs w:val="20"/>
                <w:color w:val="auto"/>
              </w:rPr>
            </w:pPr>
            <w:r>
              <w:rPr>
                <w:rFonts w:ascii="Times New Roman" w:cs="Times New Roman" w:eastAsia="Times New Roman" w:hAnsi="Times New Roman"/>
                <w:sz w:val="16"/>
                <w:szCs w:val="16"/>
                <w:color w:val="auto"/>
              </w:rPr>
              <w:t>58%</w:t>
            </w:r>
          </w:p>
        </w:tc>
        <w:tc>
          <w:tcPr>
            <w:tcW w:w="1740" w:type="dxa"/>
            <w:vAlign w:val="bottom"/>
            <w:gridSpan w:val="3"/>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59%</w:t>
            </w:r>
          </w:p>
        </w:tc>
      </w:tr>
      <w:tr>
        <w:trPr>
          <w:trHeight w:val="418"/>
        </w:trPr>
        <w:tc>
          <w:tcPr>
            <w:tcW w:w="3160" w:type="dxa"/>
            <w:vAlign w:val="bottom"/>
          </w:tcPr>
          <w:p>
            <w:pPr>
              <w:spacing w:after="0"/>
              <w:rPr>
                <w:sz w:val="24"/>
                <w:szCs w:val="24"/>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Product Sales Receivable</w:t>
            </w:r>
          </w:p>
        </w:tc>
      </w:tr>
      <w:tr>
        <w:trPr>
          <w:trHeight w:val="142"/>
        </w:trPr>
        <w:tc>
          <w:tcPr>
            <w:tcW w:w="3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center"/>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3160" w:type="dxa"/>
            <w:vAlign w:val="bottom"/>
          </w:tcPr>
          <w:p>
            <w:pPr>
              <w:spacing w:after="0"/>
              <w:rPr>
                <w:sz w:val="12"/>
                <w:szCs w:val="12"/>
                <w:color w:val="auto"/>
              </w:rPr>
            </w:pPr>
          </w:p>
        </w:tc>
        <w:tc>
          <w:tcPr>
            <w:tcW w:w="720" w:type="dxa"/>
            <w:vAlign w:val="bottom"/>
            <w:tcBorders>
              <w:bottom w:val="single" w:sz="8" w:color="auto"/>
            </w:tcBorders>
          </w:tcPr>
          <w:p>
            <w:pPr>
              <w:jc w:val="center"/>
              <w:ind w:left="36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A</w:t>
            </w:r>
          </w:p>
        </w:tc>
        <w:tc>
          <w:tcPr>
            <w:tcW w:w="720" w:type="dxa"/>
            <w:vAlign w:val="bottom"/>
            <w:shd w:val="clear" w:color="auto" w:fill="CFF0FC"/>
          </w:tcPr>
          <w:p>
            <w:pPr>
              <w:jc w:val="center"/>
              <w:ind w:left="343"/>
              <w:spacing w:after="0"/>
              <w:rPr>
                <w:sz w:val="20"/>
                <w:szCs w:val="20"/>
                <w:color w:val="auto"/>
              </w:rPr>
            </w:pPr>
            <w:r>
              <w:rPr>
                <w:rFonts w:ascii="Times New Roman" w:cs="Times New Roman" w:eastAsia="Times New Roman" w:hAnsi="Times New Roman"/>
                <w:sz w:val="16"/>
                <w:szCs w:val="16"/>
                <w:color w:val="auto"/>
              </w:rPr>
              <w:t>4%</w:t>
            </w:r>
          </w:p>
        </w:tc>
        <w:tc>
          <w:tcPr>
            <w:tcW w:w="1740" w:type="dxa"/>
            <w:vAlign w:val="bottom"/>
            <w:gridSpan w:val="3"/>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w:t>
            </w:r>
          </w:p>
        </w:tc>
        <w:tc>
          <w:tcPr>
            <w:tcW w:w="720" w:type="dxa"/>
            <w:vAlign w:val="bottom"/>
          </w:tcPr>
          <w:p>
            <w:pPr>
              <w:jc w:val="center"/>
              <w:ind w:left="343"/>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gridSpan w:val="3"/>
          </w:tcPr>
          <w:p>
            <w:pPr>
              <w:jc w:val="center"/>
              <w:ind w:left="480"/>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Customer D</w:t>
            </w:r>
          </w:p>
        </w:tc>
        <w:tc>
          <w:tcPr>
            <w:tcW w:w="720" w:type="dxa"/>
            <w:vAlign w:val="bottom"/>
            <w:shd w:val="clear" w:color="auto" w:fill="CFF0FC"/>
          </w:tcPr>
          <w:p>
            <w:pPr>
              <w:jc w:val="center"/>
              <w:ind w:left="343"/>
              <w:spacing w:after="0"/>
              <w:rPr>
                <w:sz w:val="20"/>
                <w:szCs w:val="20"/>
                <w:color w:val="auto"/>
              </w:rPr>
            </w:pPr>
            <w:r>
              <w:rPr>
                <w:rFonts w:ascii="Times New Roman" w:cs="Times New Roman" w:eastAsia="Times New Roman" w:hAnsi="Times New Roman"/>
                <w:sz w:val="16"/>
                <w:szCs w:val="16"/>
                <w:color w:val="auto"/>
              </w:rPr>
              <w:t>49%</w:t>
            </w:r>
          </w:p>
        </w:tc>
        <w:tc>
          <w:tcPr>
            <w:tcW w:w="1740" w:type="dxa"/>
            <w:vAlign w:val="bottom"/>
            <w:gridSpan w:val="3"/>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67%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Factoring of accounts receivable and associated fees for the period ended March 31, 2025 and 2024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426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300" w:type="dxa"/>
            <w:vAlign w:val="bottom"/>
          </w:tcPr>
          <w:p>
            <w:pPr>
              <w:spacing w:after="0"/>
              <w:rPr>
                <w:sz w:val="17"/>
                <w:szCs w:val="17"/>
                <w:color w:val="auto"/>
              </w:rPr>
            </w:pPr>
          </w:p>
        </w:tc>
        <w:tc>
          <w:tcPr>
            <w:tcW w:w="15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Accounts receivable sold</w:t>
            </w:r>
          </w:p>
        </w:tc>
        <w:tc>
          <w:tcPr>
            <w:tcW w:w="1500" w:type="dxa"/>
            <w:vAlign w:val="bottom"/>
            <w:shd w:val="clear" w:color="auto" w:fill="CFF0FC"/>
          </w:tcPr>
          <w:p>
            <w:pPr>
              <w:jc w:val="right"/>
              <w:ind w:right="13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99,735</w:t>
            </w:r>
          </w:p>
        </w:tc>
        <w:tc>
          <w:tcPr>
            <w:tcW w:w="380" w:type="dxa"/>
            <w:vAlign w:val="bottom"/>
            <w:shd w:val="clear" w:color="auto" w:fill="CFF0FC"/>
          </w:tcPr>
          <w:p>
            <w:pPr>
              <w:spacing w:after="0"/>
              <w:rPr>
                <w:sz w:val="18"/>
                <w:szCs w:val="18"/>
                <w:color w:val="auto"/>
              </w:rPr>
            </w:pPr>
          </w:p>
        </w:tc>
        <w:tc>
          <w:tcPr>
            <w:tcW w:w="162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factoring fees</w:t>
            </w:r>
          </w:p>
        </w:tc>
        <w:tc>
          <w:tcPr>
            <w:tcW w:w="15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(1,212)</w:t>
            </w:r>
          </w:p>
        </w:tc>
        <w:tc>
          <w:tcPr>
            <w:tcW w:w="162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cash proceeds</w:t>
            </w:r>
          </w:p>
        </w:tc>
        <w:tc>
          <w:tcPr>
            <w:tcW w:w="1500" w:type="dxa"/>
            <w:vAlign w:val="bottom"/>
            <w:tcBorders>
              <w:top w:val="single" w:sz="8" w:color="auto"/>
              <w:bottom w:val="single" w:sz="8" w:color="auto"/>
            </w:tcBorders>
            <w:shd w:val="clear" w:color="auto" w:fill="CFF0FC"/>
          </w:tcPr>
          <w:p>
            <w:pPr>
              <w:jc w:val="right"/>
              <w:ind w:right="13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98,523</w:t>
            </w:r>
          </w:p>
        </w:tc>
        <w:tc>
          <w:tcPr>
            <w:tcW w:w="3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accounts receivable sold that remained outstanding as of March 31, 2025 and December 31, 2024 was $99.7 million and $86.1 million,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consisted of the following as of March 31, 2025 and December 31,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6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8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2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49,894</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92,872</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inventory</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143,120</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157,117</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long-term inventory balance consists of raw materials and semi-finished goods that are not expected to be sold within the Company's normal operating cycle.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obsolete, unmarketability or other reasons are charged to cost of sales. The Company's reserve for excess and obsolete inventory was $23.4 million and $19.0 million as of March 31, 2025 and December 31, 2024,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March 31, 2025 and December 31, 2024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payments for inventory</w:t>
            </w:r>
          </w:p>
        </w:tc>
        <w:tc>
          <w:tcPr>
            <w:tcW w:w="13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Pr>
          <w:p>
            <w:pPr>
              <w:spacing w:after="0"/>
              <w:rPr>
                <w:sz w:val="18"/>
                <w:szCs w:val="18"/>
                <w:color w:val="auto"/>
              </w:rPr>
            </w:pPr>
          </w:p>
        </w:tc>
      </w:tr>
      <w:tr>
        <w:trPr>
          <w:trHeight w:val="216"/>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prepaid assets</w:t>
            </w:r>
          </w:p>
        </w:tc>
        <w:tc>
          <w:tcPr>
            <w:tcW w:w="13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37,104</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p>
      <w:pPr>
        <w:spacing w:after="0" w:line="245"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7620</wp:posOffset>
            </wp:positionV>
            <wp:extent cx="11830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13970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1" w:lineRule="exact"/>
        <w:rPr>
          <w:sz w:val="20"/>
          <w:szCs w:val="20"/>
          <w:color w:val="auto"/>
        </w:rPr>
      </w:pPr>
    </w:p>
    <w:p>
      <w:pPr>
        <w:sectPr>
          <w:pgSz w:w="11900" w:h="16838" w:orient="portrait"/>
          <w:cols w:equalWidth="0" w:num="2">
            <w:col w:w="9100" w:space="720"/>
            <w:col w:w="1420"/>
          </w:cols>
          <w:pgMar w:left="320" w:top="76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 receivable</w:t>
            </w: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5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collaboration agreement</w:t>
            </w: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18"/>
                <w:szCs w:val="18"/>
                <w:color w:val="auto"/>
              </w:rPr>
            </w:pP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7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5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12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March 31, 2025 and December 31,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1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2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reserves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costs</w:t>
            </w:r>
          </w:p>
        </w:tc>
        <w:tc>
          <w:tcPr>
            <w:tcW w:w="2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116,146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140,184</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804"/>
        </w:trPr>
        <w:tc>
          <w:tcPr>
            <w:tcW w:w="1700" w:type="dxa"/>
            <w:vAlign w:val="bottom"/>
          </w:tcPr>
          <w:p>
            <w:pPr>
              <w:spacing w:after="0"/>
              <w:rPr>
                <w:sz w:val="24"/>
                <w:szCs w:val="24"/>
                <w:color w:val="auto"/>
              </w:rPr>
            </w:pPr>
          </w:p>
        </w:tc>
        <w:tc>
          <w:tcPr>
            <w:tcW w:w="318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jc w:val="right"/>
              <w:ind w:right="12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-1045210</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-1028065</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431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-1028065</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convertible notes (the “2019 Convertible Notes”) with an aggregate principal amount of $220.0 million issued pursuant to an indenture (the “Indenture”) with U.S. Bank National Association, as trustee.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paid by the Company. The Company used $28.4 million of the net proceeds from the sale of the 2019 Convertible Notes to pay the cost of the capped call transactions in September 2019 described below.</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12, 2020, the Company issued convertible notes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from the sale of the 2020 Convertible Notes to pay the cost of the additional capped call transactions in May 2020 described below.</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delivers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117" w:lineRule="exact"/>
        <w:rPr>
          <w:sz w:val="20"/>
          <w:szCs w:val="20"/>
          <w:color w:val="auto"/>
        </w:rPr>
      </w:pPr>
    </w:p>
    <w:p>
      <w:pPr>
        <w:ind w:left="1020" w:right="4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the Company’s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Convertible Notes for redemption, at any time prior to the close of business on the second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corporate events specified in the Indenture.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Upon conversion of the Convertible Notes, the Company will pay or deliver, as the case may be, cash, shares of the Company’s common stock or a combination of cash and shares of common stock, at the Company’s election.</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 the conversion of such Notes, if converted in connection with the redemption, will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increased in certain circumstances. The Company has not called for redemption or redeemed any of the Convertible Notes as of March 31, 2025.</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January 2021, July 2021 and July 2022, the Company entered into separate, privately negotiated exchange agreements to modify the conversion terms with certain holders of its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issued by the Company. The Company accounted for the conversion of the debt as an inducement by expensing the fair value of the shares that were issued in excess of the original terms of the Convertible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Company held in treasury Convertible Notes in principal amount of $425.4 million which have not been cancelled.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Convertible Notes as of March 31, 2025 and December 31, 2024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96"/>
        </w:trPr>
        <w:tc>
          <w:tcPr>
            <w:tcW w:w="5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3300" w:type="dxa"/>
            <w:vAlign w:val="bottom"/>
            <w:gridSpan w:val="2"/>
            <w:shd w:val="clear" w:color="auto" w:fill="CCEEFF"/>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r>
      <w:tr>
        <w:trPr>
          <w:trHeight w:val="20"/>
        </w:trPr>
        <w:tc>
          <w:tcPr>
            <w:tcW w:w="5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carrying amount</w:t>
            </w:r>
          </w:p>
        </w:tc>
        <w:tc>
          <w:tcPr>
            <w:tcW w:w="3300" w:type="dxa"/>
            <w:vAlign w:val="bottom"/>
            <w:gridSpan w:val="2"/>
            <w:shd w:val="clear" w:color="auto" w:fill="CCEEFF"/>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93,421</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93,341</w:t>
            </w:r>
          </w:p>
        </w:tc>
        <w:tc>
          <w:tcPr>
            <w:tcW w:w="100" w:type="dxa"/>
            <w:vAlign w:val="bottom"/>
            <w:shd w:val="clear" w:color="auto" w:fill="CCEEFF"/>
          </w:tcPr>
          <w:p>
            <w:pPr>
              <w:spacing w:after="0"/>
              <w:rPr>
                <w:sz w:val="19"/>
                <w:szCs w:val="19"/>
                <w:color w:val="auto"/>
              </w:rPr>
            </w:pP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Convertible Notes during the three months ended March 31, 2025 and 2024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8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2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-603250</wp:posOffset>
            </wp:positionV>
            <wp:extent cx="939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-603250</wp:posOffset>
            </wp:positionV>
            <wp:extent cx="939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11, 2019 and May 6, 2020, concurrently with the pricing of the 2019 Convertible Notes and the 2020 Convertible Notes, respectively, the 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27, 2024, the Company unwound a portion of the capped call transactions with the capped call counterparties, which resulted in cash proceeds to the Company of $98.8 million. The unwind transactions were settled at a volume-weighted average price per share of $64.11 on March 8, 2024.</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holds remaining capped call transactions in a notional amount corresponding to $93.9 million principal amount of Convertible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May 13, 2024, the Company and certain of its subsidiaries entered into a financing agreement (the “Sixth Street Financing Agreement”) with the lenders party thereto (the “Lenders”), and Sixth Street Lending Partners (“Sixth Street”), as the administrative agent and collateral agent for the Lenders.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(the “Credit Facility”), consisting of an initial draw of $375.0 million at closing and a potential additional $100.0 million draw at the Company’s option upon satisfaction of a $50.0 million minimum cash requirement and a requirement that the Company’s trailing three-month sales of SYFOVRE is at least $180.0 million prior to the $100.0 million draw. The Company can exercise the option for the $100.0 million draw through September 30, 2025, assuming such requirements are met.</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at an annual rate equal to 3-month Secured Overnight Financing Rate ("SOFR") (subject to 1.00% floor), plus 5.75%. Certain additional commitment and undrawn amount fees are also payable in connection with the Credit Facility.</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The Company used $326.5 million of the proceeds from the initial draw of the Credit Facility to buy out its remaining obligations to SFJ Pharmaceuticals Group ("SFJ").</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The Company have the right to prepay loans under the Credit Facility at any time. The Company is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3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assets of the Company and certain subsidiaries of the Company, including its intellectual property, and are guaranteed by certain subsidiaries of the Company, including foreign subsidiaries, subject to certain exceptions.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$50.0 million if the Company’s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the Company is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the Company’s market capitalization, but not to exceed $600.0 million. The Company is subject to restrictions on sales and licensing transactions with respect to its core intellectual property, defined to include SYFOVRE, EMPAVELI, and other pegcetacoplan product assets, subject to certain exceptions, including certain transactions related to areas outside the United States and Europe.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w:t>
      </w:r>
      <w:r>
        <w:rPr>
          <w:rFonts w:ascii="Times New Roman" w:cs="Times New Roman" w:eastAsia="Times New Roman" w:hAnsi="Times New Roman"/>
          <w:sz w:val="18"/>
          <w:szCs w:val="18"/>
          <w:color w:val="212529"/>
        </w:rPr>
        <w:t>ing balance of the Credit Facility as of March 31, 2025 and December 31, 2024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96"/>
        </w:trPr>
        <w:tc>
          <w:tcPr>
            <w:tcW w:w="6820" w:type="dxa"/>
            <w:vAlign w:val="bottom"/>
          </w:tcPr>
          <w:p>
            <w:pPr>
              <w:spacing w:after="0"/>
              <w:rPr>
                <w:sz w:val="17"/>
                <w:szCs w:val="17"/>
                <w:color w:val="auto"/>
              </w:rPr>
            </w:pPr>
          </w:p>
        </w:tc>
        <w:tc>
          <w:tcPr>
            <w:tcW w:w="15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375,000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(15,511)</w:t>
            </w:r>
          </w:p>
        </w:tc>
      </w:tr>
      <w:tr>
        <w:trPr>
          <w:trHeight w:val="250"/>
        </w:trPr>
        <w:tc>
          <w:tcPr>
            <w:tcW w:w="6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360,001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Credit Facility during the three months ended March 31, 2025 and 2024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60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520" w:type="dxa"/>
            <w:vAlign w:val="bottom"/>
            <w:gridSpan w:val="2"/>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700" w:type="dxa"/>
            <w:vAlign w:val="bottom"/>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2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3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2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700" w:type="dxa"/>
            <w:vAlign w:val="bottom"/>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believes that the carrying amounts of remaining financial assets and liabilities, which include prepaid expenses, other current assets, accounts payable, and accrued expenses, approximates their fair values due to their short-term nature.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financial instruments recorded originally at amortized cost or fair value and not remeasured on a recurring basis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Type of Instrument</w:t>
            </w: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24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2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Money market funds</w:t>
            </w: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175,126</w:t>
            </w:r>
          </w:p>
        </w:tc>
        <w:tc>
          <w:tcPr>
            <w:tcW w:w="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175,126</w:t>
            </w:r>
          </w:p>
        </w:tc>
        <w:tc>
          <w:tcPr>
            <w:tcW w:w="100" w:type="dxa"/>
            <w:vAlign w:val="bottom"/>
            <w:shd w:val="clear" w:color="auto" w:fill="CFF0FC"/>
          </w:tcPr>
          <w:p>
            <w:pPr>
              <w:spacing w:after="0"/>
              <w:rPr>
                <w:sz w:val="17"/>
                <w:szCs w:val="17"/>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Total Financial Assets</w:t>
            </w:r>
          </w:p>
        </w:tc>
        <w:tc>
          <w:tcPr>
            <w:tcW w:w="2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175,126</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175,126</w:t>
            </w:r>
          </w:p>
        </w:tc>
        <w:tc>
          <w:tcPr>
            <w:tcW w:w="100" w:type="dxa"/>
            <w:vAlign w:val="bottom"/>
          </w:tcPr>
          <w:p>
            <w:pPr>
              <w:spacing w:after="0"/>
              <w:rPr>
                <w:sz w:val="17"/>
                <w:szCs w:val="17"/>
                <w:color w:val="auto"/>
              </w:rPr>
            </w:pPr>
          </w:p>
        </w:tc>
      </w:tr>
      <w:tr>
        <w:trPr>
          <w:trHeight w:val="20"/>
        </w:trPr>
        <w:tc>
          <w:tcPr>
            <w:tcW w:w="2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0"/>
        </w:trPr>
        <w:tc>
          <w:tcPr>
            <w:tcW w:w="2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4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Type of Instrument</w:t>
            </w:r>
          </w:p>
        </w:tc>
        <w:tc>
          <w:tcPr>
            <w:tcW w:w="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24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Money market funds</w:t>
            </w:r>
          </w:p>
        </w:tc>
        <w:tc>
          <w:tcPr>
            <w:tcW w:w="5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276,868</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276,868</w:t>
            </w:r>
          </w:p>
        </w:tc>
        <w:tc>
          <w:tcPr>
            <w:tcW w:w="100" w:type="dxa"/>
            <w:vAlign w:val="bottom"/>
          </w:tcPr>
          <w:p>
            <w:pPr>
              <w:spacing w:after="0"/>
              <w:rPr>
                <w:sz w:val="17"/>
                <w:szCs w:val="17"/>
                <w:color w:val="auto"/>
              </w:rPr>
            </w:pPr>
          </w:p>
        </w:tc>
      </w:tr>
      <w:tr>
        <w:trPr>
          <w:trHeight w:val="20"/>
        </w:trPr>
        <w:tc>
          <w:tcPr>
            <w:tcW w:w="2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360" w:type="dxa"/>
            <w:vAlign w:val="bottom"/>
            <w:shd w:val="clear" w:color="auto" w:fill="CFF1FC"/>
          </w:tcPr>
          <w:p>
            <w:pPr>
              <w:spacing w:after="0"/>
              <w:rPr>
                <w:sz w:val="20"/>
                <w:szCs w:val="20"/>
                <w:color w:val="auto"/>
              </w:rPr>
            </w:pPr>
            <w:r>
              <w:rPr>
                <w:rFonts w:ascii="Times New Roman" w:cs="Times New Roman" w:eastAsia="Times New Roman" w:hAnsi="Times New Roman"/>
                <w:sz w:val="16"/>
                <w:szCs w:val="16"/>
                <w:color w:val="auto"/>
              </w:rPr>
              <w:t>Total Financial Assets</w:t>
            </w:r>
          </w:p>
        </w:tc>
        <w:tc>
          <w:tcPr>
            <w:tcW w:w="2400" w:type="dxa"/>
            <w:vAlign w:val="bottom"/>
            <w:shd w:val="clear" w:color="auto" w:fill="CFF1FC"/>
          </w:tcPr>
          <w:p>
            <w:pPr>
              <w:spacing w:after="0"/>
              <w:rPr>
                <w:sz w:val="18"/>
                <w:szCs w:val="18"/>
                <w:color w:val="auto"/>
              </w:rPr>
            </w:pPr>
          </w:p>
        </w:tc>
        <w:tc>
          <w:tcPr>
            <w:tcW w:w="520" w:type="dxa"/>
            <w:vAlign w:val="bottom"/>
            <w:shd w:val="clear" w:color="auto" w:fill="CFF1FC"/>
          </w:tcPr>
          <w:p>
            <w:pPr>
              <w:spacing w:after="0"/>
              <w:rPr>
                <w:sz w:val="18"/>
                <w:szCs w:val="18"/>
                <w:color w:val="auto"/>
              </w:rPr>
            </w:pPr>
          </w:p>
        </w:tc>
        <w:tc>
          <w:tcPr>
            <w:tcW w:w="240" w:type="dxa"/>
            <w:vAlign w:val="bottom"/>
            <w:shd w:val="clear" w:color="auto" w:fill="CFF1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1FC"/>
          </w:tcPr>
          <w:p>
            <w:pPr>
              <w:jc w:val="right"/>
              <w:spacing w:after="0"/>
              <w:rPr>
                <w:sz w:val="20"/>
                <w:szCs w:val="20"/>
                <w:color w:val="auto"/>
              </w:rPr>
            </w:pPr>
            <w:r>
              <w:rPr>
                <w:rFonts w:ascii="Times New Roman" w:cs="Times New Roman" w:eastAsia="Times New Roman" w:hAnsi="Times New Roman"/>
                <w:sz w:val="16"/>
                <w:szCs w:val="16"/>
                <w:color w:val="auto"/>
              </w:rPr>
              <w:t>276,868</w:t>
            </w:r>
          </w:p>
        </w:tc>
        <w:tc>
          <w:tcPr>
            <w:tcW w:w="480" w:type="dxa"/>
            <w:vAlign w:val="bottom"/>
            <w:gridSpan w:val="3"/>
            <w:shd w:val="clear" w:color="auto" w:fill="CFF1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1FC"/>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shd w:val="clear" w:color="auto" w:fill="CFF1FC"/>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1FC"/>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3"/>
            <w:shd w:val="clear" w:color="auto" w:fill="CFF1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1FC"/>
          </w:tcPr>
          <w:p>
            <w:pPr>
              <w:jc w:val="right"/>
              <w:spacing w:after="0"/>
              <w:rPr>
                <w:sz w:val="20"/>
                <w:szCs w:val="20"/>
                <w:color w:val="auto"/>
              </w:rPr>
            </w:pPr>
            <w:r>
              <w:rPr>
                <w:rFonts w:ascii="Times New Roman" w:cs="Times New Roman" w:eastAsia="Times New Roman" w:hAnsi="Times New Roman"/>
                <w:sz w:val="16"/>
                <w:szCs w:val="16"/>
                <w:color w:val="auto"/>
              </w:rPr>
              <w:t>276,868</w:t>
            </w:r>
          </w:p>
        </w:tc>
        <w:tc>
          <w:tcPr>
            <w:tcW w:w="100" w:type="dxa"/>
            <w:vAlign w:val="bottom"/>
            <w:shd w:val="clear" w:color="auto" w:fill="CFF1FC"/>
          </w:tcPr>
          <w:p>
            <w:pPr>
              <w:spacing w:after="0"/>
              <w:rPr>
                <w:sz w:val="18"/>
                <w:szCs w:val="18"/>
                <w:color w:val="auto"/>
              </w:rPr>
            </w:pPr>
          </w:p>
        </w:tc>
      </w:tr>
      <w:tr>
        <w:trPr>
          <w:trHeight w:val="20"/>
        </w:trPr>
        <w:tc>
          <w:tcPr>
            <w:tcW w:w="2360" w:type="dxa"/>
            <w:vAlign w:val="bottom"/>
            <w:tcBorders>
              <w:top w:val="single" w:sz="8" w:color="CFF1FC"/>
            </w:tcBorders>
            <w:shd w:val="clear" w:color="auto" w:fill="CFF1FC"/>
          </w:tcPr>
          <w:p>
            <w:pPr>
              <w:spacing w:after="0" w:line="20" w:lineRule="exact"/>
              <w:rPr>
                <w:sz w:val="1"/>
                <w:szCs w:val="1"/>
                <w:color w:val="auto"/>
              </w:rPr>
            </w:pPr>
          </w:p>
        </w:tc>
        <w:tc>
          <w:tcPr>
            <w:tcW w:w="2400" w:type="dxa"/>
            <w:vAlign w:val="bottom"/>
            <w:tcBorders>
              <w:top w:val="single" w:sz="8" w:color="CFF1FC"/>
            </w:tcBorders>
            <w:shd w:val="clear" w:color="auto" w:fill="CFF1FC"/>
          </w:tcPr>
          <w:p>
            <w:pPr>
              <w:spacing w:after="0" w:line="20" w:lineRule="exact"/>
              <w:rPr>
                <w:sz w:val="1"/>
                <w:szCs w:val="1"/>
                <w:color w:val="auto"/>
              </w:rPr>
            </w:pPr>
          </w:p>
        </w:tc>
        <w:tc>
          <w:tcPr>
            <w:tcW w:w="520" w:type="dxa"/>
            <w:vAlign w:val="bottom"/>
            <w:tcBorders>
              <w:top w:val="single" w:sz="8" w:color="CFF1FC"/>
            </w:tcBorders>
            <w:shd w:val="clear" w:color="auto" w:fill="CFF1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1FC"/>
            </w:tcBorders>
            <w:shd w:val="clear" w:color="auto" w:fill="CFF1FC"/>
          </w:tcPr>
          <w:p>
            <w:pPr>
              <w:spacing w:after="0" w:line="20" w:lineRule="exact"/>
              <w:rPr>
                <w:sz w:val="1"/>
                <w:szCs w:val="1"/>
                <w:color w:val="auto"/>
              </w:rPr>
            </w:pPr>
          </w:p>
        </w:tc>
        <w:tc>
          <w:tcPr>
            <w:tcW w:w="140" w:type="dxa"/>
            <w:vAlign w:val="bottom"/>
            <w:tcBorders>
              <w:top w:val="single" w:sz="8" w:color="CFF1FC"/>
            </w:tcBorders>
            <w:shd w:val="clear" w:color="auto" w:fill="CFF1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1FC"/>
            </w:tcBorders>
            <w:shd w:val="clear" w:color="auto" w:fill="CFF1FC"/>
          </w:tcPr>
          <w:p>
            <w:pPr>
              <w:spacing w:after="0" w:line="20" w:lineRule="exact"/>
              <w:rPr>
                <w:sz w:val="1"/>
                <w:szCs w:val="1"/>
                <w:color w:val="auto"/>
              </w:rPr>
            </w:pPr>
          </w:p>
        </w:tc>
        <w:tc>
          <w:tcPr>
            <w:tcW w:w="140" w:type="dxa"/>
            <w:vAlign w:val="bottom"/>
            <w:tcBorders>
              <w:top w:val="single" w:sz="8" w:color="CFF1FC"/>
            </w:tcBorders>
            <w:shd w:val="clear" w:color="auto" w:fill="CFF1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1FC"/>
            </w:tcBorders>
            <w:shd w:val="clear" w:color="auto" w:fill="CFF1FC"/>
          </w:tcPr>
          <w:p>
            <w:pPr>
              <w:spacing w:after="0" w:line="20" w:lineRule="exact"/>
              <w:rPr>
                <w:sz w:val="1"/>
                <w:szCs w:val="1"/>
                <w:color w:val="auto"/>
              </w:rPr>
            </w:pPr>
          </w:p>
        </w:tc>
        <w:tc>
          <w:tcPr>
            <w:tcW w:w="120" w:type="dxa"/>
            <w:vAlign w:val="bottom"/>
            <w:tcBorders>
              <w:top w:val="single" w:sz="8" w:color="CFF1FC"/>
            </w:tcBorders>
            <w:shd w:val="clear" w:color="auto" w:fill="CFF1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1FC"/>
            </w:tcBorders>
            <w:shd w:val="clear" w:color="auto" w:fill="CFF1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-1250950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-1250950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-1250950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-985520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-985520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-985520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Convertible Notes are financial instrument that are reported in the condensed consolidated financial statements at historical cost. The Convertible Notes are Level 1 within the fair value level hierarchy as of March 31, 2025 and December 31, 2024. The fair value of the Convertible Notes was $104.5 million as of March 31, 2025 and $102.3 million as of December 31, 2024. The Convertible Notes accrue a semi-annual coupon at an annual rate of 3.5%, which was included in accrued expenses in the condensed consolidated balance sheets as of March 31, 2025 and 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recorded $0.3 million and $0.2 million of income tax expense, respectively, primarily pertaining to state taxes.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income tax provision during interim periods is computed by applying an estimated annual effective tax rate to year-to-date pre-tax income, plus adjustments for significant unusual or infrequently occurring items, in accordance with FASB ASC Topic 740-270, Income Taxes – Interim Reporting. The income tax provision differs from the U.S. federal statutory rate of 21% primarily due to the effect of valuation allowance against the Company’s net deferred tax assets, which reduces the Company’s net tax benefit.</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Deferred tax assets and deferred tax liabilities are determined based on temporary differences between the financial reporting and tax bases of assets and liabilities and are measured using the enacted tax rates and laws that will be in effect when the differences are expected to reverse. A valuation allowance is recorded against deferred tax assets if it is more likely than not that some portion or all of the deferred tax assets will not be realized. The Company has recorded a full valuation allowance against its net deferred tax assets as of March 31, 2025 and December 31, 2024.</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does not recognize a tax benefit for uncertain tax positions unless it is more likely than not that the position will be sustained upon examination by tax authorities, including resolution of any related appeals or litigation processes, based on the technical merits of the position. The tax benefit that is recorded for these positions is measured at the largest amount of cumulative benefit that has greater than a 50 percent likelihood of being realized upon ultimate settlement. Deferred tax assets that do not meet these recognition criteria are not recorded and the Company recognizes a liability for uncertain tax positions that may result in tax payments. The Company has not recorded any amounts for unrecognized tax positions for the period ended March 31, 2025. Our policy is to review and update unrecognized tax positions as facts and circumstances change.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Sobi License and Collaboration Agreement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October 2020, the Company and its subsidiaries, Apellis International GmbH (f/k/a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the Company granted Sobi an exclusive (subject to certain retained rights of the Company), sublicensable license of certain patent rights and know-how to develop and commercialize Licensed Products in all countries outside of the United States.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retains the right to commercialize Licensed Products in the United States, and, subject to specified limitations, to develop Licensed Products worldwide for commercialization in the United States.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Sobi collaboration agreement, the Company and Sobi agreed to collaborate to develop Licensed Products for certain indications, including PNH, C3G, IC-MPGN and HSCT-TMA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formed several governance committees to oversee the development and manufacture, and to review and discuss the commercialization, of Licensed Products.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between the parties. The Sobi collaboration agreement grants Sobi the right to perform or have performed drug product manufacturing of Licensed Products for development and for commercialization outside the United States and to manufacture or have manufactured drug substance under certain circumstances. For the three months ended March 31, 2025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2024, the Company recognized revenues of $10.8 million and $4.8 million, respectively, for the supply of Licensed Products to Sobi, which is included in Licensing and other revenue on the condensed consolidated statements of operations and comprehensive loss.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has agreed to pay up to an aggregate of $915.0 million upon the achievement of specified one-time regulatory and commercial milestone events, of which the Company received $50.0 million in April 2022 for the achievement of a regulatory development milestone in Europe. Sobi also agreed to reimburse the Company for up to $80.0 million in development costs, of which the Company received $65.0 million and waived payment of $15.0 million. The Company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Sobi collaboration agreement, the Company remains responsible for its license fee obligations (including royalty obligations) to the Trustees of the University of Pennsylvania (“Penn”), as a licensor of the Company.</w:t>
      </w:r>
    </w:p>
    <w:p>
      <w:pPr>
        <w:spacing w:after="0" w:line="18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for the three months ended March 31, 2025 and 2024, the Company recognized $6.1 million and $4.5 million, respectively, of royalty revenue from sales of Aspaveli, which was sold by Sobi outside of the United States.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contra-research and development expense for the three months ended March 31, 2025 and 2024. The Company doesn't expect to recognize the additional contra-research and development expense under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Pennsylvania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License Agreement with Penn (Non-ophthalmic Fields of Use)</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is party to a license agreement with Penn for an exclusive, worldwide license to specified patent rights for the development and commercialization of products in fields of use, as defined therein.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 digit royalties based on net sales of each licensed product, subject to minimum quarterly royalty thresholds. In addition, the Company is obligated to pay a specified portion of income it receives from sublicensees.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January 2021, the Company paid $25.0 million for a sublicense fee owed to Penn related to the Sobi collaboration agreement and another licensing transaction. In August 2021, the Company paid $1.0 million to Penn upon the achievement of a development milestone, net of a credit for the annual license maintenance payment. In June 2022, the Company paid an additional $5.0 million to Penn upon the achievement of a development milestone. In January 2023, the Company paid $1.0 million to Penn upon the achievement of a sales milestone for EMPAVELI in 2022. In January 2024, the Company paid $0.5 million for a sublicense fee owed to Penn related to Sobi obtaining regulatory approval in Japan. Additionally, in January 2024, the Company paid $1.5 million as a result of the achievement of a sales milestone for EMPAVELI and Aspaveli.</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has incurred royalty expense of $1.6 million and $1.6 million, respectively on sales of EMPAVELI and Aspaveli which is included in cost of sales on the condensed consolidated statements of operations and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Patent License Agreement with Penn (Ophthalmic Field of Use)</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is also party to a license agreement with Penn for an exclusive, worldwide license to specified patent rights. The Company is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spacing w:after="0" w:line="1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April 2023, the Company paid $2.3 million for the achievement of a regulatory milestone as a result of the FDA approval of SYFOVRE in February 2023. In 2023, the Company incurred $5.0 million as a result of the achievement of sales milestones for SYFOVRE of which the Company paid $2.0 million in October 2023 and the remaining $3.0 million in January 2024.</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has incurred royalty expense of $4.2 million and $4.5 million, respectively on sales of SYFOVRE, which is included in cost of sales on the condensed consolidated statements of operations and comprehensive loss.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The Company has agreed to purchase from Bachem Americas, Inc. a significant portion of its requirements for the pegcetacoplan drug substance. Under a commercial supply agreement with NOF Corporation ("NOF"), the Company has agreed to purchase activated polyethylene glycol derivative, or PEG, which is a component of pegcetacoplan. In September 2024, the Company terminated the minimum purchase obligation with NOF for 2025. Under these agreements, as of March 31, 2025, the Company is obligated to pay up to $86.8 million to these vendors. As a result of the termination of the minimum purchase obligation with NOF, the Company incurred an expense of $6.4 million, which was included in cost of sales on the consolidated statements of operations and comprehensive loss for the year ended December 31, 2024. As this amount is due in January 2026, it is included in accrued expenses on the condensed consolidated balance sheet as of March 31, 2025 and included in other liabilities on the condensed consolidated balance sheet as December 31, 2024.</w:t>
      </w:r>
    </w:p>
    <w:p>
      <w:pPr>
        <w:spacing w:after="0" w:line="15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the Company has other non-cancelable purchase agreements as of March 31, 2025, under which it is obligated to pay up to $12.2 million to vendors.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is a party to a master lease agreement under which the Company leases vehicles with initial terms of 36 months from the date of delivery. If the Company were unable to take delivery of a previously ordered vehicle, the Company may incur nominal fees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—During the normal course of business, the Company may be a party to legal claims that may not be covered by insurance.</w:t>
      </w:r>
    </w:p>
    <w:p>
      <w:pPr>
        <w:spacing w:after="0" w:line="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August 2, 2023, Judith M. Soderberg filed a putative class action in the United States District Court for the District of Delaware against the Company and certain current and former executive officers of the Company (the “Complaint”). The Complaint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Complaint seeks, among other relief, compensatory damages and equitable relief in favor of the alleged class against all defendants, including interest, and reasonable costs and expenses incurred by plaintiffs, including attorneys’ and expert fees.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23, 2023, the Court appointed Ray Peleckas and Michigan Laborers’ Pension Fund together as Co-Lead Plaintiffs and assigned the action the caption In Apellis Pharmaceuticals, Inc. Securities Litigation, Case 1:23-cv-00834-MN. The Co-Lead Plaintiffs filed an amended complaint on February 8, 2024 (the “Amended Complaint”). The Amended Complaint is brought on behalf of a class of all persons and entities who purchased or otherwise acquired Apellis common stock between January 28, 2021 and July 28, 2023, inclusive, names the Company and Cedric Francois, our chief executive officer, as defendants, and makes similar allegations, asserts the same claims and seeks the same relief as the Complaint.</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October 2, 2023, the defendants moved to transfer the action to the United States District Court for the District of Massachusetts. On March 17, 2025, the Court granted the defendants' motion to dismiss the amended complaint with prejudice and without leave to amend. On April 16, 2025, the plaintiffs filed an appeal to the United States Court of Appeals for the First Circuit.</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On December 19, 2024, purported stockholder Patrick Campbell, and on December 30, 2024, purported stockholder Kenneth Olson filed putative stockholder derivative lawsuits in the United States District Court for the District of Massachusetts on behalf of the Company against the Company’s directors for breach of fiduciary duty, unjust enrichment, waste, and alleged violation of Section 14(a) of the Exchange Act related to the design of SYFOVRE’s clinical trials and the risks associated with SYFOVRE’s commercial adoption. The complaints seek monetary and punitive damages, and costs, including attorneys’ fees. On January 21, 2025, the cases were consolidated under the caption </w:t>
      </w:r>
      <w:r>
        <w:rPr>
          <w:rFonts w:ascii="Times New Roman" w:cs="Times New Roman" w:eastAsia="Times New Roman" w:hAnsi="Times New Roman"/>
          <w:sz w:val="18"/>
          <w:szCs w:val="18"/>
          <w:i w:val="1"/>
          <w:iCs w:val="1"/>
          <w:color w:val="auto"/>
        </w:rPr>
        <w:t>In re Apellis Pharmaceuticals, Inc.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No. 1:24-cv-13128-JEK. By the same order, the Court stayed the stockholder derivative litigation pending the Court’s ruling on the defendants’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motion to dismiss in the securities class action.</w:t>
      </w:r>
    </w:p>
    <w:p>
      <w:pPr>
        <w:spacing w:after="0" w:line="18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Company’s businesses may also be subject at any time to other commercial disputes, product liability claims, personal injury claims, third-party subpoenas or various other lawsuits arising in the ordinary course of business, including intellectual property infringement, employment or investor matters, and the Company expects that this will continue to be the case in the future.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example, in August 2024, an individual filed a civil action against the Company in the United States District Court in the Northern District of Texas, alleging personal injury claims in connection with the use of SYFOVRE. We moved to dismiss this civil action in September 2024. The Court has not yet ruled on this motion to dismiss, as of the date of issuance of these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outcome of the matter described above cannot be predicted with certainty and therefore any loss is neither probable nor reasonably estimable.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intends to vigorously defend against the litigation.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common share (amounts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5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(92,225)</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(66,423)</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number of common shares used in net loss per common share - basic and diluted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125,452,525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122,956,835</w:t>
            </w:r>
          </w:p>
        </w:tc>
        <w:tc>
          <w:tcPr>
            <w:tcW w:w="120" w:type="dxa"/>
            <w:vAlign w:val="bottom"/>
          </w:tcPr>
          <w:p>
            <w:pPr>
              <w:spacing w:after="0"/>
              <w:rPr>
                <w:sz w:val="18"/>
                <w:szCs w:val="18"/>
                <w:color w:val="auto"/>
              </w:rPr>
            </w:pPr>
          </w:p>
        </w:tc>
      </w:tr>
      <w:tr>
        <w:trPr>
          <w:trHeight w:val="249"/>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Shares outstanding presented below were excluded from the calculation of diluted net loss per share, prior to the use of the treasury stock method, as their effect is anti-dilutive (in thousands):</w:t>
      </w:r>
    </w:p>
    <w:p>
      <w:pPr>
        <w:spacing w:after="0" w:line="182"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8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124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r>
      <w:tr>
        <w:trPr>
          <w:trHeight w:val="250"/>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operates as a single operating segment, which is the discovery, development and commercialization of novel therapeutic compounds to treat diseases with high unmet needs through the inhibition of the complement system, which is an integral component of the immune system. The Company defines its segment on the basis in which internally reported financial information is regularly reviewed by the chief operating decision maker ("CODM") to analyze financial performance, make decisions, and allocate resources. The CODM is the chief executive officer (“CEO”). The Company’s CODM reviews consolidated net loss for purposes of assessing performance, making operating decisions, allocating resources, and planning and forecasting for future periods.</w:t>
      </w:r>
    </w:p>
    <w:p>
      <w:pPr>
        <w:spacing w:after="0" w:line="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segment loss, and significant segment expenses as provided to the CODM with respect to the Company’s single operating segment for the three months ended March 31, 2025 and 2024:</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14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800" w:type="dxa"/>
            <w:vAlign w:val="bottom"/>
            <w:gridSpan w:val="2"/>
            <w:shd w:val="clear" w:color="auto" w:fill="CFF0FC"/>
          </w:tcPr>
          <w:p>
            <w:pPr>
              <w:jc w:val="right"/>
              <w:ind w:right="132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166,797</w:t>
            </w:r>
          </w:p>
        </w:tc>
        <w:tc>
          <w:tcPr>
            <w:tcW w:w="2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172,325</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Internal selling, general and administrative costs</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46,339</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External commercial costs</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58,672</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50,992</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External general and administrative costs</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items (1)</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20,709</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(2,658)</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(3,303)</w:t>
            </w: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2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(92,225)</w:t>
            </w:r>
          </w:p>
        </w:tc>
        <w:tc>
          <w:tcPr>
            <w:tcW w:w="162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(66,423)</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segment items include cost of sales, and other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and our audited financial statements and related notes for the year ended December 31, 2024 included in our Annual Report on Form 10-K filed with the Securities and Exchange Commission on February 28, 2025, which we refer to as the 2024 Annual Report on Form 10-K</w:t>
      </w:r>
    </w:p>
    <w:p>
      <w:pPr>
        <w:spacing w:after="0" w:line="18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Please also refer to those factors described in “Part I, Item 1A. Risk Factors” of our 2024 Annual Report on Form 10-K for important factors that we believe could cause actual results to differ materially from those in our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We believe this approach has the potential to effectively control diseases with high unmet need that are driven by excessive complement activation. We currently have two marketed drugs that target C3, the central protein in the complement cascade: SYFOVRE (pegcetacoplan injection), approved by the U.S. Food and Drug Administration, or FDA, in February 2023 for the treatment of geographic atrophy secondary to age-related macular degeneration, or GA; and EMPAVELI (pegcetacoplan), approved by the FDA in May 2021 for the treatment of paroxysmal nocturnal hemoglobinuria, or PNH.</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SYFOVRE has the potential to be the standard of care for patients with GA, a disease that affects an estimated 1.5 million people in the United States. While we have exclusive, worldwide commercialization rights for intravitreal pegcetacoplan, we intend to focus our commercialization efforts in the U.S. and explore international expansion in select markets, including Australia, where we received marketing approval in January 2025. We launched SYFOVRE in the United States in March 2023. For the three months ended March 31, 2025 and 2024, we generated $130.2 million and $137.5 million, respectively, in U.S. net product revenue from sales of SYFOVRE. We are also developing a next-generation therapy by combining SYFOVRE treatment with APL-3007, which is a small interfering RNA, or siRNA, aimed at comprehensively blocking complement activity in the retina and the choroid. We plan to initiate a Phase 2 multi-dose trial in patients with GA in the second quarter of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EMPAVELI has the potential to be a best-in-class treatment for a range of indications with high unmet needs. We have exclusive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rights for EMPAVELI, and our collaboration partner, Swedish Orphan Biovitrum AB (Publ), or Sobi, has exclusive ex-U.S.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rights for systemic pegcetacoplan outside of the United States. For the three months ended March 31, 2025 and 2024, we generated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 million and $25.6 million, respectively, in U.S. net product revenue from sales of EMPAVELI for PNH and received $6.1 million and $4.5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in royalties from our collaboration partner, Swedish Orphan Biovitrum AB (Publ), or Sobi. We have commercialization rights for systemic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pegcetacoplan in the United States.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next indications we are pursuing with EMPAVELI are C3 glomerulopathy, or C3G, and primary immune complex membranoproliferative glomerulonephritis, or IC-MPGN, which together affect an estimated 5,000 people in the United States. We submitted a supplemental new drug application, or sNDA, to the FDA in early 2025, following the positive results from the Phase 3 VALIANT trial investigating systemic pegcetacoplan in adolescent and adult patients with naive and post-transplant recurrence C3G and IC-MPGN that we reported in August 2024. The VALIANT study demonstrated positive effects on the three key markers of disease at six months. Results from the VALIANT study showed a 68% reduction in proteinuria in C3G and IC-MPGN patients compared to placebo (p &lt; 0.0001), the primary endpoint, pegcetacoplan-treated patients achieved stabilization of kidney function (nominal p=0.03), as measured by estimated glomerular filtration rate, and a substantial proportion of patients achieved a reduction in C3c staining intensity (nominal p&lt;0.0001). Data also demonstrated favorable safety and tolerability results, consistent with pegcetacoplan’s established profile. Results were consistent across all subgroups, including disease type, age, and transplant status. The FDA accepted and granted Priority Review designation of the EMPAVELI sNDA in April 2025 with a PDUFA date of July 28,</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2025. Additionally, in February 2025, Sobi received validation for its indication extension application for C3G and IC-MPGN from the European Medicines Agency, or EMA.</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plan to initiate two registrational clinical trials with EMPAVELI in the second half of 2025 for the treatment of primary focal segmental glomerulosclerosis, or FSGS, and delayed graft function, or DGF. FSGS and DGF are both rare, severe nephrology conditions with no approved therapies in which complement overactivation plays a significant role.</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Finally, we are developing new product candidates to further advance our pipeline. Through our collaboration with Beam Therapeutics, Inc., or Beam, we have commenced pre-clinical studies for a treatment targeting the neonatal Fc receptor, or FcRn, which has the potential to be a first-in-class gene editing treatment for future target indications with one-time dosing. We are also developing other programs with our proprietary in-house capabilities.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financed our operations primarily through $2.6 billion in net proceeds from public offerings of our common</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stock and pre-funded warrants to purchase common stock, $407.6 million in payments and royalties from Sobi pursuant to our collaboration agreement, $532.5 million under various credit arrangements, including with Sixth Street Lending Partners, or Sixth Street, and SFJ Pharmaceuticals Group, or SFJ, and $98.8 million relating to the unwinding of certain capped call transactions in March 2024, as well as from the proceeds of our operations. To date, we have exchanged $425.4 million and converted $0.7 million of aggregate principal amount of our Convertible Notes for shares of our common stock. Our non-dilutive financing activities, which include the Sixth Street Financing Agreement (as defined below), the repayment of our remaining obligations to SFJ and the partial unwinding of our capped call transactions, increased the amount of cash available to us through 2025 by approximately $270.0 million, with the potential for us to access additional short-term liquidity through a second draw of $100.0 million under the Credit Facility (as defined below).</w:t>
      </w:r>
    </w:p>
    <w:p>
      <w:pPr>
        <w:spacing w:after="0" w:line="18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every year since our inception and we expect to continue to incur net operating losses for at least this year. Our net losses were $92.2 million and $66.4 million for the three months ended March 31, 2025 and 2024, respectively. As of March 31, 2025, we had an accumulated deficit of $3.1 billion.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the treatment of PNH and other indications and the commercialization of SYFOVRE for the treatment of GA. In addition, we expect to continue to incur these expenses if and as we continue to develop and conduct our ongoing and planned clinical trials of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On May 13, 2024, we entered into a financing agreement, or the Sixth Street Financing Agreement, with certain of our material subsidiaries as guarantors party thereto, the lenders party thereto, or the Lenders, and Sixth Street Lending Partners, as the administrative agent and collateral agent for the Lenders.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We can exercise the option for the additional $100.0 million draw through September 30, 2025, assuming such requirements are met.</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an annual rate equal to 3-month Term SOFR (subject to 1.00% floor), plus 5.75%. Certain additional commitment and undrawn amount fees are also payable in connection with the Credit Facility.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We used the majority of the proceeds of the draw at closing to buy out our remaining obligations to SFJ, in the amount of approximately $326.5 million.</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We have the right to prepay loans under the Credit Facility at any time. We are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of our assets and assets of our material subsidiaries, including our intellectual property, and are guaranteed by our material subsidiaries, including foreign subsidiaries, subject to certain exceptions.</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 $50.0 million if our market capitalization is below $3.0 billion, and negative covenants that, subject to</w:t>
      </w:r>
    </w:p>
    <w:p>
      <w:pPr>
        <w:ind w:right="20"/>
        <w:spacing w:after="0" w:line="251" w:lineRule="auto"/>
        <w:rPr>
          <w:sz w:val="20"/>
          <w:szCs w:val="20"/>
          <w:color w:val="auto"/>
        </w:rPr>
      </w:pPr>
      <w:r>
        <w:rPr>
          <w:rFonts w:ascii="Times New Roman" w:cs="Times New Roman" w:eastAsia="Times New Roman" w:hAnsi="Times New Roman"/>
          <w:sz w:val="18"/>
          <w:szCs w:val="18"/>
          <w:color w:val="auto"/>
        </w:rPr>
        <w:t>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we are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 We are subject to restrictions on sales and licensing transactions with respect to our core intellectual property, defined to include SYFOVRE, EMPAVELI, and other pegcetacoplan product assets, subject to certain exceptions, including certain transactions related to areas outside the United States and Europe.</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Sixth Street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us and our subsidiaries, and change of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16, 2019, we completed a private offering of convertible notes, or the 2019 Convertible Notes, with an aggregate principal amount of $220.0 million issued pursuant to an indenture, or the Indenture, with U.S. Bank National Association, as trustee.</w:t>
      </w:r>
    </w:p>
    <w:p>
      <w:pPr>
        <w:ind w:right="60"/>
        <w:spacing w:after="0" w:line="25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12, 20</w:t>
      </w:r>
      <w:r>
        <w:rPr>
          <w:rFonts w:ascii="Times New Roman" w:cs="Times New Roman" w:eastAsia="Times New Roman" w:hAnsi="Times New Roman"/>
          <w:sz w:val="18"/>
          <w:szCs w:val="18"/>
          <w:color w:val="212529"/>
        </w:rPr>
        <w:t>20, we issued convertible notes, or the 2020 Convertible Notes, with an aggregate principal amount of $300.0 million. The net 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from the sale of the 2020 Convertible Notes were approximately $322.9 million after deducting the purchasers’ discounts and commission of $5.7 million and offering expenses of $0.3 million. We used $43.1 million of the net proceeds from the sale to pay the cost of the additional capped call transactions in May 2020 described below.</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2019 Conve</w:t>
      </w:r>
      <w:r>
        <w:rPr>
          <w:rFonts w:ascii="Times New Roman" w:cs="Times New Roman" w:eastAsia="Times New Roman" w:hAnsi="Times New Roman"/>
          <w:sz w:val="18"/>
          <w:szCs w:val="18"/>
          <w:color w:val="212529"/>
        </w:rPr>
        <w:t>rtible Notes and the 2020 Convertible Notes are referred to together as the Convertible Notes. The Convertible Notes are our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unsecured obligations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117" w:lineRule="exact"/>
        <w:rPr>
          <w:sz w:val="20"/>
          <w:szCs w:val="20"/>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during any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7" w:lineRule="exact"/>
        <w:rPr>
          <w:rFonts w:ascii="Times New Roman" w:cs="Times New Roman" w:eastAsia="Times New Roman" w:hAnsi="Times New Roman"/>
          <w:sz w:val="18"/>
          <w:szCs w:val="18"/>
          <w:color w:val="212529"/>
        </w:rPr>
      </w:pPr>
    </w:p>
    <w:p>
      <w:pPr>
        <w:ind w:left="1020" w:right="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our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 upon the occurrence of corporate events specified in the Indenture.</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we will pay or deliver, as the case may be, cash, shares of our common stock or a combination of cash and shares of common stock, at our election.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have not called for redemption any of the Convertible Notes as of March 31, 2025.</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 of the principal amount of the notes to be repurchased, plus any accrued and unpaid interest to, but excluding, the fundamental change repurchase date.</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January 2021, July 2021 and July 2022, we entered into separate, privately negotiated exchange agreements to modify the conversion terms with certain holders of the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we issued. In accordance with FASB ASC Topic 470-20, “Debt – Debt with Conversion and Other Options,” or ASC 470-20, we accounted for the exchange as an induced conversion based on the short period of time the conversion offer was open and the substantive conversion feature offer. We accounted for the conversion of the debt as an inducement by expensing the fair value of the shares that were issued in excess of the original terms of the Convertible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March 31, 2025 and as of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held in treasury Convertible Notes in principal amount of $425.4 million which notes had not been cancelled.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27, 2020, we entered into the Sobi collaboration agreement, concerning the development and commercialization of pegcetacoplan and 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We retained the right to commercialize licensed products in the United States, and, subject to specified limitations, to develop licensed products worldwide for commercialization in the United States. Under the Sobi collaboration agreement, Sobi made an upfront payment of $250.0 million in November 2020, and agreed to pay up to an aggregate of $915.0 million upon the achievement of specified one-time regulatory and commercial milestone events, including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$50.0 million milestone payable following the first regulatory and reimbursement approval of systemic pegcetacoplan in any major European country, and to reimburse us for up to $80.0 million in development costs. Since contract inception, we have recognized $65.0 million in contra-research and development expenses and waived the remaining $15.0 million in connection with the decision to discontinue the CAD program.</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European Commission approved systemic Aspaveli (pegcetacoplan) for the treatment of adults with PNH in December 2021. In March 2022, we earned a $50.0 million payment from Sobi related to the first regulatory and reimbursement milestone in Europe, which we received in April 2022. We are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remain responsible for our license fee obligations (including royalty obligations) to the University of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consist of product sales of EMPAVELI and SYFOVRE, and revenues derived from our collaboration agreement with Sobi.</w:t>
      </w:r>
    </w:p>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is derived from our sales of our commercial products, EMPAVELI and SYFOVRE,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Other Revenue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Cost of sales consists primarily of costs associated with the manufacturing of EMPAVELI and SYFOVRE, royalties owed to our licensor for such sales, and certain period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4" w:lineRule="exact"/>
        <w:rPr>
          <w:sz w:val="20"/>
          <w:szCs w:val="20"/>
          <w:color w:val="auto"/>
        </w:rPr>
      </w:pPr>
    </w:p>
    <w:p>
      <w:pPr>
        <w:ind w:left="1020" w:right="2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6"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related goods are delivered or the services are performed. We have not provided program costs since inception because historically we have not tracked or recorded our research and development expenses on a program-by-program basis from inception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in clinical development is highly uncertain. Accordingly, at this time, we cannot reasonably estimate the nature, timing and costs of the efforts that will be necessary to complete the remainder of the clinical development of these product candidates. We are also unable to predict when, if ever, material net cash inflows will commence from pegcetacoplan in other jurisdictions and indications or any other potential product candidates. This is due to the numerous risks and uncertainties associated with developing therapeutics, including the uncertainties of:</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associated with the commercialization of approved products and general and administrative costs to support operations, including salaries, bonuses, benefits and share-based compensation. Selling expenses include product marketing, sales operations costs, and other costs incurred to support our sales efforts. General and administrative expenses include corporate support functions such as executive management, finance and accounting, business development, legal, human resources, information technology, and associated external costs to support those functions. Other significant costs include facility costs not otherwise included in research and development expenses, legal fees relating to patent and corporate matters, and fees for accounting and consulting services. Marketing and advertising costs include marketing literature, promotional activities, conferences and seminars, branding and sponsorships.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continued commercial activities for our approved products, potential commercialization of our product candidates and costs of operating as a public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reported periods. On an ongoing basis, we evaluate our estimates and judgments, including those related to product revenue, inventory and accrued research and development expenses, which we described in our 2024 Annual Report on Form 10-K.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of Part I, Item 1 of this Quarterly Report on Form 10-Q and in Part I, Item 7, “Critical Accounting Estimates” in our 2024 Annual Report on Form 10-K. There have been no changes to our critical accounting policies and estimates since our 2024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and 2024 (in thousands, except percentages)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5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163,075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9,250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7,647</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172,325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34,360</w:t>
            </w: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14,151</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86,420</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84,701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1,719</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129,505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250,125</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234,415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15,710</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(83,328)</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(21,238)</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2,658</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3,303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(11,049)</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(91,884)</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(25,631)</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(92,225)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(66,423)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(25,802)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-1851025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-1851025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-1851025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-1010920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-1010920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-1010920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-453390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-453390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-453390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product revenue, net is derived from EMPAVELI and SYFOVRE sales in the United States. We recognized $149.9 million and $163.1 million of net product revenue for the three months ended March 31, 2025 and 2024, respectively. The net product revenue of $149.9 million for the three months ended March 31, 2025, consists of $19.7 million in net product revenue from sales of EMPAVELI and $130.2 million in net product revenue from sales of SYFOVRE. The net product revenue of $163.1 million for the three months ended March 31, 2024, consists of $25.6 million in net product revenue from sales of EMPAVELI and $137.5 million in net product revenue from sales of SYFOVRE. The decrease in net product revenue for SYFOVRE was primarily driven by increased rebates. The decrease in net product revenue for EMPAVELI was related to increased competitive pressure from the availability of oral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Licensing and other revenue of $16.9 million for the three months ended March 31, 2025 consisted of $10.8 million in revenue from product supplied to Sobi and $6.1 million in royalty revenue from Sobi. Licensing and other revenue of $9.3 million for the three months ended March 31, 2024 consisted of $4.8 million in revenue from product supplied to Sobi and $4.5 million in royalty revenue from Sobi.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sales was $34.4 million for the three months ended March 31, 2025 and $20.2 million for the three months ended March 31, 2024. The increase in cost of sales was primarily driven by an $8.1 million increase due to higher volumes of product supplied to Sobi and a $4.5 million increase in expenses incurred related to excess, obsolete or scrapped inventory.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prior to receiving FDA approval for EMPAVELI and SYFOVRE, the costs associated with the manufacturing of EMPAVELI and SYFOVRE inventory were expensed as incurred as research and development expense. This did not materially impact cost of sales for the three months ended March 31, 2025 and 2024. This resulted in inventory being sold during the three months ended March 31, 2025 and 2024 for which a portion of the costs had been previously expensed prior to FDA approval. We expect this may continue to impact the cost of sales as the remaining pre-FDA approval inventory is sold to customers. As of</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March 31, 2025 and December 31, 2024, the remaining pre-FDA approved inventory was $19.2 million and $19.5 million, respectively, which primarily consisted of raw materials and semi-finished goods.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March 31, 2025 and 2024 (in thousands, except percentages):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r>
      <w:tr>
        <w:trPr>
          <w:trHeight w:val="209"/>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PNH</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IC-MPGN &amp; C3G</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(1,619)</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HSCT-TMA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development and discovery programs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(3,449)</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(1,393)</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679%</w:t>
            </w:r>
          </w:p>
        </w:tc>
      </w:tr>
      <w:tr>
        <w:trPr>
          <w:trHeight w:val="20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w:t>
            </w:r>
          </w:p>
        </w:tc>
      </w:tr>
      <w:tr>
        <w:trPr>
          <w:trHeight w:val="216"/>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56"/>
        </w:trPr>
        <w:tc>
          <w:tcPr>
            <w:tcW w:w="5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86,420</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-864870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-864870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-864870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-307975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-307975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-307975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-25400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3"/>
        <w:spacing w:after="0" w:line="282"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discontinued clinical activities related to the ALS and CAD programs, amounting to $0.8 million and $16.6 million for the three months ended March 31, 2025 and 2024, respectively.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$1.7 million to $86.4 million for the three months ended March 31, 2025 from $84.7 million for the three months ended March 31, 2024, an increase of 2%. The increase in research and development expenses was primarily attributable to an increase of $2.1 million in non-program specific external costs, and an increase of $0.9 million in compensation and related personnel costs. The increases were partially offset by a $1.4 million decrease in program-specific external costs.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decrease in our program-specific external costs of $1.4 million was driven by a $2.2 million decrease in PNH costs due to lower costs incurred relating to clinical activities, a $1.6 million decrease in IC-MPGN &amp; C3G costs due to lower cost related to the VALIANT study, and a $3.4 million decrease in other development and discovery costs primarily due to our previously announced discontinued clinical activities related to our ALS and CAD programs which was partially offset by an increase in other discovery program costs of $12.3 million. These decreases were partially offset by an increase of $5.7 million in GA costs associated with the development of new product candidates to further advance our pipeline. The increase in compensation and related personnel costs was driven by an increase of $2.4 million in salaries and benefits, which was partially offset by a $1.5 million decrease in stock compensation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decreased by $0.2 million to $129.3 million for the three months ended March 31, 2025, from $129.5 million for the three months ended March 31, 2024. The decrease was primarily attributable to a decrease of $0.8 million in office expenses, a decrease of $0.3 million in travel expenses, a decrease of $0.7 million in professional and consulting fees and a decrease of $0.2 million in personnel related costs, which were partially offset by an increase of $1.2 million in factoring fees and an increase of $0.5 million in insurance expenses. The decrease in personnel related costs of $0.2 million consisted of a $1.6 million decrease in in share-based compensation expense partially offset by a $0.7 million increase recruiting expenses and a $0.7 million increase in salaries and benefits.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income was $2.7 million for the three months ended March 31, 2025, a decrease of $0.6 million, compared to $3.3 million for the three months ended March 31, 2024. The decrease in interest income was primarily attributable to decreased investments and a decline in money market rates during the three months ended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was $11.0 million for the three months ended March 31, 2025 and $7.0 million for the three months ended March 31, 2024. The increase is primarily due to the interest incurred under the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Income tax expense was $0.3 million for the three months ended March 31, 2025, an increase of $0.1 million, compared to $0.2 million for the three months ended March 31, 2024. The increase primarily relates to an increase in state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approximately $2.6 billion in net proceeds from public and private offerings of our common stock and convertible securities, $407.6 million in payments and royalties from Sobi pursuant to our collaboration agreement, $532.5 million under various credit arrangements, including with Sixth Street and SFJ, and $98.8 million relating to the unwinding of the capped call transactions in March 2024, as well as from the proceeds of our operations.</w:t>
      </w:r>
    </w:p>
    <w:p>
      <w:pPr>
        <w:spacing w:after="0" w:line="15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May 2024, we entered into the Sixth Street Financing Agreement, which provides for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The Credit Facility matures on May 13, 2030 and bears interest at an annual rate equal to the 3-month Secured Overnight Financing Rate (SOFR) + 5.75% (subject to 1.00% floor). Certain additional commitment and undrawn amount fees are also payable in connection with the Credit Facility. We used the majority of the proceeds of the $375.0 million draw at closing to buy out our remaining obligations owed to SFJ, in the amount of approximately $326.5 million.</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permitted under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an agreement (the "Factoring Agreement") to sell certain accounts receivable to a third-party financial institution at a discount to the face value of the accounts receivable. Under the Factoring Agreement, the maximum amount of outstanding accounts receivables sold at any time is $100.0 million. The accounts receivable sold that remained outstanding as of March 31, 2025 and December 31, 2024 was $99.7 million and $86.1 million, respectively.</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November 2023, we entered into a sales agreement, or the sales agreement, with Cowen and Company, LLC, or Cowen, as agent, pursuant to which we may offer and sell shares of our common stock having an aggregate offering from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three months ended March 31, 2025.</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February 2023, we issued and sold 4,007,936 shares of our common stock and, in lieu of common stock to investors who so chose, pre-funded warrants to purchase 2,380,956 shares of our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 As of March 31, 2025, pre-funded warrants to purchase 80,965 shares of our common stock were still outstanding.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February 2024, we entered into agreements with the capped call counterparties to unwind a portion of the capped call transactions. The unwind agreements applied to the portion of the capped call transactions in a notional amount corresponding to the $426.1 million principal amount of Convertible Notes that we held in treasury as of December 31, 2024 or have been previously converted. The unwind transactions were settled at volume-weighted average price per share of $64.11, which resulted in cash proceeds to us of $98.8 million. As of March 31, 2025 the remaining capped call transactions had a notional amount corresponding to $93.9 million principal amount of Convertible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2025 and 2024 (in thousands):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70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(53,410)</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(132,983)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108,212</w:t>
            </w: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Pr>
          <w:p>
            <w:pPr>
              <w:spacing w:after="0"/>
              <w:rPr>
                <w:sz w:val="17"/>
                <w:szCs w:val="17"/>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restricted cash</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decrease in cash, cash</w:t>
            </w:r>
          </w:p>
        </w:tc>
        <w:tc>
          <w:tcPr>
            <w:tcW w:w="280" w:type="dxa"/>
            <w:vAlign w:val="bottom"/>
            <w:vMerge w:val="restart"/>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(52,785)</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(25,273)</w:t>
            </w:r>
          </w:p>
        </w:tc>
        <w:tc>
          <w:tcPr>
            <w:tcW w:w="0" w:type="dxa"/>
            <w:vAlign w:val="bottom"/>
          </w:tcPr>
          <w:p>
            <w:pPr>
              <w:spacing w:after="0"/>
              <w:rPr>
                <w:sz w:val="1"/>
                <w:szCs w:val="1"/>
                <w:color w:val="auto"/>
              </w:rPr>
            </w:pPr>
          </w:p>
        </w:tc>
      </w:tr>
      <w:tr>
        <w:trPr>
          <w:trHeight w:val="214"/>
        </w:trPr>
        <w:tc>
          <w:tcPr>
            <w:tcW w:w="51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equivalents and restricted cash</w:t>
            </w:r>
          </w:p>
        </w:tc>
        <w:tc>
          <w:tcPr>
            <w:tcW w:w="28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$53.4 million for the three months ended March 31, 2025 and consisted primarily of a net loss of $92.2 million adjusted for $28.4 million of non-cash items, including share-based compensation expense of $27.4 million and depreciation expense of $0.4 million. Further, it included a net decrease in operating assets and liabilities of $10.4 million, which was driven by a decrease in accounts receivable of $29.7 million, a decrease in inventory of $14.0 million, an increase in prepaid assets of $18.8 million, an increase in other current assets of $1.3 million, an increase in accounts payable of $16.7 million, and a decrease in accrued expenses of $30.2 million. The change in accounts receivable was primarily driven by the derecognition of certain accounts receivable under our Factoring Agreement.</w:t>
      </w:r>
    </w:p>
    <w:p>
      <w:pPr>
        <w:spacing w:after="0" w:line="1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$133.0 million for the three months ended March 31, 2024 and consisted primarily of a net loss of $66.4 million adjusted for $36.9 million of non-cash items, including share-based compensation expense of $30.3 million, depreciation expense of $0.4 million and accretion of discount to the development liability of $6.1 million. Further, it included a net increase in operating assets and liabilities of $103.5 million, which was driven by increases in accounts receivable of $61.4 million, an increase in inventory of $14.9 million, an increase in prepaid assets of $4.3 million, a decrease in other current assets of $10.7 million, a decrease in accounts payable and accrued expenses of $37.1 million, and an increase in deferred revenue of $3.6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$0.3 million during the three months ended March 31, 2025 and consisted primarily of proceeds from the exercise of stock options.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$108.2 million during the three months ended March 31, 2024 and consisted primarily of proceeds from the settlement of capped call unwind transactions of $98.8 million and $9.5 million of proceeds from the exercise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to support our ongoing commercial activities related to product manufacturing, marketing, sales and distribution of EMPAVELI for PNH and SYFOVRE for GA. In addition, we expect to continue to incur expenses as we prioritize the ongoing development of systemic pegcetacoplan and focus our research initiatives on high potential opportunities.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Together with the cash that we anticipate will be generated from sales of EMPAVELI and SYFOVRE, we expect that our current cash and cash equivalents will be sufficient to fund our projected operating expenses and capital expenditure requirements for at least the next 12 months, as well as our anticipated longer-term cash requirements and obligations. Our expectations regarding our short-term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and long-term funding requirements are based on assumptions that may prove to be wrong, and we may need additional capital resources to fund our operating plans and capital expenditure requirements.</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5"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and sell EMPAVELI and SYFOVRE in the United States;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 and continue to build a commercial infrastructure for SYFOVRE for GA in the United States and worldwide;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continued commercialization of EMPAVELI, systemic pegcetacoplan and SYFOVRE and any other products for which we receive marketing approval including product sales, medical affairs, marketing, manufacturing and distribution;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in the United States or any other product we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our cash and cash equivalents,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 of funds.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Operations—Contractual Obligations” in our 2024 Annual Report on Form 10-K. See Note 11 Commitments and Contingencies in the Notes to Unaudited Condensed Consolidated Financial Statements in Part I, Item I of this Form 10-Q for a discussion of obligations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5126990</wp:posOffset>
            </wp:positionH>
            <wp:positionV relativeFrom="paragraph">
              <wp:posOffset>-311150</wp:posOffset>
            </wp:positionV>
            <wp:extent cx="393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2025, we had cash and cash equivalents of $358.4 million, consisting primarily of money market funds. Our primary exposure to market risk is interest rate sensitivity, which is affected by changes in the general level of U.S. interest rates. Due to the short-term duration of our investment portfolio and cash equivalents, and the low risk profile of our investments, an immediate 10% change in interest rates would not have a material effect on the fair market value of our investment portfolio.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13a-15(f) and 15d-15(e) under the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or persons performing similar functions, as appropriate to allow timely decisions regarding required disclosure.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2025 that has materially affected, or is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Commitments and Contingencies in the Notes to Unaudited Condensed Consolidated Financial Statements in Part I, Item I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393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93700"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our Annual Report on Form 10–K for the year ended December 31, 2024, which could materially affect our business, financial condition or future results. The risk factors disclosure in our Annual Report on Form 10-K for the year ended December 31, 2024 is qualified by the information that is described in this Quarterly Report on Form 10-Q. The risks described in our Annual Report on Form 10–K for the year ended December 31, 2024 are not our only risks. Additional risks and uncertainties not currently known to us or that we currently deem to be immaterial also may materially adversely affect our business, financial condition or future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Action Taken</w:t>
            </w: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Number</w:t>
            </w:r>
          </w:p>
        </w:tc>
      </w:tr>
      <w:tr>
        <w:trPr>
          <w:trHeight w:val="203"/>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40" w:type="dxa"/>
            <w:vAlign w:val="bottom"/>
          </w:tcPr>
          <w:p>
            <w:pPr>
              <w:spacing w:after="0"/>
              <w:rPr>
                <w:sz w:val="17"/>
                <w:szCs w:val="17"/>
                <w:color w:val="auto"/>
              </w:rPr>
            </w:pPr>
          </w:p>
        </w:tc>
        <w:tc>
          <w:tcPr>
            <w:tcW w:w="19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Type of Trading</w:t>
            </w: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40" w:type="dxa"/>
            <w:vAlign w:val="bottom"/>
          </w:tcPr>
          <w:p>
            <w:pPr>
              <w:spacing w:after="0"/>
              <w:rPr>
                <w:sz w:val="17"/>
                <w:szCs w:val="17"/>
                <w:color w:val="auto"/>
              </w:rPr>
            </w:pPr>
          </w:p>
        </w:tc>
        <w:tc>
          <w:tcPr>
            <w:tcW w:w="256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1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15"/>
        </w:trPr>
        <w:tc>
          <w:tcPr>
            <w:tcW w:w="2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Name (Title)</w:t>
            </w:r>
          </w:p>
        </w:tc>
        <w:tc>
          <w:tcPr>
            <w:tcW w:w="1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40" w:type="dxa"/>
            <w:vAlign w:val="bottom"/>
          </w:tcPr>
          <w:p>
            <w:pPr>
              <w:spacing w:after="0"/>
              <w:rPr>
                <w:sz w:val="18"/>
                <w:szCs w:val="18"/>
                <w:color w:val="auto"/>
              </w:rPr>
            </w:pPr>
          </w:p>
        </w:tc>
        <w:tc>
          <w:tcPr>
            <w:tcW w:w="19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0" w:type="dxa"/>
            <w:vAlign w:val="bottom"/>
          </w:tcPr>
          <w:p>
            <w:pPr>
              <w:spacing w:after="0"/>
              <w:rPr>
                <w:sz w:val="18"/>
                <w:szCs w:val="18"/>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0" w:type="dxa"/>
            <w:vAlign w:val="bottom"/>
          </w:tcPr>
          <w:p>
            <w:pPr>
              <w:spacing w:after="0"/>
              <w:rPr>
                <w:sz w:val="18"/>
                <w:szCs w:val="18"/>
                <w:color w:val="auto"/>
              </w:rPr>
            </w:pPr>
          </w:p>
        </w:tc>
        <w:tc>
          <w:tcPr>
            <w:tcW w:w="25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185"/>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Cedric Francois</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7/31/2026, or such earlier date</w:t>
            </w:r>
          </w:p>
        </w:tc>
        <w:tc>
          <w:tcPr>
            <w:tcW w:w="1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r>
      <w:tr>
        <w:trPr>
          <w:trHeight w:val="20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40" w:type="dxa"/>
            <w:vAlign w:val="bottom"/>
            <w:shd w:val="clear" w:color="auto" w:fill="CFF0FC"/>
          </w:tcPr>
          <w:p>
            <w:pPr>
              <w:spacing w:after="0"/>
              <w:rPr>
                <w:sz w:val="17"/>
                <w:szCs w:val="17"/>
                <w:color w:val="auto"/>
              </w:rPr>
            </w:pPr>
          </w:p>
        </w:tc>
        <w:tc>
          <w:tcPr>
            <w:tcW w:w="1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Officer</w:t>
            </w:r>
          </w:p>
        </w:tc>
        <w:tc>
          <w:tcPr>
            <w:tcW w:w="128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3/10/2025</w:t>
            </w:r>
          </w:p>
        </w:tc>
        <w:tc>
          <w:tcPr>
            <w:tcW w:w="1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to 358,090 shares</w:t>
            </w:r>
          </w:p>
        </w:tc>
      </w:t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Tim Sullivan</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Until 6/01/2026, or such earlier date</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w:t>
            </w:r>
          </w:p>
        </w:tc>
        <w:tc>
          <w:tcPr>
            <w:tcW w:w="1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40" w:type="dxa"/>
            <w:vAlign w:val="bottom"/>
          </w:tcPr>
          <w:p>
            <w:pPr>
              <w:spacing w:after="0"/>
              <w:rPr>
                <w:sz w:val="17"/>
                <w:szCs w:val="17"/>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Treasurer</w:t>
            </w:r>
          </w:p>
        </w:tc>
        <w:tc>
          <w:tcPr>
            <w:tcW w:w="12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3/03/2025</w:t>
            </w:r>
          </w:p>
        </w:tc>
        <w:tc>
          <w:tcPr>
            <w:tcW w:w="14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tcPr>
          <w:p>
            <w:pPr>
              <w:spacing w:after="0"/>
              <w:rPr>
                <w:sz w:val="18"/>
                <w:szCs w:val="18"/>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Up to 150,229 shares</w:t>
            </w:r>
          </w:p>
        </w:tc>
      </w:tr>
      <w:tr>
        <w:trPr>
          <w:trHeight w:val="192"/>
        </w:trPr>
        <w:tc>
          <w:tcPr>
            <w:tcW w:w="2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2/27/2026, or such earlier date</w:t>
            </w:r>
          </w:p>
        </w:tc>
        <w:tc>
          <w:tcPr>
            <w:tcW w:w="1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r>
      <w:tr>
        <w:trPr>
          <w:trHeight w:val="20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Watson</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40" w:type="dxa"/>
            <w:vAlign w:val="bottom"/>
            <w:shd w:val="clear" w:color="auto" w:fill="CFF0FC"/>
          </w:tcPr>
          <w:p>
            <w:pPr>
              <w:spacing w:after="0"/>
              <w:rPr>
                <w:sz w:val="17"/>
                <w:szCs w:val="17"/>
                <w:color w:val="auto"/>
              </w:rPr>
            </w:pPr>
          </w:p>
        </w:tc>
        <w:tc>
          <w:tcPr>
            <w:tcW w:w="1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Counsel</w:t>
            </w:r>
          </w:p>
        </w:tc>
        <w:tc>
          <w:tcPr>
            <w:tcW w:w="12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3/03/2025</w:t>
            </w:r>
          </w:p>
        </w:tc>
        <w:tc>
          <w:tcPr>
            <w:tcW w:w="1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to 49,716 shares</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20" w:type="dxa"/>
            <w:vAlign w:val="bottom"/>
            <w:gridSpan w:val="5"/>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2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Separation Agreement, dated February 21, 2025, by and between Adam Townsend and the Registrant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Apellis Pharmaceuticals, Inc.</w:t>
            </w:r>
          </w:p>
        </w:tc>
      </w:tr>
      <w:tr>
        <w:trPr>
          <w:trHeight w:val="48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362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Cedric Francois</w:t>
            </w:r>
          </w:p>
        </w:tc>
      </w:tr>
      <w:tr>
        <w:trPr>
          <w:trHeight w:val="218"/>
        </w:trPr>
        <w:tc>
          <w:tcPr>
            <w:tcW w:w="3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Cedric Francois</w:t>
            </w:r>
          </w:p>
        </w:tc>
      </w:tr>
      <w:tr>
        <w:trPr>
          <w:trHeight w:val="216"/>
        </w:trPr>
        <w:tc>
          <w:tcPr>
            <w:tcW w:w="3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362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Sullivan</w:t>
            </w:r>
          </w:p>
        </w:tc>
      </w:tr>
      <w:tr>
        <w:trPr>
          <w:trHeight w:val="218"/>
        </w:trPr>
        <w:tc>
          <w:tcPr>
            <w:tcW w:w="3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r>
      <w:tr>
        <w:trPr>
          <w:trHeight w:val="216"/>
        </w:trPr>
        <w:tc>
          <w:tcPr>
            <w:tcW w:w="3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4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440" w:type="dxa"/>
            <w:vAlign w:val="bottom"/>
          </w:tcPr>
          <w:p>
            <w:pPr>
              <w:spacing w:after="0"/>
              <w:rPr>
                <w:sz w:val="24"/>
                <w:szCs w:val="24"/>
                <w:color w:val="auto"/>
              </w:rPr>
            </w:pPr>
          </w:p>
        </w:tc>
        <w:tc>
          <w:tcPr>
            <w:tcW w:w="36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7" w:name="page38"/>
    <w:bookmarkEnd w:id="37"/>
    <w:p>
      <w:pPr>
        <w:spacing w:after="0" w:line="68"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20"/>
          <w:szCs w:val="20"/>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313055</wp:posOffset>
            </wp:positionV>
            <wp:extent cx="1962785" cy="6254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96278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right="9340" w:hanging="2"/>
        <w:spacing w:after="0" w:line="275" w:lineRule="auto"/>
        <w:tabs>
          <w:tab w:leader="none" w:pos="5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5</w:t>
      </w:r>
      <w:r>
        <w:rPr>
          <w:rFonts w:ascii="Arial" w:cs="Arial" w:eastAsia="Arial" w:hAnsi="Arial"/>
          <w:sz w:val="10"/>
          <w:szCs w:val="10"/>
          <w:color w:val="auto"/>
        </w:rPr>
        <w:t>th</w:t>
      </w:r>
      <w:r>
        <w:rPr>
          <w:rFonts w:ascii="Arial" w:cs="Arial" w:eastAsia="Arial" w:hAnsi="Arial"/>
          <w:sz w:val="17"/>
          <w:szCs w:val="17"/>
          <w:color w:val="auto"/>
        </w:rPr>
        <w:t xml:space="preserve"> Avenue Waltham, MA 02451 P:(617) 977-5700</w:t>
      </w:r>
    </w:p>
    <w:p>
      <w:pPr>
        <w:spacing w:after="0" w:line="161"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20"/>
          <w:szCs w:val="20"/>
          <w:color w:val="auto"/>
        </w:rPr>
        <w:t>January 8, 2025</w:t>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VIA EMAIL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-10160</wp:posOffset>
            </wp:positionV>
            <wp:extent cx="12985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Adam Townsend [**]</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Dear Adam:</w:t>
      </w:r>
    </w:p>
    <w:p>
      <w:pPr>
        <w:spacing w:after="0" w:line="216" w:lineRule="exact"/>
        <w:rPr>
          <w:sz w:val="20"/>
          <w:szCs w:val="20"/>
          <w:color w:val="auto"/>
        </w:rPr>
      </w:pPr>
    </w:p>
    <w:p>
      <w:pPr>
        <w:jc w:val="both"/>
        <w:ind w:left="200" w:right="80" w:firstLine="710"/>
        <w:spacing w:after="0" w:line="245" w:lineRule="auto"/>
        <w:rPr>
          <w:sz w:val="20"/>
          <w:szCs w:val="20"/>
          <w:color w:val="auto"/>
        </w:rPr>
      </w:pPr>
      <w:r>
        <w:rPr>
          <w:rFonts w:ascii="Times New Roman" w:cs="Times New Roman" w:eastAsia="Times New Roman" w:hAnsi="Times New Roman"/>
          <w:sz w:val="20"/>
          <w:szCs w:val="20"/>
          <w:color w:val="auto"/>
        </w:rPr>
        <w:t>As discussed, your employment with Apellis Pharmaceuticals, Inc. (the "Company") will end effective February 21, 2025 (the "Separation Date"). You will be eligible to receive the severance benefits as described below if you sign and return this letter agreement to me no later than January 31, 2025, and do not revoke your agreement (as described in paragraph 14 below). By signing and returning this letter agreement and not revoking your acceptance, you will be entering into a binding agreement with the Company and will be agreeing to the terms and conditions set forth in the numbered paragraphs below, including the release of claims set forth in paragraph 2. Therefore, you are advised to consult with an attorney before signing this letter agreement.</w:t>
      </w:r>
    </w:p>
    <w:p>
      <w:pPr>
        <w:spacing w:after="0" w:line="198" w:lineRule="exact"/>
        <w:rPr>
          <w:sz w:val="20"/>
          <w:szCs w:val="20"/>
          <w:color w:val="auto"/>
        </w:rPr>
      </w:pPr>
    </w:p>
    <w:p>
      <w:pPr>
        <w:jc w:val="both"/>
        <w:ind w:left="200" w:right="100" w:firstLine="710"/>
        <w:spacing w:after="0" w:line="269" w:lineRule="auto"/>
        <w:rPr>
          <w:sz w:val="20"/>
          <w:szCs w:val="20"/>
          <w:color w:val="auto"/>
        </w:rPr>
      </w:pPr>
      <w:r>
        <w:rPr>
          <w:rFonts w:ascii="Times New Roman" w:cs="Times New Roman" w:eastAsia="Times New Roman" w:hAnsi="Times New Roman"/>
          <w:sz w:val="20"/>
          <w:szCs w:val="20"/>
          <w:color w:val="auto"/>
        </w:rPr>
        <w:t>For the avoidance of doubt, the following details will occur in connection with your separation from the Company, regardless of your execution of this letter agreement:</w:t>
      </w:r>
    </w:p>
    <w:p>
      <w:pPr>
        <w:spacing w:after="0" w:line="186" w:lineRule="exact"/>
        <w:rPr>
          <w:sz w:val="20"/>
          <w:szCs w:val="20"/>
          <w:color w:val="auto"/>
        </w:rPr>
      </w:pPr>
    </w:p>
    <w:p>
      <w:pPr>
        <w:ind w:left="560" w:right="1060" w:hanging="362"/>
        <w:spacing w:after="0" w:line="269" w:lineRule="auto"/>
        <w:tabs>
          <w:tab w:leader="none" w:pos="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receive payment on the Separation Date for your final wages, including your 2024 Bonus (if the bonus remains unpaid as of the Separation Date).</w:t>
      </w:r>
    </w:p>
    <w:p>
      <w:pPr>
        <w:spacing w:after="0" w:line="51" w:lineRule="exact"/>
        <w:rPr>
          <w:rFonts w:ascii="Times New Roman" w:cs="Times New Roman" w:eastAsia="Times New Roman" w:hAnsi="Times New Roman"/>
          <w:sz w:val="20"/>
          <w:szCs w:val="20"/>
          <w:color w:val="auto"/>
        </w:rPr>
      </w:pPr>
    </w:p>
    <w:p>
      <w:pPr>
        <w:ind w:left="560" w:right="580" w:hanging="362"/>
        <w:spacing w:after="0" w:line="269" w:lineRule="auto"/>
        <w:tabs>
          <w:tab w:leader="none" w:pos="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your participation in Employer-Sponsored Group Life Insurance and Long- Term Disability Insurance will cease as of the Separation Date.</w:t>
      </w:r>
    </w:p>
    <w:p>
      <w:pPr>
        <w:spacing w:after="0" w:line="51" w:lineRule="exact"/>
        <w:rPr>
          <w:rFonts w:ascii="Times New Roman" w:cs="Times New Roman" w:eastAsia="Times New Roman" w:hAnsi="Times New Roman"/>
          <w:sz w:val="20"/>
          <w:szCs w:val="20"/>
          <w:color w:val="auto"/>
        </w:rPr>
      </w:pPr>
    </w:p>
    <w:p>
      <w:pPr>
        <w:ind w:left="560" w:hanging="362"/>
        <w:spacing w:after="0"/>
        <w:tabs>
          <w:tab w:leader="none" w:pos="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Deductions for the 40l(k) Plan will end with your last regular paycheck (i.e., the paycheck you receive on the Separation Date).</w:t>
      </w:r>
    </w:p>
    <w:p>
      <w:pPr>
        <w:spacing w:after="0" w:line="107" w:lineRule="exact"/>
        <w:rPr>
          <w:rFonts w:ascii="Times New Roman" w:cs="Times New Roman" w:eastAsia="Times New Roman" w:hAnsi="Times New Roman"/>
          <w:sz w:val="20"/>
          <w:szCs w:val="20"/>
          <w:color w:val="auto"/>
        </w:rPr>
      </w:pPr>
    </w:p>
    <w:p>
      <w:pPr>
        <w:ind w:left="560" w:right="560" w:hanging="362"/>
        <w:spacing w:after="0" w:line="269" w:lineRule="auto"/>
        <w:tabs>
          <w:tab w:leader="none" w:pos="5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your Separation Date, vesting of your Stock Options and Restricted Stock Units will discontinue and you will forfeit any unvested Stock Options and Restricted Stock Units.</w:t>
      </w:r>
    </w:p>
    <w:p>
      <w:pPr>
        <w:spacing w:after="0" w:line="276" w:lineRule="exact"/>
        <w:rPr>
          <w:rFonts w:ascii="Times New Roman" w:cs="Times New Roman" w:eastAsia="Times New Roman" w:hAnsi="Times New Roman"/>
          <w:sz w:val="20"/>
          <w:szCs w:val="20"/>
          <w:color w:val="auto"/>
        </w:rPr>
      </w:pPr>
    </w:p>
    <w:p>
      <w:pPr>
        <w:ind w:left="1000" w:hanging="503"/>
        <w:spacing w:after="0"/>
        <w:tabs>
          <w:tab w:leader="none" w:pos="1000" w:val="left"/>
        </w:tabs>
        <w:numPr>
          <w:ilvl w:val="1"/>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Separation Benefits</w:t>
      </w:r>
      <w:r>
        <w:rPr>
          <w:rFonts w:ascii="Times New Roman" w:cs="Times New Roman" w:eastAsia="Times New Roman" w:hAnsi="Times New Roman"/>
          <w:sz w:val="20"/>
          <w:szCs w:val="20"/>
          <w:color w:val="auto"/>
        </w:rPr>
        <w:t>. If you elect to timely sign and return this letter agreement and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-8255</wp:posOffset>
            </wp:positionV>
            <wp:extent cx="10502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1316355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440" w:right="399" w:bottom="1440" w:gutter="0" w:footer="0" w:header="0"/>
        </w:sectPr>
      </w:pPr>
    </w:p>
    <w:bookmarkStart w:id="38" w:name="page39"/>
    <w:bookmarkEnd w:id="38"/>
    <w:p>
      <w:pPr>
        <w:ind w:left="940" w:right="20"/>
        <w:spacing w:after="0" w:line="269" w:lineRule="auto"/>
        <w:rPr>
          <w:sz w:val="20"/>
          <w:szCs w:val="20"/>
          <w:color w:val="auto"/>
        </w:rPr>
      </w:pPr>
      <w:r>
        <w:rPr>
          <w:rFonts w:ascii="Times New Roman" w:cs="Times New Roman" w:eastAsia="Times New Roman" w:hAnsi="Times New Roman"/>
          <w:sz w:val="20"/>
          <w:szCs w:val="20"/>
          <w:color w:val="auto"/>
        </w:rPr>
        <w:t>revoke your acceptance within the Revocation Period (as defined in paragraph 14), the following terms and conditions will also apply:</w:t>
      </w:r>
    </w:p>
    <w:p>
      <w:pPr>
        <w:spacing w:after="0" w:line="173" w:lineRule="exact"/>
        <w:rPr>
          <w:sz w:val="20"/>
          <w:szCs w:val="20"/>
          <w:color w:val="auto"/>
        </w:rPr>
      </w:pPr>
    </w:p>
    <w:p>
      <w:pPr>
        <w:jc w:val="both"/>
        <w:ind w:left="860" w:right="600" w:hanging="347"/>
        <w:spacing w:after="0" w:line="254" w:lineRule="auto"/>
        <w:tabs>
          <w:tab w:leader="none" w:pos="8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you severance in an aggregate amount equivalent to nine (9) months of your base salary in effect on the Separation Date, less all applicable taxes and withholdings (the “severance pay”). This severance pay will be paid to you in one lump sum on the next regular payroll day occurring after the Revocation Period.</w:t>
      </w: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jc w:val="both"/>
        <w:ind w:left="880" w:right="140" w:hanging="367"/>
        <w:spacing w:after="0" w:line="242" w:lineRule="auto"/>
        <w:tabs>
          <w:tab w:leader="none" w:pos="8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currently participating in the Company's group health insurance plans, your participation as an employee will end on the last day of the month of your Separation Date. Thereafter, to the extent provided by COBRA, and by the Company's current group health insurance policies, you will be eligible to continue your group health insurance benefits. As part of this letter agreement and affirmation, if you elect continued coverage under COBRA, the Company will pay the employer portion necessary to continue your coverage (including coverage for eligible dependents, if applicable) through the period (the “COBRA Premium Period”) starting on the Separation Date and ending on the earliest to occur of: (i) nine (9) months after the Separation Date; or (ii) the date you and your eligible dependents, if applicable, become eligible for group health insurance coverage through a new employer. If you become covered under another employer’s group health plan or otherwise cease to be eligible for COBRA during the COBRA Premium Period, you must immediately notify the Company. You will be responsible for the employee portion of such coverage during the COBRA Premium Period.</w:t>
      </w:r>
    </w:p>
    <w:p>
      <w:pPr>
        <w:spacing w:after="0" w:line="205" w:lineRule="exact"/>
        <w:rPr>
          <w:rFonts w:ascii="Times New Roman" w:cs="Times New Roman" w:eastAsia="Times New Roman" w:hAnsi="Times New Roman"/>
          <w:sz w:val="20"/>
          <w:szCs w:val="20"/>
          <w:color w:val="auto"/>
        </w:rPr>
      </w:pPr>
    </w:p>
    <w:p>
      <w:pPr>
        <w:ind w:left="880" w:right="140" w:hanging="367"/>
        <w:spacing w:after="0" w:line="269" w:lineRule="auto"/>
        <w:tabs>
          <w:tab w:leader="none" w:pos="8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you the sum of $[**] representing reimbursement for your legal fees in connection with the negotiation and execution of this letter agreement. This amount will be included on a Form 1099.</w:t>
      </w:r>
    </w:p>
    <w:p>
      <w:pPr>
        <w:spacing w:after="0" w:line="173" w:lineRule="exact"/>
        <w:rPr>
          <w:sz w:val="20"/>
          <w:szCs w:val="20"/>
          <w:color w:val="auto"/>
        </w:rPr>
      </w:pPr>
    </w:p>
    <w:p>
      <w:pPr>
        <w:ind w:left="140" w:right="140"/>
        <w:spacing w:after="0" w:line="269" w:lineRule="auto"/>
        <w:rPr>
          <w:sz w:val="20"/>
          <w:szCs w:val="20"/>
          <w:color w:val="auto"/>
        </w:rPr>
      </w:pPr>
      <w:r>
        <w:rPr>
          <w:rFonts w:ascii="Times New Roman" w:cs="Times New Roman" w:eastAsia="Times New Roman" w:hAnsi="Times New Roman"/>
          <w:sz w:val="20"/>
          <w:szCs w:val="20"/>
          <w:color w:val="auto"/>
        </w:rPr>
        <w:t>You will not be eligible for, nor shall you have a right to receive, any payments or benefits from the Company following the Separation Date other than as set forth in this paragraph (the benefits provided in this paragraph hereafter referred to as the “Severance Benefits”).</w:t>
      </w:r>
    </w:p>
    <w:p>
      <w:pPr>
        <w:spacing w:after="0" w:line="277" w:lineRule="exact"/>
        <w:rPr>
          <w:sz w:val="20"/>
          <w:szCs w:val="20"/>
          <w:color w:val="auto"/>
        </w:rPr>
      </w:pPr>
    </w:p>
    <w:p>
      <w:pPr>
        <w:jc w:val="both"/>
        <w:ind w:left="940" w:hanging="503"/>
        <w:spacing w:after="0" w:line="242" w:lineRule="auto"/>
        <w:tabs>
          <w:tab w:leader="none" w:pos="94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Release of Claims</w:t>
      </w:r>
      <w:r>
        <w:rPr>
          <w:rFonts w:ascii="Times New Roman" w:cs="Times New Roman" w:eastAsia="Times New Roman" w:hAnsi="Times New Roman"/>
          <w:sz w:val="20"/>
          <w:szCs w:val="20"/>
          <w:color w:val="auto"/>
        </w:rPr>
        <w:t>. In consideration of the Severance Benefits, which you acknowledge you would not otherwise be entitled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you hereby fully, forever, irrevocably and unconditionally release, remise and discharge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you ever had or now have against any or all of the Released Parties, whether known or unknown, including, but not limited to, any and all claims arising out of or relating to your employment with and/or separation from the Company, including, but not limited to, all claims under Title VII of the Civil Rights Act, the Americans With Disabilities Act, the Age Discrimination in Employment Act, the Genetic Information Nondiscrimination Act, the Family and Medical Leave Act, the Worker Adjustment and Retraining Notification Act (“WARN”), the Rehabilitation Act, Executive Order 11246, Executive Order 11141, the Fair Credit Reporting Act, and the Employee Retirement Income Security Act, all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-1924050</wp:posOffset>
            </wp:positionV>
            <wp:extent cx="9886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8869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1316355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859" w:right="339" w:bottom="1440" w:gutter="0" w:footer="0" w:header="0"/>
        </w:sectPr>
      </w:pPr>
    </w:p>
    <w:bookmarkStart w:id="39" w:name="page40"/>
    <w:bookmarkEnd w:id="39"/>
    <w:p>
      <w:pPr>
        <w:jc w:val="both"/>
        <w:ind w:left="940"/>
        <w:spacing w:after="0" w:line="255" w:lineRule="auto"/>
        <w:rPr>
          <w:sz w:val="20"/>
          <w:szCs w:val="20"/>
          <w:color w:val="auto"/>
        </w:rPr>
      </w:pPr>
      <w:r>
        <w:rPr>
          <w:rFonts w:ascii="Times New Roman" w:cs="Times New Roman" w:eastAsia="Times New Roman" w:hAnsi="Times New Roman"/>
          <w:sz w:val="19"/>
          <w:szCs w:val="19"/>
          <w:color w:val="auto"/>
        </w:rPr>
        <w:t xml:space="preserve">amended; all claims arising under applicable state and local statutes, rules, and regulations; all common law claims including, but not limited to, actions in defamation, intentional infliction of emotional distress, misrepresentation, fraud, wrongful discharge, and breach of contract; all claims to any non-vested ownership interest in the Company, contractual or otherwise; all state and federal whistleblower claims to the maximum extent permitted by law; and any other claim or damage arising out of your employment with and/or separation from the Company (including a claim for retaliation) under any common law theory or any federal, state or local statute or ordinance not expressly referenced above; </w:t>
      </w:r>
      <w:r>
        <w:rPr>
          <w:rFonts w:ascii="Times New Roman" w:cs="Times New Roman" w:eastAsia="Times New Roman" w:hAnsi="Times New Roman"/>
          <w:sz w:val="19"/>
          <w:szCs w:val="19"/>
          <w:i w:val="1"/>
          <w:iCs w:val="1"/>
          <w:color w:val="auto"/>
        </w:rPr>
        <w:t>provided, however, that this release of claims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does not (i) prevent you from filing a charge with, cooperating with, or participating in any investigation or proceeding before, the Equal Employment Opportunity Commission or a state fair employment practices agency (except that you acknowledge that you may not recover any monetary benefits in connection with any such charge, investigation, or proceeding, and you further waive any rights or claims to any payment, benefit, attorneys’ fees or other remedial relief in connection with any such charge, investigation or proceeding); (ii) release any of your existing rights to indemnification, defense or hold harmless, whether at law, pursuant to any agreement with the Company, any governing document of the Company or an affiliate, or any group benefit plan in which you are a participant, administrator or fiduciary; (iii) release any rights to vested benefits or equity in the Company; or (iv) release any claims to enforce this letter agreement or claims that cannot be released as a matter of law.</w:t>
      </w:r>
    </w:p>
    <w:p>
      <w:pPr>
        <w:spacing w:after="0" w:line="193" w:lineRule="exact"/>
        <w:rPr>
          <w:sz w:val="20"/>
          <w:szCs w:val="20"/>
          <w:color w:val="auto"/>
        </w:rPr>
      </w:pPr>
    </w:p>
    <w:p>
      <w:pPr>
        <w:jc w:val="both"/>
        <w:ind w:left="140" w:right="120" w:firstLine="747"/>
        <w:spacing w:after="0" w:line="245" w:lineRule="auto"/>
        <w:rPr>
          <w:sz w:val="20"/>
          <w:szCs w:val="20"/>
          <w:color w:val="auto"/>
        </w:rPr>
      </w:pPr>
      <w:r>
        <w:rPr>
          <w:rFonts w:ascii="Times New Roman" w:cs="Times New Roman" w:eastAsia="Times New Roman" w:hAnsi="Times New Roman"/>
          <w:sz w:val="20"/>
          <w:szCs w:val="20"/>
          <w:color w:val="auto"/>
        </w:rPr>
        <w:t>Without limiting the foregoing paragraphs, this letter agreement specifically releases and waives any claims of age discrimination, known or unknown, that you may have against the Company as of the date you sign this letter agreement. This letter agreement specifically includes a waiver of rights and claims under the Age Discrimination in Employment Act of 1967, as amended, and the Older Workers Benefit Protection Act. You acknowledge that as of the date you sign this letter agreement, you may have certain rights or claims under the Age Discrimination in Employment Act, 29 U.S.C. § 626, and you voluntarily relinquish any such rights or claims by signing this letter agreement.</w:t>
      </w:r>
    </w:p>
    <w:p>
      <w:pPr>
        <w:spacing w:after="0" w:line="302" w:lineRule="exact"/>
        <w:rPr>
          <w:sz w:val="20"/>
          <w:szCs w:val="20"/>
          <w:color w:val="auto"/>
        </w:rPr>
      </w:pPr>
    </w:p>
    <w:p>
      <w:pPr>
        <w:jc w:val="both"/>
        <w:ind w:left="940" w:hanging="503"/>
        <w:spacing w:after="0" w:line="244" w:lineRule="auto"/>
        <w:tabs>
          <w:tab w:leader="none" w:pos="94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 of No Pending Action and Covenant Not to Sue</w:t>
      </w:r>
      <w:r>
        <w:rPr>
          <w:rFonts w:ascii="Times New Roman" w:cs="Times New Roman" w:eastAsia="Times New Roman" w:hAnsi="Times New Roman"/>
          <w:sz w:val="20"/>
          <w:szCs w:val="20"/>
          <w:color w:val="auto"/>
        </w:rPr>
        <w:t>. As a condition of receiving the Severance Benefits,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 and warrant that you have not initiated any claim, lawsuit, or other action against any of the Released Parties (and that you have not transferred or assigned that right to any other person or entity). You further agree never to sue any of the Released Parties or cause any of the Released Parties to be sued on your behalf regarding any matter within the scope of the release in paragraph 2 above. If you sue any of the Released Parties regarding any claim released in paragraph 2 above, and the Released Party(ies) prevail(s), you shall continue to be bound by the release obligations of this letter agreement and shall pay all costs and expenses of defending against the suit incurred by the Released Parties, including reasonable attorneys’ fees, unless paying such costs and expenses is prohibited by law.</w:t>
      </w:r>
    </w:p>
    <w:p>
      <w:pPr>
        <w:spacing w:after="0" w:line="303" w:lineRule="exact"/>
        <w:rPr>
          <w:rFonts w:ascii="Times New Roman" w:cs="Times New Roman" w:eastAsia="Times New Roman" w:hAnsi="Times New Roman"/>
          <w:sz w:val="20"/>
          <w:szCs w:val="20"/>
          <w:b w:val="1"/>
          <w:bCs w:val="1"/>
          <w:color w:val="auto"/>
        </w:rPr>
      </w:pPr>
    </w:p>
    <w:p>
      <w:pPr>
        <w:jc w:val="both"/>
        <w:ind w:left="940" w:hanging="503"/>
        <w:spacing w:after="0" w:line="246" w:lineRule="auto"/>
        <w:tabs>
          <w:tab w:leader="none" w:pos="94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Mutual Non-Disparagement</w:t>
      </w:r>
      <w:r>
        <w:rPr>
          <w:rFonts w:ascii="Times New Roman" w:cs="Times New Roman" w:eastAsia="Times New Roman" w:hAnsi="Times New Roman"/>
          <w:sz w:val="20"/>
          <w:szCs w:val="20"/>
          <w:color w:val="auto"/>
        </w:rPr>
        <w:t>. You understand and agree that, to the extent permitted by law and except as otherwise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paragraph 8 below, you will not, in public or private, make any false, disparaging, derogatory or defamatory statements, online (including, without limitation, on any social media, networking, or employer review site) or otherwise, to any person or entity, including, but not limited to, any media outlet, industry group, financial institution or current or former employee, board member, consultant, client or customer of the Company, regarding the Company or any of the other Released Parties, or regarding the Company's business affairs, business prospects,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-2140585</wp:posOffset>
            </wp:positionV>
            <wp:extent cx="34880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8805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-760730</wp:posOffset>
            </wp:positionV>
            <wp:extent cx="15113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1130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1316355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859" w:right="339" w:bottom="1440" w:gutter="0" w:footer="0" w:header="0"/>
        </w:sectPr>
      </w:pPr>
    </w:p>
    <w:bookmarkStart w:id="40" w:name="page41"/>
    <w:bookmarkEnd w:id="40"/>
    <w:p>
      <w:pPr>
        <w:jc w:val="both"/>
        <w:ind w:left="140" w:right="120"/>
        <w:spacing w:after="0" w:line="254" w:lineRule="auto"/>
        <w:rPr>
          <w:sz w:val="20"/>
          <w:szCs w:val="20"/>
          <w:color w:val="auto"/>
        </w:rPr>
      </w:pPr>
      <w:r>
        <w:rPr>
          <w:rFonts w:ascii="Times New Roman" w:cs="Times New Roman" w:eastAsia="Times New Roman" w:hAnsi="Times New Roman"/>
          <w:sz w:val="20"/>
          <w:szCs w:val="20"/>
          <w:color w:val="auto"/>
        </w:rPr>
        <w:t>The Company agrees that its Board and members of the executive team will not, in public or private, to the extent permitted by law and except as otherwise permitted by paragraph 8 below, make any false, disparaging, derogatory or defamatory statements, online or otherwise, to any person or entity, about you.</w:t>
      </w:r>
    </w:p>
    <w:p>
      <w:pPr>
        <w:spacing w:after="0" w:line="292" w:lineRule="exact"/>
        <w:rPr>
          <w:sz w:val="20"/>
          <w:szCs w:val="20"/>
          <w:color w:val="auto"/>
        </w:rPr>
      </w:pPr>
    </w:p>
    <w:p>
      <w:pPr>
        <w:jc w:val="both"/>
        <w:ind w:left="940" w:hanging="503"/>
        <w:spacing w:after="0" w:line="245" w:lineRule="auto"/>
        <w:tabs>
          <w:tab w:leader="none" w:pos="94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Return of Company Property</w:t>
      </w:r>
      <w:r>
        <w:rPr>
          <w:rFonts w:ascii="Times New Roman" w:cs="Times New Roman" w:eastAsia="Times New Roman" w:hAnsi="Times New Roman"/>
          <w:sz w:val="20"/>
          <w:szCs w:val="20"/>
          <w:color w:val="auto"/>
        </w:rPr>
        <w:t>. You confirm that you have returned to the Company all keys, files, records (and copies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thereof), equipment (including, but not limited to, computer hardware, software and printers, flash drives and storage devices, wireless handheld devices, cellular phones, tablets, etc.), Company identification, and any other Company-owned property in your possession or control and have left intact all electronic Company documents, including but not limited to those that you developed or helped to develop during your employment, and you have not retained any copies. You further confirm that you have cancelled all accounts for your benefit, if any, in the Company's name, including but not limited to, credit cards, telephone charge cards, cellular phone accounts, and computer accounts.</w:t>
      </w:r>
    </w:p>
    <w:p>
      <w:pPr>
        <w:spacing w:after="0" w:line="300" w:lineRule="exact"/>
        <w:rPr>
          <w:rFonts w:ascii="Times New Roman" w:cs="Times New Roman" w:eastAsia="Times New Roman" w:hAnsi="Times New Roman"/>
          <w:sz w:val="20"/>
          <w:szCs w:val="20"/>
          <w:b w:val="1"/>
          <w:bCs w:val="1"/>
          <w:color w:val="auto"/>
        </w:rPr>
      </w:pPr>
    </w:p>
    <w:p>
      <w:pPr>
        <w:jc w:val="both"/>
        <w:ind w:left="940" w:hanging="503"/>
        <w:spacing w:after="0" w:line="247" w:lineRule="auto"/>
        <w:tabs>
          <w:tab w:leader="none" w:pos="94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Expenses and Final Compensation</w:t>
      </w:r>
      <w:r>
        <w:rPr>
          <w:rFonts w:ascii="Times New Roman" w:cs="Times New Roman" w:eastAsia="Times New Roman" w:hAnsi="Times New Roman"/>
          <w:sz w:val="20"/>
          <w:szCs w:val="20"/>
          <w:color w:val="auto"/>
        </w:rPr>
        <w:t>. You acknowledge that you have been reimbursed by the Company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expenses incurred in conjunction with the performance of your employment and that no other reimbursements are owed to you. You further acknowledge that you have received payment in full for all services rendered in conjunction with your employment by the Company, including payment for all wages, bonuses, and accrued, unused vacation time, and that no other compensation is owed to you except as provided herein.</w:t>
      </w:r>
    </w:p>
    <w:p>
      <w:pPr>
        <w:spacing w:after="0" w:line="301" w:lineRule="exact"/>
        <w:rPr>
          <w:rFonts w:ascii="Times New Roman" w:cs="Times New Roman" w:eastAsia="Times New Roman" w:hAnsi="Times New Roman"/>
          <w:sz w:val="20"/>
          <w:szCs w:val="20"/>
          <w:b w:val="1"/>
          <w:bCs w:val="1"/>
          <w:color w:val="auto"/>
        </w:rPr>
      </w:pPr>
    </w:p>
    <w:p>
      <w:pPr>
        <w:jc w:val="both"/>
        <w:ind w:left="940" w:hanging="503"/>
        <w:spacing w:after="0" w:line="250" w:lineRule="auto"/>
        <w:tabs>
          <w:tab w:leader="none" w:pos="94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You understand and agree that, to the extent permitted by law and except as otherwise permitted by paragraph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8 below, the terms and contents of this letter agreement, and the contents of the negotiations and discussions resulting in this letter agreement, shall be maintained as confidential by you and your agents and representatives and shall not be disclosed except as otherwise agreed to in writing by the Company.</w:t>
      </w:r>
    </w:p>
    <w:p>
      <w:pPr>
        <w:spacing w:after="0" w:line="297" w:lineRule="exact"/>
        <w:rPr>
          <w:rFonts w:ascii="Times New Roman" w:cs="Times New Roman" w:eastAsia="Times New Roman" w:hAnsi="Times New Roman"/>
          <w:sz w:val="20"/>
          <w:szCs w:val="20"/>
          <w:b w:val="1"/>
          <w:bCs w:val="1"/>
          <w:color w:val="auto"/>
        </w:rPr>
      </w:pPr>
    </w:p>
    <w:p>
      <w:pPr>
        <w:jc w:val="both"/>
        <w:ind w:left="940" w:hanging="503"/>
        <w:spacing w:after="0" w:line="256" w:lineRule="auto"/>
        <w:tabs>
          <w:tab w:leader="none" w:pos="940" w:val="left"/>
        </w:tabs>
        <w:numPr>
          <w:ilvl w:val="0"/>
          <w:numId w:val="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Scope of Disclosure Restrictions</w:t>
      </w:r>
      <w:r>
        <w:rPr>
          <w:rFonts w:ascii="Times New Roman" w:cs="Times New Roman" w:eastAsia="Times New Roman" w:hAnsi="Times New Roman"/>
          <w:sz w:val="19"/>
          <w:szCs w:val="19"/>
          <w:color w:val="auto"/>
        </w:rPr>
        <w:t>. Nothing in this letter agreement or elsewhere prohibits you from communicating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government agencies about possible violations of federal, state, or local laws or otherwise providing information to government agencies, filing a complaint with government agencies, or participating in government agency investigations or proceedings. You are not required to notify the Company of any such communications; provided, however, that nothing herein authorizes the disclosure of information you obtained through a communication that was subject to the attorney-client privilege. Further, notwithstanding your confidentiality and nondisclosure obligations,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-4760595</wp:posOffset>
            </wp:positionV>
            <wp:extent cx="16560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560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-3526155</wp:posOffset>
            </wp:positionV>
            <wp:extent cx="2433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3332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-2583180</wp:posOffset>
            </wp:positionV>
            <wp:extent cx="8096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09625"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-1786255</wp:posOffset>
            </wp:positionV>
            <wp:extent cx="1790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907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1316355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81" w:right="339" w:bottom="1440" w:gutter="0" w:footer="0" w:header="0"/>
        </w:sectPr>
      </w:pPr>
    </w:p>
    <w:bookmarkStart w:id="41" w:name="page42"/>
    <w:bookmarkEnd w:id="41"/>
    <w:p>
      <w:pPr>
        <w:jc w:val="both"/>
        <w:ind w:left="940" w:hanging="503"/>
        <w:spacing w:after="0" w:line="250" w:lineRule="auto"/>
        <w:tabs>
          <w:tab w:leader="none" w:pos="9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Post-Employment Restrictive Covenants</w:t>
      </w:r>
      <w:r>
        <w:rPr>
          <w:rFonts w:ascii="Times New Roman" w:cs="Times New Roman" w:eastAsia="Times New Roman" w:hAnsi="Times New Roman"/>
          <w:sz w:val="20"/>
          <w:szCs w:val="20"/>
          <w:color w:val="auto"/>
        </w:rPr>
        <w:t>. You remain subject to any continuing non- disclosure and non-solicitation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to the Company as set forth in any written agreement between you and the Company. For the avoidance of doubt, the Company will not seek to enforce, and hereby waives, unconditionally and forever, any post-employment non-competition provision to which you are currently bound.</w:t>
      </w:r>
    </w:p>
    <w:p>
      <w:pPr>
        <w:spacing w:after="0" w:line="297" w:lineRule="exact"/>
        <w:rPr>
          <w:rFonts w:ascii="Times New Roman" w:cs="Times New Roman" w:eastAsia="Times New Roman" w:hAnsi="Times New Roman"/>
          <w:sz w:val="20"/>
          <w:szCs w:val="20"/>
          <w:b w:val="1"/>
          <w:bCs w:val="1"/>
          <w:color w:val="auto"/>
        </w:rPr>
      </w:pPr>
    </w:p>
    <w:p>
      <w:pPr>
        <w:jc w:val="both"/>
        <w:ind w:left="940" w:hanging="503"/>
        <w:spacing w:after="0" w:line="242" w:lineRule="auto"/>
        <w:tabs>
          <w:tab w:leader="none" w:pos="9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You agree that, to the extent permitted by law, you shall cooperate fully with the Company in the investigation,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defense or prosecution of any claims or actions which already have been brought, are currently pending, or which may be brought in the future against the Company by a third party or by or on behalf of the Company against any third party, whether before a state or federal court, any state or federal government agency, or a mediator or arbitrator. Your full cooperation in connection with such claims or actions shall include, but not be limited to, being available to meet with the Company's counsel, at reasonable times and locations mutually-agreed upon by you and the Company, to investigate or prepare the Company's claims or defenses, to prepare for trial or discovery or an administrative hearing, mediation, arbitration or other proceeding and to act as a witness when requested by the Company; provided, that such cooperation shall not unreasonably interfere with your professional or other obligations. You further agree that, to the extent permitted by law, you will notify the Company promptly in the event that you are served with subpoena (other than a subpoena issued by a government agency), or in the event that you are asked to provide a third party (other than a government agency) with information concerning any actual or potential complaint or claim against the Company.</w:t>
      </w:r>
    </w:p>
    <w:p>
      <w:pPr>
        <w:spacing w:after="0" w:line="308" w:lineRule="exact"/>
        <w:rPr>
          <w:rFonts w:ascii="Times New Roman" w:cs="Times New Roman" w:eastAsia="Times New Roman" w:hAnsi="Times New Roman"/>
          <w:sz w:val="20"/>
          <w:szCs w:val="20"/>
          <w:b w:val="1"/>
          <w:bCs w:val="1"/>
          <w:color w:val="auto"/>
        </w:rPr>
      </w:pPr>
    </w:p>
    <w:p>
      <w:pPr>
        <w:jc w:val="both"/>
        <w:ind w:left="940" w:hanging="503"/>
        <w:spacing w:after="0" w:line="246" w:lineRule="auto"/>
        <w:tabs>
          <w:tab w:leader="none" w:pos="9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and Waiver</w:t>
      </w:r>
      <w:r>
        <w:rPr>
          <w:rFonts w:ascii="Times New Roman" w:cs="Times New Roman" w:eastAsia="Times New Roman" w:hAnsi="Times New Roman"/>
          <w:sz w:val="20"/>
          <w:szCs w:val="20"/>
          <w:color w:val="auto"/>
        </w:rPr>
        <w:t>. This letter agreement shall be binding upon the parties and may not be modified in any manner,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by an instrument in writing of concurrent or subsequent date signed by duly authorized representatives of the parties hereto. This letter agreement is binding upon and shall inure to the benefit of the parties and their respective agents, assigns, heirs, executors, successors and administrators. No delay or omission by you or the Company in exercising any right under this letter agreement shall operate as a waiver of that or any other right. A waiver or consent given by a party on any one occasion shall be effective only in that instance and shall not be construed as a bar to or waiver of any right on any other occasion.</w:t>
      </w:r>
    </w:p>
    <w:p>
      <w:pPr>
        <w:spacing w:after="0" w:line="313" w:lineRule="exact"/>
        <w:rPr>
          <w:rFonts w:ascii="Times New Roman" w:cs="Times New Roman" w:eastAsia="Times New Roman" w:hAnsi="Times New Roman"/>
          <w:sz w:val="20"/>
          <w:szCs w:val="20"/>
          <w:b w:val="1"/>
          <w:bCs w:val="1"/>
          <w:color w:val="auto"/>
        </w:rPr>
      </w:pPr>
    </w:p>
    <w:p>
      <w:pPr>
        <w:jc w:val="both"/>
        <w:ind w:left="940" w:hanging="503"/>
        <w:spacing w:after="0" w:line="256" w:lineRule="auto"/>
        <w:tabs>
          <w:tab w:leader="none" w:pos="9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Validity</w:t>
      </w:r>
      <w:r>
        <w:rPr>
          <w:rFonts w:ascii="Times New Roman" w:cs="Times New Roman" w:eastAsia="Times New Roman" w:hAnsi="Times New Roman"/>
          <w:sz w:val="20"/>
          <w:szCs w:val="20"/>
          <w:color w:val="auto"/>
        </w:rPr>
        <w:t>. Should any provision of this letter agreement be declared or be determined by any court of competent jurisdiction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illegal or invalid, the validity of the remaining parts, terms or provisions shall not be affected thereby and said illegal or invalid part, term or provision shall be deemed not to be a part of this letter agreement.</w:t>
      </w:r>
    </w:p>
    <w:p>
      <w:pPr>
        <w:spacing w:after="0" w:line="290" w:lineRule="exact"/>
        <w:rPr>
          <w:rFonts w:ascii="Times New Roman" w:cs="Times New Roman" w:eastAsia="Times New Roman" w:hAnsi="Times New Roman"/>
          <w:sz w:val="20"/>
          <w:szCs w:val="20"/>
          <w:b w:val="1"/>
          <w:bCs w:val="1"/>
          <w:color w:val="auto"/>
        </w:rPr>
      </w:pPr>
    </w:p>
    <w:p>
      <w:pPr>
        <w:ind w:left="940" w:hanging="503"/>
        <w:spacing w:after="0" w:line="273" w:lineRule="auto"/>
        <w:tabs>
          <w:tab w:leader="none" w:pos="9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Agreement</w:t>
      </w:r>
      <w:r>
        <w:rPr>
          <w:rFonts w:ascii="Times New Roman" w:cs="Times New Roman" w:eastAsia="Times New Roman" w:hAnsi="Times New Roman"/>
          <w:sz w:val="20"/>
          <w:szCs w:val="20"/>
          <w:color w:val="auto"/>
        </w:rPr>
        <w:t>. You understand and agree that this letter agreement is a severance agreement and does not constitute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admission of liability or wrongdoing on the part of the Company.</w:t>
      </w:r>
    </w:p>
    <w:p>
      <w:pPr>
        <w:spacing w:after="0" w:line="273" w:lineRule="exact"/>
        <w:rPr>
          <w:rFonts w:ascii="Times New Roman" w:cs="Times New Roman" w:eastAsia="Times New Roman" w:hAnsi="Times New Roman"/>
          <w:sz w:val="20"/>
          <w:szCs w:val="20"/>
          <w:b w:val="1"/>
          <w:bCs w:val="1"/>
          <w:color w:val="auto"/>
        </w:rPr>
      </w:pPr>
    </w:p>
    <w:p>
      <w:pPr>
        <w:jc w:val="both"/>
        <w:ind w:left="940" w:hanging="503"/>
        <w:spacing w:after="0" w:line="250" w:lineRule="auto"/>
        <w:tabs>
          <w:tab w:leader="none" w:pos="9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Acknowledgments</w:t>
      </w:r>
      <w:r>
        <w:rPr>
          <w:rFonts w:ascii="Times New Roman" w:cs="Times New Roman" w:eastAsia="Times New Roman" w:hAnsi="Times New Roman"/>
          <w:sz w:val="20"/>
          <w:szCs w:val="20"/>
          <w:color w:val="auto"/>
        </w:rPr>
        <w:t>. You acknowledge that you have been given at least twenty-one (21) days to consider this letter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that the Company is hereby advising you in writing to consult with an attorney of your own choosing prior to signing this letter agreement. You further understand that you may revoke this letter agreement for a period of seven (7) days after you sign this letter agreement (the “Revocation Period”) by notifying me in writing,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-4688205</wp:posOffset>
            </wp:positionV>
            <wp:extent cx="6699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992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-2725420</wp:posOffset>
            </wp:positionV>
            <wp:extent cx="13519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51915"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-1628140</wp:posOffset>
            </wp:positionV>
            <wp:extent cx="4330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307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-976630</wp:posOffset>
            </wp:positionV>
            <wp:extent cx="11372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3728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-470535</wp:posOffset>
            </wp:positionV>
            <wp:extent cx="9842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1325245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5" w:right="339" w:bottom="1440" w:gutter="0" w:footer="0" w:header="0"/>
        </w:sectPr>
      </w:pPr>
    </w:p>
    <w:bookmarkStart w:id="42" w:name="page43"/>
    <w:bookmarkEnd w:id="42"/>
    <w:p>
      <w:pPr>
        <w:jc w:val="both"/>
        <w:ind w:left="1020"/>
        <w:spacing w:after="0" w:line="263" w:lineRule="auto"/>
        <w:rPr>
          <w:sz w:val="20"/>
          <w:szCs w:val="20"/>
          <w:color w:val="auto"/>
        </w:rPr>
      </w:pPr>
      <w:r>
        <w:rPr>
          <w:rFonts w:ascii="Times New Roman" w:cs="Times New Roman" w:eastAsia="Times New Roman" w:hAnsi="Times New Roman"/>
          <w:sz w:val="19"/>
          <w:szCs w:val="19"/>
          <w:color w:val="auto"/>
        </w:rPr>
        <w:t>the letter agreement shall not be effective or enforceable until the expiration of this seven (7) day revocation period (the “Effective Date”). Finally, you understand and agree that by entering into this letter agreement, you are waiving any and all rights or claims you might have under the Age Discrimination in Employment Act, as amended by the Older Workers Benefit Protection Act (the “Act”), that you are not waiving any rights or claims that may arise after the date this Agreement is executed, and that through the Severance Benefits you are receiving consideration beyond that to which you were previously entitled.</w:t>
      </w:r>
    </w:p>
    <w:p>
      <w:pPr>
        <w:spacing w:after="0" w:line="284" w:lineRule="exact"/>
        <w:rPr>
          <w:sz w:val="20"/>
          <w:szCs w:val="20"/>
          <w:color w:val="auto"/>
        </w:rPr>
      </w:pPr>
    </w:p>
    <w:p>
      <w:pPr>
        <w:jc w:val="both"/>
        <w:ind w:left="1020" w:hanging="503"/>
        <w:spacing w:after="0" w:line="250" w:lineRule="auto"/>
        <w:tabs>
          <w:tab w:leader="none" w:pos="10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Voluntary Assent</w:t>
      </w:r>
      <w:r>
        <w:rPr>
          <w:rFonts w:ascii="Times New Roman" w:cs="Times New Roman" w:eastAsia="Times New Roman" w:hAnsi="Times New Roman"/>
          <w:sz w:val="20"/>
          <w:szCs w:val="20"/>
          <w:color w:val="auto"/>
        </w:rPr>
        <w:t>. You affirm that no other promises or agreements of any kind have been made to or with you by any person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entity whatsoever to cause you to sign this letter agreement, and that you fully understand the meaning and intent of this letter agreement. You further state and represent that you have carefully read this letter agreement, understand the contents herein, freely and voluntarily assent to all of the terms and conditions hereof, and sign your name of your own free act.</w:t>
      </w:r>
    </w:p>
    <w:p>
      <w:pPr>
        <w:spacing w:after="0" w:line="297" w:lineRule="exact"/>
        <w:rPr>
          <w:rFonts w:ascii="Times New Roman" w:cs="Times New Roman" w:eastAsia="Times New Roman" w:hAnsi="Times New Roman"/>
          <w:sz w:val="20"/>
          <w:szCs w:val="20"/>
          <w:b w:val="1"/>
          <w:bCs w:val="1"/>
          <w:color w:val="auto"/>
        </w:rPr>
      </w:pPr>
    </w:p>
    <w:p>
      <w:pPr>
        <w:jc w:val="both"/>
        <w:ind w:left="1020" w:hanging="503"/>
        <w:spacing w:after="0" w:line="264" w:lineRule="auto"/>
        <w:tabs>
          <w:tab w:leader="none" w:pos="1020" w:val="left"/>
        </w:tabs>
        <w:numPr>
          <w:ilvl w:val="0"/>
          <w:numId w:val="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Applicable Law</w:t>
      </w:r>
      <w:r>
        <w:rPr>
          <w:rFonts w:ascii="Times New Roman" w:cs="Times New Roman" w:eastAsia="Times New Roman" w:hAnsi="Times New Roman"/>
          <w:sz w:val="19"/>
          <w:szCs w:val="19"/>
          <w:color w:val="auto"/>
        </w:rPr>
        <w:t>. This letter agreement shall be interpreted and construed by the laws of the Commonwealth of Massachusetts,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regard to conflict of laws provisions. You hereby irrevocably submit to and acknowledge and recognize the jurisdiction of the courts of the Commonwealth of Massachusetts, or if appropriate, a federal court located in the Commonwealth of Massachusetts (which courts, for purposes of this letter agreement, are the only courts of competent jurisdiction), over any suit, action or other proceeding arising out of, under or in connection with this letter agreement or the subject matter hereof.</w:t>
      </w:r>
    </w:p>
    <w:p>
      <w:pPr>
        <w:spacing w:after="0" w:line="283" w:lineRule="exact"/>
        <w:rPr>
          <w:rFonts w:ascii="Times New Roman" w:cs="Times New Roman" w:eastAsia="Times New Roman" w:hAnsi="Times New Roman"/>
          <w:sz w:val="19"/>
          <w:szCs w:val="19"/>
          <w:b w:val="1"/>
          <w:bCs w:val="1"/>
          <w:color w:val="auto"/>
        </w:rPr>
      </w:pPr>
    </w:p>
    <w:p>
      <w:pPr>
        <w:ind w:left="1020" w:hanging="503"/>
        <w:spacing w:after="0"/>
        <w:tabs>
          <w:tab w:leader="none" w:pos="10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letter agreement contains and constitutes the entire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-1748790</wp:posOffset>
            </wp:positionV>
            <wp:extent cx="9385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853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-951230</wp:posOffset>
            </wp:positionV>
            <wp:extent cx="8483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-8255</wp:posOffset>
            </wp:positionV>
            <wp:extent cx="966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66470" cy="8890"/>
                    </a:xfrm>
                    <a:prstGeom prst="rect">
                      <a:avLst/>
                    </a:prstGeom>
                    <a:noFill/>
                  </pic:spPr>
                </pic:pic>
              </a:graphicData>
            </a:graphic>
          </wp:anchor>
        </w:drawing>
      </w:r>
    </w:p>
    <w:p>
      <w:pPr>
        <w:spacing w:after="0" w:line="21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and agreement between the parties hereto with respect to your severance benefits and the settlement of claims against the Company and cancels all previous oral and written negotiations, agreements, and commitments in connection therewith.</w:t>
      </w:r>
    </w:p>
    <w:p>
      <w:pPr>
        <w:spacing w:after="0" w:line="277" w:lineRule="exact"/>
        <w:rPr>
          <w:sz w:val="20"/>
          <w:szCs w:val="20"/>
          <w:color w:val="auto"/>
        </w:rPr>
      </w:pPr>
    </w:p>
    <w:p>
      <w:pPr>
        <w:jc w:val="both"/>
        <w:ind w:left="1020" w:hanging="503"/>
        <w:spacing w:after="0" w:line="247" w:lineRule="auto"/>
        <w:tabs>
          <w:tab w:leader="none" w:pos="102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Acknowledgement</w:t>
      </w:r>
      <w:r>
        <w:rPr>
          <w:rFonts w:ascii="Times New Roman" w:cs="Times New Roman" w:eastAsia="Times New Roman" w:hAnsi="Times New Roman"/>
          <w:sz w:val="20"/>
          <w:szCs w:val="20"/>
          <w:color w:val="auto"/>
        </w:rPr>
        <w:t>. In connection with the severance benefits provided to you pursuant to this letter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withhold and remit to the tax authorities the amounts required under applicable law, and you shall be responsible for all applicable taxes with respect to such severance benefits under applicable law. You acknowledge that you are not relying upon the advice or representation of the Company with respect to the tax treatment of any of the severance benefits set forth in paragraph 1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-614045</wp:posOffset>
            </wp:positionV>
            <wp:extent cx="12573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If you have any questions about the matters covered in this letter agreement, please call me.</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Best,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Karen Lewis</w:t>
      </w: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Karen Lewis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EMPLOYEE ACKNOWLEDGEMENT AND AGREEMENT</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1316355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3" w:name="page44"/>
    <w:bookmarkEnd w:id="43"/>
    <w:p>
      <w:pPr>
        <w:ind w:left="140" w:firstLine="5"/>
        <w:spacing w:after="0" w:line="269" w:lineRule="auto"/>
        <w:rPr>
          <w:sz w:val="20"/>
          <w:szCs w:val="20"/>
          <w:color w:val="auto"/>
        </w:rPr>
      </w:pPr>
      <w:r>
        <w:rPr>
          <w:rFonts w:ascii="Times New Roman" w:cs="Times New Roman" w:eastAsia="Times New Roman" w:hAnsi="Times New Roman"/>
          <w:sz w:val="20"/>
          <w:szCs w:val="20"/>
          <w:color w:val="auto"/>
        </w:rPr>
        <w:t>By signing my name below, I hereby acknowledge that I have received a copy of this letter agreement, understand its terms, enter into it knowingly and voluntarily, and agree to be legally bound by it.</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/s/ Adam Townsend</w:t>
      </w:r>
    </w:p>
    <w:p>
      <w:pPr>
        <w:spacing w:after="0" w:line="3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1/10/2025</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1316355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44" w:name="page45"/>
    <w:bookmarkEnd w:id="44"/>
    <w:p>
      <w:pPr>
        <w:jc w:val="center"/>
        <w:ind w:right="-219"/>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276860</wp:posOffset>
            </wp:positionH>
            <wp:positionV relativeFrom="page">
              <wp:posOffset>492125</wp:posOffset>
            </wp:positionV>
            <wp:extent cx="848360" cy="274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848360" cy="274320"/>
                    </a:xfrm>
                    <a:prstGeom prst="rect">
                      <a:avLst/>
                    </a:prstGeom>
                    <a:noFill/>
                  </pic:spPr>
                </pic:pic>
              </a:graphicData>
            </a:graphic>
          </wp:anchor>
        </w:drawing>
        <w:t>WAIVER OF 21-DAY PERIOD</w:t>
      </w:r>
    </w:p>
    <w:p>
      <w:pPr>
        <w:spacing w:after="0" w:line="233" w:lineRule="exact"/>
        <w:rPr>
          <w:sz w:val="20"/>
          <w:szCs w:val="20"/>
          <w:color w:val="auto"/>
        </w:rPr>
      </w:pPr>
    </w:p>
    <w:p>
      <w:pPr>
        <w:jc w:val="both"/>
        <w:ind w:left="220"/>
        <w:spacing w:after="0" w:line="254" w:lineRule="auto"/>
        <w:rPr>
          <w:sz w:val="20"/>
          <w:szCs w:val="20"/>
          <w:color w:val="auto"/>
        </w:rPr>
      </w:pPr>
      <w:r>
        <w:rPr>
          <w:rFonts w:ascii="Times New Roman" w:cs="Times New Roman" w:eastAsia="Times New Roman" w:hAnsi="Times New Roman"/>
          <w:sz w:val="20"/>
          <w:szCs w:val="20"/>
          <w:color w:val="auto"/>
        </w:rPr>
        <w:t>I hereby agree to the terms and conditions set forth above. I have been given at least twenty-one (21) days to consider this letter agreement, and I have chosen to execute this on the date below. I intend that this letter agreement will become a binding agreement between me and the Company if I do not revoke my acceptance in seven (7) days.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Adam Townsend</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1/10/2025</w:t>
      </w:r>
    </w:p>
    <w:p>
      <w:pPr>
        <w:spacing w:after="0" w:line="200" w:lineRule="exact"/>
        <w:rPr>
          <w:sz w:val="20"/>
          <w:szCs w:val="20"/>
          <w:color w:val="auto"/>
        </w:rPr>
      </w:pPr>
    </w:p>
    <w:p>
      <w:pPr>
        <w:spacing w:after="0" w:line="234" w:lineRule="exact"/>
        <w:rPr>
          <w:sz w:val="20"/>
          <w:szCs w:val="20"/>
          <w:color w:val="auto"/>
        </w:rPr>
      </w:pPr>
    </w:p>
    <w:p>
      <w:pPr>
        <w:ind w:left="960"/>
        <w:spacing w:after="0"/>
        <w:tabs>
          <w:tab w:leader="none" w:pos="2520" w:val="left"/>
        </w:tabs>
        <w:rPr>
          <w:sz w:val="20"/>
          <w:szCs w:val="20"/>
          <w:color w:val="auto"/>
        </w:rPr>
      </w:pPr>
      <w:r>
        <w:rPr>
          <w:rFonts w:ascii="Times New Roman" w:cs="Times New Roman" w:eastAsia="Times New Roman" w:hAnsi="Times New Roman"/>
          <w:sz w:val="20"/>
          <w:szCs w:val="20"/>
          <w:color w:val="auto"/>
        </w:rPr>
        <w:t>Adam Townsend</w:t>
        <w:tab/>
        <w:t>Date</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To be returned in a timely manner as set forth on the first page of this letter agreement.</w:t>
      </w:r>
    </w:p>
    <w:p>
      <w:pPr>
        <w:spacing w:after="0" w:line="2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1170940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9" w:right="479" w:bottom="1440" w:gutter="0" w:footer="0" w:header="0"/>
        </w:sectPr>
      </w:pPr>
    </w:p>
    <w:bookmarkStart w:id="45" w:name="page46"/>
    <w:bookmarkEnd w:id="4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1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By:  /s/ Cedric Francois</w:t>
            </w:r>
          </w:p>
        </w:tc>
      </w:tr>
      <w:tr>
        <w:trPr>
          <w:trHeight w:val="191"/>
        </w:trPr>
        <w:tc>
          <w:tcPr>
            <w:tcW w:w="4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Cedric Francois</w:t>
            </w:r>
          </w:p>
        </w:tc>
      </w:tr>
      <w:tr>
        <w:trPr>
          <w:trHeight w:val="234"/>
        </w:trPr>
        <w:tc>
          <w:tcPr>
            <w:tcW w:w="4080" w:type="dxa"/>
            <w:vAlign w:val="bottom"/>
          </w:tcPr>
          <w:p>
            <w:pPr>
              <w:spacing w:after="0"/>
              <w:rPr>
                <w:sz w:val="20"/>
                <w:szCs w:val="20"/>
                <w:color w:val="auto"/>
              </w:rPr>
            </w:pPr>
          </w:p>
        </w:tc>
        <w:tc>
          <w:tcPr>
            <w:tcW w:w="716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79"/>
        </w:trPr>
        <w:tc>
          <w:tcPr>
            <w:tcW w:w="40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Sullivan,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1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By:  /s/ Timothy Sullivan</w:t>
            </w:r>
          </w:p>
        </w:tc>
      </w:tr>
      <w:tr>
        <w:trPr>
          <w:trHeight w:val="191"/>
        </w:trPr>
        <w:tc>
          <w:tcPr>
            <w:tcW w:w="4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Sullivan</w:t>
            </w:r>
          </w:p>
        </w:tc>
      </w:tr>
      <w:tr>
        <w:trPr>
          <w:trHeight w:val="234"/>
        </w:trPr>
        <w:tc>
          <w:tcPr>
            <w:tcW w:w="4080" w:type="dxa"/>
            <w:vAlign w:val="bottom"/>
          </w:tcPr>
          <w:p>
            <w:pPr>
              <w:spacing w:after="0"/>
              <w:rPr>
                <w:sz w:val="20"/>
                <w:szCs w:val="20"/>
                <w:color w:val="auto"/>
              </w:rPr>
            </w:pPr>
          </w:p>
        </w:tc>
        <w:tc>
          <w:tcPr>
            <w:tcW w:w="716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79"/>
        </w:trPr>
        <w:tc>
          <w:tcPr>
            <w:tcW w:w="40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March 31, 2025 as filed with the Securities and Exchange Commission on the date hereof (the “Report”), the undersigned, Cedric Francois, President and Chief Executive Officer of the Company, hereby certifies, pursuant to 18 U.S.C. Section 1350, that:</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16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Cedric Francois</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Cedric Francois</w:t>
            </w:r>
          </w:p>
        </w:tc>
      </w:tr>
      <w:tr>
        <w:trPr>
          <w:trHeight w:val="234"/>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March 31, 2025 as filed with the Securities and Exchange Commission on the date hereof (the “Report”), the undersigned, Timothy Sullivan, Chief Financial Officer and Treasurer of the Company, hereby certifies, pursuant to 18 U.S.C. Section 1350, that:</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16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Timothy Sullivan</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Sullivan</w:t>
            </w:r>
          </w:p>
        </w:tc>
      </w:tr>
      <w:tr>
        <w:trPr>
          <w:trHeight w:val="234"/>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00"/>
    </w:lvl>
  </w:abstractNum>
  <w:abstractNum w:abstractNumId="11">
    <w:nsid w:val="519B500D"/>
    <w:multiLevelType w:val="hybridMultilevel"/>
    <w:lvl w:ilvl="0">
      <w:lvlJc w:val="left"/>
      <w:lvlText w:val="•"/>
      <w:numFmt w:val="bullet"/>
      <w:start w:val="1"/>
    </w:lvl>
    <w:lvl w:ilvl="1">
      <w:lvlJc w:val="left"/>
      <w:lvlText w:val="%2."/>
      <w:numFmt w:val="decimal"/>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decimal"/>
      <w:start w:val="9"/>
    </w:lvl>
  </w:abstractNum>
  <w:abstractNum w:abstractNumId="17">
    <w:nsid w:val="436C6125"/>
    <w:multiLevelType w:val="hybridMultilevel"/>
    <w:lvl w:ilvl="0">
      <w:lvlJc w:val="left"/>
      <w:lvlText w:val="%1."/>
      <w:numFmt w:val="decimal"/>
      <w:start w:val="15"/>
    </w:lvl>
  </w:abstractNum>
  <w:abstractNum w:abstractNumId="18">
    <w:nsid w:val="628C895D"/>
    <w:multiLevelType w:val="hybridMultilevel"/>
    <w:lvl w:ilvl="0">
      <w:lvlJc w:val="left"/>
      <w:lvlText w:val="%1."/>
      <w:numFmt w:val="decimal"/>
      <w:start w:val="18"/>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2025-05-07T06:15:54Z</dcterms:created>
  <dcterms:modified xsi:type="dcterms:W3CDTF">2025-05-07T06:15:54Z</dcterms:modified>
</cp:coreProperties>
</file>