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30, 2023, Apellis Pharmaceuticals, Inc. (the “Company”) updated the U.S. Prescribing Information (“USPI”) for SYFOVRE® (pegcetacoplan) for the treatment of geographic atrophy secondary to age-related macular degeneration. The “Warnings and Precautions and Adverse Reactions - Postmarketing Experience” sections of the USPI will now include information regarding the previously reported rare events of retinal vasculitis with or without occlusion in patients treated with SYFOVRE. The Company pursued this update in collaboration with the U.S. Food and Drug Administration.</w:t>
      </w:r>
    </w:p>
    <w:p>
      <w:pPr>
        <w:spacing w:after="0" w:line="183"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estimated rate of events of retinal vasculitis remains rare at 0.01% per injection, with more than 120,000 injections estimated to have been administered as of November 18, 2023.</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000"/>
          </w:cols>
          <w:pgMar w:left="440"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Timothy Sullivan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2023-12-01T07:46:56Z</dcterms:created>
  <dcterms:modified xsi:type="dcterms:W3CDTF">2023-12-01T07:46:56Z</dcterms:modified>
</cp:coreProperties>
</file>