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Francois Cedric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320" w:space="600"/>
            <w:col w:w="3220" w:space="595"/>
            <w:col w:w="3345"/>
          </w:cols>
          <w:pgMar w:left="460" w:top="219" w:right="359" w:bottom="197"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11/01/2024</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w:t>
            </w:r>
          </w:p>
        </w:tc>
        <w:tc>
          <w:tcPr>
            <w:tcW w:w="7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182,146</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472,065</w:t>
            </w:r>
          </w:p>
        </w:tc>
        <w:tc>
          <w:tcPr>
            <w:tcW w:w="92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313,662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532,946</w:t>
            </w:r>
          </w:p>
        </w:tc>
        <w:tc>
          <w:tcPr>
            <w:tcW w:w="92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2023 - 2)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300,000</w:t>
            </w:r>
          </w:p>
        </w:tc>
        <w:tc>
          <w:tcPr>
            <w:tcW w:w="9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(4)</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Grossi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234,411</w:t>
            </w:r>
          </w:p>
        </w:tc>
        <w:tc>
          <w:tcPr>
            <w:tcW w:w="92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(5)</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DuBois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Educational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197" w:gutter="0" w:footer="0" w:header="0"/>
          <w:type w:val="continuous"/>
        </w:sectPr>
      </w:pPr>
    </w:p>
    <w:bookmarkStart w:id="1" w:name="page2"/>
    <w:bookmarkEnd w:id="1"/>
    <w:p>
      <w:pPr>
        <w:spacing w:after="0" w:line="226" w:lineRule="auto"/>
        <w:framePr w:w="660" w:h="109" w:wrap="auto" w:vAnchor="page" w:hAnchor="page" w:x="6640" w:y="3243"/>
        <w:rPr>
          <w:rFonts w:ascii="Arial" w:cs="Arial" w:eastAsia="Arial" w:hAnsi="Arial"/>
          <w:sz w:val="12"/>
          <w:szCs w:val="12"/>
          <w:b w:val="1"/>
          <w:bCs w:val="1"/>
          <w:color w:val="auto"/>
        </w:rPr>
      </w:pPr>
      <w:r>
        <w:rPr>
          <w:rFonts w:ascii="Arial" w:cs="Arial" w:eastAsia="Arial" w:hAnsi="Arial"/>
          <w:sz w:val="12"/>
          <w:szCs w:val="12"/>
          <w:b w:val="1"/>
          <w:bCs w:val="1"/>
          <w:color w:val="auto"/>
        </w:rPr>
        <w:t>Expiration</w:t>
      </w:r>
    </w:p>
    <w:p>
      <w:pPr>
        <w:spacing w:after="0" w:line="226" w:lineRule="auto"/>
        <w:framePr w:w="180" w:h="109" w:wrap="auto" w:vAnchor="page" w:hAnchor="page" w:x="7760" w:y="3243"/>
        <w:rPr>
          <w:rFonts w:ascii="Arial" w:cs="Arial" w:eastAsia="Arial" w:hAnsi="Arial"/>
          <w:sz w:val="10"/>
          <w:szCs w:val="10"/>
          <w:b w:val="1"/>
          <w:bCs w:val="1"/>
          <w:color w:val="auto"/>
        </w:rPr>
      </w:pPr>
      <w:r>
        <w:rPr>
          <w:rFonts w:ascii="Arial" w:cs="Arial" w:eastAsia="Arial" w:hAnsi="Arial"/>
          <w:sz w:val="10"/>
          <w:szCs w:val="10"/>
          <w:b w:val="1"/>
          <w:bCs w:val="1"/>
          <w:color w:val="auto"/>
        </w:rPr>
        <w:t>of</w:t>
      </w:r>
    </w:p>
    <w:p>
      <w:pPr>
        <w:spacing w:after="0" w:line="193" w:lineRule="auto"/>
        <w:framePr w:w="2020" w:h="121" w:wrap="auto" w:vAnchor="page" w:hAnchor="page" w:x="7000" w:y="3284"/>
        <w:rPr>
          <w:rFonts w:ascii="Arial" w:cs="Arial" w:eastAsia="Arial" w:hAnsi="Arial"/>
          <w:sz w:val="13"/>
          <w:szCs w:val="13"/>
          <w:b w:val="1"/>
          <w:bCs w:val="1"/>
          <w:color w:val="auto"/>
        </w:rPr>
      </w:pPr>
      <w:r>
        <w:rPr>
          <w:rFonts w:ascii="Arial" w:cs="Arial" w:eastAsia="Arial" w:hAnsi="Arial"/>
          <w:sz w:val="13"/>
          <w:szCs w:val="13"/>
          <w:b w:val="1"/>
          <w:bCs w:val="1"/>
          <w:color w:val="auto"/>
        </w:rPr>
        <w:t>** Signature of Reporting Person</w:t>
      </w:r>
    </w:p>
    <w:p>
      <w:pPr>
        <w:spacing w:after="0" w:line="193" w:lineRule="auto"/>
        <w:framePr w:w="360" w:h="121" w:wrap="auto" w:vAnchor="page" w:hAnchor="page" w:x="9200" w:y="3284"/>
        <w:rPr>
          <w:rFonts w:ascii="Arial" w:cs="Arial" w:eastAsia="Arial" w:hAnsi="Arial"/>
          <w:sz w:val="13"/>
          <w:szCs w:val="13"/>
          <w:b w:val="1"/>
          <w:bCs w:val="1"/>
          <w:color w:val="auto"/>
        </w:rPr>
      </w:pPr>
      <w:r>
        <w:rPr>
          <w:rFonts w:ascii="Arial" w:cs="Arial" w:eastAsia="Arial" w:hAnsi="Arial"/>
          <w:sz w:val="13"/>
          <w:szCs w:val="13"/>
          <w:b w:val="1"/>
          <w:bCs w:val="1"/>
          <w:color w:val="auto"/>
        </w:rPr>
        <w:t>Date</w:t>
      </w:r>
    </w:p>
    <w:p>
      <w:pPr>
        <w:spacing w:after="0" w:line="188" w:lineRule="auto"/>
        <w:framePr w:w="340" w:h="109" w:wrap="auto" w:vAnchor="page" w:hAnchor="page" w:x="6640" w:y="3376"/>
        <w:rPr>
          <w:rFonts w:ascii="Arial" w:cs="Arial" w:eastAsia="Arial" w:hAnsi="Arial"/>
          <w:sz w:val="12"/>
          <w:szCs w:val="12"/>
          <w:b w:val="1"/>
          <w:bCs w:val="1"/>
          <w:color w:val="auto"/>
        </w:rPr>
      </w:pPr>
      <w:r>
        <w:rPr>
          <w:rFonts w:ascii="Arial" w:cs="Arial" w:eastAsia="Arial" w:hAnsi="Arial"/>
          <w:sz w:val="12"/>
          <w:szCs w:val="12"/>
          <w:b w:val="1"/>
          <w:bCs w:val="1"/>
          <w:color w:val="auto"/>
        </w:rPr>
        <w:t>Date</w:t>
      </w:r>
    </w:p>
    <w:p>
      <w:pPr>
        <w:spacing w:after="0" w:line="188" w:lineRule="auto"/>
        <w:framePr w:w="880" w:h="109" w:wrap="auto" w:vAnchor="page" w:hAnchor="page" w:x="7360" w:y="3376"/>
        <w:rPr>
          <w:rFonts w:ascii="Arial" w:cs="Arial" w:eastAsia="Arial" w:hAnsi="Arial"/>
          <w:sz w:val="12"/>
          <w:szCs w:val="12"/>
          <w:b w:val="1"/>
          <w:bCs w:val="1"/>
          <w:color w:val="auto"/>
        </w:rPr>
      </w:pPr>
      <w:r>
        <w:rPr>
          <w:rFonts w:ascii="Arial" w:cs="Arial" w:eastAsia="Arial" w:hAnsi="Arial"/>
          <w:sz w:val="12"/>
          <w:szCs w:val="12"/>
          <w:b w:val="1"/>
          <w:bCs w:val="1"/>
          <w:color w:val="auto"/>
        </w:rPr>
        <w:t>Title  Shares</w:t>
      </w:r>
    </w:p>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195830"/>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0"/>
              </w:rPr>
              <w:t>7Title.Title Sharesand</w:t>
            </w:r>
          </w:p>
        </w:tc>
        <w:tc>
          <w:tcPr>
            <w:tcW w:w="74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60" w:type="dxa"/>
            <w:vAlign w:val="bottom"/>
          </w:tcPr>
          <w:p>
            <w:pPr>
              <w:ind w:left="40"/>
              <w:spacing w:after="0" w:line="67" w:lineRule="exact"/>
              <w:rPr>
                <w:sz w:val="20"/>
                <w:szCs w:val="20"/>
                <w:color w:val="auto"/>
              </w:rPr>
            </w:pPr>
            <w:r>
              <w:rPr>
                <w:rFonts w:ascii="Times New Roman" w:cs="Times New Roman" w:eastAsia="Times New Roman" w:hAnsi="Times New Roman"/>
                <w:sz w:val="7"/>
                <w:szCs w:val="7"/>
                <w:color w:val="008000"/>
              </w:rPr>
              <w:t>1.</w:t>
            </w:r>
          </w:p>
        </w:tc>
        <w:tc>
          <w:tcPr>
            <w:tcW w:w="7680" w:type="dxa"/>
            <w:vAlign w:val="bottom"/>
            <w:gridSpan w:val="8"/>
          </w:tcPr>
          <w:p>
            <w:pPr>
              <w:ind w:left="20"/>
              <w:spacing w:after="0" w:line="67" w:lineRule="exact"/>
              <w:rPr>
                <w:sz w:val="20"/>
                <w:szCs w:val="20"/>
                <w:color w:val="auto"/>
              </w:rPr>
            </w:pPr>
            <w:r>
              <w:rPr>
                <w:rFonts w:ascii="Times New Roman" w:cs="Times New Roman" w:eastAsia="Times New Roman" w:hAnsi="Times New Roman"/>
                <w:sz w:val="7"/>
                <w:szCs w:val="7"/>
                <w:color w:val="008000"/>
              </w:rPr>
              <w:t>The shares were transferred from The Cedric Francois Irrevocable Trust of 2023 to Juliana Grossi pursuant to a divorce settlement.</w:t>
            </w:r>
          </w:p>
        </w:tc>
        <w:tc>
          <w:tcPr>
            <w:tcW w:w="740" w:type="dxa"/>
            <w:vAlign w:val="bottom"/>
          </w:tcPr>
          <w:p>
            <w:pPr>
              <w:spacing w:after="0"/>
              <w:rPr>
                <w:sz w:val="5"/>
                <w:szCs w:val="5"/>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2.</w:t>
            </w:r>
          </w:p>
        </w:tc>
        <w:tc>
          <w:tcPr>
            <w:tcW w:w="640" w:type="dxa"/>
            <w:vAlign w:val="bottom"/>
          </w:tcPr>
          <w:p>
            <w:pPr>
              <w:spacing w:after="0"/>
              <w:rPr>
                <w:sz w:val="5"/>
                <w:szCs w:val="5"/>
                <w:color w:val="auto"/>
              </w:rPr>
            </w:pPr>
          </w:p>
        </w:tc>
        <w:tc>
          <w:tcPr>
            <w:tcW w:w="740" w:type="dxa"/>
            <w:vAlign w:val="bottom"/>
          </w:tcPr>
          <w:p>
            <w:pPr>
              <w:spacing w:after="0" w:line="68"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00" w:type="dxa"/>
            <w:vAlign w:val="bottom"/>
          </w:tcPr>
          <w:p>
            <w:pPr>
              <w:ind w:left="100"/>
              <w:spacing w:after="0" w:line="68" w:lineRule="exact"/>
              <w:rPr>
                <w:sz w:val="20"/>
                <w:szCs w:val="20"/>
                <w:color w:val="auto"/>
              </w:rPr>
            </w:pPr>
            <w:r>
              <w:rPr>
                <w:rFonts w:ascii="Arial" w:cs="Arial" w:eastAsia="Arial" w:hAnsi="Arial"/>
                <w:sz w:val="7"/>
                <w:szCs w:val="7"/>
                <w:b w:val="1"/>
                <w:bCs w:val="1"/>
                <w:color w:val="auto"/>
              </w:rPr>
              <w:t>Derivative</w:t>
            </w:r>
          </w:p>
        </w:tc>
        <w:tc>
          <w:tcPr>
            <w:tcW w:w="7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10920" w:type="dxa"/>
            <w:vAlign w:val="bottom"/>
            <w:gridSpan w:val="12"/>
          </w:tcPr>
          <w:p>
            <w:pPr>
              <w:ind w:left="20"/>
              <w:spacing w:after="0" w:line="146" w:lineRule="exact"/>
              <w:rPr>
                <w:sz w:val="20"/>
                <w:szCs w:val="20"/>
                <w:color w:val="auto"/>
              </w:rPr>
            </w:pPr>
            <w:r>
              <w:rPr>
                <w:rFonts w:ascii="Times New Roman" w:cs="Times New Roman" w:eastAsia="Times New Roman" w:hAnsi="Times New Roman"/>
                <w:sz w:val="13"/>
                <w:szCs w:val="13"/>
                <w:color w:val="008000"/>
                <w:w w:val="86"/>
              </w:rPr>
              <w:t>The securities</w:t>
            </w:r>
            <w:r>
              <w:rPr>
                <w:rFonts w:ascii="Arial" w:cs="Arial" w:eastAsia="Arial" w:hAnsi="Arial"/>
                <w:sz w:val="11"/>
                <w:szCs w:val="11"/>
                <w:b w:val="1"/>
                <w:bCs w:val="1"/>
                <w:color w:val="000000"/>
                <w:w w:val="86"/>
              </w:rPr>
              <w:t>Security</w:t>
            </w:r>
            <w:r>
              <w:rPr>
                <w:rFonts w:ascii="Times New Roman" w:cs="Times New Roman" w:eastAsia="Times New Roman" w:hAnsi="Times New Roman"/>
                <w:sz w:val="13"/>
                <w:szCs w:val="13"/>
                <w:color w:val="008000"/>
                <w:w w:val="86"/>
              </w:rPr>
              <w:t>areheld by The Cedric Francois Irrevocable Trust of 2023. William V.</w:t>
            </w:r>
            <w:r>
              <w:rPr>
                <w:rFonts w:ascii="Arial" w:cs="Arial" w:eastAsia="Arial" w:hAnsi="Arial"/>
                <w:sz w:val="11"/>
                <w:szCs w:val="11"/>
                <w:b w:val="1"/>
                <w:bCs w:val="1"/>
                <w:color w:val="000000"/>
                <w:w w:val="86"/>
              </w:rPr>
              <w:t>(</w:t>
            </w:r>
            <w:r>
              <w:rPr>
                <w:rFonts w:ascii="Times New Roman" w:cs="Times New Roman" w:eastAsia="Times New Roman" w:hAnsi="Times New Roman"/>
                <w:sz w:val="13"/>
                <w:szCs w:val="13"/>
                <w:color w:val="008000"/>
                <w:w w:val="86"/>
              </w:rPr>
              <w:t>A</w:t>
            </w:r>
            <w:r>
              <w:rPr>
                <w:rFonts w:ascii="Arial" w:cs="Arial" w:eastAsia="Arial" w:hAnsi="Arial"/>
                <w:sz w:val="11"/>
                <w:szCs w:val="11"/>
                <w:b w:val="1"/>
                <w:bCs w:val="1"/>
                <w:color w:val="000000"/>
                <w:w w:val="86"/>
              </w:rPr>
              <w:t>)</w:t>
            </w:r>
            <w:r>
              <w:rPr>
                <w:rFonts w:ascii="Times New Roman" w:cs="Times New Roman" w:eastAsia="Times New Roman" w:hAnsi="Times New Roman"/>
                <w:sz w:val="13"/>
                <w:szCs w:val="13"/>
                <w:color w:val="008000"/>
                <w:w w:val="86"/>
              </w:rPr>
              <w:t xml:space="preserve">. </w:t>
            </w:r>
            <w:r>
              <w:rPr>
                <w:rFonts w:ascii="Arial" w:cs="Arial" w:eastAsia="Arial" w:hAnsi="Arial"/>
                <w:sz w:val="11"/>
                <w:szCs w:val="11"/>
                <w:b w:val="1"/>
                <w:bCs w:val="1"/>
                <w:color w:val="000000"/>
                <w:w w:val="86"/>
              </w:rPr>
              <w:t>or</w:t>
            </w:r>
            <w:r>
              <w:rPr>
                <w:rFonts w:ascii="Times New Roman" w:cs="Times New Roman" w:eastAsia="Times New Roman" w:hAnsi="Times New Roman"/>
                <w:sz w:val="13"/>
                <w:szCs w:val="13"/>
                <w:color w:val="008000"/>
                <w:w w:val="86"/>
              </w:rPr>
              <w:t>Zorn is the trustee of The Cedric Francois</w:t>
            </w:r>
            <w:r>
              <w:rPr>
                <w:rFonts w:ascii="Arial" w:cs="Arial" w:eastAsia="Arial" w:hAnsi="Arial"/>
                <w:sz w:val="11"/>
                <w:szCs w:val="11"/>
                <w:b w:val="1"/>
                <w:bCs w:val="1"/>
                <w:color w:val="000000"/>
                <w:w w:val="86"/>
              </w:rPr>
              <w:t>Security</w:t>
            </w:r>
            <w:r>
              <w:rPr>
                <w:rFonts w:ascii="Times New Roman" w:cs="Times New Roman" w:eastAsia="Times New Roman" w:hAnsi="Times New Roman"/>
                <w:sz w:val="13"/>
                <w:szCs w:val="13"/>
                <w:color w:val="008000"/>
                <w:w w:val="86"/>
              </w:rPr>
              <w:t>Irrevocable</w:t>
            </w:r>
            <w:r>
              <w:rPr>
                <w:rFonts w:ascii="Arial" w:cs="Arial" w:eastAsia="Arial" w:hAnsi="Arial"/>
                <w:sz w:val="11"/>
                <w:szCs w:val="11"/>
                <w:b w:val="1"/>
                <w:bCs w:val="1"/>
                <w:color w:val="000000"/>
                <w:w w:val="86"/>
              </w:rPr>
              <w:t>(Instr.</w:t>
            </w:r>
            <w:r>
              <w:rPr>
                <w:rFonts w:ascii="Times New Roman" w:cs="Times New Roman" w:eastAsia="Times New Roman" w:hAnsi="Times New Roman"/>
                <w:sz w:val="13"/>
                <w:szCs w:val="13"/>
                <w:color w:val="008000"/>
                <w:w w:val="86"/>
              </w:rPr>
              <w:t xml:space="preserve"> Trust of 2023. The</w:t>
            </w:r>
            <w:r>
              <w:rPr>
                <w:rFonts w:ascii="Arial" w:cs="Arial" w:eastAsia="Arial" w:hAnsi="Arial"/>
                <w:sz w:val="11"/>
                <w:szCs w:val="11"/>
                <w:b w:val="1"/>
                <w:bCs w:val="1"/>
                <w:color w:val="000000"/>
                <w:w w:val="86"/>
              </w:rPr>
              <w:t>Following</w:t>
            </w:r>
            <w:r>
              <w:rPr>
                <w:rFonts w:ascii="Times New Roman" w:cs="Times New Roman" w:eastAsia="Times New Roman" w:hAnsi="Times New Roman"/>
                <w:sz w:val="13"/>
                <w:szCs w:val="13"/>
                <w:color w:val="008000"/>
                <w:w w:val="86"/>
              </w:rPr>
              <w:t>reporting person</w:t>
            </w:r>
            <w:r>
              <w:rPr>
                <w:rFonts w:ascii="Arial" w:cs="Arial" w:eastAsia="Arial" w:hAnsi="Arial"/>
                <w:sz w:val="11"/>
                <w:szCs w:val="11"/>
                <w:b w:val="1"/>
                <w:bCs w:val="1"/>
                <w:color w:val="000000"/>
                <w:w w:val="86"/>
              </w:rPr>
              <w:t>(I)</w:t>
            </w:r>
            <w:r>
              <w:rPr>
                <w:rFonts w:ascii="Times New Roman" w:cs="Times New Roman" w:eastAsia="Times New Roman" w:hAnsi="Times New Roman"/>
                <w:sz w:val="13"/>
                <w:szCs w:val="13"/>
                <w:color w:val="008000"/>
                <w:w w:val="86"/>
              </w:rPr>
              <w:t xml:space="preserve"> disclaims</w:t>
            </w:r>
            <w:r>
              <w:rPr>
                <w:rFonts w:ascii="Arial" w:cs="Arial" w:eastAsia="Arial" w:hAnsi="Arial"/>
                <w:sz w:val="11"/>
                <w:szCs w:val="11"/>
                <w:b w:val="1"/>
                <w:bCs w:val="1"/>
                <w:color w:val="000000"/>
                <w:w w:val="86"/>
              </w:rPr>
              <w:t>(Instr.4)</w:t>
            </w:r>
            <w:r>
              <w:rPr>
                <w:rFonts w:ascii="Times New Roman" w:cs="Times New Roman" w:eastAsia="Times New Roman" w:hAnsi="Times New Roman"/>
                <w:sz w:val="13"/>
                <w:szCs w:val="13"/>
                <w:color w:val="008000"/>
                <w:w w:val="86"/>
              </w:rPr>
              <w:t xml:space="preserve"> beneficial</w:t>
            </w:r>
          </w:p>
        </w:tc>
        <w:tc>
          <w:tcPr>
            <w:tcW w:w="0" w:type="dxa"/>
            <w:vAlign w:val="bottom"/>
          </w:tcPr>
          <w:p>
            <w:pPr>
              <w:spacing w:after="0"/>
              <w:rPr>
                <w:sz w:val="1"/>
                <w:szCs w:val="1"/>
                <w:color w:val="auto"/>
              </w:rPr>
            </w:pPr>
          </w:p>
        </w:tc>
      </w:tr>
      <w:tr>
        <w:trPr>
          <w:trHeight w:val="134"/>
        </w:trPr>
        <w:tc>
          <w:tcPr>
            <w:tcW w:w="7840" w:type="dxa"/>
            <w:vAlign w:val="bottom"/>
            <w:gridSpan w:val="9"/>
          </w:tcPr>
          <w:p>
            <w:pPr>
              <w:ind w:left="40"/>
              <w:spacing w:after="0" w:line="134" w:lineRule="exact"/>
              <w:rPr>
                <w:sz w:val="20"/>
                <w:szCs w:val="20"/>
                <w:color w:val="auto"/>
              </w:rPr>
            </w:pPr>
            <w:r>
              <w:rPr>
                <w:rFonts w:ascii="Times New Roman" w:cs="Times New Roman" w:eastAsia="Times New Roman" w:hAnsi="Times New Roman"/>
                <w:sz w:val="13"/>
                <w:szCs w:val="13"/>
                <w:color w:val="008000"/>
              </w:rPr>
              <w:t>ownership over the shares held by The Cedric Francois Irrevocable Trust of 2023 except</w:t>
            </w:r>
            <w:r>
              <w:rPr>
                <w:rFonts w:ascii="Arial" w:cs="Arial" w:eastAsia="Arial" w:hAnsi="Arial"/>
                <w:sz w:val="11"/>
                <w:szCs w:val="11"/>
                <w:b w:val="1"/>
                <w:bCs w:val="1"/>
                <w:color w:val="000000"/>
              </w:rPr>
              <w:t>Disposed</w:t>
            </w:r>
            <w:r>
              <w:rPr>
                <w:rFonts w:ascii="Times New Roman" w:cs="Times New Roman" w:eastAsia="Times New Roman" w:hAnsi="Times New Roman"/>
                <w:sz w:val="13"/>
                <w:szCs w:val="13"/>
                <w:color w:val="008000"/>
              </w:rPr>
              <w:t>totheextent of his pecuniary interest therein</w:t>
            </w:r>
            <w:r>
              <w:rPr>
                <w:rFonts w:ascii="Arial" w:cs="Arial" w:eastAsia="Arial" w:hAnsi="Arial"/>
                <w:sz w:val="11"/>
                <w:szCs w:val="11"/>
                <w:b w:val="1"/>
                <w:bCs w:val="1"/>
                <w:color w:val="000000"/>
              </w:rPr>
              <w:t>3a</w:t>
            </w:r>
            <w:r>
              <w:rPr>
                <w:rFonts w:ascii="Times New Roman" w:cs="Times New Roman" w:eastAsia="Times New Roman" w:hAnsi="Times New Roman"/>
                <w:sz w:val="13"/>
                <w:szCs w:val="13"/>
                <w:color w:val="008000"/>
              </w:rPr>
              <w:t>.</w:t>
            </w:r>
            <w:r>
              <w:rPr>
                <w:rFonts w:ascii="Arial" w:cs="Arial" w:eastAsia="Arial" w:hAnsi="Arial"/>
                <w:sz w:val="11"/>
                <w:szCs w:val="11"/>
                <w:b w:val="1"/>
                <w:bCs w:val="1"/>
                <w:color w:val="000000"/>
              </w:rPr>
              <w:t>d 4)</w:t>
            </w:r>
          </w:p>
        </w:tc>
        <w:tc>
          <w:tcPr>
            <w:tcW w:w="74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3.</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920" w:type="dxa"/>
            <w:vAlign w:val="bottom"/>
            <w:gridSpan w:val="12"/>
          </w:tcPr>
          <w:p>
            <w:pPr>
              <w:ind w:left="20"/>
              <w:spacing w:after="0" w:line="80" w:lineRule="exact"/>
              <w:rPr>
                <w:sz w:val="20"/>
                <w:szCs w:val="20"/>
                <w:color w:val="auto"/>
              </w:rPr>
            </w:pPr>
            <w:r>
              <w:rPr>
                <w:rFonts w:ascii="Times New Roman" w:cs="Times New Roman" w:eastAsia="Times New Roman" w:hAnsi="Times New Roman"/>
                <w:sz w:val="9"/>
                <w:szCs w:val="9"/>
                <w:color w:val="008000"/>
              </w:rPr>
              <w:t>The securities are held by The Cedric Francois Irrevocable Trust of 2023 - 2. William V. A. Zorn is the trustee of The Cedric Francois Irrevocable Trust of 2023 - 2. The reporting person disclaims</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3, 4</w:t>
            </w: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4)</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8580" w:type="dxa"/>
            <w:vAlign w:val="bottom"/>
            <w:gridSpan w:val="10"/>
          </w:tcPr>
          <w:p>
            <w:pPr>
              <w:ind w:left="40"/>
              <w:spacing w:after="0" w:line="93" w:lineRule="exact"/>
              <w:rPr>
                <w:sz w:val="20"/>
                <w:szCs w:val="20"/>
                <w:color w:val="auto"/>
              </w:rPr>
            </w:pPr>
            <w:r>
              <w:rPr>
                <w:rFonts w:ascii="Times New Roman" w:cs="Times New Roman" w:eastAsia="Times New Roman" w:hAnsi="Times New Roman"/>
                <w:sz w:val="10"/>
                <w:szCs w:val="10"/>
                <w:color w:val="008000"/>
              </w:rPr>
              <w:t>beneficial ownership over the shares held by The Cedric Francois Irrevocable Trust of 2023 - 2 except to the extent of his pecuniary interest therein.</w:t>
            </w: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and 5)</w:t>
            </w:r>
          </w:p>
        </w:tc>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40" w:right="320" w:firstLine="7"/>
        <w:spacing w:after="0" w:line="250"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 Grossi Trust, for which Juliana Grossi serves as trustee. The reporting person disclaims beneficial ownership over the shares held by the Francois Grossi Trust except to the extent of his pecuniary interest therein.</w:t>
      </w:r>
    </w:p>
    <w:p>
      <w:pPr>
        <w:spacing w:after="0" w:line="21"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Francois-DuBois Educational Trust, for which the Fiduciary Trust Company of New England serves as trustee. The reporting person disclaims beneficial ownership over the shares held by The Francois-DuBois Educational Trust except to the extent of his pecuniary interest therein.</w:t>
      </w:r>
    </w:p>
    <w:p>
      <w:pPr>
        <w:ind w:left="6580"/>
        <w:spacing w:after="0" w:line="195" w:lineRule="auto"/>
        <w:rPr>
          <w:sz w:val="20"/>
          <w:szCs w:val="20"/>
          <w:color w:val="auto"/>
        </w:rPr>
      </w:pPr>
      <w:r>
        <w:rPr>
          <w:rFonts w:ascii="Times New Roman" w:cs="Times New Roman" w:eastAsia="Times New Roman" w:hAnsi="Times New Roman"/>
          <w:sz w:val="17"/>
          <w:szCs w:val="17"/>
          <w:color w:val="0000FF"/>
        </w:rPr>
        <w:t>/s/ David Watson,</w:t>
      </w:r>
      <w:r>
        <w:rPr>
          <w:rFonts w:ascii="Arial" w:cs="Arial" w:eastAsia="Arial" w:hAnsi="Arial"/>
          <w:sz w:val="11"/>
          <w:szCs w:val="11"/>
          <w:b w:val="1"/>
          <w:bCs w:val="1"/>
          <w:color w:val="000000"/>
        </w:rPr>
        <w:t>Amout</w:t>
      </w:r>
      <w:r>
        <w:rPr>
          <w:rFonts w:ascii="Times New Roman" w:cs="Times New Roman" w:eastAsia="Times New Roman" w:hAnsi="Times New Roman"/>
          <w:sz w:val="17"/>
          <w:szCs w:val="17"/>
          <w:color w:val="0000FF"/>
        </w:rPr>
        <w:t xml:space="preserve"> attorney-in-</w:t>
      </w:r>
    </w:p>
    <w:p>
      <w:pPr>
        <w:ind w:left="7340"/>
        <w:spacing w:after="0" w:line="186" w:lineRule="auto"/>
        <w:tabs>
          <w:tab w:leader="none" w:pos="8760" w:val="left"/>
        </w:tabs>
        <w:rPr>
          <w:sz w:val="20"/>
          <w:szCs w:val="20"/>
          <w:color w:val="auto"/>
        </w:rPr>
      </w:pPr>
      <w:r>
        <w:rPr>
          <w:rFonts w:ascii="Arial" w:cs="Arial" w:eastAsia="Arial" w:hAnsi="Arial"/>
          <w:sz w:val="9"/>
          <w:szCs w:val="9"/>
          <w:b w:val="1"/>
          <w:bCs w:val="1"/>
          <w:color w:val="auto"/>
        </w:rPr>
        <w:t>or</w:t>
      </w:r>
      <w:r>
        <w:rPr>
          <w:sz w:val="20"/>
          <w:szCs w:val="20"/>
          <w:color w:val="auto"/>
        </w:rPr>
        <w:tab/>
      </w:r>
      <w:r>
        <w:rPr>
          <w:rFonts w:ascii="Times New Roman" w:cs="Times New Roman" w:eastAsia="Times New Roman" w:hAnsi="Times New Roman"/>
          <w:sz w:val="12"/>
          <w:szCs w:val="12"/>
          <w:color w:val="0000FF"/>
          <w:highlight w:val="white"/>
        </w:rPr>
        <w:t>11/01/2024</w:t>
      </w:r>
    </w:p>
    <w:p>
      <w:pPr>
        <w:ind w:left="6580"/>
        <w:spacing w:after="0" w:line="199" w:lineRule="auto"/>
        <w:rPr>
          <w:sz w:val="20"/>
          <w:szCs w:val="20"/>
          <w:color w:val="auto"/>
        </w:rPr>
      </w:pPr>
      <w:r>
        <w:rPr>
          <w:rFonts w:ascii="Times New Roman" w:cs="Times New Roman" w:eastAsia="Times New Roman" w:hAnsi="Times New Roman"/>
          <w:sz w:val="9"/>
          <w:szCs w:val="9"/>
          <w:color w:val="0000FF"/>
          <w:highlight w:val="white"/>
        </w:rPr>
        <w:t>fact for Cedric Francois</w:t>
      </w:r>
    </w:p>
    <w:p>
      <w:pPr>
        <w:ind w:left="7340"/>
        <w:spacing w:after="0" w:line="197" w:lineRule="auto"/>
        <w:rPr>
          <w:sz w:val="20"/>
          <w:szCs w:val="20"/>
          <w:color w:val="auto"/>
        </w:rPr>
      </w:pPr>
      <w:r>
        <w:rPr>
          <w:rFonts w:ascii="Arial" w:cs="Arial" w:eastAsia="Arial" w:hAnsi="Arial"/>
          <w:sz w:val="12"/>
          <w:szCs w:val="12"/>
          <w:b w:val="1"/>
          <w:bCs w:val="1"/>
          <w:color w:val="auto"/>
        </w:rPr>
        <w:t>Number</w:t>
      </w:r>
    </w:p>
    <w:p>
      <w:pPr>
        <w:spacing w:after="0" w:line="8" w:lineRule="exact"/>
        <w:rPr>
          <w:rFonts w:ascii="Arial" w:cs="Arial" w:eastAsia="Arial" w:hAnsi="Arial"/>
          <w:sz w:val="12"/>
          <w:szCs w:val="12"/>
          <w:b w:val="1"/>
          <w:bCs w:val="1"/>
          <w:color w:val="auto"/>
        </w:rPr>
      </w:pPr>
    </w:p>
    <w:p>
      <w:pPr>
        <w:jc w:val="center"/>
        <w:ind w:right="20"/>
        <w:spacing w:after="0"/>
        <w:rPr>
          <w:sz w:val="20"/>
          <w:szCs w:val="20"/>
          <w:color w:val="auto"/>
        </w:rPr>
      </w:pPr>
      <w:r>
        <w:rPr>
          <w:rFonts w:ascii="Arial" w:cs="Arial" w:eastAsia="Arial" w:hAnsi="Arial"/>
          <w:sz w:val="12"/>
          <w:szCs w:val="12"/>
          <w:b w:val="1"/>
          <w:bCs w:val="1"/>
          <w:color w:val="auto"/>
        </w:rPr>
        <w:t>Date</w:t>
      </w:r>
    </w:p>
    <w:p>
      <w:pPr>
        <w:ind w:left="3840"/>
        <w:spacing w:after="0" w:line="200" w:lineRule="auto"/>
        <w:tabs>
          <w:tab w:leader="none" w:pos="4260" w:val="left"/>
          <w:tab w:leader="none" w:pos="4660" w:val="left"/>
          <w:tab w:leader="none" w:pos="5020" w:val="left"/>
          <w:tab w:leader="none" w:pos="5380" w:val="left"/>
        </w:tabs>
        <w:rPr>
          <w:sz w:val="20"/>
          <w:szCs w:val="20"/>
          <w:color w:val="auto"/>
        </w:rPr>
      </w:pPr>
      <w:r>
        <w:rPr>
          <w:rFonts w:ascii="Arial" w:cs="Arial" w:eastAsia="Arial" w:hAnsi="Arial"/>
          <w:sz w:val="12"/>
          <w:szCs w:val="12"/>
          <w:b w:val="1"/>
          <w:bCs w:val="1"/>
          <w:color w:val="auto"/>
        </w:rPr>
        <w:t>Code</w:t>
        <w:tab/>
        <w:t>V</w:t>
      </w:r>
      <w:r>
        <w:rPr>
          <w:sz w:val="20"/>
          <w:szCs w:val="20"/>
          <w:color w:val="auto"/>
        </w:rPr>
        <w:tab/>
      </w:r>
      <w:r>
        <w:rPr>
          <w:rFonts w:ascii="Arial" w:cs="Arial" w:eastAsia="Arial" w:hAnsi="Arial"/>
          <w:sz w:val="12"/>
          <w:szCs w:val="12"/>
          <w:b w:val="1"/>
          <w:bCs w:val="1"/>
          <w:color w:val="auto"/>
        </w:rPr>
        <w:t>(A)</w:t>
        <w:tab/>
        <w:t>(D)</w:t>
        <w:tab/>
        <w:t>Exercisable</w:t>
      </w: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rFonts w:ascii="Arial" w:cs="Arial" w:eastAsia="Arial" w:hAnsi="Arial"/>
          <w:sz w:val="12"/>
          <w:szCs w:val="12"/>
          <w:b w:val="1"/>
          <w:bCs w:val="1"/>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08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2024-11-01T17:47:38Z</dcterms:created>
  <dcterms:modified xsi:type="dcterms:W3CDTF">2024-11-01T17:47:38Z</dcterms:modified>
</cp:coreProperties>
</file>