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has ceased to be the beneficial owner of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40"/>
          </w:cols>
          <w:pgMar w:left="320" w:top="111" w:right="439" w:bottom="0" w:gutter="0" w:footer="0" w:header="0"/>
          <w:type w:val="continuous"/>
        </w:sectPr>
      </w:pPr>
    </w:p>
    <w:p>
      <w:pPr>
        <w:ind w:left="116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140"/>
          </w:cols>
          <w:pgMar w:left="320" w:top="111" w:right="4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Capital Services LLC has ceased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 of more 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40"/>
          </w:cols>
          <w:pgMar w:left="320" w:top="111" w:right="7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FIFTH AVENUE, WALTHAM, MA, 02451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680" w:firstLine="6"/>
        <w:spacing w:after="0" w:line="335" w:lineRule="auto"/>
        <w:tabs>
          <w:tab w:leader="none" w:pos="22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spacing w:after="0" w:line="109" w:lineRule="exact"/>
        <w:rPr>
          <w:sz w:val="20"/>
          <w:szCs w:val="20"/>
          <w:color w:val="auto"/>
        </w:rPr>
      </w:pPr>
    </w:p>
    <w:p>
      <w:pPr>
        <w:ind w:right="2580" w:firstLine="6"/>
        <w:spacing w:after="0" w:line="309" w:lineRule="auto"/>
        <w:tabs>
          <w:tab w:leader="none" w:pos="2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132" w:lineRule="exact"/>
        <w:rPr>
          <w:sz w:val="20"/>
          <w:szCs w:val="20"/>
          <w:color w:val="auto"/>
        </w:rPr>
      </w:pPr>
    </w:p>
    <w:p>
      <w:pPr>
        <w:ind w:right="7600" w:firstLine="6"/>
        <w:spacing w:after="0" w:line="335" w:lineRule="auto"/>
        <w:tabs>
          <w:tab w:leader="none" w:pos="22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68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56" w:lineRule="exact"/>
        <w:rPr>
          <w:sz w:val="20"/>
          <w:szCs w:val="20"/>
          <w:color w:val="auto"/>
        </w:rPr>
      </w:pPr>
    </w:p>
    <w:p>
      <w:pPr>
        <w:sectPr>
          <w:pgSz w:w="11900" w:h="16838" w:orient="portrait"/>
          <w:cols w:equalWidth="0" w:num="2">
            <w:col w:w="660" w:space="300"/>
            <w:col w:w="9880"/>
          </w:cols>
          <w:pgMar w:left="320" w:top="111" w:right="739" w:bottom="0" w:gutter="0" w:footer="0" w:header="0"/>
          <w:type w:val="continuous"/>
        </w:sectPr>
      </w:pPr>
    </w:p>
    <w:p>
      <w:pPr>
        <w:jc w:val="right"/>
        <w:ind w:right="474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840"/>
          </w:cols>
          <w:pgMar w:left="320" w:top="111" w:right="73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45"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the response(s) to Item 5 on the attached cover page(s).</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80" w:firstLine="6"/>
        <w:spacing w:after="0" w:line="509" w:lineRule="auto"/>
        <w:tabs>
          <w:tab w:leader="none" w:pos="129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5080" w:firstLine="6"/>
        <w:spacing w:after="0" w:line="509" w:lineRule="auto"/>
        <w:tabs>
          <w:tab w:leader="none" w:pos="128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1"/>
          <w:szCs w:val="21"/>
          <w:color w:val="auto"/>
        </w:rPr>
        <w:t>Certain clients of the reporting persons hold shares of the common stock with the right to receive or the power to direct the receipt of dividends from, or the proceeds from the sale of, such securities; one of which Morgan Stanley Capital Services LLC has such right or power with respect to more than five percent of the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Claire Gordon</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66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Claire Gordon</w:t>
      </w:r>
    </w:p>
    <w:p>
      <w:pPr>
        <w:spacing w:after="0" w:line="56" w:lineRule="exact"/>
        <w:rPr>
          <w:sz w:val="20"/>
          <w:szCs w:val="20"/>
          <w:color w:val="auto"/>
        </w:rPr>
      </w:pPr>
    </w:p>
    <w:p>
      <w:pPr>
        <w:sectPr>
          <w:pgSz w:w="11900" w:h="16838" w:orient="portrait"/>
          <w:cols w:equalWidth="0" w:num="2">
            <w:col w:w="6540" w:space="200"/>
            <w:col w:w="4360"/>
          </w:cols>
          <w:pgMar w:left="360" w:top="112" w:right="439" w:bottom="1440" w:gutter="0" w:footer="0" w:header="0"/>
        </w:sectPr>
      </w:pPr>
    </w:p>
    <w:p>
      <w:pPr>
        <w:spacing w:after="0" w:line="1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20" w:lineRule="exact"/>
        <w:rPr>
          <w:sz w:val="20"/>
          <w:szCs w:val="20"/>
          <w:color w:val="auto"/>
        </w:rPr>
      </w:pPr>
      <w:r>
        <w:rPr>
          <w:sz w:val="20"/>
          <w:szCs w:val="20"/>
          <w:color w:val="auto"/>
        </w:rPr>
        <w:br w:type="column"/>
      </w:r>
    </w:p>
    <w:p>
      <w:pPr>
        <w:ind w:right="340"/>
        <w:spacing w:after="0" w:line="256" w:lineRule="auto"/>
        <w:rPr>
          <w:sz w:val="20"/>
          <w:szCs w:val="20"/>
          <w:color w:val="auto"/>
        </w:rPr>
      </w:pPr>
      <w:r>
        <w:rPr>
          <w:rFonts w:ascii="Times New Roman" w:cs="Times New Roman" w:eastAsia="Times New Roman" w:hAnsi="Times New Roman"/>
          <w:sz w:val="22"/>
          <w:szCs w:val="22"/>
          <w:color w:val="auto"/>
        </w:rPr>
        <w:t>Authorized Signatory, Morgan Stanley Capital Services LLC</w:t>
      </w:r>
    </w:p>
    <w:p>
      <w:pPr>
        <w:spacing w:after="0" w:line="1" w:lineRule="exact"/>
        <w:rPr>
          <w:sz w:val="20"/>
          <w:szCs w:val="20"/>
          <w:color w:val="auto"/>
        </w:rPr>
      </w:pPr>
    </w:p>
    <w:p>
      <w:pPr>
        <w:sectPr>
          <w:pgSz w:w="11900" w:h="16838" w:orient="portrait"/>
          <w:cols w:equalWidth="0" w:num="2">
            <w:col w:w="6680" w:space="60"/>
            <w:col w:w="4360"/>
          </w:cols>
          <w:pgMar w:left="360" w:top="112" w:right="439" w:bottom="1440" w:gutter="0" w:footer="0" w:header="0"/>
          <w:type w:val="continuous"/>
        </w:sectPr>
      </w:pPr>
    </w:p>
    <w:p>
      <w:pPr>
        <w:ind w:left="56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06/05/2026</w:t>
      </w:r>
    </w:p>
    <w:p>
      <w:pPr>
        <w:spacing w:after="0" w:line="119" w:lineRule="exact"/>
        <w:rPr>
          <w:sz w:val="20"/>
          <w:szCs w:val="20"/>
          <w:color w:val="auto"/>
        </w:rPr>
      </w:pPr>
    </w:p>
    <w:p>
      <w:pPr>
        <w:sectPr>
          <w:pgSz w:w="11900" w:h="16838" w:orient="portrait"/>
          <w:cols w:equalWidth="0" w:num="2">
            <w:col w:w="6120" w:space="620"/>
            <w:col w:w="4360"/>
          </w:cols>
          <w:pgMar w:left="360" w:top="112" w:right="4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ectPr>
          <w:pgSz w:w="11900" w:h="16838" w:orient="portrait"/>
          <w:cols w:equalWidth="0" w:num="1">
            <w:col w:w="11100"/>
          </w:cols>
          <w:pgMar w:left="360" w:top="112"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Intentional misstatements or omissions of fact constitute federal criminal violations (see 18 U.S.C. 1001).</w:t>
      </w:r>
    </w:p>
    <w:p>
      <w:pPr>
        <w:sectPr>
          <w:pgSz w:w="11900" w:h="16838" w:orient="portrait"/>
          <w:cols w:equalWidth="0" w:num="1">
            <w:col w:w="11100"/>
          </w:cols>
          <w:pgMar w:left="360" w:top="112" w:right="4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No.03753U106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June 05,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Gordon</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99"/>
        <w:spacing w:after="0" w:line="397" w:lineRule="auto"/>
        <w:rPr>
          <w:sz w:val="20"/>
          <w:szCs w:val="20"/>
          <w:color w:val="auto"/>
        </w:rPr>
      </w:pPr>
      <w:r>
        <w:rPr>
          <w:rFonts w:ascii="Courier New" w:cs="Courier New" w:eastAsia="Courier New" w:hAnsi="Courier New"/>
          <w:sz w:val="18"/>
          <w:szCs w:val="18"/>
          <w:color w:val="auto"/>
        </w:rPr>
        <w:t>Claire Gordon/Authorized Signatory, Morgan Stanley Morgan Stanley Capital Services LLC BY: /s/ Claire Gordon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Claire Gordon/Authorized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No.03753U106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2026-06-05T15:21:21Z</dcterms:created>
  <dcterms:modified xsi:type="dcterms:W3CDTF">2026-06-05T15:21:21Z</dcterms:modified>
</cp:coreProperties>
</file>